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977" w:rsidRDefault="002C4977" w:rsidP="007A14EC">
      <w:pPr>
        <w:jc w:val="center"/>
        <w:rPr>
          <w:sz w:val="56"/>
          <w:szCs w:val="56"/>
        </w:rPr>
      </w:pPr>
    </w:p>
    <w:p w:rsidR="002C4977" w:rsidRDefault="002C4977" w:rsidP="007A14EC">
      <w:pPr>
        <w:jc w:val="center"/>
        <w:rPr>
          <w:sz w:val="56"/>
          <w:szCs w:val="56"/>
        </w:rPr>
      </w:pPr>
    </w:p>
    <w:p w:rsidR="002C4977" w:rsidRDefault="002C4977" w:rsidP="007A14EC">
      <w:pPr>
        <w:jc w:val="center"/>
        <w:rPr>
          <w:sz w:val="56"/>
          <w:szCs w:val="56"/>
        </w:rPr>
      </w:pPr>
    </w:p>
    <w:p w:rsidR="002C4977" w:rsidRDefault="002C4977" w:rsidP="007A14EC">
      <w:pPr>
        <w:jc w:val="center"/>
        <w:rPr>
          <w:sz w:val="56"/>
          <w:szCs w:val="56"/>
        </w:rPr>
      </w:pPr>
    </w:p>
    <w:p w:rsidR="002C4977" w:rsidRDefault="002C4977" w:rsidP="007A14EC">
      <w:pPr>
        <w:jc w:val="center"/>
        <w:rPr>
          <w:sz w:val="56"/>
          <w:szCs w:val="56"/>
        </w:rPr>
      </w:pPr>
    </w:p>
    <w:p w:rsidR="002C4977" w:rsidRPr="008356DA" w:rsidRDefault="002C4977" w:rsidP="007A14EC">
      <w:pPr>
        <w:jc w:val="center"/>
        <w:rPr>
          <w:rFonts w:ascii="Times New Roman" w:hAnsi="Times New Roman" w:cs="Times New Roman"/>
          <w:sz w:val="56"/>
          <w:szCs w:val="56"/>
        </w:rPr>
      </w:pPr>
      <w:r w:rsidRPr="008356DA">
        <w:rPr>
          <w:rFonts w:ascii="Times New Roman" w:hAnsi="Times New Roman" w:cs="Times New Roman"/>
          <w:sz w:val="56"/>
          <w:szCs w:val="56"/>
        </w:rPr>
        <w:t xml:space="preserve">VII INFORME PERIÓDICO DE ESPAÑA AL COMITÉ </w:t>
      </w:r>
      <w:r w:rsidR="00204831">
        <w:rPr>
          <w:rFonts w:ascii="Times New Roman" w:hAnsi="Times New Roman" w:cs="Times New Roman"/>
          <w:sz w:val="56"/>
          <w:szCs w:val="56"/>
        </w:rPr>
        <w:t>DE DERECHOS HUMANOS (CCPR</w:t>
      </w:r>
      <w:r w:rsidRPr="008356DA">
        <w:rPr>
          <w:rFonts w:ascii="Times New Roman" w:hAnsi="Times New Roman" w:cs="Times New Roman"/>
          <w:sz w:val="56"/>
          <w:szCs w:val="56"/>
        </w:rPr>
        <w:t>)</w:t>
      </w:r>
    </w:p>
    <w:p w:rsidR="002C4977" w:rsidRPr="008356DA" w:rsidRDefault="002C4977" w:rsidP="007A14EC">
      <w:pPr>
        <w:jc w:val="center"/>
        <w:rPr>
          <w:rFonts w:ascii="Times New Roman" w:hAnsi="Times New Roman" w:cs="Times New Roman"/>
          <w:color w:val="5B9BD5" w:themeColor="accent1"/>
        </w:rPr>
      </w:pPr>
    </w:p>
    <w:p w:rsidR="002C4977" w:rsidRPr="008356DA" w:rsidRDefault="002C4977" w:rsidP="007A14EC">
      <w:pPr>
        <w:jc w:val="center"/>
        <w:rPr>
          <w:rFonts w:ascii="Times New Roman" w:hAnsi="Times New Roman" w:cs="Times New Roman"/>
          <w:sz w:val="48"/>
          <w:szCs w:val="48"/>
          <w:u w:val="single"/>
        </w:rPr>
      </w:pPr>
      <w:r w:rsidRPr="008356DA">
        <w:rPr>
          <w:rFonts w:ascii="Times New Roman" w:hAnsi="Times New Roman" w:cs="Times New Roman"/>
          <w:sz w:val="48"/>
          <w:szCs w:val="48"/>
          <w:u w:val="single"/>
        </w:rPr>
        <w:t>ANEXO</w:t>
      </w:r>
      <w:r w:rsidR="00130335">
        <w:rPr>
          <w:rFonts w:ascii="Times New Roman" w:hAnsi="Times New Roman" w:cs="Times New Roman"/>
          <w:sz w:val="48"/>
          <w:szCs w:val="48"/>
          <w:u w:val="single"/>
        </w:rPr>
        <w:t xml:space="preserve"> I</w:t>
      </w: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7A14EC">
      <w:pPr>
        <w:jc w:val="center"/>
        <w:rPr>
          <w:color w:val="5B9BD5" w:themeColor="accent1"/>
        </w:rPr>
      </w:pPr>
    </w:p>
    <w:p w:rsidR="002C4977" w:rsidRDefault="002C4977" w:rsidP="00E2009E">
      <w:pPr>
        <w:rPr>
          <w:color w:val="5B9BD5" w:themeColor="accent1"/>
        </w:rPr>
      </w:pPr>
    </w:p>
    <w:p w:rsidR="00274817" w:rsidRDefault="00274817">
      <w:pPr>
        <w:rPr>
          <w:rFonts w:ascii="Times New Roman" w:hAnsi="Times New Roman" w:cs="Times New Roman"/>
          <w:sz w:val="28"/>
          <w:szCs w:val="28"/>
        </w:rPr>
      </w:pPr>
      <w:r>
        <w:rPr>
          <w:rFonts w:ascii="Times New Roman" w:hAnsi="Times New Roman" w:cs="Times New Roman"/>
          <w:sz w:val="28"/>
          <w:szCs w:val="28"/>
        </w:rPr>
        <w:br w:type="page"/>
      </w:r>
    </w:p>
    <w:p w:rsidR="002C4977" w:rsidRDefault="006506F4" w:rsidP="007A14EC">
      <w:pPr>
        <w:jc w:val="center"/>
        <w:rPr>
          <w:rFonts w:ascii="Times New Roman" w:hAnsi="Times New Roman" w:cs="Times New Roman"/>
          <w:sz w:val="28"/>
          <w:szCs w:val="28"/>
        </w:rPr>
      </w:pPr>
      <w:r>
        <w:rPr>
          <w:rFonts w:ascii="Times New Roman" w:hAnsi="Times New Roman" w:cs="Times New Roman"/>
          <w:sz w:val="28"/>
          <w:szCs w:val="28"/>
        </w:rPr>
        <w:lastRenderedPageBreak/>
        <w:t>Í</w:t>
      </w:r>
      <w:r w:rsidR="00946C1B" w:rsidRPr="00946C1B">
        <w:rPr>
          <w:rFonts w:ascii="Times New Roman" w:hAnsi="Times New Roman" w:cs="Times New Roman"/>
          <w:sz w:val="28"/>
          <w:szCs w:val="28"/>
        </w:rPr>
        <w:t>NDICE</w:t>
      </w:r>
    </w:p>
    <w:p w:rsidR="00946C1B" w:rsidRPr="00946C1B" w:rsidRDefault="00946C1B" w:rsidP="007A14EC">
      <w:pPr>
        <w:jc w:val="center"/>
        <w:rPr>
          <w:rFonts w:ascii="Times New Roman" w:hAnsi="Times New Roman" w:cs="Times New Roman"/>
          <w:sz w:val="24"/>
          <w:szCs w:val="24"/>
        </w:rPr>
      </w:pPr>
    </w:p>
    <w:p w:rsidR="00946C1B" w:rsidRDefault="00946C1B" w:rsidP="00946C1B">
      <w:pPr>
        <w:rPr>
          <w:rFonts w:ascii="Times New Roman" w:hAnsi="Times New Roman" w:cs="Times New Roman"/>
          <w:sz w:val="24"/>
          <w:szCs w:val="24"/>
        </w:rPr>
      </w:pPr>
    </w:p>
    <w:p w:rsidR="002C4977" w:rsidRPr="00946C1B" w:rsidRDefault="00946C1B" w:rsidP="00946C1B">
      <w:pPr>
        <w:rPr>
          <w:rFonts w:ascii="Times New Roman" w:hAnsi="Times New Roman" w:cs="Times New Roman"/>
          <w:sz w:val="24"/>
          <w:szCs w:val="24"/>
        </w:rPr>
      </w:pPr>
      <w:r w:rsidRPr="00946C1B">
        <w:rPr>
          <w:rFonts w:ascii="Times New Roman" w:hAnsi="Times New Roman" w:cs="Times New Roman"/>
          <w:sz w:val="24"/>
          <w:szCs w:val="24"/>
        </w:rPr>
        <w:t>GLOSARIO</w:t>
      </w:r>
    </w:p>
    <w:p w:rsidR="00946C1B" w:rsidRPr="00946C1B" w:rsidRDefault="00946C1B" w:rsidP="00946C1B">
      <w:pPr>
        <w:rPr>
          <w:rFonts w:ascii="Times New Roman" w:hAnsi="Times New Roman" w:cs="Times New Roman"/>
          <w:sz w:val="24"/>
          <w:szCs w:val="24"/>
        </w:rPr>
      </w:pPr>
      <w:r w:rsidRPr="00946C1B">
        <w:rPr>
          <w:rFonts w:ascii="Times New Roman" w:hAnsi="Times New Roman" w:cs="Times New Roman"/>
          <w:sz w:val="24"/>
          <w:szCs w:val="24"/>
        </w:rPr>
        <w:t xml:space="preserve">ENLACES WEB DE INTERÉS CITADOS EN EL INFORME </w:t>
      </w:r>
    </w:p>
    <w:p w:rsidR="00946C1B" w:rsidRPr="00946C1B" w:rsidRDefault="005E7646" w:rsidP="00946C1B">
      <w:pPr>
        <w:rPr>
          <w:rFonts w:ascii="Times New Roman" w:hAnsi="Times New Roman" w:cs="Times New Roman"/>
          <w:sz w:val="24"/>
          <w:szCs w:val="24"/>
        </w:rPr>
      </w:pPr>
      <w:r>
        <w:rPr>
          <w:rFonts w:ascii="Times New Roman" w:hAnsi="Times New Roman" w:cs="Times New Roman"/>
          <w:sz w:val="24"/>
          <w:szCs w:val="24"/>
        </w:rPr>
        <w:t xml:space="preserve">INFORMACIÓN ACLARATORIA </w:t>
      </w:r>
      <w:r w:rsidR="00946C1B" w:rsidRPr="00946C1B">
        <w:rPr>
          <w:rFonts w:ascii="Times New Roman" w:hAnsi="Times New Roman" w:cs="Times New Roman"/>
          <w:sz w:val="24"/>
          <w:szCs w:val="24"/>
        </w:rPr>
        <w:t xml:space="preserve">Y DATOS ESTADÍSTICOS </w:t>
      </w:r>
    </w:p>
    <w:p w:rsidR="00946C1B" w:rsidRPr="00946C1B" w:rsidRDefault="00946C1B" w:rsidP="00946C1B">
      <w:pPr>
        <w:rPr>
          <w:rFonts w:ascii="Times New Roman" w:hAnsi="Times New Roman" w:cs="Times New Roman"/>
          <w:sz w:val="24"/>
          <w:szCs w:val="24"/>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946C1B" w:rsidRDefault="00946C1B" w:rsidP="00946C1B">
      <w:pPr>
        <w:rPr>
          <w:color w:val="5B9BD5" w:themeColor="accent1"/>
        </w:rPr>
      </w:pPr>
    </w:p>
    <w:p w:rsidR="00274817" w:rsidRDefault="00274817">
      <w:pPr>
        <w:rPr>
          <w:rFonts w:ascii="Times New Roman" w:hAnsi="Times New Roman" w:cs="Times New Roman"/>
          <w:b/>
          <w:sz w:val="28"/>
          <w:szCs w:val="28"/>
        </w:rPr>
      </w:pPr>
      <w:r>
        <w:rPr>
          <w:rFonts w:ascii="Times New Roman" w:hAnsi="Times New Roman" w:cs="Times New Roman"/>
          <w:b/>
          <w:sz w:val="28"/>
          <w:szCs w:val="28"/>
        </w:rPr>
        <w:br w:type="page"/>
      </w:r>
    </w:p>
    <w:p w:rsidR="00946C1B" w:rsidRPr="001E1221" w:rsidRDefault="00AA0DCC" w:rsidP="00204831">
      <w:pPr>
        <w:spacing w:line="480" w:lineRule="auto"/>
        <w:jc w:val="center"/>
        <w:rPr>
          <w:rFonts w:ascii="Times New Roman" w:hAnsi="Times New Roman" w:cs="Times New Roman"/>
          <w:b/>
          <w:sz w:val="28"/>
          <w:szCs w:val="28"/>
        </w:rPr>
      </w:pPr>
      <w:r w:rsidRPr="001E1221">
        <w:rPr>
          <w:rFonts w:ascii="Times New Roman" w:hAnsi="Times New Roman" w:cs="Times New Roman"/>
          <w:b/>
          <w:sz w:val="28"/>
          <w:szCs w:val="28"/>
        </w:rPr>
        <w:lastRenderedPageBreak/>
        <w:t>GLOSARIO</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AGE</w:t>
      </w:r>
      <w:r w:rsidRPr="00204831">
        <w:rPr>
          <w:rFonts w:ascii="Times New Roman" w:hAnsi="Times New Roman" w:cs="Times New Roman"/>
          <w:sz w:val="24"/>
          <w:szCs w:val="24"/>
        </w:rPr>
        <w:t xml:space="preserve"> – Administración General del Estado </w:t>
      </w:r>
    </w:p>
    <w:p w:rsidR="0009032B" w:rsidRDefault="0009032B" w:rsidP="00204831">
      <w:pPr>
        <w:rPr>
          <w:rFonts w:ascii="Times New Roman" w:hAnsi="Times New Roman" w:cs="Times New Roman"/>
          <w:b/>
          <w:sz w:val="24"/>
          <w:szCs w:val="24"/>
        </w:rPr>
      </w:pPr>
      <w:r>
        <w:rPr>
          <w:rFonts w:ascii="Times New Roman" w:hAnsi="Times New Roman" w:cs="Times New Roman"/>
          <w:b/>
          <w:sz w:val="24"/>
          <w:szCs w:val="24"/>
        </w:rPr>
        <w:t xml:space="preserve">CC. AA – </w:t>
      </w:r>
      <w:r w:rsidRPr="0009032B">
        <w:rPr>
          <w:rFonts w:ascii="Times New Roman" w:hAnsi="Times New Roman" w:cs="Times New Roman"/>
          <w:sz w:val="24"/>
          <w:szCs w:val="24"/>
        </w:rPr>
        <w:t>Comunidades Autónomas</w:t>
      </w:r>
    </w:p>
    <w:p w:rsidR="003123A8" w:rsidRDefault="003123A8" w:rsidP="00204831">
      <w:pPr>
        <w:rPr>
          <w:rFonts w:ascii="Times New Roman" w:hAnsi="Times New Roman" w:cs="Times New Roman"/>
          <w:b/>
          <w:sz w:val="24"/>
          <w:szCs w:val="24"/>
        </w:rPr>
      </w:pPr>
      <w:r>
        <w:rPr>
          <w:rFonts w:ascii="Times New Roman" w:hAnsi="Times New Roman" w:cs="Times New Roman"/>
          <w:b/>
          <w:sz w:val="24"/>
          <w:szCs w:val="24"/>
        </w:rPr>
        <w:t xml:space="preserve">CCPR – </w:t>
      </w:r>
      <w:r w:rsidRPr="003123A8">
        <w:rPr>
          <w:rFonts w:ascii="Times New Roman" w:hAnsi="Times New Roman" w:cs="Times New Roman"/>
          <w:sz w:val="24"/>
          <w:szCs w:val="24"/>
        </w:rPr>
        <w:t>Comité de Derechos Humanos</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CE</w:t>
      </w:r>
      <w:r w:rsidRPr="00204831">
        <w:rPr>
          <w:rFonts w:ascii="Times New Roman" w:hAnsi="Times New Roman" w:cs="Times New Roman"/>
          <w:sz w:val="24"/>
          <w:szCs w:val="24"/>
        </w:rPr>
        <w:t xml:space="preserve"> – Constitución Española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CEDRE</w:t>
      </w:r>
      <w:r w:rsidRPr="00204831">
        <w:rPr>
          <w:rFonts w:ascii="Times New Roman" w:hAnsi="Times New Roman" w:cs="Times New Roman"/>
          <w:sz w:val="24"/>
          <w:szCs w:val="24"/>
        </w:rPr>
        <w:t xml:space="preserve"> - Consejo para la eliminación de la discriminación racial o étnica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 xml:space="preserve">CETI </w:t>
      </w:r>
      <w:r w:rsidRPr="00204831">
        <w:rPr>
          <w:rFonts w:ascii="Times New Roman" w:hAnsi="Times New Roman" w:cs="Times New Roman"/>
          <w:sz w:val="24"/>
          <w:szCs w:val="24"/>
        </w:rPr>
        <w:t xml:space="preserve">- Centro Temporal de Estancia para Inmigrantes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CGPJ</w:t>
      </w:r>
      <w:r w:rsidRPr="00204831">
        <w:rPr>
          <w:rFonts w:ascii="Times New Roman" w:hAnsi="Times New Roman" w:cs="Times New Roman"/>
          <w:sz w:val="24"/>
          <w:szCs w:val="24"/>
        </w:rPr>
        <w:t xml:space="preserve"> - Consejo General del Poder Judicial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CIE -</w:t>
      </w:r>
      <w:r w:rsidRPr="00204831">
        <w:rPr>
          <w:rFonts w:ascii="Times New Roman" w:hAnsi="Times New Roman" w:cs="Times New Roman"/>
          <w:sz w:val="24"/>
          <w:szCs w:val="24"/>
        </w:rPr>
        <w:t xml:space="preserve"> Centros de Internamiento de Extranjeros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CITCO</w:t>
      </w:r>
      <w:r w:rsidRPr="00204831">
        <w:rPr>
          <w:rFonts w:ascii="Times New Roman" w:hAnsi="Times New Roman" w:cs="Times New Roman"/>
          <w:sz w:val="24"/>
          <w:szCs w:val="24"/>
        </w:rPr>
        <w:t xml:space="preserve"> - Centro de Inteligencia contra el Terrorismo y el Crimen Organizado </w:t>
      </w:r>
    </w:p>
    <w:p w:rsid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 xml:space="preserve">CP </w:t>
      </w:r>
      <w:r w:rsidRPr="00204831">
        <w:rPr>
          <w:rFonts w:ascii="Times New Roman" w:hAnsi="Times New Roman" w:cs="Times New Roman"/>
          <w:sz w:val="24"/>
          <w:szCs w:val="24"/>
        </w:rPr>
        <w:t xml:space="preserve">– Código Penal </w:t>
      </w:r>
    </w:p>
    <w:p w:rsidR="00AE159B" w:rsidRPr="00AE159B" w:rsidRDefault="00AE159B" w:rsidP="00204831">
      <w:pPr>
        <w:rPr>
          <w:rFonts w:ascii="Times New Roman" w:hAnsi="Times New Roman" w:cs="Times New Roman"/>
          <w:b/>
          <w:sz w:val="24"/>
          <w:szCs w:val="24"/>
        </w:rPr>
      </w:pPr>
      <w:r>
        <w:rPr>
          <w:rFonts w:ascii="Times New Roman" w:hAnsi="Times New Roman" w:cs="Times New Roman"/>
          <w:b/>
          <w:sz w:val="24"/>
          <w:szCs w:val="24"/>
        </w:rPr>
        <w:t>C</w:t>
      </w:r>
      <w:r w:rsidRPr="00204831">
        <w:rPr>
          <w:rFonts w:ascii="Times New Roman" w:hAnsi="Times New Roman" w:cs="Times New Roman"/>
          <w:b/>
          <w:sz w:val="24"/>
          <w:szCs w:val="24"/>
        </w:rPr>
        <w:t>N</w:t>
      </w:r>
      <w:r>
        <w:rPr>
          <w:rFonts w:ascii="Times New Roman" w:hAnsi="Times New Roman" w:cs="Times New Roman"/>
          <w:b/>
          <w:sz w:val="24"/>
          <w:szCs w:val="24"/>
        </w:rPr>
        <w:t>P</w:t>
      </w:r>
      <w:r w:rsidRPr="00204831">
        <w:rPr>
          <w:rFonts w:ascii="Times New Roman" w:hAnsi="Times New Roman" w:cs="Times New Roman"/>
          <w:b/>
          <w:sz w:val="24"/>
          <w:szCs w:val="24"/>
        </w:rPr>
        <w:t xml:space="preserve"> </w:t>
      </w:r>
      <w:r>
        <w:rPr>
          <w:rFonts w:ascii="Times New Roman" w:hAnsi="Times New Roman" w:cs="Times New Roman"/>
          <w:b/>
          <w:sz w:val="24"/>
          <w:szCs w:val="24"/>
        </w:rPr>
        <w:t>–</w:t>
      </w:r>
      <w:r w:rsidRPr="00204831">
        <w:rPr>
          <w:rFonts w:ascii="Times New Roman" w:hAnsi="Times New Roman" w:cs="Times New Roman"/>
          <w:b/>
          <w:sz w:val="24"/>
          <w:szCs w:val="24"/>
        </w:rPr>
        <w:t xml:space="preserve"> </w:t>
      </w:r>
      <w:r w:rsidRPr="00AE159B">
        <w:rPr>
          <w:rFonts w:ascii="Times New Roman" w:hAnsi="Times New Roman" w:cs="Times New Roman"/>
          <w:sz w:val="24"/>
          <w:szCs w:val="24"/>
        </w:rPr>
        <w:t xml:space="preserve">Cuerpo Nacional de </w:t>
      </w:r>
      <w:r>
        <w:rPr>
          <w:rFonts w:ascii="Times New Roman" w:hAnsi="Times New Roman" w:cs="Times New Roman"/>
          <w:sz w:val="24"/>
          <w:szCs w:val="24"/>
        </w:rPr>
        <w:t xml:space="preserve">Policía </w:t>
      </w:r>
      <w:r w:rsidRPr="00204831">
        <w:rPr>
          <w:rFonts w:ascii="Times New Roman" w:hAnsi="Times New Roman" w:cs="Times New Roman"/>
          <w:b/>
          <w:sz w:val="24"/>
          <w:szCs w:val="24"/>
        </w:rPr>
        <w:t xml:space="preserve"> </w:t>
      </w:r>
    </w:p>
    <w:p w:rsidR="006C67E1" w:rsidRDefault="006C67E1" w:rsidP="00204831">
      <w:pPr>
        <w:rPr>
          <w:rFonts w:ascii="Times New Roman" w:hAnsi="Times New Roman" w:cs="Times New Roman"/>
          <w:b/>
          <w:sz w:val="24"/>
          <w:szCs w:val="24"/>
        </w:rPr>
      </w:pPr>
      <w:r>
        <w:rPr>
          <w:rFonts w:ascii="Times New Roman" w:hAnsi="Times New Roman" w:cs="Times New Roman"/>
          <w:b/>
          <w:sz w:val="24"/>
          <w:szCs w:val="24"/>
        </w:rPr>
        <w:t xml:space="preserve">DG – </w:t>
      </w:r>
      <w:r w:rsidRPr="006C67E1">
        <w:rPr>
          <w:rFonts w:ascii="Times New Roman" w:hAnsi="Times New Roman" w:cs="Times New Roman"/>
          <w:sz w:val="24"/>
          <w:szCs w:val="24"/>
        </w:rPr>
        <w:t>Dirección General</w:t>
      </w:r>
      <w:r>
        <w:rPr>
          <w:rFonts w:ascii="Times New Roman" w:hAnsi="Times New Roman" w:cs="Times New Roman"/>
          <w:b/>
          <w:sz w:val="24"/>
          <w:szCs w:val="24"/>
        </w:rPr>
        <w:t xml:space="preserve"> </w:t>
      </w:r>
    </w:p>
    <w:p w:rsidR="00901582" w:rsidRDefault="00901582" w:rsidP="00204831">
      <w:pPr>
        <w:rPr>
          <w:rFonts w:ascii="Times New Roman" w:hAnsi="Times New Roman" w:cs="Times New Roman"/>
          <w:b/>
          <w:sz w:val="24"/>
          <w:szCs w:val="24"/>
        </w:rPr>
      </w:pPr>
      <w:r>
        <w:rPr>
          <w:rFonts w:ascii="Times New Roman" w:hAnsi="Times New Roman" w:cs="Times New Roman"/>
          <w:b/>
          <w:sz w:val="24"/>
          <w:szCs w:val="24"/>
        </w:rPr>
        <w:t xml:space="preserve">DGVG – </w:t>
      </w:r>
      <w:r w:rsidRPr="00901582">
        <w:rPr>
          <w:rFonts w:ascii="Times New Roman" w:hAnsi="Times New Roman" w:cs="Times New Roman"/>
          <w:sz w:val="24"/>
          <w:szCs w:val="24"/>
        </w:rPr>
        <w:t>Delegación del Gobierno contra la Violencia de Género</w:t>
      </w:r>
      <w:r>
        <w:rPr>
          <w:rFonts w:ascii="Times New Roman" w:hAnsi="Times New Roman" w:cs="Times New Roman"/>
          <w:b/>
          <w:sz w:val="24"/>
          <w:szCs w:val="24"/>
        </w:rPr>
        <w:t xml:space="preserve">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FFCCSE</w:t>
      </w:r>
      <w:r w:rsidRPr="00204831">
        <w:rPr>
          <w:rFonts w:ascii="Times New Roman" w:hAnsi="Times New Roman" w:cs="Times New Roman"/>
          <w:sz w:val="24"/>
          <w:szCs w:val="24"/>
        </w:rPr>
        <w:t xml:space="preserve"> – Fuerzas y Cuerpos de Seguridad del Estado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FGE -</w:t>
      </w:r>
      <w:r w:rsidRPr="00204831">
        <w:rPr>
          <w:rFonts w:ascii="Times New Roman" w:hAnsi="Times New Roman" w:cs="Times New Roman"/>
          <w:sz w:val="24"/>
          <w:szCs w:val="24"/>
        </w:rPr>
        <w:t xml:space="preserve"> Fiscalía General del Estado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FRA -</w:t>
      </w:r>
      <w:r w:rsidRPr="00204831">
        <w:rPr>
          <w:rFonts w:ascii="Times New Roman" w:hAnsi="Times New Roman" w:cs="Times New Roman"/>
          <w:sz w:val="24"/>
          <w:szCs w:val="24"/>
        </w:rPr>
        <w:t xml:space="preserve"> Agencia de los Derechos Fundamentales de la Unión Europea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GC -</w:t>
      </w:r>
      <w:r w:rsidRPr="00204831">
        <w:rPr>
          <w:rFonts w:ascii="Times New Roman" w:hAnsi="Times New Roman" w:cs="Times New Roman"/>
          <w:sz w:val="24"/>
          <w:szCs w:val="24"/>
        </w:rPr>
        <w:t xml:space="preserve"> Guardia Civil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INTCF -</w:t>
      </w:r>
      <w:r w:rsidRPr="00204831">
        <w:rPr>
          <w:rFonts w:ascii="Times New Roman" w:hAnsi="Times New Roman" w:cs="Times New Roman"/>
          <w:sz w:val="24"/>
          <w:szCs w:val="24"/>
        </w:rPr>
        <w:t xml:space="preserve"> Instituto Nacional de Toxicología y Ciencias Forenses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IPSS -</w:t>
      </w:r>
      <w:r w:rsidRPr="00204831">
        <w:rPr>
          <w:rFonts w:ascii="Times New Roman" w:hAnsi="Times New Roman" w:cs="Times New Roman"/>
          <w:sz w:val="24"/>
          <w:szCs w:val="24"/>
        </w:rPr>
        <w:t xml:space="preserve"> Inspección de Personal y Servicios de Seguridad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ISES -</w:t>
      </w:r>
      <w:r w:rsidRPr="00204831">
        <w:rPr>
          <w:rFonts w:ascii="Times New Roman" w:hAnsi="Times New Roman" w:cs="Times New Roman"/>
          <w:sz w:val="24"/>
          <w:szCs w:val="24"/>
        </w:rPr>
        <w:t xml:space="preserve"> Instrucción de la Secretaría de Estado de Seguridad</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LECrim -</w:t>
      </w:r>
      <w:r w:rsidRPr="00204831">
        <w:rPr>
          <w:rFonts w:ascii="Times New Roman" w:hAnsi="Times New Roman" w:cs="Times New Roman"/>
          <w:sz w:val="24"/>
          <w:szCs w:val="24"/>
        </w:rPr>
        <w:t xml:space="preserve"> Ley de Enjuiciamiento Criminal</w:t>
      </w:r>
    </w:p>
    <w:p w:rsidR="0093444D" w:rsidRDefault="0093444D" w:rsidP="00204831">
      <w:pPr>
        <w:rPr>
          <w:rFonts w:ascii="Times New Roman" w:hAnsi="Times New Roman" w:cs="Times New Roman"/>
          <w:b/>
          <w:sz w:val="24"/>
          <w:szCs w:val="24"/>
        </w:rPr>
      </w:pPr>
      <w:r>
        <w:rPr>
          <w:rFonts w:ascii="Times New Roman" w:hAnsi="Times New Roman" w:cs="Times New Roman"/>
          <w:b/>
          <w:sz w:val="24"/>
          <w:szCs w:val="24"/>
        </w:rPr>
        <w:t xml:space="preserve">LO – </w:t>
      </w:r>
      <w:r w:rsidRPr="00761CF7">
        <w:rPr>
          <w:rFonts w:ascii="Times New Roman" w:hAnsi="Times New Roman" w:cs="Times New Roman"/>
          <w:sz w:val="24"/>
          <w:szCs w:val="24"/>
        </w:rPr>
        <w:t>Ley Orgánica</w:t>
      </w:r>
      <w:r>
        <w:rPr>
          <w:rFonts w:ascii="Times New Roman" w:hAnsi="Times New Roman" w:cs="Times New Roman"/>
          <w:b/>
          <w:sz w:val="24"/>
          <w:szCs w:val="24"/>
        </w:rPr>
        <w:t xml:space="preserve">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LOGILS -</w:t>
      </w:r>
      <w:r w:rsidRPr="00204831">
        <w:rPr>
          <w:rFonts w:ascii="Times New Roman" w:hAnsi="Times New Roman" w:cs="Times New Roman"/>
          <w:sz w:val="24"/>
          <w:szCs w:val="24"/>
        </w:rPr>
        <w:t xml:space="preserve"> Ley Orgánica 10/2022, de Garantía Integral de la Libertad Sexual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LOPIVI –</w:t>
      </w:r>
      <w:r w:rsidRPr="00204831">
        <w:rPr>
          <w:rFonts w:ascii="Times New Roman" w:hAnsi="Times New Roman" w:cs="Times New Roman"/>
          <w:sz w:val="24"/>
          <w:szCs w:val="24"/>
        </w:rPr>
        <w:t xml:space="preserve"> Ley Orgánica 8/2021, de 4 de junio, de protección integral a la infancia y la adolescencia frente a la violencia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LOPSC -</w:t>
      </w:r>
      <w:r w:rsidRPr="00204831">
        <w:rPr>
          <w:rFonts w:ascii="Times New Roman" w:hAnsi="Times New Roman" w:cs="Times New Roman"/>
          <w:sz w:val="24"/>
          <w:szCs w:val="24"/>
        </w:rPr>
        <w:t xml:space="preserve"> La Ley Orgánica de Protección de la Seguridad Ciudadana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MENA –</w:t>
      </w:r>
      <w:r w:rsidRPr="00204831">
        <w:rPr>
          <w:rFonts w:ascii="Times New Roman" w:hAnsi="Times New Roman" w:cs="Times New Roman"/>
          <w:sz w:val="24"/>
          <w:szCs w:val="24"/>
        </w:rPr>
        <w:t xml:space="preserve"> Menores Extranjeros No Acompañados </w:t>
      </w:r>
    </w:p>
    <w:p w:rsidR="00E66C2D" w:rsidRDefault="00E66C2D" w:rsidP="00204831">
      <w:pPr>
        <w:rPr>
          <w:rFonts w:ascii="Times New Roman" w:hAnsi="Times New Roman" w:cs="Times New Roman"/>
          <w:b/>
          <w:sz w:val="24"/>
          <w:szCs w:val="24"/>
        </w:rPr>
      </w:pPr>
      <w:r>
        <w:rPr>
          <w:rFonts w:ascii="Times New Roman" w:hAnsi="Times New Roman" w:cs="Times New Roman"/>
          <w:b/>
          <w:sz w:val="24"/>
          <w:szCs w:val="24"/>
        </w:rPr>
        <w:t xml:space="preserve">MF </w:t>
      </w:r>
      <w:r w:rsidRPr="00E66C2D">
        <w:rPr>
          <w:rFonts w:ascii="Times New Roman" w:hAnsi="Times New Roman" w:cs="Times New Roman"/>
          <w:sz w:val="24"/>
          <w:szCs w:val="24"/>
        </w:rPr>
        <w:t>– Ministerio Fiscal</w:t>
      </w:r>
      <w:r>
        <w:rPr>
          <w:rFonts w:ascii="Times New Roman" w:hAnsi="Times New Roman" w:cs="Times New Roman"/>
          <w:b/>
          <w:sz w:val="24"/>
          <w:szCs w:val="24"/>
        </w:rPr>
        <w:t xml:space="preserve">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MIR -</w:t>
      </w:r>
      <w:r w:rsidRPr="00204831">
        <w:rPr>
          <w:rFonts w:ascii="Times New Roman" w:hAnsi="Times New Roman" w:cs="Times New Roman"/>
          <w:sz w:val="24"/>
          <w:szCs w:val="24"/>
        </w:rPr>
        <w:t xml:space="preserve"> Ministerio del Interior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lastRenderedPageBreak/>
        <w:t>OAR -</w:t>
      </w:r>
      <w:r w:rsidRPr="00204831">
        <w:rPr>
          <w:rFonts w:ascii="Times New Roman" w:hAnsi="Times New Roman" w:cs="Times New Roman"/>
          <w:sz w:val="24"/>
          <w:szCs w:val="24"/>
        </w:rPr>
        <w:t xml:space="preserve"> Oficina de Asilo y Refugio</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OAVD -</w:t>
      </w:r>
      <w:r w:rsidRPr="00204831">
        <w:rPr>
          <w:rFonts w:ascii="Times New Roman" w:hAnsi="Times New Roman" w:cs="Times New Roman"/>
          <w:sz w:val="24"/>
          <w:szCs w:val="24"/>
        </w:rPr>
        <w:t xml:space="preserve"> Oficinas de Asistencia a las Víctimas del Delito</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OBERAXE -</w:t>
      </w:r>
      <w:r w:rsidRPr="00204831">
        <w:rPr>
          <w:rFonts w:ascii="Times New Roman" w:hAnsi="Times New Roman" w:cs="Times New Roman"/>
          <w:sz w:val="24"/>
          <w:szCs w:val="24"/>
        </w:rPr>
        <w:t xml:space="preserve"> Observatorio Español del Racismo y la Xenofobia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ODIHR-</w:t>
      </w:r>
      <w:r w:rsidRPr="00204831">
        <w:rPr>
          <w:rFonts w:ascii="Times New Roman" w:hAnsi="Times New Roman" w:cs="Times New Roman"/>
          <w:sz w:val="24"/>
          <w:szCs w:val="24"/>
        </w:rPr>
        <w:t xml:space="preserve"> Oficina de Instituciones Democráticas y Derechos Humanos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ONDOD -</w:t>
      </w:r>
      <w:r w:rsidRPr="00204831">
        <w:rPr>
          <w:rFonts w:ascii="Times New Roman" w:hAnsi="Times New Roman" w:cs="Times New Roman"/>
          <w:sz w:val="24"/>
          <w:szCs w:val="24"/>
        </w:rPr>
        <w:t xml:space="preserve"> Oficina Nacional de Lucha Contra los Delitos de Odio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ONGADH -</w:t>
      </w:r>
      <w:r w:rsidRPr="00204831">
        <w:rPr>
          <w:rFonts w:ascii="Times New Roman" w:hAnsi="Times New Roman" w:cs="Times New Roman"/>
          <w:sz w:val="24"/>
          <w:szCs w:val="24"/>
        </w:rPr>
        <w:t xml:space="preserve"> Oficina Nacional de Garantía de los Derechos Humanos </w:t>
      </w:r>
    </w:p>
    <w:p w:rsidR="00AD306E" w:rsidRDefault="00AD306E" w:rsidP="00204831">
      <w:pPr>
        <w:rPr>
          <w:rFonts w:ascii="Times New Roman" w:hAnsi="Times New Roman" w:cs="Times New Roman"/>
          <w:b/>
          <w:sz w:val="24"/>
          <w:szCs w:val="24"/>
        </w:rPr>
      </w:pPr>
      <w:r>
        <w:rPr>
          <w:rFonts w:ascii="Times New Roman" w:hAnsi="Times New Roman" w:cs="Times New Roman"/>
          <w:b/>
          <w:sz w:val="24"/>
          <w:szCs w:val="24"/>
        </w:rPr>
        <w:t xml:space="preserve">ONU – </w:t>
      </w:r>
      <w:r w:rsidRPr="00AD306E">
        <w:rPr>
          <w:rFonts w:ascii="Times New Roman" w:hAnsi="Times New Roman" w:cs="Times New Roman"/>
          <w:sz w:val="24"/>
          <w:szCs w:val="24"/>
        </w:rPr>
        <w:t>Organización de las Naciones Unidas</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OSCE -</w:t>
      </w:r>
      <w:r w:rsidRPr="00204831">
        <w:rPr>
          <w:rFonts w:ascii="Times New Roman" w:hAnsi="Times New Roman" w:cs="Times New Roman"/>
          <w:sz w:val="24"/>
          <w:szCs w:val="24"/>
        </w:rPr>
        <w:t xml:space="preserve"> Organización para la Seguridad y la Cooperación en Europa</w:t>
      </w:r>
    </w:p>
    <w:p w:rsidR="00580553" w:rsidRDefault="00580553" w:rsidP="00204831">
      <w:pPr>
        <w:rPr>
          <w:rFonts w:ascii="Times New Roman" w:hAnsi="Times New Roman" w:cs="Times New Roman"/>
          <w:b/>
          <w:sz w:val="24"/>
          <w:szCs w:val="24"/>
        </w:rPr>
      </w:pPr>
      <w:r>
        <w:rPr>
          <w:rFonts w:ascii="Times New Roman" w:hAnsi="Times New Roman" w:cs="Times New Roman"/>
          <w:b/>
          <w:sz w:val="24"/>
          <w:szCs w:val="24"/>
        </w:rPr>
        <w:t xml:space="preserve">PEVG – </w:t>
      </w:r>
      <w:r w:rsidRPr="00580553">
        <w:rPr>
          <w:rFonts w:ascii="Times New Roman" w:hAnsi="Times New Roman" w:cs="Times New Roman"/>
          <w:sz w:val="24"/>
          <w:szCs w:val="24"/>
        </w:rPr>
        <w:t>Pacto de Estado contra la Violencia de Género</w:t>
      </w:r>
      <w:r>
        <w:rPr>
          <w:rFonts w:ascii="Times New Roman" w:hAnsi="Times New Roman" w:cs="Times New Roman"/>
          <w:b/>
          <w:sz w:val="24"/>
          <w:szCs w:val="24"/>
        </w:rPr>
        <w:t xml:space="preserve">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PIDCP –</w:t>
      </w:r>
      <w:r w:rsidRPr="00204831">
        <w:rPr>
          <w:rFonts w:ascii="Times New Roman" w:hAnsi="Times New Roman" w:cs="Times New Roman"/>
          <w:sz w:val="24"/>
          <w:szCs w:val="24"/>
        </w:rPr>
        <w:t xml:space="preserve"> Pacto Internacional de Derechos Civiles y Políticos </w:t>
      </w:r>
    </w:p>
    <w:p w:rsidR="00437323" w:rsidRDefault="00437323" w:rsidP="00204831">
      <w:pPr>
        <w:rPr>
          <w:rFonts w:ascii="Times New Roman" w:hAnsi="Times New Roman" w:cs="Times New Roman"/>
          <w:sz w:val="24"/>
          <w:szCs w:val="24"/>
        </w:rPr>
      </w:pPr>
      <w:r>
        <w:rPr>
          <w:rFonts w:ascii="Times New Roman" w:hAnsi="Times New Roman" w:cs="Times New Roman"/>
          <w:b/>
          <w:sz w:val="24"/>
          <w:szCs w:val="24"/>
        </w:rPr>
        <w:t xml:space="preserve">SE </w:t>
      </w:r>
      <w:r w:rsidRPr="00437323">
        <w:rPr>
          <w:rFonts w:ascii="Times New Roman" w:hAnsi="Times New Roman" w:cs="Times New Roman"/>
          <w:sz w:val="24"/>
          <w:szCs w:val="24"/>
        </w:rPr>
        <w:t>– Secretaría de Estado</w:t>
      </w:r>
    </w:p>
    <w:p w:rsidR="00B57F27" w:rsidRPr="00B57F27" w:rsidRDefault="00B57F27" w:rsidP="00204831">
      <w:pPr>
        <w:rPr>
          <w:rFonts w:ascii="Times New Roman" w:hAnsi="Times New Roman" w:cs="Times New Roman"/>
          <w:sz w:val="24"/>
          <w:szCs w:val="24"/>
        </w:rPr>
      </w:pPr>
      <w:r w:rsidRPr="00B57F27">
        <w:rPr>
          <w:rFonts w:ascii="Times New Roman" w:hAnsi="Times New Roman" w:cs="Times New Roman"/>
          <w:b/>
          <w:sz w:val="24"/>
          <w:szCs w:val="24"/>
        </w:rPr>
        <w:t xml:space="preserve">SEM – </w:t>
      </w:r>
      <w:r w:rsidRPr="00B57F27">
        <w:rPr>
          <w:rFonts w:ascii="Times New Roman" w:hAnsi="Times New Roman" w:cs="Times New Roman"/>
          <w:sz w:val="24"/>
          <w:szCs w:val="24"/>
        </w:rPr>
        <w:t xml:space="preserve">Secretaría de Estado de Migraciones </w:t>
      </w:r>
    </w:p>
    <w:p w:rsidR="00C31B40" w:rsidRDefault="00C31B40" w:rsidP="00C31B40">
      <w:pPr>
        <w:rPr>
          <w:rFonts w:ascii="Times New Roman" w:hAnsi="Times New Roman" w:cs="Times New Roman"/>
          <w:b/>
          <w:sz w:val="24"/>
          <w:szCs w:val="24"/>
        </w:rPr>
      </w:pPr>
      <w:r>
        <w:rPr>
          <w:rFonts w:ascii="Times New Roman" w:hAnsi="Times New Roman" w:cs="Times New Roman"/>
          <w:b/>
          <w:sz w:val="24"/>
          <w:szCs w:val="24"/>
        </w:rPr>
        <w:t xml:space="preserve">SEMD </w:t>
      </w:r>
      <w:r w:rsidRPr="00C31B40">
        <w:rPr>
          <w:rFonts w:ascii="Times New Roman" w:hAnsi="Times New Roman" w:cs="Times New Roman"/>
          <w:sz w:val="24"/>
          <w:szCs w:val="24"/>
        </w:rPr>
        <w:t>– Secretaría de Estado de Memoria Democrática</w:t>
      </w:r>
      <w:r>
        <w:rPr>
          <w:rFonts w:ascii="Times New Roman" w:hAnsi="Times New Roman" w:cs="Times New Roman"/>
          <w:b/>
          <w:sz w:val="24"/>
          <w:szCs w:val="24"/>
        </w:rPr>
        <w:t xml:space="preserve"> </w:t>
      </w:r>
    </w:p>
    <w:p w:rsidR="00C31B40" w:rsidRDefault="00C31B40" w:rsidP="00204831">
      <w:pPr>
        <w:rPr>
          <w:rFonts w:ascii="Times New Roman" w:hAnsi="Times New Roman" w:cs="Times New Roman"/>
          <w:b/>
          <w:sz w:val="24"/>
          <w:szCs w:val="24"/>
        </w:rPr>
      </w:pPr>
      <w:r>
        <w:rPr>
          <w:rFonts w:ascii="Times New Roman" w:hAnsi="Times New Roman" w:cs="Times New Roman"/>
          <w:b/>
          <w:sz w:val="24"/>
          <w:szCs w:val="24"/>
        </w:rPr>
        <w:t xml:space="preserve">SES </w:t>
      </w:r>
      <w:r w:rsidRPr="00C31B40">
        <w:rPr>
          <w:rFonts w:ascii="Times New Roman" w:hAnsi="Times New Roman" w:cs="Times New Roman"/>
          <w:sz w:val="24"/>
          <w:szCs w:val="24"/>
        </w:rPr>
        <w:t>– Secretaría de Estado de Seguridad</w:t>
      </w:r>
      <w:r>
        <w:rPr>
          <w:rFonts w:ascii="Times New Roman" w:hAnsi="Times New Roman" w:cs="Times New Roman"/>
          <w:b/>
          <w:sz w:val="24"/>
          <w:szCs w:val="24"/>
        </w:rPr>
        <w:t xml:space="preserve"> </w:t>
      </w:r>
    </w:p>
    <w:p w:rsidR="00083C05" w:rsidRDefault="00083C05" w:rsidP="00204831">
      <w:pPr>
        <w:rPr>
          <w:rFonts w:ascii="Times New Roman" w:hAnsi="Times New Roman" w:cs="Times New Roman"/>
          <w:b/>
          <w:sz w:val="24"/>
          <w:szCs w:val="24"/>
        </w:rPr>
      </w:pPr>
      <w:r>
        <w:rPr>
          <w:rFonts w:ascii="Times New Roman" w:hAnsi="Times New Roman" w:cs="Times New Roman"/>
          <w:b/>
          <w:sz w:val="24"/>
          <w:szCs w:val="24"/>
        </w:rPr>
        <w:t xml:space="preserve">SG – </w:t>
      </w:r>
      <w:r w:rsidRPr="00083C05">
        <w:rPr>
          <w:rFonts w:ascii="Times New Roman" w:hAnsi="Times New Roman" w:cs="Times New Roman"/>
          <w:sz w:val="24"/>
          <w:szCs w:val="24"/>
        </w:rPr>
        <w:t>Subdirección General</w:t>
      </w:r>
      <w:r>
        <w:rPr>
          <w:rFonts w:ascii="Times New Roman" w:hAnsi="Times New Roman" w:cs="Times New Roman"/>
          <w:b/>
          <w:sz w:val="24"/>
          <w:szCs w:val="24"/>
        </w:rPr>
        <w:t xml:space="preserve">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SGPI -</w:t>
      </w:r>
      <w:r w:rsidRPr="00204831">
        <w:rPr>
          <w:rFonts w:ascii="Times New Roman" w:hAnsi="Times New Roman" w:cs="Times New Roman"/>
          <w:sz w:val="24"/>
          <w:szCs w:val="24"/>
        </w:rPr>
        <w:t xml:space="preserve"> Subdirección General de Protección Internacional</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SSTC -</w:t>
      </w:r>
      <w:r w:rsidRPr="00204831">
        <w:rPr>
          <w:rFonts w:ascii="Times New Roman" w:hAnsi="Times New Roman" w:cs="Times New Roman"/>
          <w:sz w:val="24"/>
          <w:szCs w:val="24"/>
        </w:rPr>
        <w:t xml:space="preserve"> Sentencias del Tribunal Constitucional</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TC –</w:t>
      </w:r>
      <w:r w:rsidRPr="00204831">
        <w:rPr>
          <w:rFonts w:ascii="Times New Roman" w:hAnsi="Times New Roman" w:cs="Times New Roman"/>
          <w:sz w:val="24"/>
          <w:szCs w:val="24"/>
        </w:rPr>
        <w:t xml:space="preserve"> Tribunal Constitucional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TEDH –</w:t>
      </w:r>
      <w:r w:rsidRPr="00204831">
        <w:rPr>
          <w:rFonts w:ascii="Times New Roman" w:hAnsi="Times New Roman" w:cs="Times New Roman"/>
          <w:sz w:val="24"/>
          <w:szCs w:val="24"/>
        </w:rPr>
        <w:t xml:space="preserve"> Tribunal Europeo de Derechos Humanos </w:t>
      </w:r>
    </w:p>
    <w:p w:rsidR="00204831" w:rsidRPr="00204831" w:rsidRDefault="00204831" w:rsidP="00204831">
      <w:pPr>
        <w:rPr>
          <w:rFonts w:ascii="Times New Roman" w:hAnsi="Times New Roman" w:cs="Times New Roman"/>
          <w:sz w:val="24"/>
          <w:szCs w:val="24"/>
        </w:rPr>
      </w:pPr>
      <w:r w:rsidRPr="00204831">
        <w:rPr>
          <w:rFonts w:ascii="Times New Roman" w:hAnsi="Times New Roman" w:cs="Times New Roman"/>
          <w:b/>
          <w:sz w:val="24"/>
          <w:szCs w:val="24"/>
        </w:rPr>
        <w:t>TS -</w:t>
      </w:r>
      <w:r w:rsidRPr="00204831">
        <w:rPr>
          <w:rFonts w:ascii="Times New Roman" w:hAnsi="Times New Roman" w:cs="Times New Roman"/>
          <w:sz w:val="24"/>
          <w:szCs w:val="24"/>
        </w:rPr>
        <w:t xml:space="preserve"> Tribunal Supremo </w:t>
      </w:r>
    </w:p>
    <w:p w:rsidR="00204831" w:rsidRPr="00204831" w:rsidRDefault="00204831" w:rsidP="00204831">
      <w:pPr>
        <w:rPr>
          <w:rFonts w:ascii="Times New Roman" w:hAnsi="Times New Roman" w:cs="Times New Roman"/>
          <w:sz w:val="28"/>
          <w:szCs w:val="28"/>
        </w:rPr>
      </w:pPr>
      <w:r w:rsidRPr="00204831">
        <w:rPr>
          <w:rFonts w:ascii="Times New Roman" w:hAnsi="Times New Roman" w:cs="Times New Roman"/>
          <w:b/>
          <w:sz w:val="24"/>
          <w:szCs w:val="24"/>
        </w:rPr>
        <w:t>TSH –</w:t>
      </w:r>
      <w:r w:rsidRPr="00204831">
        <w:rPr>
          <w:rFonts w:ascii="Times New Roman" w:hAnsi="Times New Roman" w:cs="Times New Roman"/>
          <w:sz w:val="24"/>
          <w:szCs w:val="24"/>
        </w:rPr>
        <w:t xml:space="preserve"> Trata de Seres Humanos</w:t>
      </w:r>
      <w:r w:rsidRPr="00204831">
        <w:rPr>
          <w:rFonts w:ascii="Times New Roman" w:hAnsi="Times New Roman" w:cs="Times New Roman"/>
          <w:sz w:val="28"/>
          <w:szCs w:val="28"/>
        </w:rPr>
        <w:t xml:space="preserve"> </w:t>
      </w:r>
    </w:p>
    <w:p w:rsidR="00946C1B" w:rsidRPr="00C4405E" w:rsidRDefault="00946C1B" w:rsidP="00946C1B">
      <w:pPr>
        <w:rPr>
          <w:color w:val="5B9BD5" w:themeColor="accent1"/>
          <w:sz w:val="24"/>
          <w:szCs w:val="24"/>
        </w:rPr>
      </w:pPr>
    </w:p>
    <w:p w:rsidR="00FC2480" w:rsidRPr="00C4405E" w:rsidRDefault="00FC2480" w:rsidP="007A14EC">
      <w:pPr>
        <w:jc w:val="center"/>
        <w:rPr>
          <w:rFonts w:ascii="Times New Roman" w:hAnsi="Times New Roman" w:cs="Times New Roman"/>
          <w:b/>
          <w:sz w:val="24"/>
          <w:szCs w:val="24"/>
        </w:rPr>
      </w:pPr>
    </w:p>
    <w:p w:rsidR="00FC2480" w:rsidRPr="00C4405E" w:rsidRDefault="00FC2480" w:rsidP="007A14EC">
      <w:pPr>
        <w:jc w:val="center"/>
        <w:rPr>
          <w:rFonts w:ascii="Times New Roman" w:hAnsi="Times New Roman" w:cs="Times New Roman"/>
          <w:b/>
          <w:sz w:val="24"/>
          <w:szCs w:val="24"/>
        </w:rPr>
      </w:pPr>
    </w:p>
    <w:p w:rsidR="00FC2480" w:rsidRDefault="00FC2480" w:rsidP="007A14EC">
      <w:pPr>
        <w:jc w:val="center"/>
        <w:rPr>
          <w:rFonts w:ascii="Times New Roman" w:hAnsi="Times New Roman" w:cs="Times New Roman"/>
          <w:b/>
          <w:sz w:val="24"/>
          <w:szCs w:val="24"/>
        </w:rPr>
      </w:pPr>
    </w:p>
    <w:p w:rsidR="009D6E51" w:rsidRDefault="009D6E51" w:rsidP="007A14EC">
      <w:pPr>
        <w:jc w:val="center"/>
        <w:rPr>
          <w:rFonts w:ascii="Times New Roman" w:hAnsi="Times New Roman" w:cs="Times New Roman"/>
          <w:b/>
          <w:sz w:val="24"/>
          <w:szCs w:val="24"/>
        </w:rPr>
      </w:pPr>
    </w:p>
    <w:p w:rsidR="009D6E51" w:rsidRPr="00C4405E" w:rsidRDefault="009D6E51" w:rsidP="007A14EC">
      <w:pPr>
        <w:jc w:val="center"/>
        <w:rPr>
          <w:rFonts w:ascii="Times New Roman" w:hAnsi="Times New Roman" w:cs="Times New Roman"/>
          <w:b/>
          <w:sz w:val="24"/>
          <w:szCs w:val="24"/>
        </w:rPr>
      </w:pPr>
    </w:p>
    <w:p w:rsidR="00FC2480" w:rsidRPr="00C4405E" w:rsidRDefault="00FC2480" w:rsidP="007A14EC">
      <w:pPr>
        <w:jc w:val="center"/>
        <w:rPr>
          <w:rFonts w:ascii="Times New Roman" w:hAnsi="Times New Roman" w:cs="Times New Roman"/>
          <w:b/>
          <w:sz w:val="24"/>
          <w:szCs w:val="24"/>
        </w:rPr>
      </w:pPr>
    </w:p>
    <w:p w:rsidR="00204831" w:rsidRDefault="00204831">
      <w:pPr>
        <w:rPr>
          <w:rFonts w:ascii="Times New Roman" w:hAnsi="Times New Roman" w:cs="Times New Roman"/>
          <w:b/>
          <w:sz w:val="24"/>
          <w:szCs w:val="24"/>
        </w:rPr>
      </w:pPr>
      <w:r>
        <w:rPr>
          <w:rFonts w:ascii="Times New Roman" w:hAnsi="Times New Roman" w:cs="Times New Roman"/>
          <w:b/>
          <w:sz w:val="24"/>
          <w:szCs w:val="24"/>
        </w:rPr>
        <w:br w:type="page"/>
      </w:r>
    </w:p>
    <w:p w:rsidR="003922D1" w:rsidRPr="00E22185" w:rsidRDefault="00E22185" w:rsidP="008B4EC3">
      <w:pPr>
        <w:spacing w:line="480" w:lineRule="auto"/>
        <w:jc w:val="center"/>
        <w:rPr>
          <w:rFonts w:ascii="Times New Roman" w:hAnsi="Times New Roman" w:cs="Times New Roman"/>
          <w:b/>
          <w:sz w:val="24"/>
          <w:szCs w:val="24"/>
        </w:rPr>
      </w:pPr>
      <w:r w:rsidRPr="00E22185">
        <w:rPr>
          <w:rFonts w:ascii="Times New Roman" w:hAnsi="Times New Roman" w:cs="Times New Roman"/>
          <w:b/>
          <w:sz w:val="24"/>
          <w:szCs w:val="24"/>
        </w:rPr>
        <w:lastRenderedPageBreak/>
        <w:t>ENLACES WEB DE INTERÉS CITADOS EN EL INFORME</w:t>
      </w:r>
    </w:p>
    <w:p w:rsidR="00FC7CD0" w:rsidRPr="00FC7CD0" w:rsidRDefault="00FC7CD0" w:rsidP="00FC7CD0">
      <w:pPr>
        <w:pStyle w:val="Prrafodelista"/>
        <w:spacing w:line="276" w:lineRule="auto"/>
        <w:ind w:hanging="720"/>
        <w:rPr>
          <w:rFonts w:ascii="Times New Roman" w:hAnsi="Times New Roman" w:cs="Times New Roman"/>
          <w:sz w:val="24"/>
          <w:szCs w:val="24"/>
        </w:rPr>
      </w:pPr>
      <w:bookmarkStart w:id="0" w:name="_Toc108696637"/>
      <w:r>
        <w:rPr>
          <w:rFonts w:ascii="Times New Roman" w:hAnsi="Times New Roman" w:cs="Times New Roman"/>
          <w:sz w:val="24"/>
          <w:szCs w:val="24"/>
        </w:rPr>
        <w:t xml:space="preserve">II. </w:t>
      </w:r>
      <w:r w:rsidRPr="00FC7CD0">
        <w:rPr>
          <w:rFonts w:ascii="Times New Roman" w:hAnsi="Times New Roman" w:cs="Times New Roman"/>
          <w:sz w:val="24"/>
          <w:szCs w:val="24"/>
        </w:rPr>
        <w:t>Información específica sobre la aplicación de los artículos 1 a 27 del Pacto</w:t>
      </w:r>
      <w:bookmarkEnd w:id="0"/>
      <w:r w:rsidRPr="00FC7CD0">
        <w:rPr>
          <w:rFonts w:ascii="Times New Roman" w:hAnsi="Times New Roman" w:cs="Times New Roman"/>
          <w:sz w:val="24"/>
          <w:szCs w:val="24"/>
        </w:rPr>
        <w:t xml:space="preserve"> </w:t>
      </w:r>
    </w:p>
    <w:p w:rsidR="00E22185" w:rsidRPr="00FC7CD0" w:rsidRDefault="00FC7CD0" w:rsidP="00FC7CD0">
      <w:pPr>
        <w:pStyle w:val="Prrafodelista"/>
        <w:spacing w:line="276" w:lineRule="auto"/>
        <w:ind w:left="284"/>
        <w:rPr>
          <w:rFonts w:ascii="Times New Roman" w:hAnsi="Times New Roman" w:cs="Times New Roman"/>
          <w:sz w:val="24"/>
          <w:szCs w:val="24"/>
        </w:rPr>
      </w:pPr>
      <w:bookmarkStart w:id="1" w:name="_Toc108696639"/>
      <w:r w:rsidRPr="00FC7CD0">
        <w:rPr>
          <w:rFonts w:ascii="Times New Roman" w:hAnsi="Times New Roman" w:cs="Times New Roman"/>
          <w:sz w:val="24"/>
          <w:szCs w:val="24"/>
        </w:rPr>
        <w:t>B. No discriminación (arts. 2, 20 y 26)</w:t>
      </w:r>
      <w:bookmarkEnd w:id="1"/>
    </w:p>
    <w:p w:rsidR="00204831" w:rsidRPr="00E930D2" w:rsidRDefault="00FC7CD0" w:rsidP="00274817">
      <w:pPr>
        <w:pStyle w:val="Textonotapie"/>
        <w:numPr>
          <w:ilvl w:val="0"/>
          <w:numId w:val="33"/>
        </w:numPr>
        <w:spacing w:after="240"/>
        <w:rPr>
          <w:rFonts w:ascii="Times New Roman" w:hAnsi="Times New Roman" w:cs="Times New Roman"/>
        </w:rPr>
      </w:pPr>
      <w:r>
        <w:rPr>
          <w:rFonts w:ascii="Times New Roman" w:hAnsi="Times New Roman" w:cs="Times New Roman"/>
        </w:rPr>
        <w:t>Estudio: “</w:t>
      </w:r>
      <w:r w:rsidRPr="00CC2BE2">
        <w:rPr>
          <w:rFonts w:ascii="Times New Roman" w:hAnsi="Times New Roman" w:cs="Times New Roman"/>
        </w:rPr>
        <w:t>Aproximación a la población afrodescendiente y africana en España</w:t>
      </w:r>
      <w:r>
        <w:rPr>
          <w:rFonts w:ascii="Times New Roman" w:hAnsi="Times New Roman" w:cs="Times New Roman"/>
        </w:rPr>
        <w:t>: identidad y acceso a derechos”</w:t>
      </w:r>
      <w:r>
        <w:t xml:space="preserve">: </w:t>
      </w:r>
      <w:hyperlink r:id="rId7" w:history="1">
        <w:r w:rsidR="00204831" w:rsidRPr="00E930D2">
          <w:rPr>
            <w:rStyle w:val="Hipervnculo"/>
            <w:rFonts w:ascii="Times New Roman" w:hAnsi="Times New Roman" w:cs="Times New Roman"/>
          </w:rPr>
          <w:t>https://www.igualdad.gob.es/ministerio/dgigualdadtrato/Documents/Executive_summary.pdf</w:t>
        </w:r>
      </w:hyperlink>
    </w:p>
    <w:p w:rsidR="00204831" w:rsidRDefault="00FC7CD0" w:rsidP="00204831">
      <w:pPr>
        <w:pStyle w:val="Textonotaalfinal"/>
        <w:numPr>
          <w:ilvl w:val="0"/>
          <w:numId w:val="30"/>
        </w:numPr>
        <w:spacing w:after="240"/>
        <w:rPr>
          <w:rFonts w:ascii="Times New Roman" w:hAnsi="Times New Roman" w:cs="Times New Roman"/>
        </w:rPr>
      </w:pPr>
      <w:r w:rsidRPr="00CC2BE2">
        <w:rPr>
          <w:rFonts w:ascii="Times New Roman" w:hAnsi="Times New Roman" w:cs="Times New Roman"/>
        </w:rPr>
        <w:t>“Estudio sobre la discriminación racial en el ámbito de la vivienda y los asentamientos informales”</w:t>
      </w:r>
      <w:r>
        <w:rPr>
          <w:rFonts w:ascii="Times New Roman" w:hAnsi="Times New Roman" w:cs="Times New Roman"/>
        </w:rPr>
        <w:t xml:space="preserve">: </w:t>
      </w:r>
      <w:hyperlink r:id="rId8" w:history="1">
        <w:r w:rsidR="00204831" w:rsidRPr="00E930D2">
          <w:rPr>
            <w:rStyle w:val="Hipervnculo"/>
            <w:rFonts w:ascii="Times New Roman" w:hAnsi="Times New Roman" w:cs="Times New Roman"/>
          </w:rPr>
          <w:t>https://www.igualdad.gob.es/ministerio/dgigualdadtrato/Documents/Executive_summay_2022.pdf</w:t>
        </w:r>
      </w:hyperlink>
      <w:r w:rsidR="00204831" w:rsidRPr="00E930D2">
        <w:rPr>
          <w:rFonts w:ascii="Times New Roman" w:hAnsi="Times New Roman" w:cs="Times New Roman"/>
        </w:rPr>
        <w:t xml:space="preserve"> </w:t>
      </w:r>
    </w:p>
    <w:p w:rsidR="00364C86" w:rsidRPr="00364C86" w:rsidRDefault="00364C86" w:rsidP="00364C86">
      <w:pPr>
        <w:pStyle w:val="Textonotaalfinal"/>
        <w:numPr>
          <w:ilvl w:val="0"/>
          <w:numId w:val="30"/>
        </w:numPr>
        <w:spacing w:after="240"/>
        <w:rPr>
          <w:rFonts w:ascii="Times New Roman" w:hAnsi="Times New Roman" w:cs="Times New Roman"/>
        </w:rPr>
      </w:pPr>
      <w:r w:rsidRPr="00364C86">
        <w:rPr>
          <w:rFonts w:ascii="Times New Roman" w:hAnsi="Times New Roman" w:cs="Times New Roman"/>
        </w:rPr>
        <w:t>Propuesta consensuada de introducir una pregunta sobre origen étnico en las</w:t>
      </w:r>
      <w:r>
        <w:rPr>
          <w:rFonts w:ascii="Times New Roman" w:hAnsi="Times New Roman" w:cs="Times New Roman"/>
        </w:rPr>
        <w:t xml:space="preserve"> </w:t>
      </w:r>
      <w:r w:rsidRPr="00364C86">
        <w:rPr>
          <w:rFonts w:ascii="Times New Roman" w:hAnsi="Times New Roman" w:cs="Times New Roman"/>
        </w:rPr>
        <w:t>estadísticas, estudios y encuestas en España</w:t>
      </w:r>
      <w:r>
        <w:rPr>
          <w:rFonts w:ascii="Times New Roman" w:hAnsi="Times New Roman" w:cs="Times New Roman"/>
        </w:rPr>
        <w:t>, d</w:t>
      </w:r>
      <w:r w:rsidRPr="00364C86">
        <w:rPr>
          <w:rFonts w:ascii="Times New Roman" w:hAnsi="Times New Roman" w:cs="Times New Roman"/>
        </w:rPr>
        <w:t xml:space="preserve">isponible en: </w:t>
      </w:r>
      <w:hyperlink r:id="rId9" w:history="1">
        <w:r w:rsidRPr="006B0E94">
          <w:rPr>
            <w:rStyle w:val="Hipervnculo"/>
            <w:rFonts w:ascii="Times New Roman" w:hAnsi="Times New Roman" w:cs="Times New Roman"/>
          </w:rPr>
          <w:t>https://www.igualdad.gob.es/wp-content/uploads/Propuesta_de_consenso_de_introducir_una_pregunta_sobre_origen_etnico.pdf</w:t>
        </w:r>
      </w:hyperlink>
      <w:r>
        <w:rPr>
          <w:rFonts w:ascii="Times New Roman" w:hAnsi="Times New Roman" w:cs="Times New Roman"/>
        </w:rPr>
        <w:t xml:space="preserve"> </w:t>
      </w:r>
    </w:p>
    <w:p w:rsidR="00204831" w:rsidRDefault="00B064E6" w:rsidP="00204831">
      <w:pPr>
        <w:pStyle w:val="Textonotaalfinal"/>
        <w:numPr>
          <w:ilvl w:val="0"/>
          <w:numId w:val="30"/>
        </w:numPr>
        <w:spacing w:after="240"/>
        <w:rPr>
          <w:rFonts w:ascii="Times New Roman" w:hAnsi="Times New Roman" w:cs="Times New Roman"/>
        </w:rPr>
      </w:pPr>
      <w:r>
        <w:rPr>
          <w:rFonts w:ascii="Times New Roman" w:hAnsi="Times New Roman" w:cs="Times New Roman"/>
        </w:rPr>
        <w:t xml:space="preserve">Memorias de actividades, </w:t>
      </w:r>
      <w:r w:rsidRPr="00CC2BE2">
        <w:rPr>
          <w:rFonts w:ascii="Times New Roman" w:hAnsi="Times New Roman" w:cs="Times New Roman"/>
        </w:rPr>
        <w:t>Servicio de Asistencia y Orientación a Víctimas del CEDRE</w:t>
      </w:r>
      <w:r>
        <w:t xml:space="preserve">: </w:t>
      </w:r>
      <w:hyperlink r:id="rId10" w:history="1">
        <w:r w:rsidR="00204831" w:rsidRPr="00E930D2">
          <w:rPr>
            <w:rStyle w:val="Hipervnculo"/>
            <w:rFonts w:ascii="Times New Roman" w:hAnsi="Times New Roman" w:cs="Times New Roman"/>
          </w:rPr>
          <w:t>https://igualdadynodiscriminacion.igualdad.gob.es/novedades/novedades/2022/pdf/22_07_Memoria_anual_de_resultados_2021.pdf</w:t>
        </w:r>
      </w:hyperlink>
      <w:r w:rsidR="00204831" w:rsidRPr="00E930D2">
        <w:rPr>
          <w:rFonts w:ascii="Times New Roman" w:hAnsi="Times New Roman" w:cs="Times New Roman"/>
        </w:rPr>
        <w:t xml:space="preserve"> </w:t>
      </w:r>
    </w:p>
    <w:p w:rsidR="00B064E6" w:rsidRPr="00E930D2" w:rsidRDefault="00B064E6" w:rsidP="00204831">
      <w:pPr>
        <w:pStyle w:val="Textonotaalfinal"/>
        <w:numPr>
          <w:ilvl w:val="0"/>
          <w:numId w:val="30"/>
        </w:numPr>
        <w:spacing w:after="240"/>
        <w:rPr>
          <w:rFonts w:ascii="Times New Roman" w:hAnsi="Times New Roman" w:cs="Times New Roman"/>
        </w:rPr>
      </w:pPr>
      <w:r>
        <w:rPr>
          <w:rFonts w:ascii="Times New Roman" w:eastAsia="Times New Roman" w:hAnsi="Times New Roman" w:cs="Times New Roman"/>
          <w:lang w:eastAsia="es-ES"/>
        </w:rPr>
        <w:t>M</w:t>
      </w:r>
      <w:r w:rsidRPr="002E74AA">
        <w:rPr>
          <w:rFonts w:ascii="Times New Roman" w:eastAsia="Times New Roman" w:hAnsi="Times New Roman" w:cs="Times New Roman"/>
          <w:lang w:eastAsia="es-ES"/>
        </w:rPr>
        <w:t>onitorización diaria dis</w:t>
      </w:r>
      <w:r>
        <w:rPr>
          <w:rFonts w:ascii="Times New Roman" w:eastAsia="Times New Roman" w:hAnsi="Times New Roman" w:cs="Times New Roman"/>
          <w:lang w:eastAsia="es-ES"/>
        </w:rPr>
        <w:t>curso de odio en redes sociales, a</w:t>
      </w:r>
      <w:r w:rsidRPr="00B064E6">
        <w:rPr>
          <w:rFonts w:ascii="Times New Roman" w:eastAsia="Times New Roman" w:hAnsi="Times New Roman" w:cs="Times New Roman"/>
          <w:lang w:eastAsia="es-ES"/>
        </w:rPr>
        <w:t xml:space="preserve">ccesible en la web  del OBERAXE: </w:t>
      </w:r>
      <w:hyperlink r:id="rId11" w:history="1">
        <w:r w:rsidRPr="00B064E6">
          <w:rPr>
            <w:rStyle w:val="Hipervnculo"/>
            <w:rFonts w:ascii="Times New Roman" w:hAnsi="Times New Roman" w:cs="Times New Roman"/>
          </w:rPr>
          <w:t>https://www.inclusion.gob.es/oberaxe/ficheros/ejes/discursoodio/Boletin_mayo-junio2022.pdf</w:t>
        </w:r>
      </w:hyperlink>
      <w:r>
        <w:t xml:space="preserve"> </w:t>
      </w:r>
    </w:p>
    <w:p w:rsidR="00204831" w:rsidRPr="00E930D2" w:rsidRDefault="00B064E6" w:rsidP="00204831">
      <w:pPr>
        <w:pStyle w:val="Textonotaalfinal"/>
        <w:numPr>
          <w:ilvl w:val="0"/>
          <w:numId w:val="30"/>
        </w:numPr>
        <w:spacing w:after="240"/>
        <w:rPr>
          <w:rFonts w:ascii="Times New Roman" w:hAnsi="Times New Roman" w:cs="Times New Roman"/>
        </w:rPr>
      </w:pPr>
      <w:r>
        <w:rPr>
          <w:rFonts w:ascii="Times New Roman" w:eastAsia="Times New Roman" w:hAnsi="Times New Roman" w:cs="Times New Roman"/>
          <w:lang w:eastAsia="es-ES"/>
        </w:rPr>
        <w:t xml:space="preserve">ALRECO - </w:t>
      </w:r>
      <w:r w:rsidRPr="002E74AA">
        <w:rPr>
          <w:rFonts w:ascii="Times New Roman" w:hAnsi="Times New Roman" w:cs="Times New Roman"/>
        </w:rPr>
        <w:t xml:space="preserve">mecanismos de alerta y respuesta coordinada </w:t>
      </w:r>
      <w:r w:rsidRPr="002E74AA">
        <w:rPr>
          <w:rFonts w:ascii="Times New Roman" w:eastAsia="Times New Roman" w:hAnsi="Times New Roman" w:cs="Times New Roman"/>
          <w:lang w:eastAsia="es-ES"/>
        </w:rPr>
        <w:t>pa</w:t>
      </w:r>
      <w:r>
        <w:rPr>
          <w:rFonts w:ascii="Times New Roman" w:eastAsia="Times New Roman" w:hAnsi="Times New Roman" w:cs="Times New Roman"/>
          <w:lang w:eastAsia="es-ES"/>
        </w:rPr>
        <w:t xml:space="preserve">ra detectar el discurso de odio: </w:t>
      </w:r>
      <w:hyperlink r:id="rId12" w:history="1">
        <w:r w:rsidR="00204831" w:rsidRPr="00E930D2">
          <w:rPr>
            <w:rStyle w:val="Hipervnculo"/>
            <w:rFonts w:ascii="Times New Roman" w:eastAsia="Times New Roman" w:hAnsi="Times New Roman" w:cs="Times New Roman"/>
            <w:lang w:eastAsia="es-ES"/>
          </w:rPr>
          <w:t>https://www.inclusion.gob.es/oberaxe/es/ejes/delitosodio/alreco/index.htm</w:t>
        </w:r>
      </w:hyperlink>
      <w:r w:rsidR="00204831" w:rsidRPr="00E930D2">
        <w:rPr>
          <w:rFonts w:ascii="Times New Roman" w:eastAsia="Times New Roman" w:hAnsi="Times New Roman" w:cs="Times New Roman"/>
          <w:color w:val="FF0000"/>
          <w:lang w:eastAsia="es-ES"/>
        </w:rPr>
        <w:t xml:space="preserve">  </w:t>
      </w:r>
    </w:p>
    <w:p w:rsidR="00204831" w:rsidRPr="00892970" w:rsidRDefault="00570BA6" w:rsidP="00204831">
      <w:pPr>
        <w:pStyle w:val="Textonotaalfinal"/>
        <w:numPr>
          <w:ilvl w:val="0"/>
          <w:numId w:val="30"/>
        </w:numPr>
        <w:spacing w:after="240"/>
        <w:rPr>
          <w:rFonts w:ascii="Times New Roman" w:hAnsi="Times New Roman" w:cs="Times New Roman"/>
        </w:rPr>
      </w:pPr>
      <w:hyperlink r:id="rId13" w:history="1">
        <w:r w:rsidR="00892970" w:rsidRPr="00555D0E">
          <w:rPr>
            <w:rStyle w:val="Hipervnculo"/>
            <w:rFonts w:ascii="Times New Roman" w:hAnsi="Times New Roman" w:cs="Times New Roman"/>
            <w:lang w:eastAsia="es-ES"/>
          </w:rPr>
          <w:t xml:space="preserve"> Discusrso de odio, racismo y xenofobia - Mecanismos de Alerta y Respuesta, análisis del discurso ‘Upstander:</w:t>
        </w:r>
        <w:r w:rsidR="00892970" w:rsidRPr="00555D0E">
          <w:rPr>
            <w:rStyle w:val="Hipervnculo"/>
            <w:lang w:eastAsia="es-ES"/>
          </w:rPr>
          <w:t xml:space="preserve"> </w:t>
        </w:r>
        <w:r w:rsidR="00892970" w:rsidRPr="00555D0E">
          <w:rPr>
            <w:rStyle w:val="Hipervnculo"/>
            <w:rFonts w:ascii="Times New Roman" w:eastAsia="Times New Roman" w:hAnsi="Times New Roman" w:cs="Times New Roman"/>
            <w:lang w:eastAsia="es-ES"/>
          </w:rPr>
          <w:t>https://real-up.eu/</w:t>
        </w:r>
      </w:hyperlink>
      <w:r w:rsidR="00204831" w:rsidRPr="00E930D2">
        <w:rPr>
          <w:rFonts w:ascii="Times New Roman" w:eastAsia="Times New Roman" w:hAnsi="Times New Roman" w:cs="Times New Roman"/>
          <w:color w:val="FF0000"/>
          <w:lang w:eastAsia="es-ES"/>
        </w:rPr>
        <w:t xml:space="preserve">  </w:t>
      </w:r>
    </w:p>
    <w:p w:rsidR="00892970" w:rsidRDefault="00892970" w:rsidP="00204831">
      <w:pPr>
        <w:pStyle w:val="Textonotaalfinal"/>
        <w:numPr>
          <w:ilvl w:val="0"/>
          <w:numId w:val="30"/>
        </w:numPr>
        <w:spacing w:after="240"/>
        <w:rPr>
          <w:rFonts w:ascii="Times New Roman" w:hAnsi="Times New Roman" w:cs="Times New Roman"/>
        </w:rPr>
      </w:pPr>
      <w:r>
        <w:rPr>
          <w:rFonts w:ascii="Times New Roman" w:eastAsia="Times New Roman" w:hAnsi="Times New Roman" w:cs="Times New Roman"/>
          <w:noProof/>
          <w:spacing w:val="2"/>
        </w:rPr>
        <w:t>P</w:t>
      </w:r>
      <w:r w:rsidRPr="00EA6D4E">
        <w:rPr>
          <w:rFonts w:ascii="Times New Roman" w:eastAsia="Times New Roman" w:hAnsi="Times New Roman" w:cs="Times New Roman"/>
          <w:noProof/>
          <w:spacing w:val="2"/>
        </w:rPr>
        <w:t>ágina web exclusiva de la ONDOD</w:t>
      </w:r>
      <w:r>
        <w:rPr>
          <w:rFonts w:ascii="Times New Roman" w:eastAsia="Times New Roman" w:hAnsi="Times New Roman" w:cs="Times New Roman"/>
          <w:noProof/>
          <w:spacing w:val="2"/>
        </w:rPr>
        <w:t xml:space="preserve">: </w:t>
      </w:r>
      <w:hyperlink r:id="rId14" w:history="1">
        <w:r w:rsidRPr="00555D0E">
          <w:rPr>
            <w:rStyle w:val="Hipervnculo"/>
            <w:rFonts w:ascii="Times New Roman" w:eastAsia="Times New Roman" w:hAnsi="Times New Roman" w:cs="Times New Roman"/>
            <w:noProof/>
            <w:spacing w:val="2"/>
          </w:rPr>
          <w:t>https://oficinanacional-delitosdeodio.ses.mir.es/publico/ONDOD</w:t>
        </w:r>
      </w:hyperlink>
      <w:r>
        <w:rPr>
          <w:rFonts w:ascii="Times New Roman" w:eastAsia="Times New Roman" w:hAnsi="Times New Roman" w:cs="Times New Roman"/>
          <w:noProof/>
          <w:spacing w:val="2"/>
        </w:rPr>
        <w:t xml:space="preserve"> </w:t>
      </w:r>
    </w:p>
    <w:p w:rsidR="00204831" w:rsidRPr="00204831" w:rsidRDefault="00892970" w:rsidP="00204831">
      <w:pPr>
        <w:pStyle w:val="Textonotaalfinal"/>
        <w:numPr>
          <w:ilvl w:val="0"/>
          <w:numId w:val="30"/>
        </w:numPr>
        <w:spacing w:after="240"/>
        <w:rPr>
          <w:rFonts w:ascii="Times New Roman" w:hAnsi="Times New Roman" w:cs="Times New Roman"/>
        </w:rPr>
      </w:pPr>
      <w:r>
        <w:rPr>
          <w:rFonts w:ascii="Times New Roman" w:eastAsia="Times New Roman" w:hAnsi="Times New Roman"/>
          <w:noProof/>
          <w:spacing w:val="2"/>
        </w:rPr>
        <w:t xml:space="preserve">Discursos de odio en internet - </w:t>
      </w:r>
      <w:r w:rsidRPr="007530A0">
        <w:rPr>
          <w:rFonts w:ascii="Times New Roman" w:eastAsia="Times New Roman" w:hAnsi="Times New Roman"/>
          <w:noProof/>
          <w:spacing w:val="2"/>
          <w:u w:val="single"/>
        </w:rPr>
        <w:t>#AcabaConElOdio</w:t>
      </w:r>
      <w:r w:rsidRPr="007530A0">
        <w:rPr>
          <w:rFonts w:ascii="Times New Roman" w:eastAsia="Times New Roman" w:hAnsi="Times New Roman"/>
          <w:noProof/>
          <w:spacing w:val="2"/>
        </w:rPr>
        <w:t>, julio de 2020</w:t>
      </w:r>
      <w:r>
        <w:rPr>
          <w:rFonts w:ascii="Times New Roman" w:eastAsia="Times New Roman" w:hAnsi="Times New Roman"/>
          <w:noProof/>
          <w:spacing w:val="2"/>
        </w:rPr>
        <w:t xml:space="preserve">: </w:t>
      </w:r>
      <w:hyperlink r:id="rId15" w:history="1">
        <w:r w:rsidR="00204831" w:rsidRPr="00204831">
          <w:rPr>
            <w:rStyle w:val="Hipervnculo"/>
            <w:rFonts w:ascii="Times New Roman" w:eastAsia="Times New Roman" w:hAnsi="Times New Roman" w:cs="Times New Roman"/>
            <w:noProof/>
            <w:spacing w:val="2"/>
          </w:rPr>
          <w:t>https://twitter.com/interiorgob/status/1285888569299673088</w:t>
        </w:r>
      </w:hyperlink>
    </w:p>
    <w:p w:rsidR="00204831" w:rsidRPr="00204831" w:rsidRDefault="00582A0E" w:rsidP="00204831">
      <w:pPr>
        <w:pStyle w:val="Textonotaalfinal"/>
        <w:numPr>
          <w:ilvl w:val="0"/>
          <w:numId w:val="30"/>
        </w:numPr>
        <w:spacing w:after="240"/>
        <w:rPr>
          <w:rStyle w:val="Hipervnculo"/>
          <w:rFonts w:ascii="Times New Roman" w:hAnsi="Times New Roman" w:cs="Times New Roman"/>
          <w:color w:val="auto"/>
          <w:u w:val="none"/>
        </w:rPr>
      </w:pPr>
      <w:r>
        <w:rPr>
          <w:rFonts w:ascii="Times New Roman" w:eastAsia="Times New Roman" w:hAnsi="Times New Roman"/>
          <w:noProof/>
          <w:spacing w:val="2"/>
        </w:rPr>
        <w:t xml:space="preserve">Discursos de odio en internet - </w:t>
      </w:r>
      <w:r w:rsidRPr="007530A0">
        <w:rPr>
          <w:rFonts w:ascii="Times New Roman" w:eastAsia="Times New Roman" w:hAnsi="Times New Roman"/>
          <w:noProof/>
          <w:spacing w:val="2"/>
          <w:u w:val="single"/>
        </w:rPr>
        <w:t>#NoTeCalles</w:t>
      </w:r>
      <w:r w:rsidRPr="007530A0">
        <w:rPr>
          <w:rFonts w:ascii="Times New Roman" w:eastAsia="Times New Roman" w:hAnsi="Times New Roman"/>
          <w:noProof/>
          <w:spacing w:val="2"/>
        </w:rPr>
        <w:t>, diciembre de 2020</w:t>
      </w:r>
      <w:r>
        <w:rPr>
          <w:rFonts w:ascii="Times New Roman" w:eastAsia="Times New Roman" w:hAnsi="Times New Roman"/>
          <w:noProof/>
          <w:spacing w:val="2"/>
        </w:rPr>
        <w:t xml:space="preserve">: </w:t>
      </w:r>
      <w:hyperlink r:id="rId16" w:history="1">
        <w:r w:rsidR="00204831" w:rsidRPr="00204831">
          <w:rPr>
            <w:rStyle w:val="Hipervnculo"/>
            <w:rFonts w:ascii="Times New Roman" w:eastAsia="Times New Roman" w:hAnsi="Times New Roman" w:cs="Times New Roman"/>
            <w:noProof/>
            <w:spacing w:val="2"/>
          </w:rPr>
          <w:t>https://twitter.com/interiorgob/status/1375771077972951044</w:t>
        </w:r>
      </w:hyperlink>
    </w:p>
    <w:p w:rsidR="00204831" w:rsidRPr="00204831" w:rsidRDefault="00204831" w:rsidP="00204831">
      <w:pPr>
        <w:pStyle w:val="Textonotaalfinal"/>
        <w:numPr>
          <w:ilvl w:val="0"/>
          <w:numId w:val="30"/>
        </w:numPr>
        <w:spacing w:after="240"/>
        <w:rPr>
          <w:rFonts w:ascii="Times New Roman" w:hAnsi="Times New Roman" w:cs="Times New Roman"/>
        </w:rPr>
      </w:pPr>
      <w:r w:rsidRPr="00204831">
        <w:rPr>
          <w:rFonts w:ascii="Times New Roman" w:eastAsia="Times New Roman" w:hAnsi="Times New Roman" w:cs="Times New Roman"/>
          <w:noProof/>
          <w:spacing w:val="2"/>
        </w:rPr>
        <w:t xml:space="preserve">Pueden consultarse todos los datos sobre delitos de odio de manera personalizada en el Portal Estadístico de Criminalidad del MIR: </w:t>
      </w:r>
      <w:hyperlink r:id="rId17" w:history="1">
        <w:r w:rsidRPr="00204831">
          <w:rPr>
            <w:rStyle w:val="Hipervnculo"/>
            <w:rFonts w:ascii="Times New Roman" w:eastAsia="Times New Roman" w:hAnsi="Times New Roman" w:cs="Times New Roman"/>
            <w:noProof/>
            <w:spacing w:val="2"/>
          </w:rPr>
          <w:t>https://estadisticasdecriminalidad.ses.mir.es/publico/portalestadistico/</w:t>
        </w:r>
      </w:hyperlink>
      <w:r w:rsidRPr="00204831">
        <w:rPr>
          <w:rFonts w:ascii="Times New Roman" w:eastAsia="Times New Roman" w:hAnsi="Times New Roman" w:cs="Times New Roman"/>
          <w:noProof/>
          <w:spacing w:val="2"/>
        </w:rPr>
        <w:t>.</w:t>
      </w:r>
    </w:p>
    <w:p w:rsidR="00204831" w:rsidRDefault="00204831" w:rsidP="00204831">
      <w:pPr>
        <w:spacing w:after="240"/>
        <w:ind w:left="709"/>
        <w:rPr>
          <w:rFonts w:ascii="Times New Roman" w:eastAsia="Times New Roman" w:hAnsi="Times New Roman" w:cs="Times New Roman"/>
          <w:noProof/>
          <w:spacing w:val="2"/>
          <w:sz w:val="20"/>
          <w:szCs w:val="20"/>
        </w:rPr>
      </w:pPr>
      <w:r w:rsidRPr="00E930D2">
        <w:rPr>
          <w:rFonts w:ascii="Times New Roman" w:eastAsia="Times New Roman" w:hAnsi="Times New Roman" w:cs="Times New Roman"/>
          <w:noProof/>
          <w:spacing w:val="2"/>
          <w:sz w:val="20"/>
          <w:szCs w:val="20"/>
        </w:rPr>
        <w:t>Igualmente las series anuales de delitos de odio, con datos desglosados sobre hechos conocidos, esclarecidos, victimizaciones y detenciones e investigados, por tipo de hecho, lugar, nacionalidad</w:t>
      </w:r>
      <w:r>
        <w:rPr>
          <w:rFonts w:ascii="Times New Roman" w:eastAsia="Times New Roman" w:hAnsi="Times New Roman" w:cs="Times New Roman"/>
          <w:noProof/>
          <w:spacing w:val="2"/>
          <w:sz w:val="20"/>
          <w:szCs w:val="20"/>
        </w:rPr>
        <w:t xml:space="preserve"> y edad, se pueden consultar en: </w:t>
      </w:r>
      <w:hyperlink r:id="rId18" w:history="1">
        <w:r w:rsidRPr="00E97C75">
          <w:rPr>
            <w:rStyle w:val="Hipervnculo"/>
            <w:rFonts w:ascii="Times New Roman" w:eastAsia="Times New Roman" w:hAnsi="Times New Roman" w:cs="Times New Roman"/>
            <w:noProof/>
            <w:spacing w:val="2"/>
            <w:sz w:val="20"/>
            <w:szCs w:val="20"/>
          </w:rPr>
          <w:t>https://estadisticasdecriminalidad.ses.mir.es/publico/portalestadistico/portal/datos.html?type=pcaxis&amp;path=/Datos6/&amp;file=pcaxis</w:t>
        </w:r>
      </w:hyperlink>
      <w:r>
        <w:rPr>
          <w:rFonts w:ascii="Times New Roman" w:eastAsia="Times New Roman" w:hAnsi="Times New Roman" w:cs="Times New Roman"/>
          <w:noProof/>
          <w:spacing w:val="2"/>
          <w:sz w:val="20"/>
          <w:szCs w:val="20"/>
        </w:rPr>
        <w:t xml:space="preserve"> </w:t>
      </w:r>
    </w:p>
    <w:p w:rsidR="00204831" w:rsidRDefault="00582A0E" w:rsidP="00582A0E">
      <w:pPr>
        <w:pStyle w:val="Prrafodelista"/>
        <w:numPr>
          <w:ilvl w:val="0"/>
          <w:numId w:val="30"/>
        </w:numPr>
        <w:spacing w:after="240"/>
        <w:ind w:left="714" w:hanging="357"/>
        <w:contextualSpacing w:val="0"/>
        <w:rPr>
          <w:rFonts w:ascii="Times New Roman" w:eastAsia="Times New Roman" w:hAnsi="Times New Roman" w:cs="Times New Roman"/>
          <w:noProof/>
          <w:spacing w:val="2"/>
          <w:sz w:val="20"/>
          <w:szCs w:val="20"/>
        </w:rPr>
      </w:pPr>
      <w:r>
        <w:rPr>
          <w:rFonts w:ascii="Times New Roman" w:eastAsia="Times New Roman" w:hAnsi="Times New Roman" w:cs="Times New Roman"/>
          <w:noProof/>
          <w:spacing w:val="2"/>
          <w:sz w:val="20"/>
          <w:szCs w:val="20"/>
        </w:rPr>
        <w:t xml:space="preserve"> I</w:t>
      </w:r>
      <w:r w:rsidRPr="00A1222A">
        <w:rPr>
          <w:rFonts w:ascii="Times New Roman" w:eastAsia="Times New Roman" w:hAnsi="Times New Roman" w:cs="Times New Roman"/>
          <w:noProof/>
          <w:spacing w:val="2"/>
          <w:sz w:val="20"/>
          <w:szCs w:val="20"/>
        </w:rPr>
        <w:t>nforme sobre delitos de odio en el que se recogen las denuncias reci</w:t>
      </w:r>
      <w:r>
        <w:rPr>
          <w:rFonts w:ascii="Times New Roman" w:eastAsia="Times New Roman" w:hAnsi="Times New Roman" w:cs="Times New Roman"/>
          <w:noProof/>
          <w:spacing w:val="2"/>
          <w:sz w:val="20"/>
          <w:szCs w:val="20"/>
        </w:rPr>
        <w:t xml:space="preserve">bidas por parte de las FFCCSE e </w:t>
      </w:r>
      <w:r w:rsidRPr="00A1222A">
        <w:rPr>
          <w:rFonts w:ascii="Times New Roman" w:eastAsia="Times New Roman" w:hAnsi="Times New Roman" w:cs="Times New Roman"/>
          <w:noProof/>
          <w:spacing w:val="2"/>
          <w:sz w:val="20"/>
          <w:szCs w:val="20"/>
        </w:rPr>
        <w:t xml:space="preserve">información sobre las víctimas y autores de los mismos </w:t>
      </w:r>
      <w:r>
        <w:rPr>
          <w:rFonts w:ascii="Times New Roman" w:eastAsia="Times New Roman" w:hAnsi="Times New Roman" w:cs="Times New Roman"/>
          <w:noProof/>
          <w:spacing w:val="2"/>
          <w:sz w:val="20"/>
          <w:szCs w:val="20"/>
        </w:rPr>
        <w:t>pueden consultarse en</w:t>
      </w:r>
      <w:r w:rsidR="00204831" w:rsidRPr="00204831">
        <w:rPr>
          <w:rFonts w:ascii="Times New Roman" w:eastAsia="Times New Roman" w:hAnsi="Times New Roman" w:cs="Times New Roman"/>
          <w:noProof/>
          <w:spacing w:val="2"/>
          <w:sz w:val="20"/>
          <w:szCs w:val="20"/>
        </w:rPr>
        <w:t xml:space="preserve">: </w:t>
      </w:r>
      <w:hyperlink r:id="rId19" w:history="1">
        <w:r w:rsidR="00204831" w:rsidRPr="00204831">
          <w:rPr>
            <w:rStyle w:val="Hipervnculo"/>
            <w:rFonts w:ascii="Times New Roman" w:eastAsia="Times New Roman" w:hAnsi="Times New Roman" w:cs="Times New Roman"/>
            <w:noProof/>
            <w:spacing w:val="2"/>
            <w:sz w:val="20"/>
            <w:szCs w:val="20"/>
          </w:rPr>
          <w:t>http://www.interior.gob.es/web/servicios-al-ciudadano/delitos-de-odio/estadisticas</w:t>
        </w:r>
      </w:hyperlink>
      <w:r w:rsidR="00204831" w:rsidRPr="00204831">
        <w:rPr>
          <w:rFonts w:ascii="Times New Roman" w:eastAsia="Times New Roman" w:hAnsi="Times New Roman" w:cs="Times New Roman"/>
          <w:noProof/>
          <w:spacing w:val="2"/>
          <w:sz w:val="20"/>
          <w:szCs w:val="20"/>
        </w:rPr>
        <w:t>.</w:t>
      </w:r>
    </w:p>
    <w:p w:rsidR="00B25749" w:rsidRPr="00B25749" w:rsidRDefault="00B25749" w:rsidP="00B25749">
      <w:pPr>
        <w:pStyle w:val="Prrafodelista"/>
        <w:numPr>
          <w:ilvl w:val="0"/>
          <w:numId w:val="30"/>
        </w:numPr>
        <w:rPr>
          <w:rFonts w:ascii="Times New Roman" w:eastAsia="Times New Roman" w:hAnsi="Times New Roman" w:cs="Times New Roman"/>
          <w:noProof/>
          <w:spacing w:val="2"/>
          <w:sz w:val="20"/>
          <w:szCs w:val="20"/>
        </w:rPr>
      </w:pPr>
      <w:r w:rsidRPr="00B25749">
        <w:rPr>
          <w:rFonts w:ascii="Times New Roman" w:eastAsia="Times New Roman" w:hAnsi="Times New Roman" w:cs="Times New Roman"/>
          <w:noProof/>
          <w:spacing w:val="2"/>
          <w:sz w:val="20"/>
          <w:szCs w:val="20"/>
        </w:rPr>
        <w:t xml:space="preserve">REAL-UP: Discurso de odio, racismo y xenofobia - Mecanismos de Alerta y Respuesta, análisis del discurso </w:t>
      </w:r>
      <w:bookmarkStart w:id="2" w:name="_GoBack"/>
      <w:bookmarkEnd w:id="2"/>
      <w:r w:rsidRPr="00B25749">
        <w:rPr>
          <w:rFonts w:ascii="Times New Roman" w:eastAsia="Times New Roman" w:hAnsi="Times New Roman" w:cs="Times New Roman"/>
          <w:noProof/>
          <w:spacing w:val="2"/>
          <w:sz w:val="20"/>
          <w:szCs w:val="20"/>
        </w:rPr>
        <w:t xml:space="preserve">“‘Upstander”: </w:t>
      </w:r>
      <w:hyperlink r:id="rId20" w:history="1">
        <w:r w:rsidRPr="00AB5EF1">
          <w:rPr>
            <w:rStyle w:val="Hipervnculo"/>
            <w:rFonts w:ascii="Times New Roman" w:eastAsia="Times New Roman" w:hAnsi="Times New Roman" w:cs="Times New Roman"/>
            <w:noProof/>
            <w:spacing w:val="2"/>
            <w:sz w:val="20"/>
            <w:szCs w:val="20"/>
          </w:rPr>
          <w:t>https://real-up.eu/</w:t>
        </w:r>
      </w:hyperlink>
      <w:r>
        <w:rPr>
          <w:rFonts w:ascii="Times New Roman" w:eastAsia="Times New Roman" w:hAnsi="Times New Roman" w:cs="Times New Roman"/>
          <w:noProof/>
          <w:spacing w:val="2"/>
          <w:sz w:val="20"/>
          <w:szCs w:val="20"/>
        </w:rPr>
        <w:t xml:space="preserve"> </w:t>
      </w:r>
    </w:p>
    <w:p w:rsidR="00B25749" w:rsidRDefault="00B25749" w:rsidP="00B25749">
      <w:pPr>
        <w:pStyle w:val="Prrafodelista"/>
        <w:spacing w:after="240"/>
        <w:ind w:left="714"/>
        <w:contextualSpacing w:val="0"/>
        <w:rPr>
          <w:rFonts w:ascii="Times New Roman" w:eastAsia="Times New Roman" w:hAnsi="Times New Roman" w:cs="Times New Roman"/>
          <w:noProof/>
          <w:spacing w:val="2"/>
          <w:sz w:val="20"/>
          <w:szCs w:val="20"/>
        </w:rPr>
      </w:pPr>
    </w:p>
    <w:p w:rsidR="00582A0E" w:rsidRPr="00582A0E" w:rsidRDefault="00582A0E" w:rsidP="00582A0E">
      <w:pPr>
        <w:pStyle w:val="Ttulo2"/>
        <w:spacing w:after="160"/>
        <w:jc w:val="both"/>
        <w:rPr>
          <w:rFonts w:ascii="Times New Roman" w:hAnsi="Times New Roman" w:cs="Times New Roman"/>
          <w:b/>
          <w:color w:val="auto"/>
          <w:sz w:val="22"/>
          <w:szCs w:val="22"/>
        </w:rPr>
      </w:pPr>
      <w:bookmarkStart w:id="3" w:name="_Toc108696645"/>
      <w:r w:rsidRPr="00582A0E">
        <w:rPr>
          <w:rFonts w:ascii="Times New Roman" w:hAnsi="Times New Roman" w:cs="Times New Roman"/>
          <w:color w:val="auto"/>
          <w:sz w:val="22"/>
          <w:szCs w:val="22"/>
        </w:rPr>
        <w:lastRenderedPageBreak/>
        <w:t>C</w:t>
      </w:r>
      <w:r w:rsidRPr="00582A0E">
        <w:rPr>
          <w:rFonts w:ascii="Times New Roman" w:eastAsiaTheme="minorHAnsi" w:hAnsi="Times New Roman" w:cs="Times New Roman"/>
          <w:color w:val="auto"/>
          <w:sz w:val="24"/>
          <w:szCs w:val="24"/>
        </w:rPr>
        <w:t>. Violencia contra la mujer (arts. 2, 3, 6, 7 y 26)</w:t>
      </w:r>
      <w:bookmarkEnd w:id="3"/>
    </w:p>
    <w:p w:rsidR="00204831" w:rsidRDefault="00582A0E" w:rsidP="00204831">
      <w:pPr>
        <w:pStyle w:val="Prrafodelista"/>
        <w:numPr>
          <w:ilvl w:val="0"/>
          <w:numId w:val="30"/>
        </w:numPr>
        <w:tabs>
          <w:tab w:val="left" w:pos="6045"/>
        </w:tabs>
        <w:spacing w:after="240"/>
        <w:ind w:left="714" w:hanging="357"/>
        <w:contextualSpacing w:val="0"/>
        <w:rPr>
          <w:rFonts w:ascii="Times New Roman" w:eastAsia="Times New Roman" w:hAnsi="Times New Roman" w:cs="Times New Roman"/>
          <w:noProof/>
          <w:spacing w:val="2"/>
          <w:sz w:val="20"/>
          <w:szCs w:val="20"/>
        </w:rPr>
      </w:pPr>
      <w:r>
        <w:rPr>
          <w:rFonts w:ascii="Times New Roman" w:eastAsia="Times New Roman" w:hAnsi="Times New Roman" w:cs="Times New Roman"/>
          <w:noProof/>
          <w:spacing w:val="2"/>
          <w:sz w:val="20"/>
          <w:szCs w:val="20"/>
        </w:rPr>
        <w:t xml:space="preserve"> E</w:t>
      </w:r>
      <w:r w:rsidRPr="006C11BA">
        <w:rPr>
          <w:rFonts w:ascii="Times New Roman" w:eastAsia="Times New Roman" w:hAnsi="Times New Roman" w:cs="Times New Roman"/>
          <w:noProof/>
          <w:spacing w:val="2"/>
          <w:sz w:val="20"/>
          <w:szCs w:val="20"/>
        </w:rPr>
        <w:t>stadísticas sobre casos de violencia de género de especial relevancia y casos con menores a cargo de las víctimas en situación de vulnerabilidad o en situación de riesgo</w:t>
      </w:r>
      <w:r>
        <w:rPr>
          <w:rFonts w:ascii="Times New Roman" w:eastAsia="Times New Roman" w:hAnsi="Times New Roman" w:cs="Times New Roman"/>
          <w:noProof/>
          <w:spacing w:val="2"/>
          <w:sz w:val="20"/>
          <w:szCs w:val="20"/>
        </w:rPr>
        <w:t xml:space="preserve"> (</w:t>
      </w:r>
      <w:r w:rsidRPr="006C11BA">
        <w:rPr>
          <w:rFonts w:ascii="Times New Roman" w:eastAsia="Times New Roman" w:hAnsi="Times New Roman" w:cs="Times New Roman"/>
          <w:noProof/>
          <w:spacing w:val="2"/>
          <w:sz w:val="20"/>
          <w:szCs w:val="20"/>
        </w:rPr>
        <w:t>Secretaría de Esta</w:t>
      </w:r>
      <w:r>
        <w:rPr>
          <w:rFonts w:ascii="Times New Roman" w:eastAsia="Times New Roman" w:hAnsi="Times New Roman" w:cs="Times New Roman"/>
          <w:noProof/>
          <w:spacing w:val="2"/>
          <w:sz w:val="20"/>
          <w:szCs w:val="20"/>
        </w:rPr>
        <w:t xml:space="preserve">do de Seguridad). </w:t>
      </w:r>
      <w:r w:rsidR="00204831" w:rsidRPr="00204831">
        <w:rPr>
          <w:rFonts w:ascii="Times New Roman" w:eastAsia="Times New Roman" w:hAnsi="Times New Roman" w:cs="Times New Roman"/>
          <w:noProof/>
          <w:spacing w:val="2"/>
          <w:sz w:val="20"/>
          <w:szCs w:val="20"/>
        </w:rPr>
        <w:t>Todos los informes se pueden consultar en la página web siguiente:</w:t>
      </w:r>
      <w:r w:rsidR="00204831">
        <w:rPr>
          <w:rFonts w:ascii="Times New Roman" w:eastAsia="Times New Roman" w:hAnsi="Times New Roman" w:cs="Times New Roman"/>
          <w:noProof/>
          <w:spacing w:val="2"/>
          <w:sz w:val="20"/>
          <w:szCs w:val="20"/>
        </w:rPr>
        <w:t xml:space="preserve"> </w:t>
      </w:r>
      <w:hyperlink r:id="rId21" w:history="1">
        <w:r w:rsidR="00204831" w:rsidRPr="00204831">
          <w:rPr>
            <w:rStyle w:val="Hipervnculo"/>
            <w:rFonts w:ascii="Times New Roman" w:eastAsia="Times New Roman" w:hAnsi="Times New Roman" w:cs="Times New Roman"/>
            <w:noProof/>
            <w:spacing w:val="2"/>
            <w:sz w:val="20"/>
            <w:szCs w:val="20"/>
          </w:rPr>
          <w:t>http://www.interior.gob.es/es/web/servicios-al-ciudadano/violencia-contra-la-mujer/estadisticas</w:t>
        </w:r>
      </w:hyperlink>
      <w:r w:rsidR="00204831" w:rsidRPr="00204831">
        <w:rPr>
          <w:rFonts w:ascii="Times New Roman" w:eastAsia="Times New Roman" w:hAnsi="Times New Roman" w:cs="Times New Roman"/>
          <w:noProof/>
          <w:spacing w:val="2"/>
          <w:sz w:val="20"/>
          <w:szCs w:val="20"/>
        </w:rPr>
        <w:t xml:space="preserve">. </w:t>
      </w:r>
    </w:p>
    <w:p w:rsidR="00F8454A" w:rsidRPr="00F8454A" w:rsidRDefault="00F8454A" w:rsidP="00F8454A">
      <w:pPr>
        <w:pStyle w:val="Ttulo2"/>
        <w:spacing w:after="160"/>
        <w:jc w:val="both"/>
        <w:rPr>
          <w:rFonts w:ascii="Times New Roman" w:hAnsi="Times New Roman" w:cs="Times New Roman"/>
          <w:color w:val="auto"/>
          <w:sz w:val="22"/>
          <w:szCs w:val="22"/>
        </w:rPr>
      </w:pPr>
      <w:bookmarkStart w:id="4" w:name="_Toc108696650"/>
      <w:r w:rsidRPr="00F8454A">
        <w:rPr>
          <w:rFonts w:ascii="Times New Roman" w:hAnsi="Times New Roman" w:cs="Times New Roman"/>
          <w:color w:val="auto"/>
          <w:sz w:val="22"/>
          <w:szCs w:val="22"/>
        </w:rPr>
        <w:t>F. Derecho a la vida, prohibición de la tortura y otros tratos o penas crueles, inhumanos o degradantes (arts. 6, 7, 19 y 21)</w:t>
      </w:r>
      <w:bookmarkEnd w:id="4"/>
    </w:p>
    <w:p w:rsidR="00204831" w:rsidRPr="00747C90" w:rsidRDefault="00F8454A" w:rsidP="00747C90">
      <w:pPr>
        <w:pStyle w:val="Prrafodelista"/>
        <w:numPr>
          <w:ilvl w:val="0"/>
          <w:numId w:val="30"/>
        </w:numPr>
        <w:tabs>
          <w:tab w:val="left" w:pos="6045"/>
        </w:tabs>
        <w:spacing w:after="240"/>
        <w:ind w:left="714" w:hanging="357"/>
        <w:contextualSpacing w:val="0"/>
        <w:rPr>
          <w:rFonts w:ascii="Times New Roman" w:eastAsia="Times New Roman" w:hAnsi="Times New Roman" w:cs="Times New Roman"/>
          <w:noProof/>
          <w:spacing w:val="2"/>
          <w:sz w:val="16"/>
          <w:szCs w:val="20"/>
        </w:rPr>
      </w:pPr>
      <w:r>
        <w:rPr>
          <w:rFonts w:ascii="Times New Roman" w:eastAsia="Times New Roman" w:hAnsi="Times New Roman" w:cs="Times New Roman"/>
          <w:noProof/>
          <w:spacing w:val="2"/>
          <w:sz w:val="20"/>
          <w:szCs w:val="20"/>
        </w:rPr>
        <w:t>I</w:t>
      </w:r>
      <w:r w:rsidRPr="00AA6C01">
        <w:rPr>
          <w:rFonts w:ascii="Times New Roman" w:eastAsia="Times New Roman" w:hAnsi="Times New Roman" w:cs="Times New Roman"/>
          <w:noProof/>
          <w:spacing w:val="2"/>
          <w:sz w:val="20"/>
          <w:szCs w:val="20"/>
        </w:rPr>
        <w:t>nforme sobre el estado de la cuestión y recomendaciones par</w:t>
      </w:r>
      <w:r>
        <w:rPr>
          <w:rFonts w:ascii="Times New Roman" w:eastAsia="Times New Roman" w:hAnsi="Times New Roman" w:cs="Times New Roman"/>
          <w:noProof/>
          <w:spacing w:val="2"/>
          <w:sz w:val="20"/>
          <w:szCs w:val="20"/>
        </w:rPr>
        <w:t xml:space="preserve">a el futuro, 2020: </w:t>
      </w:r>
      <w:hyperlink r:id="rId22" w:history="1">
        <w:r w:rsidR="00204831" w:rsidRPr="00747C90">
          <w:rPr>
            <w:rStyle w:val="Hipervnculo"/>
            <w:rFonts w:ascii="Times New Roman" w:hAnsi="Times New Roman" w:cs="Times New Roman"/>
            <w:sz w:val="20"/>
          </w:rPr>
          <w:t>https://www.mpr.gob.es/servicios/publicaciones/Documents/Exhumaciones_Guerra_Civil_accesible_BAJA.pdf</w:t>
        </w:r>
      </w:hyperlink>
    </w:p>
    <w:p w:rsidR="00204831" w:rsidRPr="00747C90" w:rsidRDefault="00F8454A" w:rsidP="00747C90">
      <w:pPr>
        <w:pStyle w:val="Prrafodelista"/>
        <w:numPr>
          <w:ilvl w:val="0"/>
          <w:numId w:val="30"/>
        </w:numPr>
        <w:tabs>
          <w:tab w:val="left" w:pos="6045"/>
        </w:tabs>
        <w:spacing w:after="240"/>
        <w:ind w:left="714" w:hanging="357"/>
        <w:contextualSpacing w:val="0"/>
        <w:rPr>
          <w:rStyle w:val="Hipervnculo"/>
          <w:rFonts w:ascii="Times New Roman" w:eastAsia="Times New Roman" w:hAnsi="Times New Roman" w:cs="Times New Roman"/>
          <w:noProof/>
          <w:color w:val="auto"/>
          <w:spacing w:val="2"/>
          <w:sz w:val="16"/>
          <w:szCs w:val="20"/>
          <w:u w:val="none"/>
        </w:rPr>
      </w:pPr>
      <w:r w:rsidRPr="0028500B">
        <w:rPr>
          <w:rFonts w:ascii="Times New Roman" w:eastAsia="Times New Roman" w:hAnsi="Times New Roman" w:cs="Times New Roman"/>
          <w:noProof/>
          <w:spacing w:val="2"/>
          <w:sz w:val="20"/>
          <w:szCs w:val="20"/>
        </w:rPr>
        <w:t>Portal de Víctimas de la Guerra Civil y Represaliados del Franquismo</w:t>
      </w:r>
      <w:r>
        <w:t xml:space="preserve">: </w:t>
      </w:r>
      <w:hyperlink r:id="rId23" w:history="1">
        <w:r w:rsidR="00204831" w:rsidRPr="00747C90">
          <w:rPr>
            <w:rStyle w:val="Hipervnculo"/>
            <w:rFonts w:ascii="Times New Roman" w:eastAsia="Times New Roman" w:hAnsi="Times New Roman" w:cs="Times New Roman"/>
            <w:noProof/>
            <w:spacing w:val="2"/>
            <w:sz w:val="20"/>
          </w:rPr>
          <w:t>http://pares.mcu.es/victimasGCFPortal/staticContent.form?viewName=presentacion</w:t>
        </w:r>
      </w:hyperlink>
    </w:p>
    <w:p w:rsidR="00747C90" w:rsidRPr="008B4EC3" w:rsidRDefault="00F8454A" w:rsidP="008B4EC3">
      <w:pPr>
        <w:pStyle w:val="Prrafodelista"/>
        <w:numPr>
          <w:ilvl w:val="0"/>
          <w:numId w:val="30"/>
        </w:numPr>
        <w:tabs>
          <w:tab w:val="left" w:pos="6045"/>
        </w:tabs>
        <w:spacing w:after="360"/>
        <w:ind w:left="714" w:hanging="357"/>
        <w:contextualSpacing w:val="0"/>
        <w:rPr>
          <w:rFonts w:ascii="Times New Roman" w:eastAsia="Times New Roman" w:hAnsi="Times New Roman" w:cs="Times New Roman"/>
          <w:noProof/>
          <w:spacing w:val="2"/>
          <w:sz w:val="16"/>
          <w:szCs w:val="20"/>
        </w:rPr>
      </w:pPr>
      <w:r w:rsidRPr="0028500B">
        <w:rPr>
          <w:rFonts w:ascii="Times New Roman" w:hAnsi="Times New Roman" w:cs="Times New Roman"/>
          <w:sz w:val="20"/>
          <w:szCs w:val="20"/>
        </w:rPr>
        <w:t>Expedientes judiciales de las Auditorías de Guerra y Tribunales Militares acumulados por el Tribunal Militar Terri</w:t>
      </w:r>
      <w:r>
        <w:rPr>
          <w:rFonts w:ascii="Times New Roman" w:hAnsi="Times New Roman" w:cs="Times New Roman"/>
          <w:sz w:val="20"/>
          <w:szCs w:val="20"/>
        </w:rPr>
        <w:t xml:space="preserve">torial Primero entre 1936: </w:t>
      </w:r>
      <w:hyperlink r:id="rId24" w:history="1">
        <w:r w:rsidR="00204831" w:rsidRPr="00747C90">
          <w:rPr>
            <w:rStyle w:val="Hipervnculo"/>
            <w:rFonts w:ascii="Times New Roman" w:hAnsi="Times New Roman" w:cs="Times New Roman"/>
            <w:sz w:val="20"/>
          </w:rPr>
          <w:t>https://patrimoniocultural.defensa.gob.es/es/centros/archivo-general-historico-defensa/documentos</w:t>
        </w:r>
      </w:hyperlink>
    </w:p>
    <w:p w:rsidR="00204831" w:rsidRPr="001108F9" w:rsidRDefault="001108F9" w:rsidP="001108F9">
      <w:pPr>
        <w:pStyle w:val="Ttulo2"/>
        <w:spacing w:after="160"/>
        <w:rPr>
          <w:rFonts w:ascii="Times New Roman" w:hAnsi="Times New Roman" w:cs="Times New Roman"/>
          <w:color w:val="auto"/>
          <w:sz w:val="22"/>
          <w:szCs w:val="22"/>
        </w:rPr>
      </w:pPr>
      <w:bookmarkStart w:id="5" w:name="_Toc108696670"/>
      <w:r w:rsidRPr="001108F9">
        <w:rPr>
          <w:rFonts w:ascii="Times New Roman" w:hAnsi="Times New Roman" w:cs="Times New Roman"/>
          <w:color w:val="auto"/>
          <w:sz w:val="22"/>
          <w:szCs w:val="22"/>
        </w:rPr>
        <w:t>K. Lucha contra la corrupción (arts. 2, 14 y 25)</w:t>
      </w:r>
      <w:bookmarkEnd w:id="5"/>
    </w:p>
    <w:p w:rsidR="005E7646" w:rsidRPr="005E7646" w:rsidRDefault="001108F9" w:rsidP="005E7646">
      <w:pPr>
        <w:pStyle w:val="Prrafodelista"/>
        <w:numPr>
          <w:ilvl w:val="0"/>
          <w:numId w:val="30"/>
        </w:numPr>
        <w:autoSpaceDE w:val="0"/>
        <w:autoSpaceDN w:val="0"/>
        <w:adjustRightInd w:val="0"/>
        <w:spacing w:after="240"/>
        <w:contextualSpacing w:val="0"/>
        <w:rPr>
          <w:rStyle w:val="Hipervnculo"/>
          <w:rFonts w:ascii="Times New Roman" w:hAnsi="Times New Roman" w:cs="Times New Roman"/>
          <w:b/>
          <w:color w:val="auto"/>
          <w:sz w:val="20"/>
          <w:szCs w:val="20"/>
        </w:rPr>
      </w:pPr>
      <w:r>
        <w:rPr>
          <w:rFonts w:ascii="Times New Roman" w:hAnsi="Times New Roman" w:cs="Times New Roman"/>
          <w:sz w:val="20"/>
          <w:szCs w:val="20"/>
        </w:rPr>
        <w:t>D</w:t>
      </w:r>
      <w:r w:rsidRPr="00E930D2">
        <w:rPr>
          <w:rFonts w:ascii="Times New Roman" w:hAnsi="Times New Roman" w:cs="Times New Roman"/>
          <w:sz w:val="20"/>
          <w:szCs w:val="20"/>
        </w:rPr>
        <w:t xml:space="preserve">atos sobre procesos por corrupción  </w:t>
      </w:r>
      <w:r w:rsidR="00204831" w:rsidRPr="00E930D2">
        <w:rPr>
          <w:rFonts w:ascii="Times New Roman" w:hAnsi="Times New Roman" w:cs="Times New Roman"/>
          <w:sz w:val="20"/>
          <w:szCs w:val="20"/>
        </w:rPr>
        <w:t xml:space="preserve">pueden consultarse en:  </w:t>
      </w:r>
      <w:hyperlink r:id="rId25" w:history="1">
        <w:r w:rsidR="00204831" w:rsidRPr="00E930D2">
          <w:rPr>
            <w:rStyle w:val="Hipervnculo"/>
            <w:rFonts w:ascii="Times New Roman" w:hAnsi="Times New Roman" w:cs="Times New Roman"/>
            <w:sz w:val="20"/>
            <w:szCs w:val="20"/>
          </w:rPr>
          <w:t>https://www.poderjudicial.es/cgpj/es/Temas/Transparencia/Repositorio-de-datos-sobre-procesos-por-corrupcion/Consulta-de-datos/</w:t>
        </w:r>
      </w:hyperlink>
    </w:p>
    <w:p w:rsidR="005E7646" w:rsidRDefault="005E7646" w:rsidP="005E7646">
      <w:pPr>
        <w:autoSpaceDE w:val="0"/>
        <w:autoSpaceDN w:val="0"/>
        <w:adjustRightInd w:val="0"/>
        <w:spacing w:after="240"/>
        <w:rPr>
          <w:rFonts w:ascii="Times New Roman" w:hAnsi="Times New Roman" w:cs="Times New Roman"/>
          <w:sz w:val="24"/>
          <w:szCs w:val="24"/>
        </w:rPr>
      </w:pPr>
    </w:p>
    <w:p w:rsidR="005E7646" w:rsidRDefault="005E7646">
      <w:pPr>
        <w:rPr>
          <w:rFonts w:ascii="Times New Roman" w:hAnsi="Times New Roman" w:cs="Times New Roman"/>
          <w:sz w:val="24"/>
          <w:szCs w:val="24"/>
        </w:rPr>
      </w:pPr>
      <w:r>
        <w:rPr>
          <w:rFonts w:ascii="Times New Roman" w:hAnsi="Times New Roman" w:cs="Times New Roman"/>
          <w:sz w:val="24"/>
          <w:szCs w:val="24"/>
        </w:rPr>
        <w:br w:type="page"/>
      </w:r>
    </w:p>
    <w:p w:rsidR="0000625A" w:rsidRPr="00DE1828" w:rsidRDefault="005E7646" w:rsidP="008B4EC3">
      <w:pPr>
        <w:autoSpaceDE w:val="0"/>
        <w:autoSpaceDN w:val="0"/>
        <w:adjustRightInd w:val="0"/>
        <w:spacing w:after="240" w:line="480" w:lineRule="auto"/>
        <w:jc w:val="center"/>
        <w:rPr>
          <w:rFonts w:ascii="Times New Roman" w:hAnsi="Times New Roman" w:cs="Times New Roman"/>
          <w:b/>
          <w:sz w:val="20"/>
          <w:szCs w:val="20"/>
          <w:u w:val="single"/>
        </w:rPr>
      </w:pPr>
      <w:r w:rsidRPr="005E7646">
        <w:rPr>
          <w:rFonts w:ascii="Times New Roman" w:hAnsi="Times New Roman" w:cs="Times New Roman"/>
          <w:b/>
          <w:sz w:val="24"/>
          <w:szCs w:val="24"/>
        </w:rPr>
        <w:lastRenderedPageBreak/>
        <w:t>INFORMACIÓN ACLARATORIA Y DATOS ESTADÍSTICOS</w:t>
      </w:r>
    </w:p>
    <w:p w:rsidR="004E42D5" w:rsidRPr="004E42D5" w:rsidRDefault="004E42D5" w:rsidP="004E42D5">
      <w:pPr>
        <w:pStyle w:val="Ttulo1"/>
        <w:numPr>
          <w:ilvl w:val="0"/>
          <w:numId w:val="32"/>
        </w:numPr>
        <w:spacing w:after="160"/>
        <w:rPr>
          <w:rFonts w:ascii="Times New Roman" w:hAnsi="Times New Roman" w:cs="Times New Roman"/>
          <w:color w:val="auto"/>
          <w:sz w:val="24"/>
          <w:szCs w:val="24"/>
        </w:rPr>
      </w:pPr>
      <w:bookmarkStart w:id="6" w:name="_Toc108696634"/>
      <w:r w:rsidRPr="004E42D5">
        <w:rPr>
          <w:rFonts w:ascii="Times New Roman" w:hAnsi="Times New Roman" w:cs="Times New Roman"/>
          <w:color w:val="auto"/>
          <w:sz w:val="24"/>
          <w:szCs w:val="24"/>
        </w:rPr>
        <w:t xml:space="preserve">Información específica sobre la aplicación de los artículos 1 a 27 del Pacto </w:t>
      </w:r>
    </w:p>
    <w:bookmarkEnd w:id="6"/>
    <w:p w:rsidR="004E42D5" w:rsidRDefault="004E42D5" w:rsidP="004E42D5">
      <w:pPr>
        <w:pStyle w:val="Ttulo2"/>
        <w:spacing w:after="160"/>
        <w:ind w:hanging="142"/>
        <w:rPr>
          <w:rFonts w:ascii="Times New Roman" w:hAnsi="Times New Roman" w:cs="Times New Roman"/>
          <w:color w:val="auto"/>
          <w:sz w:val="22"/>
          <w:szCs w:val="22"/>
        </w:rPr>
      </w:pPr>
      <w:r w:rsidRPr="004E42D5">
        <w:rPr>
          <w:rFonts w:ascii="Times New Roman" w:hAnsi="Times New Roman" w:cs="Times New Roman"/>
          <w:color w:val="auto"/>
          <w:sz w:val="22"/>
          <w:szCs w:val="22"/>
        </w:rPr>
        <w:t>B. No discriminación (arts. 2, 20 y 26)</w:t>
      </w:r>
    </w:p>
    <w:p w:rsidR="00667FC7" w:rsidRDefault="004E42D5" w:rsidP="004E42D5">
      <w:pPr>
        <w:autoSpaceDE w:val="0"/>
        <w:autoSpaceDN w:val="0"/>
        <w:adjustRightInd w:val="0"/>
        <w:ind w:left="567"/>
        <w:jc w:val="both"/>
        <w:rPr>
          <w:rFonts w:ascii="Times New Roman" w:hAnsi="Times New Roman" w:cs="Times New Roman"/>
          <w:b/>
          <w:sz w:val="20"/>
          <w:szCs w:val="20"/>
        </w:rPr>
      </w:pPr>
      <w:r>
        <w:rPr>
          <w:rFonts w:ascii="Times New Roman" w:hAnsi="Times New Roman" w:cs="Times New Roman"/>
          <w:b/>
          <w:sz w:val="20"/>
          <w:szCs w:val="20"/>
        </w:rPr>
        <w:t xml:space="preserve">- </w:t>
      </w:r>
      <w:r w:rsidR="00667FC7">
        <w:rPr>
          <w:rFonts w:ascii="Times New Roman" w:hAnsi="Times New Roman" w:cs="Times New Roman"/>
          <w:b/>
          <w:sz w:val="20"/>
          <w:szCs w:val="20"/>
        </w:rPr>
        <w:t>Desarrollo normativo</w:t>
      </w:r>
      <w:r w:rsidR="00667FC7" w:rsidRPr="00CB2853">
        <w:rPr>
          <w:rFonts w:ascii="Times New Roman" w:hAnsi="Times New Roman" w:cs="Times New Roman"/>
          <w:b/>
          <w:sz w:val="20"/>
          <w:szCs w:val="20"/>
        </w:rPr>
        <w:t xml:space="preserve"> </w:t>
      </w:r>
    </w:p>
    <w:p w:rsidR="00667FC7" w:rsidRDefault="00667FC7" w:rsidP="00B711F1">
      <w:pPr>
        <w:spacing w:after="240"/>
        <w:ind w:left="992"/>
        <w:jc w:val="both"/>
        <w:rPr>
          <w:rFonts w:ascii="Times New Roman" w:hAnsi="Times New Roman" w:cs="Times New Roman"/>
          <w:sz w:val="20"/>
        </w:rPr>
      </w:pPr>
      <w:r w:rsidRPr="00B711F1">
        <w:rPr>
          <w:rFonts w:ascii="Times New Roman" w:hAnsi="Times New Roman" w:cs="Times New Roman"/>
          <w:sz w:val="20"/>
        </w:rPr>
        <w:t>(11) Eliminación de la mayoría de edad para el procedimiento de rectificación registral estaba establecido por la derogada Ley 3/2007, de 15 de marzo, reguladora de la rectificación registral de la mención relativa al sexo de las personas.</w:t>
      </w:r>
      <w:r w:rsidR="00C806C6">
        <w:rPr>
          <w:rFonts w:ascii="Times New Roman" w:hAnsi="Times New Roman" w:cs="Times New Roman"/>
          <w:sz w:val="20"/>
        </w:rPr>
        <w:t xml:space="preserve"> </w:t>
      </w:r>
      <w:r w:rsidR="00C806C6" w:rsidRPr="00C806C6">
        <w:rPr>
          <w:rFonts w:ascii="Times New Roman" w:hAnsi="Times New Roman" w:cs="Times New Roman"/>
          <w:sz w:val="20"/>
        </w:rPr>
        <w:t>El procedimiento para la rectificación registral de la mención relativa al sexo viene regulado por la Instrucción de 26 de mayo de 2023, de la Dirección General de Seguridad Jurídica y Fe Pública.</w:t>
      </w:r>
    </w:p>
    <w:p w:rsidR="00364C86" w:rsidRDefault="00364C86" w:rsidP="00364C86">
      <w:pPr>
        <w:autoSpaceDE w:val="0"/>
        <w:autoSpaceDN w:val="0"/>
        <w:adjustRightInd w:val="0"/>
        <w:ind w:left="567"/>
        <w:jc w:val="both"/>
        <w:rPr>
          <w:rFonts w:ascii="Times New Roman" w:hAnsi="Times New Roman" w:cs="Times New Roman"/>
          <w:b/>
          <w:sz w:val="20"/>
          <w:szCs w:val="20"/>
        </w:rPr>
      </w:pPr>
      <w:r>
        <w:rPr>
          <w:rFonts w:ascii="Times New Roman" w:hAnsi="Times New Roman" w:cs="Times New Roman"/>
          <w:b/>
          <w:sz w:val="20"/>
          <w:szCs w:val="20"/>
        </w:rPr>
        <w:t>-</w:t>
      </w:r>
      <w:r w:rsidRPr="00CC70DF">
        <w:rPr>
          <w:rFonts w:ascii="Times New Roman" w:hAnsi="Times New Roman" w:cs="Times New Roman"/>
          <w:b/>
          <w:sz w:val="20"/>
          <w:szCs w:val="20"/>
        </w:rPr>
        <w:t>Medidas para prevenir y combatir la discriminación contra las personas pertenecientes a minorías étnicas</w:t>
      </w:r>
    </w:p>
    <w:p w:rsidR="00364C86" w:rsidRPr="00AE5749" w:rsidRDefault="00364C86" w:rsidP="00AE5749">
      <w:pPr>
        <w:spacing w:after="240"/>
        <w:ind w:left="992"/>
        <w:jc w:val="both"/>
        <w:rPr>
          <w:rFonts w:ascii="Times New Roman" w:hAnsi="Times New Roman" w:cs="Times New Roman"/>
          <w:sz w:val="20"/>
        </w:rPr>
      </w:pPr>
      <w:r w:rsidRPr="00AE5749">
        <w:rPr>
          <w:rFonts w:ascii="Times New Roman" w:hAnsi="Times New Roman" w:cs="Times New Roman"/>
          <w:sz w:val="20"/>
        </w:rPr>
        <w:t>(</w:t>
      </w:r>
      <w:r w:rsidRPr="00364C86">
        <w:rPr>
          <w:rFonts w:ascii="Times New Roman" w:hAnsi="Times New Roman" w:cs="Times New Roman"/>
          <w:sz w:val="20"/>
        </w:rPr>
        <w:t>22) Recopilac</w:t>
      </w:r>
      <w:r>
        <w:rPr>
          <w:rFonts w:ascii="Times New Roman" w:hAnsi="Times New Roman" w:cs="Times New Roman"/>
          <w:sz w:val="20"/>
        </w:rPr>
        <w:t xml:space="preserve">ión de datos por origen étnico - </w:t>
      </w:r>
      <w:r w:rsidRPr="00364C86">
        <w:rPr>
          <w:rFonts w:ascii="Times New Roman" w:hAnsi="Times New Roman" w:cs="Times New Roman"/>
          <w:sz w:val="20"/>
        </w:rPr>
        <w:t>La apertura del debate en el año 2020, con la sociedad civil y con diferentes departamentos y organismos de la Administración Pública, entre los que se encuentra la Agencia Europea de Derechos fundamentales (FRA), la Agencia Española de Protección de Datos (AEPD) y el Instituto Nacional de Estadística (INE), sobre cómo perfeccionar herramientas estadísticas que nos permitan poder recabar y publicar datos demográficos sobre la población desglosados por origen étnico para evaluar el racismo estructural de acuerdo con las recomendaciones de Naciones Unidas entre otros organismos internacionales y adoptar, con ese fin, métodos adecuados, garantizando la voluntariedad, la auto- adscripción identitaria y el anonimato, debate que ha sido considerado una práctica prometedora por la FRA</w:t>
      </w:r>
      <w:r>
        <w:rPr>
          <w:rFonts w:ascii="Times New Roman" w:hAnsi="Times New Roman" w:cs="Times New Roman"/>
          <w:sz w:val="20"/>
        </w:rPr>
        <w:t>(</w:t>
      </w:r>
      <w:hyperlink r:id="rId26" w:history="1">
        <w:r w:rsidRPr="00AE5749">
          <w:rPr>
            <w:rFonts w:ascii="Times New Roman" w:hAnsi="Times New Roman" w:cs="Times New Roman"/>
            <w:sz w:val="20"/>
          </w:rPr>
          <w:t>Debate on the appropriateness of introducing a question on ethnic origin in studies, surveys or reports | European Union Agency for Fundamental Rights (europa.eu)</w:t>
        </w:r>
      </w:hyperlink>
      <w:r w:rsidR="00AE5749">
        <w:rPr>
          <w:rFonts w:ascii="Times New Roman" w:hAnsi="Times New Roman" w:cs="Times New Roman"/>
          <w:sz w:val="20"/>
        </w:rPr>
        <w:t>)</w:t>
      </w:r>
      <w:r w:rsidRPr="00AE5749">
        <w:rPr>
          <w:rFonts w:ascii="Times New Roman" w:hAnsi="Times New Roman" w:cs="Times New Roman"/>
          <w:sz w:val="20"/>
        </w:rPr>
        <w:t xml:space="preserve">. </w:t>
      </w:r>
    </w:p>
    <w:p w:rsidR="004E42D5" w:rsidRDefault="00667FC7" w:rsidP="004E42D5">
      <w:pPr>
        <w:autoSpaceDE w:val="0"/>
        <w:autoSpaceDN w:val="0"/>
        <w:adjustRightInd w:val="0"/>
        <w:ind w:left="567"/>
        <w:jc w:val="both"/>
        <w:rPr>
          <w:rFonts w:ascii="Times New Roman" w:hAnsi="Times New Roman" w:cs="Times New Roman"/>
          <w:b/>
          <w:sz w:val="20"/>
          <w:szCs w:val="20"/>
        </w:rPr>
      </w:pPr>
      <w:r>
        <w:rPr>
          <w:rFonts w:ascii="Times New Roman" w:hAnsi="Times New Roman" w:cs="Times New Roman"/>
          <w:b/>
          <w:sz w:val="20"/>
          <w:szCs w:val="20"/>
        </w:rPr>
        <w:t xml:space="preserve">- </w:t>
      </w:r>
      <w:r w:rsidR="004E42D5" w:rsidRPr="00CB2853">
        <w:rPr>
          <w:rFonts w:ascii="Times New Roman" w:hAnsi="Times New Roman" w:cs="Times New Roman"/>
          <w:b/>
          <w:sz w:val="20"/>
          <w:szCs w:val="20"/>
        </w:rPr>
        <w:t>Población gitana</w:t>
      </w:r>
    </w:p>
    <w:p w:rsidR="004E42D5" w:rsidRDefault="00810548" w:rsidP="00F60464">
      <w:pPr>
        <w:spacing w:after="240"/>
        <w:ind w:left="992"/>
        <w:jc w:val="both"/>
        <w:rPr>
          <w:rFonts w:ascii="Times New Roman" w:hAnsi="Times New Roman" w:cs="Times New Roman"/>
          <w:sz w:val="20"/>
        </w:rPr>
      </w:pPr>
      <w:r>
        <w:rPr>
          <w:rFonts w:ascii="Times New Roman" w:hAnsi="Times New Roman" w:cs="Times New Roman"/>
          <w:sz w:val="20"/>
        </w:rPr>
        <w:t>(31</w:t>
      </w:r>
      <w:r w:rsidR="004E42D5" w:rsidRPr="00F60464">
        <w:rPr>
          <w:rFonts w:ascii="Times New Roman" w:hAnsi="Times New Roman" w:cs="Times New Roman"/>
          <w:sz w:val="20"/>
        </w:rPr>
        <w:t xml:space="preserve">) </w:t>
      </w:r>
      <w:r w:rsidR="00F60464" w:rsidRPr="00F60464">
        <w:rPr>
          <w:rFonts w:ascii="Times New Roman" w:hAnsi="Times New Roman" w:cs="Times New Roman"/>
          <w:sz w:val="20"/>
        </w:rPr>
        <w:t xml:space="preserve">La </w:t>
      </w:r>
      <w:r w:rsidR="004E42D5" w:rsidRPr="00F60464">
        <w:rPr>
          <w:rFonts w:ascii="Times New Roman" w:hAnsi="Times New Roman" w:cs="Times New Roman"/>
          <w:sz w:val="20"/>
        </w:rPr>
        <w:t>Red Equi-Sastipen-Rroma</w:t>
      </w:r>
      <w:r w:rsidR="00F60464" w:rsidRPr="00F60464">
        <w:rPr>
          <w:rFonts w:ascii="Times New Roman" w:hAnsi="Times New Roman" w:cs="Times New Roman"/>
          <w:sz w:val="20"/>
        </w:rPr>
        <w:t xml:space="preserve"> se creó en 2010 con el objetivo de incrementar el número de asociaciones gitanas interesadas en desarrollar intervenciones de salud. El trabajo de la Red fue reconocido como ejemplo inspirador de comunidad resiliente por la OMS y a su vez la OMS ha concedido a la Red Equi-Sastipen Rroma el Premio Nelson Mandela de Promoción de la Salud en 2020.</w:t>
      </w:r>
    </w:p>
    <w:p w:rsidR="00F60464" w:rsidRDefault="00F60464" w:rsidP="00F60464">
      <w:pPr>
        <w:ind w:left="567"/>
        <w:jc w:val="both"/>
        <w:rPr>
          <w:rFonts w:ascii="Times New Roman" w:eastAsia="Times New Roman" w:hAnsi="Times New Roman" w:cs="Times New Roman"/>
          <w:noProof/>
          <w:spacing w:val="2"/>
          <w:sz w:val="20"/>
          <w:szCs w:val="20"/>
          <w:u w:val="single"/>
        </w:rPr>
      </w:pPr>
      <w:r>
        <w:rPr>
          <w:rFonts w:ascii="Times New Roman" w:hAnsi="Times New Roman" w:cs="Times New Roman"/>
          <w:sz w:val="20"/>
        </w:rPr>
        <w:t xml:space="preserve">- </w:t>
      </w:r>
      <w:r w:rsidRPr="00F60464">
        <w:rPr>
          <w:rFonts w:ascii="Times New Roman" w:eastAsia="Times New Roman" w:hAnsi="Times New Roman" w:cs="Times New Roman"/>
          <w:b/>
          <w:noProof/>
          <w:spacing w:val="2"/>
          <w:sz w:val="20"/>
          <w:szCs w:val="20"/>
        </w:rPr>
        <w:t>Combatir los discursos de odio en internet</w:t>
      </w:r>
      <w:r w:rsidRPr="007043B0">
        <w:rPr>
          <w:rFonts w:ascii="Times New Roman" w:eastAsia="Times New Roman" w:hAnsi="Times New Roman" w:cs="Times New Roman"/>
          <w:noProof/>
          <w:spacing w:val="2"/>
          <w:sz w:val="20"/>
          <w:szCs w:val="20"/>
          <w:u w:val="single"/>
        </w:rPr>
        <w:t xml:space="preserve"> </w:t>
      </w:r>
    </w:p>
    <w:p w:rsidR="00F60464" w:rsidRDefault="00F60464" w:rsidP="00F60464">
      <w:pPr>
        <w:spacing w:after="240"/>
        <w:ind w:left="992"/>
        <w:jc w:val="both"/>
        <w:rPr>
          <w:rFonts w:ascii="Times New Roman" w:hAnsi="Times New Roman" w:cs="Times New Roman"/>
          <w:sz w:val="20"/>
        </w:rPr>
      </w:pPr>
      <w:r w:rsidRPr="00F60464">
        <w:rPr>
          <w:rFonts w:ascii="Times New Roman" w:hAnsi="Times New Roman" w:cs="Times New Roman"/>
          <w:sz w:val="20"/>
        </w:rPr>
        <w:t>(</w:t>
      </w:r>
      <w:r w:rsidR="00806B80">
        <w:rPr>
          <w:rFonts w:ascii="Times New Roman" w:hAnsi="Times New Roman" w:cs="Times New Roman"/>
          <w:sz w:val="20"/>
        </w:rPr>
        <w:t>51</w:t>
      </w:r>
      <w:r w:rsidRPr="00F60464">
        <w:rPr>
          <w:rFonts w:ascii="Times New Roman" w:hAnsi="Times New Roman" w:cs="Times New Roman"/>
          <w:sz w:val="20"/>
        </w:rPr>
        <w:t>) Código de Conducta para la lucha contra el discurso de odio online</w:t>
      </w:r>
      <w:r>
        <w:rPr>
          <w:rFonts w:ascii="Times New Roman" w:hAnsi="Times New Roman" w:cs="Times New Roman"/>
          <w:sz w:val="20"/>
        </w:rPr>
        <w:t>, f</w:t>
      </w:r>
      <w:r w:rsidRPr="00F60464">
        <w:rPr>
          <w:rFonts w:ascii="Times New Roman" w:hAnsi="Times New Roman" w:cs="Times New Roman"/>
          <w:sz w:val="20"/>
        </w:rPr>
        <w:t>irmado por la Comisión Europea en 2016 con las empresas de Internet, en la Recomendación (UE) 2018/334 de la Comisión, de 1 de marzo de 2018, sobre medidas para combatir eficazmente los contenidos ilícitos en línea.</w:t>
      </w:r>
    </w:p>
    <w:p w:rsidR="00F60464" w:rsidRDefault="00F60464" w:rsidP="00F60464">
      <w:pPr>
        <w:ind w:left="567"/>
        <w:jc w:val="both"/>
        <w:rPr>
          <w:rFonts w:ascii="Times New Roman" w:hAnsi="Times New Roman" w:cs="Times New Roman"/>
          <w:b/>
          <w:sz w:val="20"/>
        </w:rPr>
      </w:pPr>
      <w:r w:rsidRPr="00F60464">
        <w:rPr>
          <w:rFonts w:ascii="Times New Roman" w:hAnsi="Times New Roman" w:cs="Times New Roman"/>
          <w:b/>
          <w:sz w:val="20"/>
        </w:rPr>
        <w:t xml:space="preserve">- Instrumentos </w:t>
      </w:r>
    </w:p>
    <w:p w:rsidR="00F60464" w:rsidRDefault="00F60464" w:rsidP="00483B0B">
      <w:pPr>
        <w:spacing w:after="240"/>
        <w:ind w:left="992"/>
        <w:jc w:val="both"/>
        <w:rPr>
          <w:rFonts w:ascii="Times New Roman" w:hAnsi="Times New Roman" w:cs="Times New Roman"/>
          <w:sz w:val="20"/>
        </w:rPr>
      </w:pPr>
      <w:r w:rsidRPr="00483B0B">
        <w:rPr>
          <w:rFonts w:ascii="Times New Roman" w:hAnsi="Times New Roman" w:cs="Times New Roman"/>
          <w:sz w:val="20"/>
        </w:rPr>
        <w:t>(</w:t>
      </w:r>
      <w:r w:rsidR="008B3191">
        <w:rPr>
          <w:rFonts w:ascii="Times New Roman" w:hAnsi="Times New Roman" w:cs="Times New Roman"/>
          <w:sz w:val="20"/>
        </w:rPr>
        <w:t>56</w:t>
      </w:r>
      <w:r w:rsidRPr="00483B0B">
        <w:rPr>
          <w:rFonts w:ascii="Times New Roman" w:hAnsi="Times New Roman" w:cs="Times New Roman"/>
          <w:sz w:val="20"/>
        </w:rPr>
        <w:t>) Protección de las víctimas - denunciantes de casos de delitos de odio: medidas de protección previstas en la Ley 4/2015, de 27 de abril, del Estatuto de la víctima del delito. Para más información sobre las medidas previstas en la Ley, se remite a la información relativa al artículo 19 y 6.</w:t>
      </w:r>
    </w:p>
    <w:p w:rsidR="00483B0B" w:rsidRDefault="00483B0B" w:rsidP="00483B0B">
      <w:pPr>
        <w:ind w:left="567"/>
        <w:jc w:val="both"/>
        <w:rPr>
          <w:rFonts w:ascii="Times New Roman" w:hAnsi="Times New Roman" w:cs="Times New Roman"/>
          <w:b/>
          <w:sz w:val="20"/>
        </w:rPr>
      </w:pPr>
      <w:r>
        <w:rPr>
          <w:rFonts w:ascii="Times New Roman" w:hAnsi="Times New Roman" w:cs="Times New Roman"/>
          <w:b/>
          <w:sz w:val="20"/>
        </w:rPr>
        <w:t xml:space="preserve">- </w:t>
      </w:r>
      <w:r w:rsidRPr="00483B0B">
        <w:rPr>
          <w:rFonts w:ascii="Times New Roman" w:hAnsi="Times New Roman" w:cs="Times New Roman"/>
          <w:b/>
          <w:sz w:val="20"/>
        </w:rPr>
        <w:t xml:space="preserve">Datos estadísticos </w:t>
      </w:r>
    </w:p>
    <w:p w:rsidR="00483B0B" w:rsidRPr="00483B0B" w:rsidRDefault="00483B0B" w:rsidP="00DE1828">
      <w:pPr>
        <w:spacing w:after="360"/>
        <w:ind w:left="992"/>
        <w:jc w:val="both"/>
        <w:rPr>
          <w:rFonts w:ascii="Times New Roman" w:hAnsi="Times New Roman" w:cs="Times New Roman"/>
          <w:sz w:val="20"/>
        </w:rPr>
      </w:pPr>
      <w:r w:rsidRPr="00483B0B">
        <w:rPr>
          <w:rFonts w:ascii="Times New Roman" w:hAnsi="Times New Roman" w:cs="Times New Roman"/>
          <w:sz w:val="20"/>
        </w:rPr>
        <w:t>(</w:t>
      </w:r>
      <w:r w:rsidR="008D1466">
        <w:rPr>
          <w:rFonts w:ascii="Times New Roman" w:hAnsi="Times New Roman" w:cs="Times New Roman"/>
          <w:sz w:val="20"/>
        </w:rPr>
        <w:t>60</w:t>
      </w:r>
      <w:r w:rsidRPr="00483B0B">
        <w:rPr>
          <w:rFonts w:ascii="Times New Roman" w:hAnsi="Times New Roman" w:cs="Times New Roman"/>
          <w:sz w:val="20"/>
        </w:rPr>
        <w:t>) Armonización de las cifras estadísticas de delitos de odio: Las Fiscalías y la Secretaría de Estado de Seguridad ofrecen cifras distintas en el seguimiento de los delitos de odio. FFCCSE registran “incidentes de odio”, concepto más amplio que el de delitos.</w:t>
      </w:r>
    </w:p>
    <w:p w:rsidR="00DE1828" w:rsidRDefault="00DE1828" w:rsidP="00DE1828">
      <w:pPr>
        <w:pStyle w:val="Ttulo2"/>
        <w:spacing w:after="160"/>
        <w:ind w:hanging="142"/>
        <w:rPr>
          <w:rFonts w:ascii="Times New Roman" w:hAnsi="Times New Roman" w:cs="Times New Roman"/>
          <w:color w:val="auto"/>
          <w:sz w:val="22"/>
          <w:szCs w:val="22"/>
        </w:rPr>
      </w:pPr>
      <w:r w:rsidRPr="00DE1828">
        <w:rPr>
          <w:rFonts w:ascii="Times New Roman" w:hAnsi="Times New Roman" w:cs="Times New Roman"/>
          <w:color w:val="auto"/>
          <w:sz w:val="22"/>
          <w:szCs w:val="22"/>
        </w:rPr>
        <w:lastRenderedPageBreak/>
        <w:t>C. Violencia contra la mujer (arts. 2, 3, 6, 7 y 26)</w:t>
      </w:r>
    </w:p>
    <w:p w:rsidR="00445EEF" w:rsidRDefault="00DE1828" w:rsidP="00DE1828">
      <w:pPr>
        <w:ind w:left="567"/>
        <w:jc w:val="both"/>
        <w:rPr>
          <w:rFonts w:ascii="Times New Roman" w:hAnsi="Times New Roman" w:cs="Times New Roman"/>
          <w:b/>
          <w:sz w:val="20"/>
        </w:rPr>
      </w:pPr>
      <w:r>
        <w:rPr>
          <w:rFonts w:ascii="Times New Roman" w:hAnsi="Times New Roman" w:cs="Times New Roman"/>
          <w:b/>
          <w:sz w:val="20"/>
        </w:rPr>
        <w:t xml:space="preserve">- </w:t>
      </w:r>
      <w:r w:rsidR="00445EEF" w:rsidRPr="00445EEF">
        <w:rPr>
          <w:rFonts w:ascii="Times New Roman" w:hAnsi="Times New Roman" w:cs="Times New Roman"/>
          <w:b/>
          <w:sz w:val="20"/>
        </w:rPr>
        <w:t>Medidas adoptadas en materia de prevención, combate y sanción de la violencia contra las mujeres</w:t>
      </w:r>
    </w:p>
    <w:p w:rsidR="00445EEF" w:rsidRDefault="008B30D1" w:rsidP="0043284A">
      <w:pPr>
        <w:spacing w:after="240"/>
        <w:ind w:left="992"/>
        <w:jc w:val="both"/>
        <w:rPr>
          <w:rFonts w:ascii="Times New Roman" w:hAnsi="Times New Roman" w:cs="Times New Roman"/>
          <w:sz w:val="20"/>
        </w:rPr>
      </w:pPr>
      <w:r>
        <w:rPr>
          <w:rFonts w:ascii="Times New Roman" w:hAnsi="Times New Roman" w:cs="Times New Roman"/>
          <w:sz w:val="20"/>
        </w:rPr>
        <w:t>(63</w:t>
      </w:r>
      <w:r w:rsidR="00445EEF" w:rsidRPr="00445EEF">
        <w:rPr>
          <w:rFonts w:ascii="Times New Roman" w:hAnsi="Times New Roman" w:cs="Times New Roman"/>
          <w:sz w:val="20"/>
        </w:rPr>
        <w:t xml:space="preserve">) En </w:t>
      </w:r>
      <w:r w:rsidR="00445EEF">
        <w:rPr>
          <w:rFonts w:ascii="Times New Roman" w:hAnsi="Times New Roman" w:cs="Times New Roman"/>
          <w:sz w:val="20"/>
        </w:rPr>
        <w:t xml:space="preserve">el proceso </w:t>
      </w:r>
      <w:r w:rsidR="00445EEF" w:rsidRPr="00445EEF">
        <w:rPr>
          <w:rFonts w:ascii="Times New Roman" w:hAnsi="Times New Roman" w:cs="Times New Roman"/>
          <w:sz w:val="20"/>
        </w:rPr>
        <w:t xml:space="preserve">de elaboración </w:t>
      </w:r>
      <w:r w:rsidR="00445EEF">
        <w:rPr>
          <w:rFonts w:ascii="Times New Roman" w:hAnsi="Times New Roman" w:cs="Times New Roman"/>
          <w:sz w:val="20"/>
        </w:rPr>
        <w:t xml:space="preserve">de la LOGILS, </w:t>
      </w:r>
      <w:r w:rsidR="00445EEF" w:rsidRPr="00445EEF">
        <w:rPr>
          <w:rFonts w:ascii="Times New Roman" w:hAnsi="Times New Roman" w:cs="Times New Roman"/>
          <w:sz w:val="20"/>
        </w:rPr>
        <w:t>se tuvieron en cuenta, además de las previsiones del convenio del Consejo de Europa sobre prevención y lucha contra la violencia contra las mujeres y la violencia doméstica (Convenio de Estambul) y del Convenio del Consejo de Europa para la protección de los niños contra la explotación y el abuso sexual (Convenio de Lanzarote), las recomendaciones del Comité CEDAW, las recomendaciones del Comité sobre los Derechos de las Personas con Discapacidad de Naciones Unidas, y las recomendaciones de los mecanismos del sistema internacional y europeo de Derechos Humanos sobre la materia.</w:t>
      </w:r>
    </w:p>
    <w:p w:rsidR="0043284A" w:rsidRDefault="003916C2" w:rsidP="009A070A">
      <w:pPr>
        <w:spacing w:after="240"/>
        <w:ind w:left="992"/>
        <w:jc w:val="both"/>
        <w:rPr>
          <w:rFonts w:ascii="Times New Roman" w:hAnsi="Times New Roman" w:cs="Times New Roman"/>
          <w:sz w:val="20"/>
        </w:rPr>
      </w:pPr>
      <w:r>
        <w:rPr>
          <w:rFonts w:ascii="Times New Roman" w:hAnsi="Times New Roman" w:cs="Times New Roman"/>
          <w:sz w:val="20"/>
        </w:rPr>
        <w:t>(67</w:t>
      </w:r>
      <w:r w:rsidR="0043284A">
        <w:rPr>
          <w:rFonts w:ascii="Times New Roman" w:hAnsi="Times New Roman" w:cs="Times New Roman"/>
          <w:sz w:val="20"/>
        </w:rPr>
        <w:t xml:space="preserve">) </w:t>
      </w:r>
      <w:r w:rsidR="0043284A" w:rsidRPr="002D323F">
        <w:rPr>
          <w:rFonts w:ascii="Times New Roman" w:eastAsia="Times New Roman" w:hAnsi="Times New Roman" w:cs="Times New Roman"/>
          <w:noProof/>
          <w:spacing w:val="2"/>
          <w:sz w:val="20"/>
          <w:szCs w:val="20"/>
        </w:rPr>
        <w:t>Se adopta la definición general de feminicidio utilizada por la Relatora Especial de Violencia contra las Mujeres de Naciones Unidas. La clasificación de los feminicidios, a efectos estadísticos, se ha llevado a cabo a través de un proceso participado, en el que se ha consultado a personas expertas, así como al Observatorio Estatal de Violencia sobre la Mujer, al Foro Social contra la Trata con fines de explotación sexual y a las Unidades de Coordinación contra la Violencia sobre la Mujer y las Unidades de Violencia sobre la Mujer. También se han tenido en cuenta los estudios del EIGE en la materia.</w:t>
      </w:r>
      <w:r w:rsidR="0043284A">
        <w:rPr>
          <w:rFonts w:ascii="Times New Roman" w:eastAsia="Times New Roman" w:hAnsi="Times New Roman" w:cs="Times New Roman"/>
          <w:noProof/>
          <w:spacing w:val="2"/>
          <w:sz w:val="20"/>
          <w:szCs w:val="20"/>
        </w:rPr>
        <w:t xml:space="preserve"> Además, se señala que la </w:t>
      </w:r>
      <w:r w:rsidR="001B3D8F">
        <w:rPr>
          <w:rFonts w:ascii="Times New Roman" w:eastAsia="Times New Roman" w:hAnsi="Times New Roman" w:cs="Times New Roman"/>
          <w:noProof/>
          <w:spacing w:val="2"/>
          <w:sz w:val="20"/>
          <w:szCs w:val="20"/>
        </w:rPr>
        <w:t xml:space="preserve">definición de feminicidio sexual se comprende en los términos recogidos en la LO 10/2022. </w:t>
      </w:r>
    </w:p>
    <w:p w:rsidR="0043284A" w:rsidRDefault="003916C2" w:rsidP="0043284A">
      <w:pPr>
        <w:spacing w:after="360"/>
        <w:ind w:left="992"/>
        <w:jc w:val="both"/>
        <w:rPr>
          <w:rFonts w:ascii="Times New Roman" w:hAnsi="Times New Roman" w:cs="Times New Roman"/>
          <w:sz w:val="20"/>
        </w:rPr>
      </w:pPr>
      <w:r>
        <w:rPr>
          <w:rFonts w:ascii="Times New Roman" w:hAnsi="Times New Roman" w:cs="Times New Roman"/>
          <w:sz w:val="20"/>
        </w:rPr>
        <w:t>(68</w:t>
      </w:r>
      <w:r w:rsidR="002358B5">
        <w:rPr>
          <w:rFonts w:ascii="Times New Roman" w:hAnsi="Times New Roman" w:cs="Times New Roman"/>
          <w:sz w:val="20"/>
        </w:rPr>
        <w:t xml:space="preserve">) La Estrategia Estatal para combatir las Violencias Machistas 2022-2025, </w:t>
      </w:r>
      <w:r w:rsidR="002358B5" w:rsidRPr="002358B5">
        <w:rPr>
          <w:rFonts w:ascii="Times New Roman" w:hAnsi="Times New Roman" w:cs="Times New Roman"/>
          <w:sz w:val="20"/>
        </w:rPr>
        <w:t xml:space="preserve">se configura como un instrumento de planificación y ordenación de todas las actuaciones de las políticas públicas de los tres niveles de la administración pública española (Estado, Comunidades Autónomas y Entidades Locales), destinadas a prevenir, asistir integralmente y combatir todas las formas de violencia contra las mujeres, jóvenes, así como sus hijos e hijas. Esta Estrategia aborda medidas específicas para la erradicación de todas las formas de violencia, no sólo aquellas que se ejercen en el ámbito de la pareja o expareja, avanzando así en el cumplimiento del </w:t>
      </w:r>
      <w:r w:rsidR="002358B5">
        <w:rPr>
          <w:rFonts w:ascii="Times New Roman" w:hAnsi="Times New Roman" w:cs="Times New Roman"/>
          <w:sz w:val="20"/>
        </w:rPr>
        <w:t>Convenio de Estambul</w:t>
      </w:r>
      <w:r w:rsidR="002358B5" w:rsidRPr="002358B5">
        <w:rPr>
          <w:rFonts w:ascii="Times New Roman" w:hAnsi="Times New Roman" w:cs="Times New Roman"/>
          <w:sz w:val="20"/>
        </w:rPr>
        <w:t>.</w:t>
      </w:r>
    </w:p>
    <w:p w:rsidR="009A070A" w:rsidRPr="009A070A" w:rsidRDefault="009A070A" w:rsidP="009A070A">
      <w:pPr>
        <w:ind w:left="567"/>
        <w:jc w:val="both"/>
        <w:rPr>
          <w:rFonts w:ascii="Times New Roman" w:hAnsi="Times New Roman" w:cs="Times New Roman"/>
          <w:b/>
          <w:sz w:val="20"/>
        </w:rPr>
      </w:pPr>
      <w:r w:rsidRPr="009A070A">
        <w:rPr>
          <w:rFonts w:ascii="Times New Roman" w:hAnsi="Times New Roman" w:cs="Times New Roman"/>
          <w:b/>
          <w:sz w:val="20"/>
        </w:rPr>
        <w:t>- Mujeres y niñas con discapacidad</w:t>
      </w:r>
    </w:p>
    <w:p w:rsidR="009A070A" w:rsidRPr="00445EEF" w:rsidRDefault="009B441A" w:rsidP="0043284A">
      <w:pPr>
        <w:spacing w:after="360"/>
        <w:ind w:left="992"/>
        <w:jc w:val="both"/>
        <w:rPr>
          <w:rFonts w:ascii="Times New Roman" w:hAnsi="Times New Roman" w:cs="Times New Roman"/>
          <w:sz w:val="20"/>
        </w:rPr>
      </w:pPr>
      <w:r>
        <w:rPr>
          <w:rFonts w:ascii="Times New Roman" w:hAnsi="Times New Roman" w:cs="Times New Roman"/>
          <w:sz w:val="20"/>
        </w:rPr>
        <w:t>(74</w:t>
      </w:r>
      <w:r w:rsidR="009A070A">
        <w:rPr>
          <w:rFonts w:ascii="Times New Roman" w:hAnsi="Times New Roman" w:cs="Times New Roman"/>
          <w:sz w:val="20"/>
        </w:rPr>
        <w:t xml:space="preserve">) Estrategia Estatal para combatir las Violencias </w:t>
      </w:r>
      <w:r w:rsidR="00384BEB">
        <w:rPr>
          <w:rFonts w:ascii="Times New Roman" w:hAnsi="Times New Roman" w:cs="Times New Roman"/>
          <w:sz w:val="20"/>
        </w:rPr>
        <w:t>Machistas:</w:t>
      </w:r>
      <w:r w:rsidR="0073204E">
        <w:rPr>
          <w:rFonts w:ascii="Times New Roman" w:hAnsi="Times New Roman" w:cs="Times New Roman"/>
          <w:sz w:val="20"/>
        </w:rPr>
        <w:t xml:space="preserve"> e</w:t>
      </w:r>
      <w:r w:rsidR="009A070A" w:rsidRPr="00E75642">
        <w:rPr>
          <w:rFonts w:ascii="Times New Roman" w:hAnsi="Times New Roman" w:cs="Times New Roman"/>
          <w:sz w:val="20"/>
        </w:rPr>
        <w:t xml:space="preserve">ntre otras cuestiones, se aborda la mayor vulnerabilidad de las mujeres con discapacidad a la violencia en el ámbito reproductivo, especialmente a prácticas como la esterilización forzada, y se comparten datos de estudios promovidos por la Delegación y publicados en 2020: </w:t>
      </w:r>
      <w:r w:rsidR="009A070A" w:rsidRPr="007B5994">
        <w:rPr>
          <w:rFonts w:ascii="Times New Roman" w:hAnsi="Times New Roman" w:cs="Times New Roman"/>
          <w:i/>
          <w:sz w:val="20"/>
        </w:rPr>
        <w:t>La violencia sexual en las mujeres con discapacidad intelectual y Mujer, discapacidad y violencia de género</w:t>
      </w:r>
      <w:r w:rsidR="009A070A" w:rsidRPr="00E75642">
        <w:rPr>
          <w:rFonts w:ascii="Times New Roman" w:hAnsi="Times New Roman" w:cs="Times New Roman"/>
          <w:sz w:val="20"/>
        </w:rPr>
        <w:t>.</w:t>
      </w:r>
    </w:p>
    <w:p w:rsidR="00DE1828" w:rsidRDefault="00445EEF" w:rsidP="00DE1828">
      <w:pPr>
        <w:ind w:left="567"/>
        <w:jc w:val="both"/>
        <w:rPr>
          <w:rFonts w:ascii="Times New Roman" w:hAnsi="Times New Roman" w:cs="Times New Roman"/>
          <w:b/>
          <w:sz w:val="20"/>
        </w:rPr>
      </w:pPr>
      <w:r>
        <w:rPr>
          <w:rFonts w:ascii="Times New Roman" w:hAnsi="Times New Roman" w:cs="Times New Roman"/>
          <w:b/>
          <w:sz w:val="20"/>
        </w:rPr>
        <w:t xml:space="preserve">- </w:t>
      </w:r>
      <w:r w:rsidR="00DE1828" w:rsidRPr="00DE1828">
        <w:rPr>
          <w:rFonts w:ascii="Times New Roman" w:hAnsi="Times New Roman" w:cs="Times New Roman"/>
          <w:b/>
          <w:sz w:val="20"/>
        </w:rPr>
        <w:t>Mujeres migrantes</w:t>
      </w:r>
    </w:p>
    <w:p w:rsidR="00DE1828" w:rsidRDefault="00DE1828" w:rsidP="00DE1828">
      <w:pPr>
        <w:spacing w:after="360"/>
        <w:ind w:left="992"/>
        <w:jc w:val="both"/>
        <w:rPr>
          <w:rFonts w:ascii="Times New Roman" w:hAnsi="Times New Roman" w:cs="Times New Roman"/>
          <w:sz w:val="20"/>
        </w:rPr>
      </w:pPr>
      <w:r w:rsidRPr="00DE1828">
        <w:rPr>
          <w:rFonts w:ascii="Times New Roman" w:hAnsi="Times New Roman" w:cs="Times New Roman"/>
          <w:sz w:val="20"/>
        </w:rPr>
        <w:t>(</w:t>
      </w:r>
      <w:r w:rsidR="009B441A">
        <w:rPr>
          <w:rFonts w:ascii="Times New Roman" w:hAnsi="Times New Roman" w:cs="Times New Roman"/>
          <w:sz w:val="20"/>
        </w:rPr>
        <w:t>78</w:t>
      </w:r>
      <w:r w:rsidRPr="00DE1828">
        <w:rPr>
          <w:rFonts w:ascii="Times New Roman" w:hAnsi="Times New Roman" w:cs="Times New Roman"/>
          <w:sz w:val="20"/>
        </w:rPr>
        <w:t xml:space="preserve">) Ampliación de los sujetos legitimados para certificar situaciones de violencia de género: </w:t>
      </w:r>
      <w:r w:rsidR="00F93CF5" w:rsidRPr="00DE1828">
        <w:rPr>
          <w:rFonts w:ascii="Times New Roman" w:hAnsi="Times New Roman" w:cs="Times New Roman"/>
          <w:sz w:val="20"/>
        </w:rPr>
        <w:t>Reforma</w:t>
      </w:r>
      <w:r w:rsidRPr="00DE1828">
        <w:rPr>
          <w:rFonts w:ascii="Times New Roman" w:hAnsi="Times New Roman" w:cs="Times New Roman"/>
          <w:sz w:val="20"/>
        </w:rPr>
        <w:t xml:space="preserve"> del artículo 23 de </w:t>
      </w:r>
      <w:r w:rsidRPr="00F93CF5">
        <w:rPr>
          <w:rFonts w:ascii="Times New Roman" w:hAnsi="Times New Roman" w:cs="Times New Roman"/>
          <w:i/>
          <w:sz w:val="20"/>
        </w:rPr>
        <w:t>la Ley Orgánica 1/2004, de 28 de diciembre, de Medidas de Protección Integral contra la Violencia de Género</w:t>
      </w:r>
      <w:r w:rsidRPr="00DE1828">
        <w:rPr>
          <w:rFonts w:ascii="Times New Roman" w:hAnsi="Times New Roman" w:cs="Times New Roman"/>
          <w:sz w:val="20"/>
        </w:rPr>
        <w:t xml:space="preserve">.  </w:t>
      </w:r>
    </w:p>
    <w:p w:rsidR="006F130E" w:rsidRPr="009B441A" w:rsidRDefault="00AF2225" w:rsidP="009B441A">
      <w:pPr>
        <w:spacing w:after="360"/>
        <w:ind w:left="992"/>
        <w:jc w:val="both"/>
        <w:rPr>
          <w:rFonts w:ascii="Times New Roman" w:hAnsi="Times New Roman" w:cs="Times New Roman"/>
          <w:sz w:val="20"/>
        </w:rPr>
      </w:pPr>
      <w:r>
        <w:rPr>
          <w:rFonts w:ascii="Times New Roman" w:hAnsi="Times New Roman" w:cs="Times New Roman"/>
          <w:sz w:val="20"/>
        </w:rPr>
        <w:t>(</w:t>
      </w:r>
      <w:r w:rsidR="009B441A">
        <w:rPr>
          <w:rFonts w:ascii="Times New Roman" w:hAnsi="Times New Roman" w:cs="Times New Roman"/>
          <w:sz w:val="20"/>
        </w:rPr>
        <w:t>79</w:t>
      </w:r>
      <w:r>
        <w:rPr>
          <w:rFonts w:ascii="Times New Roman" w:hAnsi="Times New Roman" w:cs="Times New Roman"/>
          <w:sz w:val="20"/>
        </w:rPr>
        <w:t xml:space="preserve">) PSP – Idiomas disponibles: </w:t>
      </w:r>
      <w:r w:rsidRPr="00AF2225">
        <w:rPr>
          <w:rFonts w:ascii="Times New Roman" w:hAnsi="Times New Roman" w:cs="Times New Roman"/>
          <w:sz w:val="20"/>
        </w:rPr>
        <w:t>inglés, francés, alemán, rumano, portugués, chino, árabe y ruso.</w:t>
      </w:r>
    </w:p>
    <w:p w:rsidR="006F130E" w:rsidRDefault="006F130E" w:rsidP="006F130E">
      <w:pPr>
        <w:ind w:left="567"/>
        <w:jc w:val="both"/>
        <w:rPr>
          <w:rFonts w:ascii="Times New Roman" w:hAnsi="Times New Roman" w:cs="Times New Roman"/>
          <w:b/>
          <w:sz w:val="20"/>
        </w:rPr>
      </w:pPr>
      <w:r w:rsidRPr="006F130E">
        <w:rPr>
          <w:rFonts w:ascii="Times New Roman" w:hAnsi="Times New Roman" w:cs="Times New Roman"/>
          <w:b/>
          <w:sz w:val="20"/>
        </w:rPr>
        <w:t>- Implementación y resultados PEVG</w:t>
      </w:r>
    </w:p>
    <w:p w:rsidR="006F130E" w:rsidRPr="006F130E" w:rsidRDefault="009B441A" w:rsidP="006F130E">
      <w:pPr>
        <w:spacing w:after="360"/>
        <w:ind w:left="992"/>
        <w:jc w:val="both"/>
        <w:rPr>
          <w:rFonts w:ascii="Times New Roman" w:hAnsi="Times New Roman" w:cs="Times New Roman"/>
          <w:sz w:val="20"/>
        </w:rPr>
      </w:pPr>
      <w:r>
        <w:rPr>
          <w:rFonts w:ascii="Times New Roman" w:hAnsi="Times New Roman" w:cs="Times New Roman"/>
          <w:sz w:val="20"/>
        </w:rPr>
        <w:t>(81</w:t>
      </w:r>
      <w:r w:rsidR="006F130E" w:rsidRPr="006F130E">
        <w:rPr>
          <w:rFonts w:ascii="Times New Roman" w:hAnsi="Times New Roman" w:cs="Times New Roman"/>
          <w:sz w:val="20"/>
        </w:rPr>
        <w:t>) Para el desarrollo del P</w:t>
      </w:r>
      <w:r w:rsidR="006F130E">
        <w:rPr>
          <w:rFonts w:ascii="Times New Roman" w:hAnsi="Times New Roman" w:cs="Times New Roman"/>
          <w:sz w:val="20"/>
        </w:rPr>
        <w:t>EVG</w:t>
      </w:r>
      <w:r w:rsidR="006F130E" w:rsidRPr="006F130E">
        <w:rPr>
          <w:rFonts w:ascii="Times New Roman" w:hAnsi="Times New Roman" w:cs="Times New Roman"/>
          <w:sz w:val="20"/>
        </w:rPr>
        <w:t>, el Gobierno, a través de la D</w:t>
      </w:r>
      <w:r w:rsidR="006F130E">
        <w:rPr>
          <w:rFonts w:ascii="Times New Roman" w:hAnsi="Times New Roman" w:cs="Times New Roman"/>
          <w:sz w:val="20"/>
        </w:rPr>
        <w:t>GVE</w:t>
      </w:r>
      <w:r w:rsidR="006F130E" w:rsidRPr="006F130E">
        <w:rPr>
          <w:rFonts w:ascii="Times New Roman" w:hAnsi="Times New Roman" w:cs="Times New Roman"/>
          <w:sz w:val="20"/>
        </w:rPr>
        <w:t>, impulsa las medidas en coordinación con el resto de Ministerios y Organismos Autónomos dependientes, así como con las C</w:t>
      </w:r>
      <w:r w:rsidR="006F130E">
        <w:rPr>
          <w:rFonts w:ascii="Times New Roman" w:hAnsi="Times New Roman" w:cs="Times New Roman"/>
          <w:sz w:val="20"/>
        </w:rPr>
        <w:t xml:space="preserve">C. AA </w:t>
      </w:r>
      <w:r w:rsidR="006F130E" w:rsidRPr="006F130E">
        <w:rPr>
          <w:rFonts w:ascii="Times New Roman" w:hAnsi="Times New Roman" w:cs="Times New Roman"/>
          <w:sz w:val="20"/>
        </w:rPr>
        <w:t>y Entidades Locales representadas por la Federación Españo</w:t>
      </w:r>
      <w:r w:rsidR="006F130E">
        <w:rPr>
          <w:rFonts w:ascii="Times New Roman" w:hAnsi="Times New Roman" w:cs="Times New Roman"/>
          <w:sz w:val="20"/>
        </w:rPr>
        <w:t xml:space="preserve">la de Municipios y Provincias.  </w:t>
      </w:r>
      <w:r w:rsidR="006F130E" w:rsidRPr="006F130E">
        <w:rPr>
          <w:rFonts w:ascii="Times New Roman" w:hAnsi="Times New Roman" w:cs="Times New Roman"/>
          <w:sz w:val="20"/>
        </w:rPr>
        <w:t>La D</w:t>
      </w:r>
      <w:r w:rsidR="006F130E">
        <w:rPr>
          <w:rFonts w:ascii="Times New Roman" w:hAnsi="Times New Roman" w:cs="Times New Roman"/>
          <w:sz w:val="20"/>
        </w:rPr>
        <w:t>GVE</w:t>
      </w:r>
      <w:r w:rsidR="006F130E" w:rsidRPr="006F130E">
        <w:rPr>
          <w:rFonts w:ascii="Times New Roman" w:hAnsi="Times New Roman" w:cs="Times New Roman"/>
          <w:sz w:val="20"/>
        </w:rPr>
        <w:t xml:space="preserve">, en virtud de la medida 285, realiza en el primer semestre de 2022, el </w:t>
      </w:r>
      <w:r w:rsidR="006F130E" w:rsidRPr="006F130E">
        <w:rPr>
          <w:rFonts w:ascii="Times New Roman" w:hAnsi="Times New Roman" w:cs="Times New Roman"/>
          <w:sz w:val="20"/>
        </w:rPr>
        <w:lastRenderedPageBreak/>
        <w:t>informe de evaluación a cinco años, en el que se recoge, medida a medida, lo que se ha realizado desde el inicio de la vigencia del P</w:t>
      </w:r>
      <w:r w:rsidR="006F130E">
        <w:rPr>
          <w:rFonts w:ascii="Times New Roman" w:hAnsi="Times New Roman" w:cs="Times New Roman"/>
          <w:sz w:val="20"/>
        </w:rPr>
        <w:t xml:space="preserve">EVG </w:t>
      </w:r>
      <w:r w:rsidR="006F130E" w:rsidRPr="006F130E">
        <w:rPr>
          <w:rFonts w:ascii="Times New Roman" w:hAnsi="Times New Roman" w:cs="Times New Roman"/>
          <w:sz w:val="20"/>
        </w:rPr>
        <w:t>por parte de la A</w:t>
      </w:r>
      <w:r w:rsidR="006F130E">
        <w:rPr>
          <w:rFonts w:ascii="Times New Roman" w:hAnsi="Times New Roman" w:cs="Times New Roman"/>
          <w:sz w:val="20"/>
        </w:rPr>
        <w:t>GE. S</w:t>
      </w:r>
      <w:r w:rsidR="006F130E" w:rsidRPr="006F130E">
        <w:rPr>
          <w:rFonts w:ascii="Times New Roman" w:hAnsi="Times New Roman" w:cs="Times New Roman"/>
          <w:sz w:val="20"/>
        </w:rPr>
        <w:t>e han evaluado los resultados y aplicación del mismo tanto por parte de la Comisión Mixta de Seguimiento del Senado como por la D</w:t>
      </w:r>
      <w:r w:rsidR="006F130E">
        <w:rPr>
          <w:rFonts w:ascii="Times New Roman" w:hAnsi="Times New Roman" w:cs="Times New Roman"/>
          <w:sz w:val="20"/>
        </w:rPr>
        <w:t xml:space="preserve">GVE </w:t>
      </w:r>
      <w:r w:rsidR="006F130E" w:rsidRPr="006F130E">
        <w:rPr>
          <w:rFonts w:ascii="Times New Roman" w:hAnsi="Times New Roman" w:cs="Times New Roman"/>
          <w:sz w:val="20"/>
        </w:rPr>
        <w:t xml:space="preserve">(Ministerio de Igualdad), dándose por cumplida la medida 289. </w:t>
      </w:r>
      <w:r w:rsidR="006F130E">
        <w:rPr>
          <w:rFonts w:ascii="Times New Roman" w:hAnsi="Times New Roman" w:cs="Times New Roman"/>
          <w:sz w:val="20"/>
        </w:rPr>
        <w:t xml:space="preserve">Disponible: </w:t>
      </w:r>
      <w:hyperlink r:id="rId27" w:history="1">
        <w:r w:rsidR="006F130E" w:rsidRPr="00D50F74">
          <w:rPr>
            <w:rStyle w:val="Hipervnculo"/>
            <w:rFonts w:ascii="Times New Roman" w:hAnsi="Times New Roman" w:cs="Times New Roman"/>
            <w:sz w:val="20"/>
          </w:rPr>
          <w:t>https://violenciagenero.igualdad.gob.es/pactoEstado/InformeEvaluacion.htm</w:t>
        </w:r>
      </w:hyperlink>
      <w:r w:rsidR="006F130E">
        <w:rPr>
          <w:rFonts w:ascii="Times New Roman" w:hAnsi="Times New Roman" w:cs="Times New Roman"/>
          <w:sz w:val="20"/>
        </w:rPr>
        <w:t xml:space="preserve"> </w:t>
      </w:r>
    </w:p>
    <w:p w:rsidR="004E03A8" w:rsidRDefault="004E03A8" w:rsidP="004E03A8">
      <w:pPr>
        <w:ind w:left="567"/>
        <w:jc w:val="both"/>
        <w:rPr>
          <w:rFonts w:ascii="Times New Roman" w:hAnsi="Times New Roman" w:cs="Times New Roman"/>
          <w:b/>
          <w:sz w:val="20"/>
        </w:rPr>
      </w:pPr>
      <w:r>
        <w:rPr>
          <w:rFonts w:ascii="Times New Roman" w:hAnsi="Times New Roman" w:cs="Times New Roman"/>
          <w:b/>
          <w:sz w:val="20"/>
        </w:rPr>
        <w:t xml:space="preserve">- </w:t>
      </w:r>
      <w:r w:rsidRPr="004E03A8">
        <w:rPr>
          <w:rFonts w:ascii="Times New Roman" w:hAnsi="Times New Roman" w:cs="Times New Roman"/>
          <w:b/>
          <w:sz w:val="20"/>
        </w:rPr>
        <w:t>Caso “La Manada”, 2016</w:t>
      </w:r>
    </w:p>
    <w:p w:rsidR="00DE1828" w:rsidRDefault="004E03A8" w:rsidP="006F130E">
      <w:pPr>
        <w:spacing w:after="240"/>
        <w:ind w:left="992"/>
        <w:jc w:val="both"/>
        <w:rPr>
          <w:rFonts w:ascii="Times New Roman" w:hAnsi="Times New Roman" w:cs="Times New Roman"/>
          <w:sz w:val="20"/>
        </w:rPr>
      </w:pPr>
      <w:r w:rsidRPr="000770D5">
        <w:rPr>
          <w:rFonts w:ascii="Times New Roman" w:hAnsi="Times New Roman" w:cs="Times New Roman"/>
          <w:sz w:val="20"/>
        </w:rPr>
        <w:t>(</w:t>
      </w:r>
      <w:r w:rsidR="009B441A">
        <w:rPr>
          <w:rFonts w:ascii="Times New Roman" w:hAnsi="Times New Roman" w:cs="Times New Roman"/>
          <w:sz w:val="20"/>
        </w:rPr>
        <w:t>82</w:t>
      </w:r>
      <w:r w:rsidRPr="000770D5">
        <w:rPr>
          <w:rFonts w:ascii="Times New Roman" w:hAnsi="Times New Roman" w:cs="Times New Roman"/>
          <w:sz w:val="20"/>
        </w:rPr>
        <w:t xml:space="preserve">) </w:t>
      </w:r>
      <w:r w:rsidR="00692F4A" w:rsidRPr="000770D5">
        <w:rPr>
          <w:rFonts w:ascii="Times New Roman" w:hAnsi="Times New Roman" w:cs="Times New Roman"/>
          <w:sz w:val="20"/>
        </w:rPr>
        <w:t>La sentencia del Tribunal Superior de Justicia de Navarra confirmaba la sentencia de la Audiencia Provincial de Navarra (delito continuado de abuso sexual con prevalimiento; arts. 181.3 y 4 del CP en relación con sus arts. 192 y 74) a las penas de 9 años de prisión, de inhabilitación especial para el ejercicio del derecho de sufragio pasivo durante el tiempo de la condena, y al pago de una tercera parte de las costas procesales.</w:t>
      </w:r>
    </w:p>
    <w:p w:rsidR="005E4200" w:rsidRPr="005E4200" w:rsidRDefault="005E4200" w:rsidP="005E4200">
      <w:pPr>
        <w:pStyle w:val="Ttulo2"/>
        <w:spacing w:after="160"/>
        <w:ind w:right="-427" w:hanging="142"/>
        <w:rPr>
          <w:rFonts w:ascii="Times New Roman" w:hAnsi="Times New Roman" w:cs="Times New Roman"/>
          <w:color w:val="auto"/>
          <w:sz w:val="22"/>
          <w:szCs w:val="22"/>
        </w:rPr>
      </w:pPr>
      <w:r w:rsidRPr="005E4200">
        <w:rPr>
          <w:rFonts w:ascii="Times New Roman" w:hAnsi="Times New Roman" w:cs="Times New Roman"/>
          <w:color w:val="auto"/>
          <w:sz w:val="22"/>
          <w:szCs w:val="22"/>
        </w:rPr>
        <w:t>E. Niños con variaciones de las características sexuales (intersexuales)</w:t>
      </w:r>
    </w:p>
    <w:p w:rsidR="00D31D16" w:rsidRPr="005E4200" w:rsidRDefault="009B441A" w:rsidP="005E4200">
      <w:pPr>
        <w:spacing w:after="240"/>
        <w:ind w:left="992"/>
        <w:jc w:val="both"/>
        <w:rPr>
          <w:rFonts w:ascii="Times New Roman" w:hAnsi="Times New Roman" w:cs="Times New Roman"/>
          <w:sz w:val="20"/>
        </w:rPr>
      </w:pPr>
      <w:r>
        <w:rPr>
          <w:rFonts w:ascii="Times New Roman" w:hAnsi="Times New Roman" w:cs="Times New Roman"/>
          <w:sz w:val="20"/>
        </w:rPr>
        <w:t>(88</w:t>
      </w:r>
      <w:r w:rsidR="005E4200" w:rsidRPr="005E4200">
        <w:rPr>
          <w:rFonts w:ascii="Times New Roman" w:hAnsi="Times New Roman" w:cs="Times New Roman"/>
          <w:sz w:val="20"/>
        </w:rPr>
        <w:t>) Real Decreto 1030/2006</w:t>
      </w:r>
      <w:r w:rsidR="005E4200">
        <w:rPr>
          <w:rFonts w:ascii="Times New Roman" w:hAnsi="Times New Roman" w:cs="Times New Roman"/>
          <w:sz w:val="20"/>
        </w:rPr>
        <w:t xml:space="preserve"> establece que</w:t>
      </w:r>
      <w:r w:rsidR="005E4200" w:rsidRPr="005E4200">
        <w:rPr>
          <w:rFonts w:ascii="Times New Roman" w:hAnsi="Times New Roman" w:cs="Times New Roman"/>
          <w:sz w:val="20"/>
        </w:rPr>
        <w:t xml:space="preserve"> todos los usuarios del SNS tendrán acceso a las prestaciones de la cartera común de servicios, siempre que exista una indicación clínica y sanitaria para ello, en condiciones de igualdad efectiva, al margen de que se disponga o no de una técnica, tecnología o procedimiento en el ámbito geográfico en el que residan.</w:t>
      </w:r>
    </w:p>
    <w:p w:rsidR="000770D5" w:rsidRDefault="000770D5" w:rsidP="000770D5">
      <w:pPr>
        <w:pStyle w:val="Ttulo2"/>
        <w:spacing w:after="160"/>
        <w:ind w:right="-427" w:hanging="142"/>
        <w:rPr>
          <w:rFonts w:ascii="Times New Roman" w:hAnsi="Times New Roman" w:cs="Times New Roman"/>
          <w:color w:val="auto"/>
          <w:sz w:val="22"/>
          <w:szCs w:val="22"/>
        </w:rPr>
      </w:pPr>
      <w:r w:rsidRPr="000770D5">
        <w:rPr>
          <w:rFonts w:ascii="Times New Roman" w:hAnsi="Times New Roman" w:cs="Times New Roman"/>
          <w:color w:val="auto"/>
          <w:sz w:val="22"/>
          <w:szCs w:val="22"/>
        </w:rPr>
        <w:t>F. Derecho a la vida, prohibición de la tortura y otros tratos o penas crueles, inhumanos o degradantes (arts. 6, 7, 19 y 21)</w:t>
      </w:r>
    </w:p>
    <w:p w:rsidR="00D31D16" w:rsidRPr="00D31D16" w:rsidRDefault="00D31D16" w:rsidP="00D31D16">
      <w:pPr>
        <w:ind w:left="567"/>
        <w:jc w:val="both"/>
        <w:rPr>
          <w:rFonts w:ascii="Times New Roman" w:hAnsi="Times New Roman" w:cs="Times New Roman"/>
          <w:b/>
          <w:sz w:val="20"/>
        </w:rPr>
      </w:pPr>
      <w:r>
        <w:rPr>
          <w:rFonts w:ascii="Times New Roman" w:hAnsi="Times New Roman" w:cs="Times New Roman"/>
          <w:b/>
          <w:sz w:val="20"/>
        </w:rPr>
        <w:t xml:space="preserve">- </w:t>
      </w:r>
      <w:r w:rsidRPr="00D31D16">
        <w:rPr>
          <w:rFonts w:ascii="Times New Roman" w:hAnsi="Times New Roman" w:cs="Times New Roman"/>
          <w:b/>
          <w:sz w:val="20"/>
        </w:rPr>
        <w:t>Desapariciones y Memoria Democrática</w:t>
      </w:r>
    </w:p>
    <w:p w:rsidR="00D31D16" w:rsidRDefault="009D163C" w:rsidP="00D31D16">
      <w:pPr>
        <w:spacing w:after="360"/>
        <w:ind w:left="992"/>
        <w:jc w:val="both"/>
        <w:rPr>
          <w:rFonts w:ascii="Times New Roman" w:hAnsi="Times New Roman" w:cs="Times New Roman"/>
          <w:sz w:val="20"/>
        </w:rPr>
      </w:pPr>
      <w:r>
        <w:rPr>
          <w:rFonts w:ascii="Times New Roman" w:hAnsi="Times New Roman" w:cs="Times New Roman"/>
          <w:sz w:val="20"/>
        </w:rPr>
        <w:t>(128</w:t>
      </w:r>
      <w:r w:rsidR="00D31D16" w:rsidRPr="00D31D16">
        <w:rPr>
          <w:rFonts w:ascii="Times New Roman" w:hAnsi="Times New Roman" w:cs="Times New Roman"/>
          <w:sz w:val="20"/>
        </w:rPr>
        <w:t xml:space="preserve">) La </w:t>
      </w:r>
      <w:r w:rsidR="00D31D16" w:rsidRPr="00E81B6E">
        <w:rPr>
          <w:rFonts w:ascii="Times New Roman" w:hAnsi="Times New Roman" w:cs="Times New Roman"/>
          <w:i/>
          <w:sz w:val="20"/>
        </w:rPr>
        <w:t>Ley 20/2022, de 19 de octubre, de Memoria Democrática</w:t>
      </w:r>
      <w:r w:rsidR="00D31D16" w:rsidRPr="00D31D16">
        <w:rPr>
          <w:rFonts w:ascii="Times New Roman" w:hAnsi="Times New Roman" w:cs="Times New Roman"/>
          <w:sz w:val="20"/>
        </w:rPr>
        <w:t>, contempla las propuestas de los informes realizados por el Grupo de Expertos sobre Desapariciones Forzadas (informe de julio de 2014 e informe de seguimiento de 2017) y el informe de 2014 del Relator Especial sobre la promoción de la verdad, la justicia, la reparación y las garantías de no repetición.</w:t>
      </w:r>
    </w:p>
    <w:p w:rsidR="00E33899" w:rsidRPr="00E33899" w:rsidRDefault="00E33899" w:rsidP="00E33899">
      <w:pPr>
        <w:pStyle w:val="Ttulo2"/>
        <w:spacing w:after="160"/>
        <w:ind w:right="-427" w:hanging="142"/>
        <w:rPr>
          <w:rFonts w:ascii="Times New Roman" w:hAnsi="Times New Roman" w:cs="Times New Roman"/>
          <w:color w:val="auto"/>
          <w:sz w:val="22"/>
          <w:szCs w:val="22"/>
        </w:rPr>
      </w:pPr>
      <w:bookmarkStart w:id="7" w:name="_Toc108696653"/>
      <w:r w:rsidRPr="00E33899">
        <w:rPr>
          <w:rFonts w:ascii="Times New Roman" w:hAnsi="Times New Roman" w:cs="Times New Roman"/>
          <w:color w:val="auto"/>
          <w:sz w:val="22"/>
          <w:szCs w:val="22"/>
        </w:rPr>
        <w:t>G. Trato dispensado a las personas privadas de libertad (arts. 7, 9, 10 y 14)</w:t>
      </w:r>
      <w:bookmarkEnd w:id="7"/>
    </w:p>
    <w:p w:rsidR="00E33899" w:rsidRPr="00E33899" w:rsidRDefault="00E33899" w:rsidP="00E33899">
      <w:pPr>
        <w:ind w:left="567"/>
        <w:jc w:val="both"/>
        <w:rPr>
          <w:rFonts w:ascii="Times New Roman" w:hAnsi="Times New Roman" w:cs="Times New Roman"/>
          <w:b/>
          <w:sz w:val="20"/>
        </w:rPr>
      </w:pPr>
      <w:r>
        <w:rPr>
          <w:rFonts w:ascii="Times New Roman" w:hAnsi="Times New Roman" w:cs="Times New Roman"/>
          <w:b/>
          <w:sz w:val="20"/>
        </w:rPr>
        <w:t xml:space="preserve">- </w:t>
      </w:r>
      <w:r w:rsidRPr="00E33899">
        <w:rPr>
          <w:rFonts w:ascii="Times New Roman" w:hAnsi="Times New Roman" w:cs="Times New Roman"/>
          <w:b/>
          <w:sz w:val="20"/>
        </w:rPr>
        <w:t>Datos estadísticos</w:t>
      </w:r>
    </w:p>
    <w:p w:rsidR="00DE1828" w:rsidRDefault="00E33899" w:rsidP="003C391B">
      <w:pPr>
        <w:spacing w:after="360"/>
        <w:ind w:left="992"/>
        <w:jc w:val="both"/>
        <w:rPr>
          <w:rFonts w:ascii="Times New Roman" w:hAnsi="Times New Roman" w:cs="Times New Roman"/>
          <w:sz w:val="20"/>
        </w:rPr>
      </w:pPr>
      <w:r w:rsidRPr="003C391B">
        <w:rPr>
          <w:rFonts w:ascii="Times New Roman" w:hAnsi="Times New Roman" w:cs="Times New Roman"/>
          <w:sz w:val="20"/>
        </w:rPr>
        <w:t>(</w:t>
      </w:r>
      <w:r w:rsidR="008B325E">
        <w:rPr>
          <w:rFonts w:ascii="Times New Roman" w:hAnsi="Times New Roman" w:cs="Times New Roman"/>
          <w:sz w:val="20"/>
        </w:rPr>
        <w:t>136</w:t>
      </w:r>
      <w:r w:rsidRPr="003C391B">
        <w:rPr>
          <w:rFonts w:ascii="Times New Roman" w:hAnsi="Times New Roman" w:cs="Times New Roman"/>
          <w:sz w:val="20"/>
        </w:rPr>
        <w:t xml:space="preserve">) </w:t>
      </w:r>
      <w:r w:rsidR="003C391B" w:rsidRPr="003C391B">
        <w:rPr>
          <w:rFonts w:ascii="Times New Roman" w:hAnsi="Times New Roman" w:cs="Times New Roman"/>
          <w:sz w:val="20"/>
        </w:rPr>
        <w:t>Número de personas privadas de libertad y período promedio de la prisión preventiva: Fuente</w:t>
      </w:r>
      <w:r w:rsidRPr="003C391B">
        <w:rPr>
          <w:rFonts w:ascii="Times New Roman" w:hAnsi="Times New Roman" w:cs="Times New Roman"/>
          <w:sz w:val="20"/>
        </w:rPr>
        <w:t>- Estadística de población reclusa con periodicidad mensual (31.08.2023)</w:t>
      </w:r>
    </w:p>
    <w:p w:rsidR="005F5350" w:rsidRDefault="005F5350" w:rsidP="005F5350">
      <w:pPr>
        <w:pStyle w:val="Ttulo2"/>
        <w:spacing w:after="160"/>
        <w:ind w:right="-427" w:hanging="142"/>
        <w:rPr>
          <w:rFonts w:ascii="Times New Roman" w:hAnsi="Times New Roman" w:cs="Times New Roman"/>
          <w:color w:val="auto"/>
          <w:sz w:val="22"/>
          <w:szCs w:val="22"/>
        </w:rPr>
      </w:pPr>
      <w:bookmarkStart w:id="8" w:name="_Toc108696658"/>
      <w:r w:rsidRPr="005F5350">
        <w:rPr>
          <w:rFonts w:ascii="Times New Roman" w:hAnsi="Times New Roman" w:cs="Times New Roman"/>
          <w:color w:val="auto"/>
          <w:sz w:val="22"/>
          <w:szCs w:val="22"/>
        </w:rPr>
        <w:t>H. Trata de personas (art. 8)</w:t>
      </w:r>
      <w:bookmarkEnd w:id="8"/>
    </w:p>
    <w:p w:rsidR="005F5350" w:rsidRPr="005F5350" w:rsidRDefault="005F5350" w:rsidP="005F5350">
      <w:pPr>
        <w:ind w:left="567"/>
        <w:jc w:val="both"/>
        <w:rPr>
          <w:rFonts w:ascii="Times New Roman" w:hAnsi="Times New Roman" w:cs="Times New Roman"/>
          <w:b/>
          <w:sz w:val="20"/>
        </w:rPr>
      </w:pPr>
      <w:r w:rsidRPr="005F5350">
        <w:rPr>
          <w:rFonts w:ascii="Times New Roman" w:hAnsi="Times New Roman" w:cs="Times New Roman"/>
          <w:b/>
          <w:sz w:val="20"/>
        </w:rPr>
        <w:t xml:space="preserve"> - Instrumentos y herramientas </w:t>
      </w:r>
    </w:p>
    <w:p w:rsidR="005F5350" w:rsidRDefault="0004048E" w:rsidP="005F5350">
      <w:pPr>
        <w:spacing w:after="360"/>
        <w:ind w:left="992"/>
        <w:jc w:val="both"/>
        <w:rPr>
          <w:rFonts w:ascii="Times New Roman" w:hAnsi="Times New Roman" w:cs="Times New Roman"/>
          <w:sz w:val="20"/>
        </w:rPr>
      </w:pPr>
      <w:r>
        <w:rPr>
          <w:rFonts w:ascii="Times New Roman" w:hAnsi="Times New Roman" w:cs="Times New Roman"/>
          <w:sz w:val="20"/>
        </w:rPr>
        <w:t>(163</w:t>
      </w:r>
      <w:r w:rsidR="005F5350" w:rsidRPr="005F5350">
        <w:rPr>
          <w:rFonts w:ascii="Times New Roman" w:hAnsi="Times New Roman" w:cs="Times New Roman"/>
          <w:sz w:val="20"/>
        </w:rPr>
        <w:t>) Plan Camino es un instrumento con carácter integral que contempla todos los aspectos relacionados con la garantía y ejercicio efectivos de todos los derechos de las víctimas de trata y explotación sexual y para mujeres en contextos de prostitución, incluida la inserción social y laboral. Su dotación económica es de 204 millones de euros.</w:t>
      </w:r>
    </w:p>
    <w:p w:rsidR="00E766AA" w:rsidRDefault="00BC4D9F" w:rsidP="00492306">
      <w:pPr>
        <w:spacing w:after="360"/>
        <w:ind w:left="992"/>
        <w:jc w:val="both"/>
        <w:rPr>
          <w:rFonts w:ascii="Times New Roman" w:hAnsi="Times New Roman" w:cs="Times New Roman"/>
          <w:sz w:val="20"/>
        </w:rPr>
      </w:pPr>
      <w:r>
        <w:rPr>
          <w:rFonts w:ascii="Times New Roman" w:hAnsi="Times New Roman" w:cs="Times New Roman"/>
          <w:sz w:val="20"/>
        </w:rPr>
        <w:t>(171</w:t>
      </w:r>
      <w:r w:rsidR="00E766AA">
        <w:rPr>
          <w:rFonts w:ascii="Times New Roman" w:hAnsi="Times New Roman" w:cs="Times New Roman"/>
          <w:sz w:val="20"/>
        </w:rPr>
        <w:t>) P</w:t>
      </w:r>
      <w:r w:rsidR="00E766AA" w:rsidRPr="00E766AA">
        <w:rPr>
          <w:rFonts w:ascii="Times New Roman" w:hAnsi="Times New Roman" w:cs="Times New Roman"/>
          <w:sz w:val="20"/>
        </w:rPr>
        <w:t>rocedimiento para la tramitación de solicitudes de protección internacional de niñas y niños no acompañados y separado</w:t>
      </w:r>
      <w:r w:rsidR="00E766AA">
        <w:rPr>
          <w:rFonts w:ascii="Times New Roman" w:hAnsi="Times New Roman" w:cs="Times New Roman"/>
          <w:sz w:val="20"/>
        </w:rPr>
        <w:t xml:space="preserve">, se ha </w:t>
      </w:r>
      <w:r w:rsidR="00E766AA" w:rsidRPr="00E766AA">
        <w:rPr>
          <w:rFonts w:ascii="Times New Roman" w:hAnsi="Times New Roman" w:cs="Times New Roman"/>
          <w:sz w:val="20"/>
        </w:rPr>
        <w:t>contado con aportaciones de la Fiscalía de sala de menores y la Fiscalía de sala de extranjería.</w:t>
      </w:r>
    </w:p>
    <w:p w:rsidR="00492306" w:rsidRDefault="00492306" w:rsidP="00492306">
      <w:pPr>
        <w:spacing w:after="360"/>
        <w:ind w:left="992"/>
        <w:jc w:val="both"/>
        <w:rPr>
          <w:rFonts w:ascii="Times New Roman" w:hAnsi="Times New Roman" w:cs="Times New Roman"/>
          <w:sz w:val="20"/>
        </w:rPr>
      </w:pPr>
      <w:r>
        <w:rPr>
          <w:rFonts w:ascii="Times New Roman" w:hAnsi="Times New Roman" w:cs="Times New Roman"/>
          <w:sz w:val="20"/>
        </w:rPr>
        <w:t>(</w:t>
      </w:r>
      <w:r w:rsidR="00BC4D9F">
        <w:rPr>
          <w:rFonts w:ascii="Times New Roman" w:hAnsi="Times New Roman" w:cs="Times New Roman"/>
          <w:sz w:val="20"/>
        </w:rPr>
        <w:t>173</w:t>
      </w:r>
      <w:r>
        <w:rPr>
          <w:rFonts w:ascii="Times New Roman" w:hAnsi="Times New Roman" w:cs="Times New Roman"/>
          <w:sz w:val="20"/>
        </w:rPr>
        <w:t xml:space="preserve">) - </w:t>
      </w:r>
      <w:r w:rsidRPr="00492306">
        <w:rPr>
          <w:rFonts w:ascii="Times New Roman" w:hAnsi="Times New Roman" w:cs="Times New Roman"/>
          <w:sz w:val="20"/>
        </w:rPr>
        <w:t>Real Decreto-ley 6/2022, de 29 de marzo, por el que se adoptan medidas urgentes en el del Plan Nacional de respuesta a las consecuencias económicas y sociales de la guerra en Ucrania, dentro de las medidas de protección a colectivos vulnerables, a fin de permitir el acceso a determinados servicios y recursos de las potenciales víctimas de trata de seres humanos y de explotación sexual, incluidas las derivadas</w:t>
      </w:r>
      <w:r>
        <w:rPr>
          <w:rFonts w:ascii="Times New Roman" w:hAnsi="Times New Roman" w:cs="Times New Roman"/>
          <w:sz w:val="20"/>
        </w:rPr>
        <w:t xml:space="preserve"> del desplazamiento de personas.</w:t>
      </w:r>
    </w:p>
    <w:p w:rsidR="00492306" w:rsidRDefault="00492306" w:rsidP="00492306">
      <w:pPr>
        <w:spacing w:after="360"/>
        <w:ind w:left="992"/>
        <w:jc w:val="both"/>
        <w:rPr>
          <w:rFonts w:ascii="Times New Roman" w:eastAsia="Times New Roman" w:hAnsi="Times New Roman" w:cs="Times New Roman"/>
          <w:noProof/>
          <w:spacing w:val="2"/>
          <w:sz w:val="20"/>
          <w:szCs w:val="20"/>
        </w:rPr>
      </w:pPr>
      <w:r>
        <w:rPr>
          <w:rFonts w:ascii="Times New Roman" w:hAnsi="Times New Roman" w:cs="Times New Roman"/>
          <w:sz w:val="20"/>
        </w:rPr>
        <w:lastRenderedPageBreak/>
        <w:t xml:space="preserve">- </w:t>
      </w:r>
      <w:r w:rsidRPr="00492306">
        <w:rPr>
          <w:rFonts w:ascii="Times New Roman" w:eastAsia="Times New Roman" w:hAnsi="Times New Roman" w:cs="Times New Roman"/>
          <w:noProof/>
          <w:spacing w:val="2"/>
          <w:sz w:val="20"/>
          <w:szCs w:val="20"/>
        </w:rPr>
        <w:t>Convocatoria de subvenciones públicas destinadas a proyectos de atención a mujeres y niñas víctimas de trata de seres humanos con fines de explotación sexual y sus hijos e hijas menores o con discapacidad (“convocatoria de trata”), cuyo importe ha aumentado de los 4 M€ en 2020 a los 7M € en 2023.</w:t>
      </w:r>
      <w:r>
        <w:rPr>
          <w:rFonts w:ascii="Times New Roman" w:hAnsi="Times New Roman" w:cs="Times New Roman"/>
          <w:sz w:val="20"/>
        </w:rPr>
        <w:t xml:space="preserve"> </w:t>
      </w:r>
      <w:r w:rsidRPr="00492306">
        <w:rPr>
          <w:rFonts w:ascii="Times New Roman" w:eastAsia="Times New Roman" w:hAnsi="Times New Roman" w:cs="Times New Roman"/>
          <w:noProof/>
          <w:spacing w:val="2"/>
          <w:sz w:val="20"/>
          <w:szCs w:val="20"/>
        </w:rPr>
        <w:t xml:space="preserve">En 2022, la DGVG contó con un presupuesto de 5,2M €, de los cuales 1,8M€ se destinaron a programas relacionados con la prevención y atención a mujeres y niñas víctimas de trata con fines de explotación sexual (14 proyectos). </w:t>
      </w:r>
    </w:p>
    <w:p w:rsidR="00A30ED5" w:rsidRPr="00A30ED5" w:rsidRDefault="00BC4D9F" w:rsidP="00A30ED5">
      <w:pPr>
        <w:spacing w:after="360"/>
        <w:ind w:left="992"/>
        <w:jc w:val="both"/>
        <w:rPr>
          <w:rFonts w:ascii="Times New Roman" w:eastAsia="Times New Roman" w:hAnsi="Times New Roman" w:cs="Times New Roman"/>
          <w:noProof/>
          <w:spacing w:val="2"/>
          <w:sz w:val="20"/>
          <w:szCs w:val="20"/>
        </w:rPr>
      </w:pPr>
      <w:r>
        <w:rPr>
          <w:rFonts w:ascii="Times New Roman" w:eastAsia="Times New Roman" w:hAnsi="Times New Roman" w:cs="Times New Roman"/>
          <w:noProof/>
          <w:spacing w:val="2"/>
          <w:sz w:val="20"/>
          <w:szCs w:val="20"/>
        </w:rPr>
        <w:t>(177</w:t>
      </w:r>
      <w:r w:rsidR="00A30ED5">
        <w:rPr>
          <w:rFonts w:ascii="Times New Roman" w:eastAsia="Times New Roman" w:hAnsi="Times New Roman" w:cs="Times New Roman"/>
          <w:noProof/>
          <w:spacing w:val="2"/>
          <w:sz w:val="20"/>
          <w:szCs w:val="20"/>
        </w:rPr>
        <w:t xml:space="preserve">) </w:t>
      </w:r>
      <w:r w:rsidR="00A30ED5" w:rsidRPr="00A30ED5">
        <w:rPr>
          <w:rFonts w:ascii="Times New Roman" w:hAnsi="Times New Roman" w:cs="Times New Roman"/>
          <w:i/>
          <w:sz w:val="20"/>
          <w:szCs w:val="20"/>
        </w:rPr>
        <w:t>Estudio sobre trata, explotación sexual y prostitución de mujeres y niñas en España: una aproximación cuantitativa</w:t>
      </w:r>
      <w:r w:rsidR="00A30ED5">
        <w:rPr>
          <w:rFonts w:ascii="Times New Roman" w:eastAsia="Times New Roman" w:hAnsi="Times New Roman" w:cs="Times New Roman"/>
          <w:noProof/>
          <w:spacing w:val="2"/>
          <w:sz w:val="20"/>
          <w:szCs w:val="20"/>
        </w:rPr>
        <w:t>: s</w:t>
      </w:r>
      <w:r w:rsidR="00A30ED5" w:rsidRPr="00A30ED5">
        <w:rPr>
          <w:rFonts w:ascii="Times New Roman" w:eastAsia="Times New Roman" w:hAnsi="Times New Roman" w:cs="Times New Roman"/>
          <w:noProof/>
          <w:spacing w:val="2"/>
          <w:sz w:val="20"/>
          <w:szCs w:val="20"/>
        </w:rPr>
        <w:t>e responde así a una demanda histórica de las organizaciones especializadas así como a las recomendaciones del Parlamento Europeo (Resoluc</w:t>
      </w:r>
      <w:r w:rsidR="00A30ED5">
        <w:rPr>
          <w:rFonts w:ascii="Times New Roman" w:eastAsia="Times New Roman" w:hAnsi="Times New Roman" w:cs="Times New Roman"/>
          <w:noProof/>
          <w:spacing w:val="2"/>
          <w:sz w:val="20"/>
          <w:szCs w:val="20"/>
        </w:rPr>
        <w:t xml:space="preserve">ión, de 10 de febrero de 2021). </w:t>
      </w:r>
      <w:r w:rsidR="00A30ED5" w:rsidRPr="00A30ED5">
        <w:rPr>
          <w:rFonts w:ascii="Times New Roman" w:eastAsia="Times New Roman" w:hAnsi="Times New Roman" w:cs="Times New Roman"/>
          <w:noProof/>
          <w:spacing w:val="2"/>
          <w:sz w:val="20"/>
          <w:szCs w:val="20"/>
        </w:rPr>
        <w:t>Este estudio se realizará en dos fases. Actualmente se está ejecutando la primera, que incluirá una estimación global cuantitativa del fenómeno con el objeto de conocer el número de mujeres y niñas víctimas de trata con fines de explotación sexual y en situación de prostitución, y su distribución geográfica en España como un primer paso necesario para realizar un futuro diagnóstico cualitativo. La segunda fase, prevista para el primer cuatrimestre de 2024, consistirá en la realización de encuestas a muje</w:t>
      </w:r>
      <w:r w:rsidR="00A30ED5">
        <w:rPr>
          <w:rFonts w:ascii="Times New Roman" w:eastAsia="Times New Roman" w:hAnsi="Times New Roman" w:cs="Times New Roman"/>
          <w:noProof/>
          <w:spacing w:val="2"/>
          <w:sz w:val="20"/>
          <w:szCs w:val="20"/>
        </w:rPr>
        <w:t xml:space="preserve">res y niñas víctimas de trata. </w:t>
      </w:r>
      <w:r w:rsidR="00A30ED5" w:rsidRPr="00A30ED5">
        <w:rPr>
          <w:rFonts w:ascii="Times New Roman" w:eastAsia="Times New Roman" w:hAnsi="Times New Roman" w:cs="Times New Roman"/>
          <w:noProof/>
          <w:spacing w:val="2"/>
          <w:sz w:val="20"/>
          <w:szCs w:val="20"/>
        </w:rPr>
        <w:t>El presupuesto total estimado es de 400.000 €.</w:t>
      </w:r>
    </w:p>
    <w:p w:rsidR="00172B07" w:rsidRDefault="00172B07" w:rsidP="00172B07">
      <w:pPr>
        <w:pStyle w:val="Ttulo2"/>
        <w:spacing w:after="160"/>
        <w:ind w:right="-427" w:hanging="142"/>
        <w:rPr>
          <w:rFonts w:ascii="Times New Roman" w:hAnsi="Times New Roman" w:cs="Times New Roman"/>
          <w:color w:val="auto"/>
          <w:sz w:val="22"/>
          <w:szCs w:val="22"/>
        </w:rPr>
      </w:pPr>
      <w:bookmarkStart w:id="9" w:name="_Toc108696660"/>
      <w:r w:rsidRPr="00172B07">
        <w:rPr>
          <w:rFonts w:ascii="Times New Roman" w:hAnsi="Times New Roman" w:cs="Times New Roman"/>
          <w:color w:val="auto"/>
          <w:sz w:val="22"/>
          <w:szCs w:val="22"/>
        </w:rPr>
        <w:t>I. Trato dispensado a los extranjeros, incluidos los refugiados y los solicitantes de asilo (arts. 7, 9, 10, 12, 13, 14 y 24)</w:t>
      </w:r>
      <w:bookmarkEnd w:id="9"/>
    </w:p>
    <w:p w:rsidR="00172B07" w:rsidRDefault="00172B07" w:rsidP="00172B07">
      <w:pPr>
        <w:ind w:left="567"/>
        <w:jc w:val="both"/>
        <w:rPr>
          <w:rFonts w:ascii="Times New Roman" w:hAnsi="Times New Roman" w:cs="Times New Roman"/>
          <w:b/>
          <w:sz w:val="20"/>
        </w:rPr>
      </w:pPr>
      <w:r>
        <w:rPr>
          <w:rFonts w:ascii="Times New Roman" w:hAnsi="Times New Roman" w:cs="Times New Roman"/>
          <w:b/>
          <w:sz w:val="20"/>
        </w:rPr>
        <w:t xml:space="preserve">- </w:t>
      </w:r>
      <w:r w:rsidRPr="00172B07">
        <w:rPr>
          <w:rFonts w:ascii="Times New Roman" w:hAnsi="Times New Roman" w:cs="Times New Roman"/>
          <w:b/>
          <w:sz w:val="20"/>
        </w:rPr>
        <w:t>Privación de libertad</w:t>
      </w:r>
    </w:p>
    <w:p w:rsidR="00172B07" w:rsidRPr="00172B07" w:rsidRDefault="00BC4D9F" w:rsidP="00172B07">
      <w:pPr>
        <w:spacing w:after="360"/>
        <w:ind w:left="992"/>
        <w:jc w:val="both"/>
        <w:rPr>
          <w:rFonts w:ascii="Times New Roman" w:hAnsi="Times New Roman" w:cs="Times New Roman"/>
          <w:sz w:val="20"/>
        </w:rPr>
      </w:pPr>
      <w:r>
        <w:rPr>
          <w:rFonts w:ascii="Times New Roman" w:hAnsi="Times New Roman" w:cs="Times New Roman"/>
          <w:sz w:val="20"/>
        </w:rPr>
        <w:t>(17</w:t>
      </w:r>
      <w:r w:rsidR="007A48FB">
        <w:rPr>
          <w:rFonts w:ascii="Times New Roman" w:hAnsi="Times New Roman" w:cs="Times New Roman"/>
          <w:sz w:val="20"/>
        </w:rPr>
        <w:t>9</w:t>
      </w:r>
      <w:r w:rsidR="00172B07" w:rsidRPr="00172B07">
        <w:rPr>
          <w:rFonts w:ascii="Times New Roman" w:hAnsi="Times New Roman" w:cs="Times New Roman"/>
          <w:sz w:val="20"/>
        </w:rPr>
        <w:t xml:space="preserve">) </w:t>
      </w:r>
      <w:r w:rsidR="00884692">
        <w:rPr>
          <w:rFonts w:ascii="Times New Roman" w:hAnsi="Times New Roman" w:cs="Times New Roman"/>
          <w:sz w:val="20"/>
        </w:rPr>
        <w:t xml:space="preserve">Actuaciones policiales de protección con menores extranjeros: </w:t>
      </w:r>
      <w:r w:rsidR="00884692" w:rsidRPr="00884692">
        <w:rPr>
          <w:rFonts w:ascii="Times New Roman" w:hAnsi="Times New Roman" w:cs="Times New Roman"/>
          <w:sz w:val="20"/>
        </w:rPr>
        <w:t>se basan en el interés superior del menor como establece la Convección sobre los Dere</w:t>
      </w:r>
      <w:r w:rsidR="00884692">
        <w:rPr>
          <w:rFonts w:ascii="Times New Roman" w:hAnsi="Times New Roman" w:cs="Times New Roman"/>
          <w:sz w:val="20"/>
        </w:rPr>
        <w:t xml:space="preserve">chos del Niño de la ONU (1989); </w:t>
      </w:r>
      <w:r w:rsidR="00884692" w:rsidRPr="00884692">
        <w:rPr>
          <w:rFonts w:ascii="Times New Roman" w:hAnsi="Times New Roman" w:cs="Times New Roman"/>
          <w:sz w:val="20"/>
        </w:rPr>
        <w:t xml:space="preserve">el Plan de Acción </w:t>
      </w:r>
      <w:r w:rsidR="00884692">
        <w:rPr>
          <w:rFonts w:ascii="Times New Roman" w:hAnsi="Times New Roman" w:cs="Times New Roman"/>
          <w:sz w:val="20"/>
        </w:rPr>
        <w:t>sobre MENA de la UE (2010-2014);</w:t>
      </w:r>
      <w:r w:rsidR="00884692" w:rsidRPr="00884692">
        <w:rPr>
          <w:rFonts w:ascii="Times New Roman" w:hAnsi="Times New Roman" w:cs="Times New Roman"/>
          <w:sz w:val="20"/>
        </w:rPr>
        <w:t xml:space="preserve"> el art. 35 de la </w:t>
      </w:r>
      <w:r w:rsidR="00884692" w:rsidRPr="00884692">
        <w:rPr>
          <w:rFonts w:ascii="Times New Roman" w:hAnsi="Times New Roman" w:cs="Times New Roman"/>
          <w:i/>
          <w:sz w:val="20"/>
        </w:rPr>
        <w:t>Ley Orgánica 4/2000, de 11 de enero, sobre derechos y libertades de los extranjeros en España y su integración social</w:t>
      </w:r>
      <w:r w:rsidR="00884692">
        <w:rPr>
          <w:rFonts w:ascii="Times New Roman" w:hAnsi="Times New Roman" w:cs="Times New Roman"/>
          <w:sz w:val="20"/>
        </w:rPr>
        <w:t xml:space="preserve">; </w:t>
      </w:r>
      <w:r w:rsidR="00884692" w:rsidRPr="00884692">
        <w:rPr>
          <w:rFonts w:ascii="Times New Roman" w:hAnsi="Times New Roman" w:cs="Times New Roman"/>
          <w:sz w:val="20"/>
        </w:rPr>
        <w:t>la LOPIVI</w:t>
      </w:r>
      <w:r w:rsidR="00884692">
        <w:rPr>
          <w:rFonts w:ascii="Times New Roman" w:hAnsi="Times New Roman" w:cs="Times New Roman"/>
          <w:sz w:val="20"/>
        </w:rPr>
        <w:t>;</w:t>
      </w:r>
      <w:r w:rsidR="00884692" w:rsidRPr="00884692">
        <w:rPr>
          <w:rFonts w:ascii="Times New Roman" w:hAnsi="Times New Roman" w:cs="Times New Roman"/>
          <w:sz w:val="20"/>
        </w:rPr>
        <w:t xml:space="preserve"> y el Protocolo Marco sobre determinadas actuaciones en relación con los menores extranjeros no acompañados.</w:t>
      </w:r>
    </w:p>
    <w:p w:rsidR="00B97954" w:rsidRDefault="00B97954" w:rsidP="00B97954">
      <w:pPr>
        <w:ind w:left="567"/>
        <w:jc w:val="both"/>
        <w:rPr>
          <w:rFonts w:ascii="Times New Roman" w:eastAsia="Times New Roman" w:hAnsi="Times New Roman" w:cs="Times New Roman"/>
          <w:noProof/>
          <w:spacing w:val="2"/>
          <w:sz w:val="20"/>
          <w:szCs w:val="20"/>
          <w:u w:val="single"/>
        </w:rPr>
      </w:pPr>
      <w:bookmarkStart w:id="10" w:name="_Toc108696662"/>
      <w:r w:rsidRPr="00B97954">
        <w:rPr>
          <w:rFonts w:ascii="Times New Roman" w:hAnsi="Times New Roman" w:cs="Times New Roman"/>
          <w:b/>
          <w:sz w:val="20"/>
        </w:rPr>
        <w:t xml:space="preserve"> - </w:t>
      </w:r>
      <w:bookmarkEnd w:id="10"/>
      <w:r w:rsidRPr="008B4EC3">
        <w:rPr>
          <w:rFonts w:ascii="Times New Roman" w:eastAsia="Times New Roman" w:hAnsi="Times New Roman" w:cs="Times New Roman"/>
          <w:b/>
          <w:noProof/>
          <w:spacing w:val="2"/>
          <w:sz w:val="20"/>
          <w:szCs w:val="20"/>
        </w:rPr>
        <w:t>Ciudades Autónomas de Ceuta y Melilla</w:t>
      </w:r>
      <w:r>
        <w:rPr>
          <w:rFonts w:ascii="Times New Roman" w:eastAsia="Times New Roman" w:hAnsi="Times New Roman" w:cs="Times New Roman"/>
          <w:noProof/>
          <w:spacing w:val="2"/>
          <w:sz w:val="20"/>
          <w:szCs w:val="20"/>
          <w:u w:val="single"/>
        </w:rPr>
        <w:t xml:space="preserve"> </w:t>
      </w:r>
    </w:p>
    <w:p w:rsidR="00B97954" w:rsidRDefault="00B97954" w:rsidP="00B97954">
      <w:pPr>
        <w:spacing w:after="0"/>
        <w:ind w:left="992"/>
        <w:jc w:val="both"/>
        <w:rPr>
          <w:rFonts w:ascii="Times New Roman" w:hAnsi="Times New Roman" w:cs="Times New Roman"/>
          <w:sz w:val="20"/>
        </w:rPr>
      </w:pPr>
      <w:r>
        <w:rPr>
          <w:rFonts w:ascii="Times New Roman" w:hAnsi="Times New Roman" w:cs="Times New Roman"/>
          <w:sz w:val="20"/>
        </w:rPr>
        <w:t xml:space="preserve">(177) </w:t>
      </w:r>
      <w:r w:rsidRPr="00B97954">
        <w:rPr>
          <w:rFonts w:ascii="Times New Roman" w:hAnsi="Times New Roman" w:cs="Times New Roman"/>
          <w:sz w:val="20"/>
        </w:rPr>
        <w:t>En 2020 se elevaron a la Comisión Interministerial de Asilo y Refugio (CIAR) 116.567 resoluciones de protección internacional frente a las 88.826 solicitudes registradas. En 2021 se ha mantenido esta tendencia: se han elevado 71.885 resoluciones y se han registrado 65.4</w:t>
      </w:r>
      <w:r>
        <w:rPr>
          <w:rFonts w:ascii="Times New Roman" w:hAnsi="Times New Roman" w:cs="Times New Roman"/>
          <w:sz w:val="20"/>
        </w:rPr>
        <w:t>82 solicitudes.</w:t>
      </w:r>
    </w:p>
    <w:p w:rsidR="00B97954" w:rsidRPr="00B97954" w:rsidRDefault="00B97954" w:rsidP="00B97954">
      <w:pPr>
        <w:spacing w:after="0"/>
        <w:ind w:left="992"/>
        <w:jc w:val="both"/>
        <w:rPr>
          <w:rFonts w:ascii="Times New Roman" w:hAnsi="Times New Roman" w:cs="Times New Roman"/>
          <w:sz w:val="20"/>
        </w:rPr>
      </w:pPr>
      <w:r w:rsidRPr="00B97954">
        <w:rPr>
          <w:rFonts w:ascii="Times New Roman" w:hAnsi="Times New Roman" w:cs="Times New Roman"/>
          <w:sz w:val="20"/>
        </w:rPr>
        <w:t xml:space="preserve">En el caso de expedientes de protección internacional, se ha producido una reducción de 41,74% del número de solicitudes que había pendientes de resolver: 124.025 en 2019 vs. 72.271 en 2021. </w:t>
      </w:r>
    </w:p>
    <w:p w:rsidR="00B97954" w:rsidRPr="00B97954" w:rsidRDefault="00B97954" w:rsidP="00B97954">
      <w:pPr>
        <w:spacing w:after="360"/>
        <w:ind w:left="992"/>
        <w:jc w:val="both"/>
        <w:rPr>
          <w:rFonts w:ascii="Times New Roman" w:hAnsi="Times New Roman" w:cs="Times New Roman"/>
          <w:sz w:val="20"/>
        </w:rPr>
      </w:pPr>
      <w:r w:rsidRPr="00B97954">
        <w:rPr>
          <w:rFonts w:ascii="Times New Roman" w:hAnsi="Times New Roman" w:cs="Times New Roman"/>
          <w:sz w:val="20"/>
        </w:rPr>
        <w:t>En el caso de los expedientes de apatridia: en 2019 y 2020, el número de resoluciones superó el de solicitudes registradas, de forma que el stock de pendientes de 2019 (4.100) se ha reducido, según los datos de 2021 (1.430), en un 65,12%.</w:t>
      </w:r>
    </w:p>
    <w:p w:rsidR="00B97954" w:rsidRPr="00B97954" w:rsidRDefault="00B97954" w:rsidP="00B97954">
      <w:pPr>
        <w:ind w:left="567"/>
        <w:jc w:val="both"/>
        <w:rPr>
          <w:rFonts w:ascii="Times New Roman" w:hAnsi="Times New Roman" w:cs="Times New Roman"/>
          <w:b/>
          <w:sz w:val="20"/>
        </w:rPr>
      </w:pPr>
      <w:r w:rsidRPr="00B97954">
        <w:rPr>
          <w:rFonts w:ascii="Times New Roman" w:hAnsi="Times New Roman" w:cs="Times New Roman"/>
          <w:b/>
          <w:sz w:val="20"/>
        </w:rPr>
        <w:t xml:space="preserve">- Procedimientos de expulsión, devolución y denegación de entrada </w:t>
      </w:r>
    </w:p>
    <w:p w:rsidR="00172B07" w:rsidRPr="003C391B" w:rsidRDefault="004F0110" w:rsidP="003C391B">
      <w:pPr>
        <w:spacing w:after="360"/>
        <w:ind w:left="992"/>
        <w:jc w:val="both"/>
        <w:rPr>
          <w:rFonts w:ascii="Times New Roman" w:hAnsi="Times New Roman" w:cs="Times New Roman"/>
          <w:sz w:val="20"/>
        </w:rPr>
      </w:pPr>
      <w:r>
        <w:rPr>
          <w:rFonts w:ascii="Times New Roman" w:hAnsi="Times New Roman" w:cs="Times New Roman"/>
          <w:sz w:val="20"/>
        </w:rPr>
        <w:t>(190</w:t>
      </w:r>
      <w:r w:rsidR="00B97954">
        <w:rPr>
          <w:rFonts w:ascii="Times New Roman" w:hAnsi="Times New Roman" w:cs="Times New Roman"/>
          <w:sz w:val="20"/>
        </w:rPr>
        <w:t xml:space="preserve">) </w:t>
      </w:r>
      <w:r w:rsidR="00B97954" w:rsidRPr="00B97954">
        <w:rPr>
          <w:rFonts w:ascii="Times New Roman" w:hAnsi="Times New Roman" w:cs="Times New Roman"/>
          <w:sz w:val="20"/>
        </w:rPr>
        <w:t>La sentencia del TEDH de 13 de febrero de 2020 reconoce que España ofrece disponibilidad y accesibilidad real de vías jurídicas para solicitar la admisión en su territorio nacional. La sentencia se refiere expresamente a la frontera de Melilla.</w:t>
      </w:r>
    </w:p>
    <w:p w:rsidR="00B97954" w:rsidRPr="00B97954" w:rsidRDefault="00B97954" w:rsidP="00B97954">
      <w:pPr>
        <w:ind w:left="567"/>
        <w:jc w:val="both"/>
        <w:rPr>
          <w:rFonts w:ascii="Times New Roman" w:hAnsi="Times New Roman" w:cs="Times New Roman"/>
          <w:b/>
          <w:sz w:val="20"/>
        </w:rPr>
      </w:pPr>
      <w:r>
        <w:rPr>
          <w:rFonts w:ascii="Times New Roman" w:hAnsi="Times New Roman" w:cs="Times New Roman"/>
          <w:b/>
          <w:sz w:val="20"/>
        </w:rPr>
        <w:t xml:space="preserve">- </w:t>
      </w:r>
      <w:r w:rsidRPr="00B97954">
        <w:rPr>
          <w:rFonts w:ascii="Times New Roman" w:hAnsi="Times New Roman" w:cs="Times New Roman"/>
          <w:b/>
          <w:sz w:val="20"/>
        </w:rPr>
        <w:t>Formación y preparación en DDHH y uso de la fuerza</w:t>
      </w:r>
    </w:p>
    <w:p w:rsidR="00483B0B" w:rsidRPr="00483B0B" w:rsidRDefault="004F0110" w:rsidP="00B97954">
      <w:pPr>
        <w:spacing w:after="360"/>
        <w:ind w:left="992"/>
        <w:jc w:val="both"/>
        <w:rPr>
          <w:rFonts w:ascii="Times New Roman" w:hAnsi="Times New Roman" w:cs="Times New Roman"/>
          <w:sz w:val="20"/>
        </w:rPr>
      </w:pPr>
      <w:r>
        <w:rPr>
          <w:rFonts w:ascii="Times New Roman" w:hAnsi="Times New Roman" w:cs="Times New Roman"/>
          <w:sz w:val="20"/>
        </w:rPr>
        <w:t>(19</w:t>
      </w:r>
      <w:r w:rsidR="00B97954">
        <w:rPr>
          <w:rFonts w:ascii="Times New Roman" w:hAnsi="Times New Roman" w:cs="Times New Roman"/>
          <w:sz w:val="20"/>
        </w:rPr>
        <w:t>3)</w:t>
      </w:r>
      <w:r w:rsidR="00B97954" w:rsidRPr="00B97954">
        <w:rPr>
          <w:rFonts w:ascii="Times New Roman" w:hAnsi="Times New Roman" w:cs="Times New Roman"/>
          <w:sz w:val="20"/>
        </w:rPr>
        <w:t xml:space="preserve"> </w:t>
      </w:r>
      <w:r w:rsidR="00B97954">
        <w:rPr>
          <w:rFonts w:ascii="Times New Roman" w:hAnsi="Times New Roman" w:cs="Times New Roman"/>
          <w:sz w:val="20"/>
        </w:rPr>
        <w:t>Formaciones más especializadas: s</w:t>
      </w:r>
      <w:r w:rsidR="00B97954" w:rsidRPr="00B97954">
        <w:rPr>
          <w:rFonts w:ascii="Times New Roman" w:hAnsi="Times New Roman" w:cs="Times New Roman"/>
          <w:sz w:val="20"/>
        </w:rPr>
        <w:t>e imparten materias relativas a la Declaración Universal de los Derechos Humanos de la ONU, la Convención de Salvaguarda de los Derechos del Hombre y de las Libertades Fundamentales de Roma y la Carta de los Derechos Fundamentales de la UE.</w:t>
      </w:r>
    </w:p>
    <w:p w:rsidR="00BD6F54" w:rsidRPr="00BD6F54" w:rsidRDefault="00BD6F54" w:rsidP="00BD6F54">
      <w:pPr>
        <w:pStyle w:val="Ttulo2"/>
        <w:spacing w:after="160"/>
        <w:ind w:right="-427" w:hanging="142"/>
        <w:rPr>
          <w:rFonts w:ascii="Times New Roman" w:hAnsi="Times New Roman" w:cs="Times New Roman"/>
          <w:color w:val="auto"/>
          <w:sz w:val="22"/>
          <w:szCs w:val="22"/>
        </w:rPr>
      </w:pPr>
      <w:r w:rsidRPr="00BD6F54">
        <w:rPr>
          <w:rFonts w:ascii="Times New Roman" w:hAnsi="Times New Roman" w:cs="Times New Roman"/>
          <w:color w:val="auto"/>
          <w:sz w:val="22"/>
          <w:szCs w:val="22"/>
        </w:rPr>
        <w:lastRenderedPageBreak/>
        <w:t>J. Derechos a la libertad de expresión, reunión pacífica y asociación (arts. 19, 21 y 22)</w:t>
      </w:r>
    </w:p>
    <w:p w:rsidR="00BD6F54" w:rsidRDefault="00BD6F54" w:rsidP="00BD6F54">
      <w:pPr>
        <w:ind w:left="567"/>
        <w:jc w:val="both"/>
        <w:rPr>
          <w:rFonts w:ascii="Times New Roman" w:hAnsi="Times New Roman" w:cs="Times New Roman"/>
          <w:b/>
          <w:sz w:val="20"/>
        </w:rPr>
      </w:pPr>
      <w:r>
        <w:rPr>
          <w:rFonts w:ascii="Times New Roman" w:hAnsi="Times New Roman" w:cs="Times New Roman"/>
          <w:b/>
          <w:sz w:val="20"/>
        </w:rPr>
        <w:t xml:space="preserve">- </w:t>
      </w:r>
      <w:r w:rsidRPr="00BD6F54">
        <w:rPr>
          <w:rFonts w:ascii="Times New Roman" w:hAnsi="Times New Roman" w:cs="Times New Roman"/>
          <w:b/>
          <w:sz w:val="20"/>
        </w:rPr>
        <w:t>Delitos de calumnias e injurias y acceso a la información pública</w:t>
      </w:r>
    </w:p>
    <w:p w:rsidR="00BD6F54" w:rsidRPr="00BD6F54" w:rsidRDefault="004F0110" w:rsidP="00BD6F54">
      <w:pPr>
        <w:spacing w:after="360"/>
        <w:ind w:left="992"/>
        <w:jc w:val="both"/>
        <w:rPr>
          <w:rFonts w:ascii="Times New Roman" w:hAnsi="Times New Roman" w:cs="Times New Roman"/>
          <w:sz w:val="20"/>
        </w:rPr>
      </w:pPr>
      <w:r>
        <w:rPr>
          <w:rFonts w:ascii="Times New Roman" w:hAnsi="Times New Roman" w:cs="Times New Roman"/>
          <w:sz w:val="20"/>
        </w:rPr>
        <w:t>(20</w:t>
      </w:r>
      <w:r w:rsidR="00BD6F54" w:rsidRPr="00BD6F54">
        <w:rPr>
          <w:rFonts w:ascii="Times New Roman" w:hAnsi="Times New Roman" w:cs="Times New Roman"/>
          <w:sz w:val="20"/>
        </w:rPr>
        <w:t>1) Tabla en la que se incluyen el número de resoluciones dictadas por órganos judiciales durante los años 2015 a 2019:</w:t>
      </w: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4"/>
        <w:gridCol w:w="2978"/>
      </w:tblGrid>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bCs/>
                <w:sz w:val="20"/>
                <w:szCs w:val="20"/>
                <w:lang w:eastAsia="es-ES"/>
              </w:rPr>
            </w:pPr>
            <w:r w:rsidRPr="00E930D2">
              <w:rPr>
                <w:rFonts w:ascii="Times New Roman" w:eastAsia="Times New Roman" w:hAnsi="Times New Roman" w:cs="Times New Roman"/>
                <w:b/>
                <w:bCs/>
                <w:sz w:val="20"/>
                <w:szCs w:val="20"/>
                <w:lang w:val="es-ES_tradnl" w:eastAsia="es-ES"/>
              </w:rPr>
              <w:t>Artículo Código Penal</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bCs/>
                <w:sz w:val="20"/>
                <w:szCs w:val="20"/>
                <w:lang w:val="es-ES_tradnl" w:eastAsia="es-ES"/>
              </w:rPr>
            </w:pPr>
            <w:r w:rsidRPr="00E930D2">
              <w:rPr>
                <w:rFonts w:ascii="Times New Roman" w:eastAsia="Times New Roman" w:hAnsi="Times New Roman" w:cs="Times New Roman"/>
                <w:b/>
                <w:bCs/>
                <w:sz w:val="20"/>
                <w:szCs w:val="20"/>
                <w:lang w:val="es-ES_tradnl" w:eastAsia="es-ES"/>
              </w:rPr>
              <w:t>Número de resoluciones</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205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621</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206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179</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207</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65</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208</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1015</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209</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296</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210</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47</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211</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165</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212</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27</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213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8</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214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28</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215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437</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216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27</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bCs/>
                <w:sz w:val="20"/>
                <w:szCs w:val="20"/>
                <w:lang w:val="es-ES_tradnl" w:eastAsia="es-ES"/>
              </w:rPr>
            </w:pPr>
            <w:r w:rsidRPr="00E930D2">
              <w:rPr>
                <w:rFonts w:ascii="Times New Roman" w:eastAsia="Times New Roman" w:hAnsi="Times New Roman" w:cs="Times New Roman"/>
                <w:b/>
                <w:bCs/>
                <w:sz w:val="20"/>
                <w:szCs w:val="20"/>
                <w:lang w:val="es-ES_tradnl" w:eastAsia="es-ES"/>
              </w:rPr>
              <w:t>Uno o varios de los artículos anteriores</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bCs/>
                <w:sz w:val="20"/>
                <w:szCs w:val="20"/>
                <w:lang w:val="es-ES_tradnl" w:eastAsia="es-ES"/>
              </w:rPr>
            </w:pPr>
            <w:r w:rsidRPr="00E930D2">
              <w:rPr>
                <w:rFonts w:ascii="Times New Roman" w:eastAsia="Times New Roman" w:hAnsi="Times New Roman" w:cs="Times New Roman"/>
                <w:b/>
                <w:bCs/>
                <w:sz w:val="20"/>
                <w:szCs w:val="20"/>
                <w:lang w:val="es-ES_tradnl" w:eastAsia="es-ES"/>
              </w:rPr>
              <w:t>1811</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c>
          <w:tcPr>
            <w:tcW w:w="2978"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496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70</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c>
          <w:tcPr>
            <w:tcW w:w="2978"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504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77</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c>
          <w:tcPr>
            <w:tcW w:w="2978"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524</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12</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525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16</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bCs/>
                <w:sz w:val="20"/>
                <w:szCs w:val="20"/>
                <w:lang w:val="es-ES_tradnl" w:eastAsia="es-ES"/>
              </w:rPr>
              <w:t>Uno o los dos artículos anteriores</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bCs/>
                <w:sz w:val="20"/>
                <w:szCs w:val="20"/>
                <w:lang w:val="es-ES_tradnl" w:eastAsia="es-ES"/>
              </w:rPr>
            </w:pPr>
            <w:r w:rsidRPr="00E930D2">
              <w:rPr>
                <w:rFonts w:ascii="Times New Roman" w:eastAsia="Times New Roman" w:hAnsi="Times New Roman" w:cs="Times New Roman"/>
                <w:b/>
                <w:bCs/>
                <w:sz w:val="20"/>
                <w:szCs w:val="20"/>
                <w:lang w:val="es-ES_tradnl" w:eastAsia="es-ES"/>
              </w:rPr>
              <w:t>20</w:t>
            </w: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c>
          <w:tcPr>
            <w:tcW w:w="2978" w:type="dxa"/>
            <w:tcBorders>
              <w:top w:val="single" w:sz="4" w:space="0" w:color="auto"/>
              <w:left w:val="single" w:sz="4" w:space="0" w:color="auto"/>
              <w:bottom w:val="single" w:sz="4" w:space="0" w:color="auto"/>
              <w:right w:val="single" w:sz="4" w:space="0" w:color="auto"/>
            </w:tcBorders>
            <w:shd w:val="clear" w:color="auto" w:fill="D9D9D9"/>
            <w:vAlign w:val="center"/>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p>
        </w:tc>
      </w:tr>
      <w:tr w:rsidR="00BD6F54" w:rsidRPr="00E930D2" w:rsidTr="000E40B1">
        <w:tc>
          <w:tcPr>
            <w:tcW w:w="2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543</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F54" w:rsidRPr="00E930D2" w:rsidRDefault="00BD6F54" w:rsidP="000E40B1">
            <w:pPr>
              <w:spacing w:after="240" w:line="240" w:lineRule="auto"/>
              <w:rPr>
                <w:rFonts w:ascii="Times New Roman" w:eastAsia="Times New Roman" w:hAnsi="Times New Roman" w:cs="Times New Roman"/>
                <w:b/>
                <w:sz w:val="20"/>
                <w:szCs w:val="20"/>
                <w:lang w:val="es-ES_tradnl" w:eastAsia="es-ES"/>
              </w:rPr>
            </w:pPr>
            <w:r w:rsidRPr="00E930D2">
              <w:rPr>
                <w:rFonts w:ascii="Times New Roman" w:eastAsia="Times New Roman" w:hAnsi="Times New Roman" w:cs="Times New Roman"/>
                <w:b/>
                <w:sz w:val="20"/>
                <w:szCs w:val="20"/>
                <w:lang w:val="es-ES_tradnl" w:eastAsia="es-ES"/>
              </w:rPr>
              <w:t>15</w:t>
            </w:r>
          </w:p>
        </w:tc>
      </w:tr>
    </w:tbl>
    <w:p w:rsidR="001D32D0" w:rsidRDefault="001D32D0" w:rsidP="007B1CDD">
      <w:pPr>
        <w:spacing w:before="240"/>
        <w:rPr>
          <w:color w:val="5B9BD5" w:themeColor="accent1"/>
        </w:rPr>
      </w:pPr>
    </w:p>
    <w:p w:rsidR="001D32D0" w:rsidRPr="007B1CDD" w:rsidRDefault="007B1CDD" w:rsidP="007B1CDD">
      <w:pPr>
        <w:pStyle w:val="Ttulo2"/>
        <w:spacing w:after="160"/>
        <w:ind w:right="-427" w:hanging="142"/>
        <w:rPr>
          <w:rFonts w:ascii="Times New Roman" w:hAnsi="Times New Roman" w:cs="Times New Roman"/>
          <w:color w:val="auto"/>
          <w:sz w:val="22"/>
          <w:szCs w:val="22"/>
        </w:rPr>
      </w:pPr>
      <w:r w:rsidRPr="007B1CDD">
        <w:rPr>
          <w:rFonts w:ascii="Times New Roman" w:hAnsi="Times New Roman" w:cs="Times New Roman"/>
          <w:color w:val="auto"/>
          <w:sz w:val="22"/>
          <w:szCs w:val="22"/>
        </w:rPr>
        <w:t>K. Lucha contra la corrupción (arts. 2, 14 y 25)</w:t>
      </w:r>
    </w:p>
    <w:p w:rsidR="00244F7B" w:rsidRPr="007B1CDD" w:rsidRDefault="004F0110" w:rsidP="007B1CDD">
      <w:pPr>
        <w:spacing w:after="360"/>
        <w:ind w:left="992"/>
        <w:jc w:val="both"/>
        <w:rPr>
          <w:rFonts w:ascii="Times New Roman" w:hAnsi="Times New Roman" w:cs="Times New Roman"/>
          <w:sz w:val="20"/>
        </w:rPr>
      </w:pPr>
      <w:r>
        <w:rPr>
          <w:rFonts w:ascii="Times New Roman" w:hAnsi="Times New Roman" w:cs="Times New Roman"/>
          <w:sz w:val="20"/>
        </w:rPr>
        <w:t>(220</w:t>
      </w:r>
      <w:r w:rsidR="007B1CDD" w:rsidRPr="007B1CDD">
        <w:rPr>
          <w:rFonts w:ascii="Times New Roman" w:hAnsi="Times New Roman" w:cs="Times New Roman"/>
          <w:sz w:val="20"/>
        </w:rPr>
        <w:t>) Instrumentos normativos internacionales en materia de corrupción: Convenio penal sobre la corrupción (Convenio número 173 del Consejo de Europa) hecho en Estrasburgo el 27 de enero de 1999</w:t>
      </w:r>
      <w:r w:rsidR="007B1CDD">
        <w:rPr>
          <w:rFonts w:ascii="Times New Roman" w:hAnsi="Times New Roman" w:cs="Times New Roman"/>
          <w:sz w:val="20"/>
        </w:rPr>
        <w:t xml:space="preserve">. </w:t>
      </w:r>
    </w:p>
    <w:sectPr w:rsidR="00244F7B" w:rsidRPr="007B1CDD" w:rsidSect="00F42DF6">
      <w:footerReference w:type="defaul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BA6" w:rsidRDefault="00570BA6" w:rsidP="001E1221">
      <w:pPr>
        <w:spacing w:after="0" w:line="240" w:lineRule="auto"/>
      </w:pPr>
      <w:r>
        <w:separator/>
      </w:r>
    </w:p>
  </w:endnote>
  <w:endnote w:type="continuationSeparator" w:id="0">
    <w:p w:rsidR="00570BA6" w:rsidRDefault="00570BA6" w:rsidP="001E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3823925"/>
      <w:docPartObj>
        <w:docPartGallery w:val="Page Numbers (Bottom of Page)"/>
        <w:docPartUnique/>
      </w:docPartObj>
    </w:sdtPr>
    <w:sdtEndPr>
      <w:rPr>
        <w:rFonts w:ascii="Times New Roman" w:hAnsi="Times New Roman" w:cs="Times New Roman"/>
      </w:rPr>
    </w:sdtEndPr>
    <w:sdtContent>
      <w:p w:rsidR="00582A0E" w:rsidRPr="00D9615F" w:rsidRDefault="00582A0E">
        <w:pPr>
          <w:pStyle w:val="Piedepgina"/>
          <w:jc w:val="center"/>
          <w:rPr>
            <w:rFonts w:ascii="Times New Roman" w:hAnsi="Times New Roman" w:cs="Times New Roman"/>
          </w:rPr>
        </w:pPr>
        <w:r w:rsidRPr="00D9615F">
          <w:rPr>
            <w:rFonts w:ascii="Times New Roman" w:hAnsi="Times New Roman" w:cs="Times New Roman"/>
          </w:rPr>
          <w:fldChar w:fldCharType="begin"/>
        </w:r>
        <w:r w:rsidRPr="00D9615F">
          <w:rPr>
            <w:rFonts w:ascii="Times New Roman" w:hAnsi="Times New Roman" w:cs="Times New Roman"/>
          </w:rPr>
          <w:instrText>PAGE   \* MERGEFORMAT</w:instrText>
        </w:r>
        <w:r w:rsidRPr="00D9615F">
          <w:rPr>
            <w:rFonts w:ascii="Times New Roman" w:hAnsi="Times New Roman" w:cs="Times New Roman"/>
          </w:rPr>
          <w:fldChar w:fldCharType="separate"/>
        </w:r>
        <w:r w:rsidR="00B25749">
          <w:rPr>
            <w:rFonts w:ascii="Times New Roman" w:hAnsi="Times New Roman" w:cs="Times New Roman"/>
            <w:noProof/>
          </w:rPr>
          <w:t>12</w:t>
        </w:r>
        <w:r w:rsidRPr="00D9615F">
          <w:rPr>
            <w:rFonts w:ascii="Times New Roman" w:hAnsi="Times New Roman" w:cs="Times New Roman"/>
          </w:rPr>
          <w:fldChar w:fldCharType="end"/>
        </w:r>
      </w:p>
    </w:sdtContent>
  </w:sdt>
  <w:p w:rsidR="00582A0E" w:rsidRDefault="00582A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BA6" w:rsidRDefault="00570BA6" w:rsidP="001E1221">
      <w:pPr>
        <w:spacing w:after="0" w:line="240" w:lineRule="auto"/>
      </w:pPr>
      <w:r>
        <w:separator/>
      </w:r>
    </w:p>
  </w:footnote>
  <w:footnote w:type="continuationSeparator" w:id="0">
    <w:p w:rsidR="00570BA6" w:rsidRDefault="00570BA6" w:rsidP="001E1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0052"/>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246079"/>
    <w:multiLevelType w:val="hybridMultilevel"/>
    <w:tmpl w:val="5B8A1C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1B6D3C"/>
    <w:multiLevelType w:val="hybridMultilevel"/>
    <w:tmpl w:val="8B7CA28E"/>
    <w:lvl w:ilvl="0" w:tplc="5336BCF6">
      <w:start w:val="2"/>
      <w:numFmt w:val="bullet"/>
      <w:lvlText w:val="-"/>
      <w:lvlJc w:val="left"/>
      <w:pPr>
        <w:ind w:left="720" w:hanging="360"/>
      </w:pPr>
      <w:rPr>
        <w:rFonts w:ascii="Arial" w:eastAsia="Calibri" w:hAnsi="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69635D"/>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7E4A86"/>
    <w:multiLevelType w:val="multilevel"/>
    <w:tmpl w:val="D0FCD96E"/>
    <w:lvl w:ilvl="0">
      <w:start w:val="1"/>
      <w:numFmt w:val="decimal"/>
      <w:lvlText w:val="%1."/>
      <w:lvlJc w:val="left"/>
      <w:pPr>
        <w:ind w:left="720" w:hanging="360"/>
      </w:pPr>
      <w:rPr>
        <w:sz w:val="24"/>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 w15:restartNumberingAfterBreak="0">
    <w:nsid w:val="157F5AB7"/>
    <w:multiLevelType w:val="hybridMultilevel"/>
    <w:tmpl w:val="CE8E9F9C"/>
    <w:lvl w:ilvl="0" w:tplc="27B21CAE">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198F2DB7"/>
    <w:multiLevelType w:val="hybridMultilevel"/>
    <w:tmpl w:val="DB0265B6"/>
    <w:lvl w:ilvl="0" w:tplc="EE163FB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46197A"/>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852E13"/>
    <w:multiLevelType w:val="hybridMultilevel"/>
    <w:tmpl w:val="CE066FF6"/>
    <w:lvl w:ilvl="0" w:tplc="C6704C18">
      <w:start w:val="1"/>
      <w:numFmt w:val="decimal"/>
      <w:lvlText w:val="%1."/>
      <w:lvlJc w:val="left"/>
      <w:pPr>
        <w:ind w:left="720" w:hanging="360"/>
      </w:pPr>
      <w:rPr>
        <w:rFonts w:hint="default"/>
        <w:b w:val="0"/>
        <w:i w:val="0"/>
        <w:strike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62468F"/>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E03E18"/>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F14210"/>
    <w:multiLevelType w:val="hybridMultilevel"/>
    <w:tmpl w:val="B8A898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78E0916"/>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5D0DDE"/>
    <w:multiLevelType w:val="hybridMultilevel"/>
    <w:tmpl w:val="33D249E6"/>
    <w:lvl w:ilvl="0" w:tplc="27B21CA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9A06507"/>
    <w:multiLevelType w:val="hybridMultilevel"/>
    <w:tmpl w:val="8F2E4B14"/>
    <w:lvl w:ilvl="0" w:tplc="463A9F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AE63ACD"/>
    <w:multiLevelType w:val="hybridMultilevel"/>
    <w:tmpl w:val="53381BD8"/>
    <w:lvl w:ilvl="0" w:tplc="EE163FB2">
      <w:start w:val="9"/>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886780"/>
    <w:multiLevelType w:val="hybridMultilevel"/>
    <w:tmpl w:val="A864A068"/>
    <w:lvl w:ilvl="0" w:tplc="B7DC26BC">
      <w:start w:val="1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2D75DB"/>
    <w:multiLevelType w:val="hybridMultilevel"/>
    <w:tmpl w:val="3920E478"/>
    <w:lvl w:ilvl="0" w:tplc="8B56D440">
      <w:start w:val="1"/>
      <w:numFmt w:val="decimal"/>
      <w:lvlText w:val="(%1)"/>
      <w:lvlJc w:val="left"/>
      <w:pPr>
        <w:ind w:left="644" w:hanging="360"/>
      </w:pPr>
      <w:rPr>
        <w:rFonts w:hint="default"/>
        <w:color w:val="auto"/>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15:restartNumberingAfterBreak="0">
    <w:nsid w:val="45395245"/>
    <w:multiLevelType w:val="multilevel"/>
    <w:tmpl w:val="E4C4E4EA"/>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9" w15:restartNumberingAfterBreak="0">
    <w:nsid w:val="46FE5018"/>
    <w:multiLevelType w:val="hybridMultilevel"/>
    <w:tmpl w:val="BB80AAF2"/>
    <w:lvl w:ilvl="0" w:tplc="743A7662">
      <w:start w:val="1"/>
      <w:numFmt w:val="bullet"/>
      <w:lvlText w:val="-"/>
      <w:lvlJc w:val="left"/>
      <w:pPr>
        <w:ind w:left="1440" w:hanging="360"/>
      </w:pPr>
      <w:rPr>
        <w:rFonts w:ascii="Courier New" w:hAnsi="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9446F37"/>
    <w:multiLevelType w:val="hybridMultilevel"/>
    <w:tmpl w:val="D6F62D46"/>
    <w:lvl w:ilvl="0" w:tplc="FD10FF42">
      <w:start w:val="10"/>
      <w:numFmt w:val="bullet"/>
      <w:lvlText w:val="-"/>
      <w:lvlJc w:val="left"/>
      <w:pPr>
        <w:ind w:left="720" w:hanging="360"/>
      </w:pPr>
      <w:rPr>
        <w:rFonts w:ascii="Times New Roman" w:eastAsiaTheme="minorHAnsi" w:hAnsi="Times New Roman"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4D484B"/>
    <w:multiLevelType w:val="multilevel"/>
    <w:tmpl w:val="A8C64000"/>
    <w:lvl w:ilvl="0">
      <w:start w:val="2"/>
      <w:numFmt w:val="upperRoman"/>
      <w:lvlText w:val="%1."/>
      <w:lvlJc w:val="righ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C3979A1"/>
    <w:multiLevelType w:val="hybridMultilevel"/>
    <w:tmpl w:val="DBEEF286"/>
    <w:lvl w:ilvl="0" w:tplc="C2BEA95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C883262"/>
    <w:multiLevelType w:val="multilevel"/>
    <w:tmpl w:val="0AFA613A"/>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4CE188E"/>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372A9B"/>
    <w:multiLevelType w:val="hybridMultilevel"/>
    <w:tmpl w:val="0F965B0A"/>
    <w:lvl w:ilvl="0" w:tplc="D292D75A">
      <w:start w:val="4"/>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FD3B9C"/>
    <w:multiLevelType w:val="hybridMultilevel"/>
    <w:tmpl w:val="43AA49A4"/>
    <w:lvl w:ilvl="0" w:tplc="5336BCF6">
      <w:start w:val="2"/>
      <w:numFmt w:val="bullet"/>
      <w:lvlText w:val="-"/>
      <w:lvlJc w:val="left"/>
      <w:pPr>
        <w:ind w:left="720" w:hanging="360"/>
      </w:pPr>
      <w:rPr>
        <w:rFonts w:ascii="Arial" w:eastAsia="Calibri"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D071339"/>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3F17175"/>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48A4787"/>
    <w:multiLevelType w:val="hybridMultilevel"/>
    <w:tmpl w:val="15666FEA"/>
    <w:lvl w:ilvl="0" w:tplc="FD10FF42">
      <w:start w:val="10"/>
      <w:numFmt w:val="bullet"/>
      <w:lvlText w:val="-"/>
      <w:lvlJc w:val="left"/>
      <w:pPr>
        <w:ind w:left="720" w:hanging="360"/>
      </w:pPr>
      <w:rPr>
        <w:rFonts w:ascii="Times New Roman" w:eastAsiaTheme="minorHAnsi" w:hAnsi="Times New Roman"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5037208"/>
    <w:multiLevelType w:val="hybridMultilevel"/>
    <w:tmpl w:val="64708274"/>
    <w:lvl w:ilvl="0" w:tplc="B7DC26BC">
      <w:start w:val="1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331B0B"/>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AA642C9"/>
    <w:multiLevelType w:val="hybridMultilevel"/>
    <w:tmpl w:val="6FBCFF3A"/>
    <w:lvl w:ilvl="0" w:tplc="EE163FB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00304BB"/>
    <w:multiLevelType w:val="hybridMultilevel"/>
    <w:tmpl w:val="163083FA"/>
    <w:lvl w:ilvl="0" w:tplc="2196D766">
      <w:start w:val="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74119F"/>
    <w:multiLevelType w:val="hybridMultilevel"/>
    <w:tmpl w:val="D0AE2EA6"/>
    <w:lvl w:ilvl="0" w:tplc="EE163FB2">
      <w:start w:val="1"/>
      <w:numFmt w:val="upperRoman"/>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A060DAB"/>
    <w:multiLevelType w:val="multilevel"/>
    <w:tmpl w:val="D590B0CE"/>
    <w:lvl w:ilvl="0">
      <w:start w:val="1"/>
      <w:numFmt w:val="decimal"/>
      <w:lvlText w:val="%1."/>
      <w:lvlJc w:val="left"/>
      <w:pPr>
        <w:ind w:left="720" w:hanging="360"/>
      </w:pPr>
      <w:rPr>
        <w:rFonts w:ascii="Arial" w:hAnsi="Arial" w:cs="Arial" w:hint="default"/>
        <w:b w:val="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AB42019"/>
    <w:multiLevelType w:val="multilevel"/>
    <w:tmpl w:val="0EFADB9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18"/>
  </w:num>
  <w:num w:numId="3">
    <w:abstractNumId w:val="3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33"/>
  </w:num>
  <w:num w:numId="7">
    <w:abstractNumId w:val="13"/>
  </w:num>
  <w:num w:numId="8">
    <w:abstractNumId w:val="11"/>
  </w:num>
  <w:num w:numId="9">
    <w:abstractNumId w:val="5"/>
  </w:num>
  <w:num w:numId="10">
    <w:abstractNumId w:val="22"/>
  </w:num>
  <w:num w:numId="11">
    <w:abstractNumId w:val="25"/>
  </w:num>
  <w:num w:numId="12">
    <w:abstractNumId w:val="17"/>
  </w:num>
  <w:num w:numId="13">
    <w:abstractNumId w:val="34"/>
  </w:num>
  <w:num w:numId="14">
    <w:abstractNumId w:val="15"/>
  </w:num>
  <w:num w:numId="15">
    <w:abstractNumId w:val="28"/>
  </w:num>
  <w:num w:numId="16">
    <w:abstractNumId w:val="6"/>
  </w:num>
  <w:num w:numId="17">
    <w:abstractNumId w:val="32"/>
  </w:num>
  <w:num w:numId="18">
    <w:abstractNumId w:val="9"/>
  </w:num>
  <w:num w:numId="19">
    <w:abstractNumId w:val="31"/>
  </w:num>
  <w:num w:numId="20">
    <w:abstractNumId w:val="12"/>
  </w:num>
  <w:num w:numId="21">
    <w:abstractNumId w:val="10"/>
  </w:num>
  <w:num w:numId="22">
    <w:abstractNumId w:val="3"/>
  </w:num>
  <w:num w:numId="23">
    <w:abstractNumId w:val="0"/>
  </w:num>
  <w:num w:numId="24">
    <w:abstractNumId w:val="24"/>
  </w:num>
  <w:num w:numId="25">
    <w:abstractNumId w:val="7"/>
  </w:num>
  <w:num w:numId="26">
    <w:abstractNumId w:val="30"/>
  </w:num>
  <w:num w:numId="27">
    <w:abstractNumId w:val="29"/>
  </w:num>
  <w:num w:numId="28">
    <w:abstractNumId w:val="16"/>
  </w:num>
  <w:num w:numId="29">
    <w:abstractNumId w:val="20"/>
  </w:num>
  <w:num w:numId="30">
    <w:abstractNumId w:val="2"/>
  </w:num>
  <w:num w:numId="31">
    <w:abstractNumId w:val="14"/>
  </w:num>
  <w:num w:numId="32">
    <w:abstractNumId w:val="21"/>
  </w:num>
  <w:num w:numId="33">
    <w:abstractNumId w:val="26"/>
  </w:num>
  <w:num w:numId="34">
    <w:abstractNumId w:val="23"/>
  </w:num>
  <w:num w:numId="35">
    <w:abstractNumId w:val="1"/>
  </w:num>
  <w:num w:numId="36">
    <w:abstractNumId w:val="8"/>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4EC"/>
    <w:rsid w:val="0000625A"/>
    <w:rsid w:val="000143CF"/>
    <w:rsid w:val="000257BD"/>
    <w:rsid w:val="0003728F"/>
    <w:rsid w:val="000378B1"/>
    <w:rsid w:val="0004048E"/>
    <w:rsid w:val="00044426"/>
    <w:rsid w:val="0005251F"/>
    <w:rsid w:val="0005727A"/>
    <w:rsid w:val="00060184"/>
    <w:rsid w:val="00062009"/>
    <w:rsid w:val="0006578D"/>
    <w:rsid w:val="000750E0"/>
    <w:rsid w:val="00076202"/>
    <w:rsid w:val="000770D5"/>
    <w:rsid w:val="000806AE"/>
    <w:rsid w:val="00083C05"/>
    <w:rsid w:val="00085A58"/>
    <w:rsid w:val="0009032B"/>
    <w:rsid w:val="00092510"/>
    <w:rsid w:val="00097ABE"/>
    <w:rsid w:val="000A2D44"/>
    <w:rsid w:val="000B04E1"/>
    <w:rsid w:val="000D4898"/>
    <w:rsid w:val="000D4EAD"/>
    <w:rsid w:val="000E224B"/>
    <w:rsid w:val="000F387B"/>
    <w:rsid w:val="000F682C"/>
    <w:rsid w:val="00100EE0"/>
    <w:rsid w:val="001108F9"/>
    <w:rsid w:val="001113D7"/>
    <w:rsid w:val="00117814"/>
    <w:rsid w:val="00122301"/>
    <w:rsid w:val="00130335"/>
    <w:rsid w:val="00142D65"/>
    <w:rsid w:val="0014588C"/>
    <w:rsid w:val="00152E76"/>
    <w:rsid w:val="0015652C"/>
    <w:rsid w:val="00165A1B"/>
    <w:rsid w:val="00172B07"/>
    <w:rsid w:val="00176DEC"/>
    <w:rsid w:val="00180602"/>
    <w:rsid w:val="001827F8"/>
    <w:rsid w:val="0019262E"/>
    <w:rsid w:val="0019442A"/>
    <w:rsid w:val="001A33BF"/>
    <w:rsid w:val="001B06B2"/>
    <w:rsid w:val="001B3D8F"/>
    <w:rsid w:val="001B6C5B"/>
    <w:rsid w:val="001D2706"/>
    <w:rsid w:val="001D32D0"/>
    <w:rsid w:val="001E1221"/>
    <w:rsid w:val="001E14E2"/>
    <w:rsid w:val="001F0C58"/>
    <w:rsid w:val="001F1966"/>
    <w:rsid w:val="00204831"/>
    <w:rsid w:val="0021047F"/>
    <w:rsid w:val="002164DA"/>
    <w:rsid w:val="0022364E"/>
    <w:rsid w:val="002275FC"/>
    <w:rsid w:val="002343B4"/>
    <w:rsid w:val="002353C6"/>
    <w:rsid w:val="002358B5"/>
    <w:rsid w:val="00236091"/>
    <w:rsid w:val="00243A99"/>
    <w:rsid w:val="00244F7B"/>
    <w:rsid w:val="00274817"/>
    <w:rsid w:val="00276EDA"/>
    <w:rsid w:val="002836BE"/>
    <w:rsid w:val="002912D0"/>
    <w:rsid w:val="002915D7"/>
    <w:rsid w:val="002A1AA4"/>
    <w:rsid w:val="002A2C7E"/>
    <w:rsid w:val="002A483C"/>
    <w:rsid w:val="002B399F"/>
    <w:rsid w:val="002B6326"/>
    <w:rsid w:val="002B7642"/>
    <w:rsid w:val="002C4977"/>
    <w:rsid w:val="002D4BA2"/>
    <w:rsid w:val="002E0023"/>
    <w:rsid w:val="002E04E9"/>
    <w:rsid w:val="002F0354"/>
    <w:rsid w:val="002F4436"/>
    <w:rsid w:val="0030472F"/>
    <w:rsid w:val="003123A8"/>
    <w:rsid w:val="00321815"/>
    <w:rsid w:val="003264FB"/>
    <w:rsid w:val="00327CA9"/>
    <w:rsid w:val="0034241A"/>
    <w:rsid w:val="003639FF"/>
    <w:rsid w:val="00364C86"/>
    <w:rsid w:val="00384BEB"/>
    <w:rsid w:val="00385970"/>
    <w:rsid w:val="00386C22"/>
    <w:rsid w:val="00387FE1"/>
    <w:rsid w:val="003916C2"/>
    <w:rsid w:val="003922D1"/>
    <w:rsid w:val="003A5667"/>
    <w:rsid w:val="003A7C03"/>
    <w:rsid w:val="003B7291"/>
    <w:rsid w:val="003C150E"/>
    <w:rsid w:val="003C391B"/>
    <w:rsid w:val="003C4C40"/>
    <w:rsid w:val="003C7D3D"/>
    <w:rsid w:val="003E366B"/>
    <w:rsid w:val="003E410A"/>
    <w:rsid w:val="003F0C58"/>
    <w:rsid w:val="003F20F9"/>
    <w:rsid w:val="003F7751"/>
    <w:rsid w:val="00416928"/>
    <w:rsid w:val="004218CA"/>
    <w:rsid w:val="00422E06"/>
    <w:rsid w:val="004257C6"/>
    <w:rsid w:val="0043284A"/>
    <w:rsid w:val="00433308"/>
    <w:rsid w:val="00434461"/>
    <w:rsid w:val="00437323"/>
    <w:rsid w:val="00445EEF"/>
    <w:rsid w:val="00453F4C"/>
    <w:rsid w:val="00456DD6"/>
    <w:rsid w:val="0046054E"/>
    <w:rsid w:val="00470970"/>
    <w:rsid w:val="00483B0B"/>
    <w:rsid w:val="00491C5B"/>
    <w:rsid w:val="00492306"/>
    <w:rsid w:val="004B32B0"/>
    <w:rsid w:val="004B7F8A"/>
    <w:rsid w:val="004D0302"/>
    <w:rsid w:val="004D47F3"/>
    <w:rsid w:val="004E03A8"/>
    <w:rsid w:val="004E42D5"/>
    <w:rsid w:val="004F0110"/>
    <w:rsid w:val="004F0197"/>
    <w:rsid w:val="004F3D5C"/>
    <w:rsid w:val="0050084C"/>
    <w:rsid w:val="00501AB8"/>
    <w:rsid w:val="00501F08"/>
    <w:rsid w:val="00505DF2"/>
    <w:rsid w:val="0051383A"/>
    <w:rsid w:val="00521A9F"/>
    <w:rsid w:val="00522C66"/>
    <w:rsid w:val="00535E52"/>
    <w:rsid w:val="00537081"/>
    <w:rsid w:val="00553E5A"/>
    <w:rsid w:val="00555128"/>
    <w:rsid w:val="00570BA6"/>
    <w:rsid w:val="005746F4"/>
    <w:rsid w:val="00580553"/>
    <w:rsid w:val="005811B3"/>
    <w:rsid w:val="00582A0E"/>
    <w:rsid w:val="00593DA1"/>
    <w:rsid w:val="005A4D7E"/>
    <w:rsid w:val="005B52A9"/>
    <w:rsid w:val="005C0461"/>
    <w:rsid w:val="005C2D02"/>
    <w:rsid w:val="005C355A"/>
    <w:rsid w:val="005D3B67"/>
    <w:rsid w:val="005E4200"/>
    <w:rsid w:val="005E42AC"/>
    <w:rsid w:val="005E7646"/>
    <w:rsid w:val="005E7A01"/>
    <w:rsid w:val="005F2A1C"/>
    <w:rsid w:val="005F31BC"/>
    <w:rsid w:val="005F444F"/>
    <w:rsid w:val="005F5350"/>
    <w:rsid w:val="005F6F25"/>
    <w:rsid w:val="006074CC"/>
    <w:rsid w:val="00612E06"/>
    <w:rsid w:val="00613334"/>
    <w:rsid w:val="006157A5"/>
    <w:rsid w:val="00615B11"/>
    <w:rsid w:val="0062150B"/>
    <w:rsid w:val="00622DD7"/>
    <w:rsid w:val="00646561"/>
    <w:rsid w:val="006506F4"/>
    <w:rsid w:val="006564BF"/>
    <w:rsid w:val="0066281B"/>
    <w:rsid w:val="00664186"/>
    <w:rsid w:val="006647D2"/>
    <w:rsid w:val="00667FC7"/>
    <w:rsid w:val="00674643"/>
    <w:rsid w:val="006762BD"/>
    <w:rsid w:val="00685873"/>
    <w:rsid w:val="00692F4A"/>
    <w:rsid w:val="0069427F"/>
    <w:rsid w:val="006A6435"/>
    <w:rsid w:val="006A744E"/>
    <w:rsid w:val="006B23CC"/>
    <w:rsid w:val="006B49B2"/>
    <w:rsid w:val="006B58D9"/>
    <w:rsid w:val="006C1706"/>
    <w:rsid w:val="006C3B58"/>
    <w:rsid w:val="006C5123"/>
    <w:rsid w:val="006C67E1"/>
    <w:rsid w:val="006D119F"/>
    <w:rsid w:val="006D1BB0"/>
    <w:rsid w:val="006D2D99"/>
    <w:rsid w:val="006D3AFC"/>
    <w:rsid w:val="006D63EC"/>
    <w:rsid w:val="006E5950"/>
    <w:rsid w:val="006F130E"/>
    <w:rsid w:val="006F38B4"/>
    <w:rsid w:val="006F3A33"/>
    <w:rsid w:val="007011AD"/>
    <w:rsid w:val="0070347C"/>
    <w:rsid w:val="00712315"/>
    <w:rsid w:val="0073204E"/>
    <w:rsid w:val="007350EB"/>
    <w:rsid w:val="00735A60"/>
    <w:rsid w:val="00740E6E"/>
    <w:rsid w:val="00747C90"/>
    <w:rsid w:val="00760088"/>
    <w:rsid w:val="00760541"/>
    <w:rsid w:val="00761CF7"/>
    <w:rsid w:val="007631C5"/>
    <w:rsid w:val="00766703"/>
    <w:rsid w:val="007725EE"/>
    <w:rsid w:val="00781535"/>
    <w:rsid w:val="00791D48"/>
    <w:rsid w:val="007A0758"/>
    <w:rsid w:val="007A14EC"/>
    <w:rsid w:val="007A18DB"/>
    <w:rsid w:val="007A397D"/>
    <w:rsid w:val="007A48FB"/>
    <w:rsid w:val="007B1CDD"/>
    <w:rsid w:val="007B5994"/>
    <w:rsid w:val="007C0802"/>
    <w:rsid w:val="007C30D3"/>
    <w:rsid w:val="007C6FA7"/>
    <w:rsid w:val="007D1378"/>
    <w:rsid w:val="007D7527"/>
    <w:rsid w:val="007E0931"/>
    <w:rsid w:val="007E7081"/>
    <w:rsid w:val="007F16C4"/>
    <w:rsid w:val="007F3471"/>
    <w:rsid w:val="00806B80"/>
    <w:rsid w:val="00806D35"/>
    <w:rsid w:val="00810548"/>
    <w:rsid w:val="00812D28"/>
    <w:rsid w:val="0082401C"/>
    <w:rsid w:val="008356DA"/>
    <w:rsid w:val="0083658E"/>
    <w:rsid w:val="00846013"/>
    <w:rsid w:val="0085479B"/>
    <w:rsid w:val="00855D1E"/>
    <w:rsid w:val="00861838"/>
    <w:rsid w:val="00862441"/>
    <w:rsid w:val="008638AC"/>
    <w:rsid w:val="008732EB"/>
    <w:rsid w:val="008809F1"/>
    <w:rsid w:val="00884692"/>
    <w:rsid w:val="00892970"/>
    <w:rsid w:val="008A45C4"/>
    <w:rsid w:val="008A5FA8"/>
    <w:rsid w:val="008A773E"/>
    <w:rsid w:val="008B2AC4"/>
    <w:rsid w:val="008B30D1"/>
    <w:rsid w:val="008B3191"/>
    <w:rsid w:val="008B325E"/>
    <w:rsid w:val="008B4081"/>
    <w:rsid w:val="008B4EC3"/>
    <w:rsid w:val="008C4DEC"/>
    <w:rsid w:val="008C6290"/>
    <w:rsid w:val="008C7815"/>
    <w:rsid w:val="008D1466"/>
    <w:rsid w:val="008D2E72"/>
    <w:rsid w:val="008E30D6"/>
    <w:rsid w:val="008F1C08"/>
    <w:rsid w:val="008F4BB8"/>
    <w:rsid w:val="00901582"/>
    <w:rsid w:val="00905444"/>
    <w:rsid w:val="00911185"/>
    <w:rsid w:val="00913FB1"/>
    <w:rsid w:val="00915FC3"/>
    <w:rsid w:val="00917999"/>
    <w:rsid w:val="00921E6B"/>
    <w:rsid w:val="00922B25"/>
    <w:rsid w:val="00926FE6"/>
    <w:rsid w:val="00931BAD"/>
    <w:rsid w:val="0093365A"/>
    <w:rsid w:val="00933A83"/>
    <w:rsid w:val="0093444D"/>
    <w:rsid w:val="00942434"/>
    <w:rsid w:val="00946C1B"/>
    <w:rsid w:val="00947ABB"/>
    <w:rsid w:val="00952165"/>
    <w:rsid w:val="009600B7"/>
    <w:rsid w:val="009658DE"/>
    <w:rsid w:val="00966DE8"/>
    <w:rsid w:val="009728DD"/>
    <w:rsid w:val="00996D88"/>
    <w:rsid w:val="009A070A"/>
    <w:rsid w:val="009B0A36"/>
    <w:rsid w:val="009B316E"/>
    <w:rsid w:val="009B441A"/>
    <w:rsid w:val="009D163C"/>
    <w:rsid w:val="009D6CA8"/>
    <w:rsid w:val="009D6E51"/>
    <w:rsid w:val="009D7347"/>
    <w:rsid w:val="009E195F"/>
    <w:rsid w:val="00A020D2"/>
    <w:rsid w:val="00A03889"/>
    <w:rsid w:val="00A07437"/>
    <w:rsid w:val="00A12706"/>
    <w:rsid w:val="00A21F6F"/>
    <w:rsid w:val="00A27998"/>
    <w:rsid w:val="00A279D6"/>
    <w:rsid w:val="00A27E3F"/>
    <w:rsid w:val="00A30ED5"/>
    <w:rsid w:val="00A33C80"/>
    <w:rsid w:val="00A4075D"/>
    <w:rsid w:val="00A42A8C"/>
    <w:rsid w:val="00A535AC"/>
    <w:rsid w:val="00A537FE"/>
    <w:rsid w:val="00A54C11"/>
    <w:rsid w:val="00A808E0"/>
    <w:rsid w:val="00A81512"/>
    <w:rsid w:val="00A84521"/>
    <w:rsid w:val="00A94122"/>
    <w:rsid w:val="00AA0DCC"/>
    <w:rsid w:val="00AA59E7"/>
    <w:rsid w:val="00AB613C"/>
    <w:rsid w:val="00AB6960"/>
    <w:rsid w:val="00AB6D96"/>
    <w:rsid w:val="00AC4FE2"/>
    <w:rsid w:val="00AD090E"/>
    <w:rsid w:val="00AD0CC5"/>
    <w:rsid w:val="00AD306E"/>
    <w:rsid w:val="00AD428A"/>
    <w:rsid w:val="00AD45FD"/>
    <w:rsid w:val="00AD4AC3"/>
    <w:rsid w:val="00AD5BC1"/>
    <w:rsid w:val="00AE008A"/>
    <w:rsid w:val="00AE159B"/>
    <w:rsid w:val="00AE5749"/>
    <w:rsid w:val="00AF0C75"/>
    <w:rsid w:val="00AF1519"/>
    <w:rsid w:val="00AF2225"/>
    <w:rsid w:val="00AF7903"/>
    <w:rsid w:val="00AF7D25"/>
    <w:rsid w:val="00B0541C"/>
    <w:rsid w:val="00B064E6"/>
    <w:rsid w:val="00B129AC"/>
    <w:rsid w:val="00B129F2"/>
    <w:rsid w:val="00B21242"/>
    <w:rsid w:val="00B23D11"/>
    <w:rsid w:val="00B24C3C"/>
    <w:rsid w:val="00B25749"/>
    <w:rsid w:val="00B344E1"/>
    <w:rsid w:val="00B51998"/>
    <w:rsid w:val="00B57F27"/>
    <w:rsid w:val="00B62810"/>
    <w:rsid w:val="00B711F1"/>
    <w:rsid w:val="00B71847"/>
    <w:rsid w:val="00B73F87"/>
    <w:rsid w:val="00B845E4"/>
    <w:rsid w:val="00B90A34"/>
    <w:rsid w:val="00B952A6"/>
    <w:rsid w:val="00B95460"/>
    <w:rsid w:val="00B95F08"/>
    <w:rsid w:val="00B967B6"/>
    <w:rsid w:val="00B97954"/>
    <w:rsid w:val="00BA54E3"/>
    <w:rsid w:val="00BA5D6B"/>
    <w:rsid w:val="00BB3560"/>
    <w:rsid w:val="00BC49F0"/>
    <w:rsid w:val="00BC4D9F"/>
    <w:rsid w:val="00BD1410"/>
    <w:rsid w:val="00BD53E4"/>
    <w:rsid w:val="00BD6F54"/>
    <w:rsid w:val="00BF6223"/>
    <w:rsid w:val="00BF7925"/>
    <w:rsid w:val="00C00B77"/>
    <w:rsid w:val="00C11204"/>
    <w:rsid w:val="00C11A81"/>
    <w:rsid w:val="00C20E3D"/>
    <w:rsid w:val="00C21F8E"/>
    <w:rsid w:val="00C3003B"/>
    <w:rsid w:val="00C31B40"/>
    <w:rsid w:val="00C4405E"/>
    <w:rsid w:val="00C63950"/>
    <w:rsid w:val="00C74413"/>
    <w:rsid w:val="00C806C6"/>
    <w:rsid w:val="00C82212"/>
    <w:rsid w:val="00CA1204"/>
    <w:rsid w:val="00CB0A7C"/>
    <w:rsid w:val="00CB7FA4"/>
    <w:rsid w:val="00CC5B24"/>
    <w:rsid w:val="00CD4EC1"/>
    <w:rsid w:val="00CE5353"/>
    <w:rsid w:val="00CF1314"/>
    <w:rsid w:val="00CF5385"/>
    <w:rsid w:val="00CF6EFF"/>
    <w:rsid w:val="00D04231"/>
    <w:rsid w:val="00D17AB9"/>
    <w:rsid w:val="00D2001E"/>
    <w:rsid w:val="00D20BE8"/>
    <w:rsid w:val="00D231AA"/>
    <w:rsid w:val="00D31D16"/>
    <w:rsid w:val="00D3408D"/>
    <w:rsid w:val="00D34899"/>
    <w:rsid w:val="00D46A20"/>
    <w:rsid w:val="00D4704D"/>
    <w:rsid w:val="00D67F2C"/>
    <w:rsid w:val="00D74DD8"/>
    <w:rsid w:val="00D76417"/>
    <w:rsid w:val="00D858FA"/>
    <w:rsid w:val="00D87A2E"/>
    <w:rsid w:val="00D9615F"/>
    <w:rsid w:val="00D9684A"/>
    <w:rsid w:val="00DA31CC"/>
    <w:rsid w:val="00DC1C88"/>
    <w:rsid w:val="00DD441A"/>
    <w:rsid w:val="00DE1828"/>
    <w:rsid w:val="00DE380B"/>
    <w:rsid w:val="00DF33BC"/>
    <w:rsid w:val="00E00648"/>
    <w:rsid w:val="00E017EC"/>
    <w:rsid w:val="00E02150"/>
    <w:rsid w:val="00E0578F"/>
    <w:rsid w:val="00E072E9"/>
    <w:rsid w:val="00E17ABD"/>
    <w:rsid w:val="00E2009E"/>
    <w:rsid w:val="00E22185"/>
    <w:rsid w:val="00E30AE7"/>
    <w:rsid w:val="00E312CA"/>
    <w:rsid w:val="00E33899"/>
    <w:rsid w:val="00E43E5A"/>
    <w:rsid w:val="00E43F79"/>
    <w:rsid w:val="00E44A49"/>
    <w:rsid w:val="00E538BB"/>
    <w:rsid w:val="00E5764D"/>
    <w:rsid w:val="00E65BDB"/>
    <w:rsid w:val="00E66C2D"/>
    <w:rsid w:val="00E74E24"/>
    <w:rsid w:val="00E74E4E"/>
    <w:rsid w:val="00E766AA"/>
    <w:rsid w:val="00E81B6E"/>
    <w:rsid w:val="00E837DC"/>
    <w:rsid w:val="00E85005"/>
    <w:rsid w:val="00E934B4"/>
    <w:rsid w:val="00EC0009"/>
    <w:rsid w:val="00ED3FC5"/>
    <w:rsid w:val="00EE2143"/>
    <w:rsid w:val="00EE24D9"/>
    <w:rsid w:val="00EE5C5A"/>
    <w:rsid w:val="00EE7313"/>
    <w:rsid w:val="00EE75E6"/>
    <w:rsid w:val="00EF097D"/>
    <w:rsid w:val="00EF225A"/>
    <w:rsid w:val="00F176CD"/>
    <w:rsid w:val="00F25552"/>
    <w:rsid w:val="00F30569"/>
    <w:rsid w:val="00F30F1F"/>
    <w:rsid w:val="00F42DF6"/>
    <w:rsid w:val="00F4454D"/>
    <w:rsid w:val="00F46233"/>
    <w:rsid w:val="00F47C5B"/>
    <w:rsid w:val="00F540DF"/>
    <w:rsid w:val="00F60120"/>
    <w:rsid w:val="00F60464"/>
    <w:rsid w:val="00F62CF1"/>
    <w:rsid w:val="00F64D71"/>
    <w:rsid w:val="00F658C3"/>
    <w:rsid w:val="00F8454A"/>
    <w:rsid w:val="00F84B89"/>
    <w:rsid w:val="00F84C4F"/>
    <w:rsid w:val="00F93CF5"/>
    <w:rsid w:val="00F94849"/>
    <w:rsid w:val="00FA24C6"/>
    <w:rsid w:val="00FA511A"/>
    <w:rsid w:val="00FA6A5C"/>
    <w:rsid w:val="00FA76D3"/>
    <w:rsid w:val="00FB48FD"/>
    <w:rsid w:val="00FB6712"/>
    <w:rsid w:val="00FB747E"/>
    <w:rsid w:val="00FB7644"/>
    <w:rsid w:val="00FC2480"/>
    <w:rsid w:val="00FC34DB"/>
    <w:rsid w:val="00FC6BED"/>
    <w:rsid w:val="00FC7CD0"/>
    <w:rsid w:val="00FD07CC"/>
    <w:rsid w:val="00FD112E"/>
    <w:rsid w:val="00FE2CF2"/>
    <w:rsid w:val="00FE5C7A"/>
    <w:rsid w:val="00FF0267"/>
    <w:rsid w:val="00FF07D8"/>
    <w:rsid w:val="00FF08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3E9D"/>
  <w15:chartTrackingRefBased/>
  <w15:docId w15:val="{DCD84720-7797-48C8-AC0F-E7102EE54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54"/>
  </w:style>
  <w:style w:type="paragraph" w:styleId="Ttulo1">
    <w:name w:val="heading 1"/>
    <w:basedOn w:val="Normal"/>
    <w:next w:val="Normal"/>
    <w:link w:val="Ttulo1Car"/>
    <w:uiPriority w:val="9"/>
    <w:qFormat/>
    <w:rsid w:val="00FC7C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FC7C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elsa">
    <w:name w:val="Celsa"/>
    <w:basedOn w:val="Normal"/>
    <w:uiPriority w:val="99"/>
    <w:rsid w:val="00CF1314"/>
    <w:pPr>
      <w:spacing w:before="240" w:after="0" w:line="360" w:lineRule="auto"/>
      <w:jc w:val="both"/>
    </w:pPr>
    <w:rPr>
      <w:rFonts w:ascii="Arial" w:eastAsia="Times New Roman" w:hAnsi="Arial" w:cs="Times New Roman"/>
      <w:sz w:val="20"/>
      <w:szCs w:val="20"/>
      <w:lang w:val="es-ES_tradnl" w:eastAsia="es-ES"/>
    </w:rPr>
  </w:style>
  <w:style w:type="paragraph" w:customStyle="1" w:styleId="CuadroN1">
    <w:name w:val="Cuadro N1"/>
    <w:basedOn w:val="Normal"/>
    <w:qFormat/>
    <w:rsid w:val="00CF1314"/>
    <w:pPr>
      <w:widowControl w:val="0"/>
      <w:tabs>
        <w:tab w:val="left" w:pos="1134"/>
      </w:tabs>
      <w:snapToGrid w:val="0"/>
      <w:spacing w:after="240" w:line="240" w:lineRule="auto"/>
      <w:jc w:val="center"/>
      <w:outlineLvl w:val="4"/>
    </w:pPr>
    <w:rPr>
      <w:rFonts w:ascii="Arial" w:eastAsia="Times New Roman" w:hAnsi="Arial" w:cs="Arial"/>
      <w:b/>
      <w:color w:val="000000"/>
      <w:sz w:val="18"/>
      <w:szCs w:val="18"/>
      <w:lang w:eastAsia="es-ES"/>
    </w:rPr>
  </w:style>
  <w:style w:type="table" w:styleId="Cuadrculamedia3-nfasis1">
    <w:name w:val="Medium Grid 3 Accent 1"/>
    <w:basedOn w:val="Tablanormal"/>
    <w:uiPriority w:val="69"/>
    <w:semiHidden/>
    <w:unhideWhenUsed/>
    <w:rsid w:val="00CF1314"/>
    <w:pPr>
      <w:snapToGrid w:val="0"/>
      <w:spacing w:after="0" w:line="240" w:lineRule="auto"/>
    </w:pPr>
    <w:rPr>
      <w:rFonts w:ascii="Arial" w:hAnsi="Arial" w:cs="Arial"/>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paragraph" w:styleId="Textosinformato">
    <w:name w:val="Plain Text"/>
    <w:basedOn w:val="Normal"/>
    <w:link w:val="TextosinformatoCar"/>
    <w:uiPriority w:val="99"/>
    <w:semiHidden/>
    <w:unhideWhenUsed/>
    <w:rsid w:val="002275FC"/>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semiHidden/>
    <w:rsid w:val="002275FC"/>
    <w:rPr>
      <w:rFonts w:ascii="Calibri" w:hAnsi="Calibri"/>
      <w:szCs w:val="21"/>
    </w:rPr>
  </w:style>
  <w:style w:type="table" w:customStyle="1" w:styleId="Cuadrculamedia3-nfasis11">
    <w:name w:val="Cuadrícula media 3 - Énfasis 11"/>
    <w:basedOn w:val="Tablanormal"/>
    <w:uiPriority w:val="69"/>
    <w:rsid w:val="002275FC"/>
    <w:pPr>
      <w:snapToGrid w:val="0"/>
      <w:spacing w:after="0" w:line="240" w:lineRule="auto"/>
    </w:pPr>
    <w:rPr>
      <w:rFonts w:ascii="Arial" w:eastAsia="Times New Roman" w:hAnsi="Arial" w:cs="Times New Roman"/>
      <w:szCs w:val="20"/>
      <w:lang w:eastAsia="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paragraph" w:customStyle="1" w:styleId="parrafo22">
    <w:name w:val="parrafo_22"/>
    <w:basedOn w:val="Normal"/>
    <w:rsid w:val="003C7D3D"/>
    <w:pPr>
      <w:spacing w:before="360" w:after="180" w:line="240" w:lineRule="atLeast"/>
      <w:ind w:firstLine="360"/>
      <w:jc w:val="both"/>
    </w:pPr>
    <w:rPr>
      <w:rFonts w:ascii="Times New Roman" w:eastAsia="Times New Roman" w:hAnsi="Times New Roman" w:cs="Times New Roman"/>
      <w:sz w:val="20"/>
      <w:szCs w:val="20"/>
      <w:lang w:eastAsia="es-ES"/>
    </w:rPr>
  </w:style>
  <w:style w:type="paragraph" w:styleId="Prrafodelista">
    <w:name w:val="List Paragraph"/>
    <w:aliases w:val="Cím 1,Párrafo de lista viñeta azul,List Paragraph 1,Llista Nivell1,Lista de nivel 1,Lettre d'introduction,Table of contents numbered,Paragraphe de liste PBLH,BULLET 1,List Bulletized,List Paragraph Char Char,Bullet Points,Liste Paragraf"/>
    <w:basedOn w:val="Normal"/>
    <w:link w:val="PrrafodelistaCar"/>
    <w:uiPriority w:val="34"/>
    <w:qFormat/>
    <w:rsid w:val="00E43F79"/>
    <w:pPr>
      <w:ind w:left="720"/>
      <w:contextualSpacing/>
    </w:pPr>
  </w:style>
  <w:style w:type="numbering" w:customStyle="1" w:styleId="Sinlista1">
    <w:name w:val="Sin lista1"/>
    <w:next w:val="Sinlista"/>
    <w:uiPriority w:val="99"/>
    <w:semiHidden/>
    <w:unhideWhenUsed/>
    <w:rsid w:val="002B399F"/>
  </w:style>
  <w:style w:type="character" w:styleId="Hipervnculo">
    <w:name w:val="Hyperlink"/>
    <w:basedOn w:val="Fuentedeprrafopredeter"/>
    <w:uiPriority w:val="99"/>
    <w:unhideWhenUsed/>
    <w:rsid w:val="002B399F"/>
    <w:rPr>
      <w:color w:val="0563C1"/>
      <w:u w:val="single"/>
    </w:rPr>
  </w:style>
  <w:style w:type="character" w:styleId="Hipervnculovisitado">
    <w:name w:val="FollowedHyperlink"/>
    <w:basedOn w:val="Fuentedeprrafopredeter"/>
    <w:uiPriority w:val="99"/>
    <w:semiHidden/>
    <w:unhideWhenUsed/>
    <w:rsid w:val="002B399F"/>
    <w:rPr>
      <w:color w:val="954F72"/>
      <w:u w:val="single"/>
    </w:rPr>
  </w:style>
  <w:style w:type="paragraph" w:customStyle="1" w:styleId="msonormal0">
    <w:name w:val="msonormal"/>
    <w:basedOn w:val="Normal"/>
    <w:rsid w:val="002B399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5">
    <w:name w:val="xl65"/>
    <w:basedOn w:val="Normal"/>
    <w:rsid w:val="002B399F"/>
    <w:pPr>
      <w:pBdr>
        <w:top w:val="single" w:sz="4" w:space="0" w:color="FFFFFF"/>
        <w:left w:val="single" w:sz="4" w:space="0" w:color="FFFFFF"/>
        <w:bottom w:val="single" w:sz="4" w:space="0" w:color="FFFFFF"/>
        <w:right w:val="single" w:sz="4" w:space="0" w:color="FFFFFF"/>
      </w:pBdr>
      <w:shd w:val="clear" w:color="000000" w:fill="E5E7F3"/>
      <w:spacing w:before="100" w:beforeAutospacing="1" w:after="100" w:afterAutospacing="1" w:line="240" w:lineRule="auto"/>
    </w:pPr>
    <w:rPr>
      <w:rFonts w:ascii="Times New Roman" w:eastAsia="Times New Roman" w:hAnsi="Times New Roman" w:cs="Times New Roman"/>
      <w:b/>
      <w:bCs/>
      <w:color w:val="333333"/>
      <w:sz w:val="24"/>
      <w:szCs w:val="24"/>
      <w:lang w:eastAsia="es-ES"/>
    </w:rPr>
  </w:style>
  <w:style w:type="paragraph" w:customStyle="1" w:styleId="xl66">
    <w:name w:val="xl66"/>
    <w:basedOn w:val="Normal"/>
    <w:rsid w:val="002B399F"/>
    <w:pPr>
      <w:pBdr>
        <w:top w:val="single" w:sz="4" w:space="0" w:color="FFFFFF"/>
        <w:left w:val="single" w:sz="4" w:space="0" w:color="FFFFFF"/>
        <w:bottom w:val="single" w:sz="4" w:space="0" w:color="FFFFFF"/>
        <w:right w:val="single" w:sz="4" w:space="0" w:color="FFFFFF"/>
      </w:pBdr>
      <w:shd w:val="clear" w:color="000000" w:fill="B6C5D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7">
    <w:name w:val="xl67"/>
    <w:basedOn w:val="Normal"/>
    <w:rsid w:val="002B399F"/>
    <w:pPr>
      <w:pBdr>
        <w:top w:val="single" w:sz="4" w:space="0" w:color="FFFFFF"/>
        <w:left w:val="single" w:sz="4" w:space="0" w:color="FFFFFF"/>
        <w:bottom w:val="single" w:sz="4" w:space="0" w:color="FFFFFF"/>
        <w:right w:val="single" w:sz="4" w:space="0" w:color="FFFFFF"/>
      </w:pBdr>
      <w:shd w:val="clear" w:color="000000" w:fill="F3F4F7"/>
      <w:spacing w:before="100" w:beforeAutospacing="1" w:after="100" w:afterAutospacing="1" w:line="240" w:lineRule="auto"/>
      <w:jc w:val="right"/>
    </w:pPr>
    <w:rPr>
      <w:rFonts w:ascii="Times New Roman" w:eastAsia="Times New Roman" w:hAnsi="Times New Roman" w:cs="Times New Roman"/>
      <w:color w:val="333333"/>
      <w:sz w:val="18"/>
      <w:szCs w:val="18"/>
      <w:lang w:eastAsia="es-ES"/>
    </w:rPr>
  </w:style>
  <w:style w:type="paragraph" w:customStyle="1" w:styleId="xl68">
    <w:name w:val="xl68"/>
    <w:basedOn w:val="Normal"/>
    <w:rsid w:val="002B399F"/>
    <w:pPr>
      <w:pBdr>
        <w:top w:val="single" w:sz="4" w:space="0" w:color="FFFFFF"/>
        <w:left w:val="single" w:sz="4" w:space="0" w:color="FFFFFF"/>
        <w:bottom w:val="single" w:sz="4" w:space="0" w:color="FFFFFF"/>
        <w:right w:val="single" w:sz="4" w:space="0" w:color="FFFFFF"/>
      </w:pBdr>
      <w:shd w:val="clear" w:color="000000" w:fill="F3F4F7"/>
      <w:spacing w:before="100" w:beforeAutospacing="1" w:after="100" w:afterAutospacing="1" w:line="240" w:lineRule="auto"/>
      <w:jc w:val="right"/>
    </w:pPr>
    <w:rPr>
      <w:rFonts w:ascii="Times New Roman" w:eastAsia="Times New Roman" w:hAnsi="Times New Roman" w:cs="Times New Roman"/>
      <w:color w:val="333333"/>
      <w:sz w:val="18"/>
      <w:szCs w:val="18"/>
      <w:lang w:eastAsia="es-ES"/>
    </w:rPr>
  </w:style>
  <w:style w:type="paragraph" w:customStyle="1" w:styleId="xl69">
    <w:name w:val="xl69"/>
    <w:basedOn w:val="Normal"/>
    <w:rsid w:val="002B399F"/>
    <w:pPr>
      <w:pBdr>
        <w:top w:val="single" w:sz="4" w:space="0" w:color="FFFFFF"/>
        <w:left w:val="single" w:sz="4" w:space="0" w:color="FFFFFF"/>
        <w:bottom w:val="single" w:sz="4" w:space="0" w:color="FFFFFF"/>
        <w:right w:val="single" w:sz="4" w:space="0" w:color="FFFFFF"/>
      </w:pBdr>
      <w:shd w:val="clear" w:color="000000" w:fill="FFFFFF"/>
      <w:spacing w:before="100" w:beforeAutospacing="1" w:after="100" w:afterAutospacing="1" w:line="240" w:lineRule="auto"/>
    </w:pPr>
    <w:rPr>
      <w:rFonts w:ascii="Times New Roman" w:eastAsia="Times New Roman" w:hAnsi="Times New Roman" w:cs="Times New Roman"/>
      <w:color w:val="FFFFFF"/>
      <w:sz w:val="24"/>
      <w:szCs w:val="24"/>
      <w:lang w:eastAsia="es-ES"/>
    </w:rPr>
  </w:style>
  <w:style w:type="paragraph" w:customStyle="1" w:styleId="xl70">
    <w:name w:val="xl70"/>
    <w:basedOn w:val="Normal"/>
    <w:rsid w:val="002B399F"/>
    <w:pPr>
      <w:pBdr>
        <w:top w:val="single" w:sz="4" w:space="0" w:color="FFFFFF"/>
        <w:left w:val="single" w:sz="4" w:space="0" w:color="FFFFFF"/>
        <w:bottom w:val="single" w:sz="4" w:space="0" w:color="FFFFFF"/>
        <w:right w:val="single" w:sz="4" w:space="0" w:color="FFFFFF"/>
      </w:pBdr>
      <w:shd w:val="clear" w:color="000000" w:fill="FFFFFF"/>
      <w:spacing w:before="100" w:beforeAutospacing="1" w:after="100" w:afterAutospacing="1" w:line="240" w:lineRule="auto"/>
    </w:pPr>
    <w:rPr>
      <w:rFonts w:ascii="Times New Roman" w:eastAsia="Times New Roman" w:hAnsi="Times New Roman" w:cs="Times New Roman"/>
      <w:b/>
      <w:bCs/>
      <w:color w:val="333333"/>
      <w:lang w:eastAsia="es-ES"/>
    </w:rPr>
  </w:style>
  <w:style w:type="paragraph" w:customStyle="1" w:styleId="xl71">
    <w:name w:val="xl71"/>
    <w:basedOn w:val="Normal"/>
    <w:rsid w:val="002B399F"/>
    <w:pPr>
      <w:pBdr>
        <w:top w:val="single" w:sz="4" w:space="0" w:color="FFFFFF"/>
        <w:left w:val="single" w:sz="4" w:space="0" w:color="FFFFFF"/>
        <w:bottom w:val="single" w:sz="4" w:space="0" w:color="FFFFFF"/>
        <w:right w:val="single" w:sz="4" w:space="0" w:color="FFFFFF"/>
      </w:pBdr>
      <w:shd w:val="clear" w:color="000000" w:fill="FFFFFF"/>
      <w:spacing w:before="100" w:beforeAutospacing="1" w:after="100" w:afterAutospacing="1" w:line="240" w:lineRule="auto"/>
    </w:pPr>
    <w:rPr>
      <w:rFonts w:ascii="Times New Roman" w:eastAsia="Times New Roman" w:hAnsi="Times New Roman" w:cs="Times New Roman"/>
      <w:b/>
      <w:bCs/>
      <w:color w:val="333333"/>
      <w:sz w:val="24"/>
      <w:szCs w:val="24"/>
      <w:lang w:eastAsia="es-ES"/>
    </w:rPr>
  </w:style>
  <w:style w:type="paragraph" w:customStyle="1" w:styleId="xl72">
    <w:name w:val="xl72"/>
    <w:basedOn w:val="Normal"/>
    <w:rsid w:val="002B399F"/>
    <w:pPr>
      <w:pBdr>
        <w:top w:val="single" w:sz="4" w:space="0" w:color="FFFFFF"/>
        <w:left w:val="single" w:sz="4" w:space="0" w:color="FFFFFF"/>
        <w:bottom w:val="single" w:sz="4" w:space="0" w:color="FFFFFF"/>
        <w:right w:val="single" w:sz="4" w:space="0" w:color="FFFFFF"/>
      </w:pBdr>
      <w:shd w:val="clear" w:color="000000" w:fill="B6C5DF"/>
      <w:spacing w:before="100" w:beforeAutospacing="1" w:after="100" w:afterAutospacing="1" w:line="240" w:lineRule="auto"/>
    </w:pPr>
    <w:rPr>
      <w:rFonts w:ascii="Times New Roman" w:eastAsia="Times New Roman" w:hAnsi="Times New Roman" w:cs="Times New Roman"/>
      <w:b/>
      <w:bCs/>
      <w:color w:val="333333"/>
      <w:sz w:val="24"/>
      <w:szCs w:val="24"/>
      <w:lang w:eastAsia="es-ES"/>
    </w:rPr>
  </w:style>
  <w:style w:type="numbering" w:customStyle="1" w:styleId="Sinlista2">
    <w:name w:val="Sin lista2"/>
    <w:next w:val="Sinlista"/>
    <w:uiPriority w:val="99"/>
    <w:semiHidden/>
    <w:unhideWhenUsed/>
    <w:rsid w:val="006157A5"/>
  </w:style>
  <w:style w:type="numbering" w:customStyle="1" w:styleId="Sinlista3">
    <w:name w:val="Sin lista3"/>
    <w:next w:val="Sinlista"/>
    <w:uiPriority w:val="99"/>
    <w:semiHidden/>
    <w:unhideWhenUsed/>
    <w:rsid w:val="00EE5C5A"/>
  </w:style>
  <w:style w:type="paragraph" w:customStyle="1" w:styleId="xl63">
    <w:name w:val="xl63"/>
    <w:basedOn w:val="Normal"/>
    <w:rsid w:val="00CB7FA4"/>
    <w:pPr>
      <w:spacing w:before="100" w:beforeAutospacing="1" w:after="100" w:afterAutospacing="1" w:line="240" w:lineRule="auto"/>
    </w:pPr>
    <w:rPr>
      <w:rFonts w:ascii="Times New Roman" w:eastAsia="Times New Roman" w:hAnsi="Times New Roman" w:cs="Times New Roman"/>
      <w:b/>
      <w:bCs/>
      <w:sz w:val="28"/>
      <w:szCs w:val="28"/>
      <w:lang w:eastAsia="es-ES"/>
    </w:rPr>
  </w:style>
  <w:style w:type="paragraph" w:customStyle="1" w:styleId="xl64">
    <w:name w:val="xl64"/>
    <w:basedOn w:val="Normal"/>
    <w:rsid w:val="00CB7FA4"/>
    <w:pP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1E122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1221"/>
  </w:style>
  <w:style w:type="paragraph" w:styleId="Piedepgina">
    <w:name w:val="footer"/>
    <w:basedOn w:val="Normal"/>
    <w:link w:val="PiedepginaCar"/>
    <w:uiPriority w:val="99"/>
    <w:unhideWhenUsed/>
    <w:rsid w:val="001E122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1221"/>
  </w:style>
  <w:style w:type="paragraph" w:styleId="Textonotapie">
    <w:name w:val="footnote text"/>
    <w:basedOn w:val="Normal"/>
    <w:link w:val="TextonotapieCar"/>
    <w:unhideWhenUsed/>
    <w:rsid w:val="00243A99"/>
    <w:pPr>
      <w:spacing w:after="0" w:line="240" w:lineRule="auto"/>
    </w:pPr>
    <w:rPr>
      <w:sz w:val="20"/>
      <w:szCs w:val="20"/>
    </w:rPr>
  </w:style>
  <w:style w:type="character" w:customStyle="1" w:styleId="TextonotapieCar">
    <w:name w:val="Texto nota pie Car"/>
    <w:basedOn w:val="Fuentedeprrafopredeter"/>
    <w:link w:val="Textonotapie"/>
    <w:rsid w:val="00243A99"/>
    <w:rPr>
      <w:sz w:val="20"/>
      <w:szCs w:val="20"/>
    </w:rPr>
  </w:style>
  <w:style w:type="character" w:styleId="Textodelmarcadordeposicin">
    <w:name w:val="Placeholder Text"/>
    <w:basedOn w:val="Fuentedeprrafopredeter"/>
    <w:uiPriority w:val="99"/>
    <w:semiHidden/>
    <w:rsid w:val="005746F4"/>
    <w:rPr>
      <w:color w:val="808080"/>
    </w:rPr>
  </w:style>
  <w:style w:type="character" w:customStyle="1" w:styleId="PrrafodelistaCar">
    <w:name w:val="Párrafo de lista Car"/>
    <w:aliases w:val="Cím 1 Car,Párrafo de lista viñeta azul Car,List Paragraph 1 Car,Llista Nivell1 Car,Lista de nivel 1 Car,Lettre d'introduction Car,Table of contents numbered Car,Paragraphe de liste PBLH Car,BULLET 1 Car,List Bulletized Car"/>
    <w:link w:val="Prrafodelista"/>
    <w:uiPriority w:val="34"/>
    <w:qFormat/>
    <w:locked/>
    <w:rsid w:val="00204831"/>
  </w:style>
  <w:style w:type="paragraph" w:styleId="Textonotaalfinal">
    <w:name w:val="endnote text"/>
    <w:basedOn w:val="Normal"/>
    <w:link w:val="TextonotaalfinalCar"/>
    <w:uiPriority w:val="99"/>
    <w:unhideWhenUsed/>
    <w:rsid w:val="00204831"/>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204831"/>
    <w:rPr>
      <w:sz w:val="20"/>
      <w:szCs w:val="20"/>
    </w:rPr>
  </w:style>
  <w:style w:type="character" w:styleId="Refdenotaalfinal">
    <w:name w:val="endnote reference"/>
    <w:basedOn w:val="Fuentedeprrafopredeter"/>
    <w:uiPriority w:val="99"/>
    <w:semiHidden/>
    <w:unhideWhenUsed/>
    <w:rsid w:val="00204831"/>
    <w:rPr>
      <w:vertAlign w:val="superscript"/>
    </w:rPr>
  </w:style>
  <w:style w:type="character" w:customStyle="1" w:styleId="Ttulo1Car">
    <w:name w:val="Título 1 Car"/>
    <w:basedOn w:val="Fuentedeprrafopredeter"/>
    <w:link w:val="Ttulo1"/>
    <w:uiPriority w:val="9"/>
    <w:rsid w:val="00FC7CD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FC7CD0"/>
    <w:rPr>
      <w:rFonts w:asciiTheme="majorHAnsi" w:eastAsiaTheme="majorEastAsia" w:hAnsiTheme="majorHAnsi" w:cstheme="majorBidi"/>
      <w:color w:val="2E74B5" w:themeColor="accent1" w:themeShade="BF"/>
      <w:sz w:val="26"/>
      <w:szCs w:val="26"/>
    </w:rPr>
  </w:style>
  <w:style w:type="character" w:styleId="Refdenotaalpie">
    <w:name w:val="footnote reference"/>
    <w:basedOn w:val="Fuentedeprrafopredeter"/>
    <w:uiPriority w:val="99"/>
    <w:semiHidden/>
    <w:unhideWhenUsed/>
    <w:rsid w:val="00FC7CD0"/>
    <w:rPr>
      <w:vertAlign w:val="superscript"/>
    </w:rPr>
  </w:style>
  <w:style w:type="paragraph" w:customStyle="1" w:styleId="Default">
    <w:name w:val="Default"/>
    <w:rsid w:val="00D31D16"/>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60462">
      <w:bodyDiv w:val="1"/>
      <w:marLeft w:val="0"/>
      <w:marRight w:val="0"/>
      <w:marTop w:val="0"/>
      <w:marBottom w:val="0"/>
      <w:divBdr>
        <w:top w:val="none" w:sz="0" w:space="0" w:color="auto"/>
        <w:left w:val="none" w:sz="0" w:space="0" w:color="auto"/>
        <w:bottom w:val="none" w:sz="0" w:space="0" w:color="auto"/>
        <w:right w:val="none" w:sz="0" w:space="0" w:color="auto"/>
      </w:divBdr>
    </w:div>
    <w:div w:id="327902278">
      <w:bodyDiv w:val="1"/>
      <w:marLeft w:val="0"/>
      <w:marRight w:val="0"/>
      <w:marTop w:val="0"/>
      <w:marBottom w:val="0"/>
      <w:divBdr>
        <w:top w:val="none" w:sz="0" w:space="0" w:color="auto"/>
        <w:left w:val="none" w:sz="0" w:space="0" w:color="auto"/>
        <w:bottom w:val="none" w:sz="0" w:space="0" w:color="auto"/>
        <w:right w:val="none" w:sz="0" w:space="0" w:color="auto"/>
      </w:divBdr>
    </w:div>
    <w:div w:id="346058561">
      <w:bodyDiv w:val="1"/>
      <w:marLeft w:val="0"/>
      <w:marRight w:val="0"/>
      <w:marTop w:val="0"/>
      <w:marBottom w:val="0"/>
      <w:divBdr>
        <w:top w:val="none" w:sz="0" w:space="0" w:color="auto"/>
        <w:left w:val="none" w:sz="0" w:space="0" w:color="auto"/>
        <w:bottom w:val="none" w:sz="0" w:space="0" w:color="auto"/>
        <w:right w:val="none" w:sz="0" w:space="0" w:color="auto"/>
      </w:divBdr>
    </w:div>
    <w:div w:id="356200531">
      <w:bodyDiv w:val="1"/>
      <w:marLeft w:val="0"/>
      <w:marRight w:val="0"/>
      <w:marTop w:val="0"/>
      <w:marBottom w:val="0"/>
      <w:divBdr>
        <w:top w:val="none" w:sz="0" w:space="0" w:color="auto"/>
        <w:left w:val="none" w:sz="0" w:space="0" w:color="auto"/>
        <w:bottom w:val="none" w:sz="0" w:space="0" w:color="auto"/>
        <w:right w:val="none" w:sz="0" w:space="0" w:color="auto"/>
      </w:divBdr>
    </w:div>
    <w:div w:id="470944627">
      <w:bodyDiv w:val="1"/>
      <w:marLeft w:val="0"/>
      <w:marRight w:val="0"/>
      <w:marTop w:val="0"/>
      <w:marBottom w:val="0"/>
      <w:divBdr>
        <w:top w:val="none" w:sz="0" w:space="0" w:color="auto"/>
        <w:left w:val="none" w:sz="0" w:space="0" w:color="auto"/>
        <w:bottom w:val="none" w:sz="0" w:space="0" w:color="auto"/>
        <w:right w:val="none" w:sz="0" w:space="0" w:color="auto"/>
      </w:divBdr>
    </w:div>
    <w:div w:id="532577513">
      <w:bodyDiv w:val="1"/>
      <w:marLeft w:val="0"/>
      <w:marRight w:val="0"/>
      <w:marTop w:val="0"/>
      <w:marBottom w:val="0"/>
      <w:divBdr>
        <w:top w:val="none" w:sz="0" w:space="0" w:color="auto"/>
        <w:left w:val="none" w:sz="0" w:space="0" w:color="auto"/>
        <w:bottom w:val="none" w:sz="0" w:space="0" w:color="auto"/>
        <w:right w:val="none" w:sz="0" w:space="0" w:color="auto"/>
      </w:divBdr>
    </w:div>
    <w:div w:id="573970281">
      <w:bodyDiv w:val="1"/>
      <w:marLeft w:val="0"/>
      <w:marRight w:val="0"/>
      <w:marTop w:val="0"/>
      <w:marBottom w:val="0"/>
      <w:divBdr>
        <w:top w:val="none" w:sz="0" w:space="0" w:color="auto"/>
        <w:left w:val="none" w:sz="0" w:space="0" w:color="auto"/>
        <w:bottom w:val="none" w:sz="0" w:space="0" w:color="auto"/>
        <w:right w:val="none" w:sz="0" w:space="0" w:color="auto"/>
      </w:divBdr>
    </w:div>
    <w:div w:id="778718095">
      <w:bodyDiv w:val="1"/>
      <w:marLeft w:val="0"/>
      <w:marRight w:val="0"/>
      <w:marTop w:val="0"/>
      <w:marBottom w:val="0"/>
      <w:divBdr>
        <w:top w:val="none" w:sz="0" w:space="0" w:color="auto"/>
        <w:left w:val="none" w:sz="0" w:space="0" w:color="auto"/>
        <w:bottom w:val="none" w:sz="0" w:space="0" w:color="auto"/>
        <w:right w:val="none" w:sz="0" w:space="0" w:color="auto"/>
      </w:divBdr>
    </w:div>
    <w:div w:id="784614563">
      <w:bodyDiv w:val="1"/>
      <w:marLeft w:val="0"/>
      <w:marRight w:val="0"/>
      <w:marTop w:val="0"/>
      <w:marBottom w:val="0"/>
      <w:divBdr>
        <w:top w:val="none" w:sz="0" w:space="0" w:color="auto"/>
        <w:left w:val="none" w:sz="0" w:space="0" w:color="auto"/>
        <w:bottom w:val="none" w:sz="0" w:space="0" w:color="auto"/>
        <w:right w:val="none" w:sz="0" w:space="0" w:color="auto"/>
      </w:divBdr>
    </w:div>
    <w:div w:id="856043829">
      <w:bodyDiv w:val="1"/>
      <w:marLeft w:val="0"/>
      <w:marRight w:val="0"/>
      <w:marTop w:val="0"/>
      <w:marBottom w:val="0"/>
      <w:divBdr>
        <w:top w:val="none" w:sz="0" w:space="0" w:color="auto"/>
        <w:left w:val="none" w:sz="0" w:space="0" w:color="auto"/>
        <w:bottom w:val="none" w:sz="0" w:space="0" w:color="auto"/>
        <w:right w:val="none" w:sz="0" w:space="0" w:color="auto"/>
      </w:divBdr>
    </w:div>
    <w:div w:id="905799693">
      <w:bodyDiv w:val="1"/>
      <w:marLeft w:val="0"/>
      <w:marRight w:val="0"/>
      <w:marTop w:val="0"/>
      <w:marBottom w:val="0"/>
      <w:divBdr>
        <w:top w:val="none" w:sz="0" w:space="0" w:color="auto"/>
        <w:left w:val="none" w:sz="0" w:space="0" w:color="auto"/>
        <w:bottom w:val="none" w:sz="0" w:space="0" w:color="auto"/>
        <w:right w:val="none" w:sz="0" w:space="0" w:color="auto"/>
      </w:divBdr>
    </w:div>
    <w:div w:id="967470832">
      <w:bodyDiv w:val="1"/>
      <w:marLeft w:val="0"/>
      <w:marRight w:val="0"/>
      <w:marTop w:val="0"/>
      <w:marBottom w:val="0"/>
      <w:divBdr>
        <w:top w:val="none" w:sz="0" w:space="0" w:color="auto"/>
        <w:left w:val="none" w:sz="0" w:space="0" w:color="auto"/>
        <w:bottom w:val="none" w:sz="0" w:space="0" w:color="auto"/>
        <w:right w:val="none" w:sz="0" w:space="0" w:color="auto"/>
      </w:divBdr>
    </w:div>
    <w:div w:id="982542987">
      <w:bodyDiv w:val="1"/>
      <w:marLeft w:val="0"/>
      <w:marRight w:val="0"/>
      <w:marTop w:val="0"/>
      <w:marBottom w:val="0"/>
      <w:divBdr>
        <w:top w:val="none" w:sz="0" w:space="0" w:color="auto"/>
        <w:left w:val="none" w:sz="0" w:space="0" w:color="auto"/>
        <w:bottom w:val="none" w:sz="0" w:space="0" w:color="auto"/>
        <w:right w:val="none" w:sz="0" w:space="0" w:color="auto"/>
      </w:divBdr>
    </w:div>
    <w:div w:id="1035229435">
      <w:bodyDiv w:val="1"/>
      <w:marLeft w:val="0"/>
      <w:marRight w:val="0"/>
      <w:marTop w:val="0"/>
      <w:marBottom w:val="0"/>
      <w:divBdr>
        <w:top w:val="none" w:sz="0" w:space="0" w:color="auto"/>
        <w:left w:val="none" w:sz="0" w:space="0" w:color="auto"/>
        <w:bottom w:val="none" w:sz="0" w:space="0" w:color="auto"/>
        <w:right w:val="none" w:sz="0" w:space="0" w:color="auto"/>
      </w:divBdr>
    </w:div>
    <w:div w:id="1069960916">
      <w:bodyDiv w:val="1"/>
      <w:marLeft w:val="0"/>
      <w:marRight w:val="0"/>
      <w:marTop w:val="0"/>
      <w:marBottom w:val="0"/>
      <w:divBdr>
        <w:top w:val="none" w:sz="0" w:space="0" w:color="auto"/>
        <w:left w:val="none" w:sz="0" w:space="0" w:color="auto"/>
        <w:bottom w:val="none" w:sz="0" w:space="0" w:color="auto"/>
        <w:right w:val="none" w:sz="0" w:space="0" w:color="auto"/>
      </w:divBdr>
    </w:div>
    <w:div w:id="1279680976">
      <w:bodyDiv w:val="1"/>
      <w:marLeft w:val="0"/>
      <w:marRight w:val="0"/>
      <w:marTop w:val="0"/>
      <w:marBottom w:val="0"/>
      <w:divBdr>
        <w:top w:val="none" w:sz="0" w:space="0" w:color="auto"/>
        <w:left w:val="none" w:sz="0" w:space="0" w:color="auto"/>
        <w:bottom w:val="none" w:sz="0" w:space="0" w:color="auto"/>
        <w:right w:val="none" w:sz="0" w:space="0" w:color="auto"/>
      </w:divBdr>
    </w:div>
    <w:div w:id="1321809775">
      <w:bodyDiv w:val="1"/>
      <w:marLeft w:val="0"/>
      <w:marRight w:val="0"/>
      <w:marTop w:val="0"/>
      <w:marBottom w:val="0"/>
      <w:divBdr>
        <w:top w:val="none" w:sz="0" w:space="0" w:color="auto"/>
        <w:left w:val="none" w:sz="0" w:space="0" w:color="auto"/>
        <w:bottom w:val="none" w:sz="0" w:space="0" w:color="auto"/>
        <w:right w:val="none" w:sz="0" w:space="0" w:color="auto"/>
      </w:divBdr>
    </w:div>
    <w:div w:id="1390418805">
      <w:bodyDiv w:val="1"/>
      <w:marLeft w:val="0"/>
      <w:marRight w:val="0"/>
      <w:marTop w:val="0"/>
      <w:marBottom w:val="0"/>
      <w:divBdr>
        <w:top w:val="none" w:sz="0" w:space="0" w:color="auto"/>
        <w:left w:val="none" w:sz="0" w:space="0" w:color="auto"/>
        <w:bottom w:val="none" w:sz="0" w:space="0" w:color="auto"/>
        <w:right w:val="none" w:sz="0" w:space="0" w:color="auto"/>
      </w:divBdr>
    </w:div>
    <w:div w:id="1411734818">
      <w:bodyDiv w:val="1"/>
      <w:marLeft w:val="0"/>
      <w:marRight w:val="0"/>
      <w:marTop w:val="0"/>
      <w:marBottom w:val="0"/>
      <w:divBdr>
        <w:top w:val="none" w:sz="0" w:space="0" w:color="auto"/>
        <w:left w:val="none" w:sz="0" w:space="0" w:color="auto"/>
        <w:bottom w:val="none" w:sz="0" w:space="0" w:color="auto"/>
        <w:right w:val="none" w:sz="0" w:space="0" w:color="auto"/>
      </w:divBdr>
    </w:div>
    <w:div w:id="1435201325">
      <w:bodyDiv w:val="1"/>
      <w:marLeft w:val="0"/>
      <w:marRight w:val="0"/>
      <w:marTop w:val="0"/>
      <w:marBottom w:val="0"/>
      <w:divBdr>
        <w:top w:val="none" w:sz="0" w:space="0" w:color="auto"/>
        <w:left w:val="none" w:sz="0" w:space="0" w:color="auto"/>
        <w:bottom w:val="none" w:sz="0" w:space="0" w:color="auto"/>
        <w:right w:val="none" w:sz="0" w:space="0" w:color="auto"/>
      </w:divBdr>
    </w:div>
    <w:div w:id="1451902394">
      <w:bodyDiv w:val="1"/>
      <w:marLeft w:val="0"/>
      <w:marRight w:val="0"/>
      <w:marTop w:val="0"/>
      <w:marBottom w:val="0"/>
      <w:divBdr>
        <w:top w:val="none" w:sz="0" w:space="0" w:color="auto"/>
        <w:left w:val="none" w:sz="0" w:space="0" w:color="auto"/>
        <w:bottom w:val="none" w:sz="0" w:space="0" w:color="auto"/>
        <w:right w:val="none" w:sz="0" w:space="0" w:color="auto"/>
      </w:divBdr>
    </w:div>
    <w:div w:id="1559784074">
      <w:bodyDiv w:val="1"/>
      <w:marLeft w:val="0"/>
      <w:marRight w:val="0"/>
      <w:marTop w:val="0"/>
      <w:marBottom w:val="0"/>
      <w:divBdr>
        <w:top w:val="none" w:sz="0" w:space="0" w:color="auto"/>
        <w:left w:val="none" w:sz="0" w:space="0" w:color="auto"/>
        <w:bottom w:val="none" w:sz="0" w:space="0" w:color="auto"/>
        <w:right w:val="none" w:sz="0" w:space="0" w:color="auto"/>
      </w:divBdr>
    </w:div>
    <w:div w:id="1579555207">
      <w:bodyDiv w:val="1"/>
      <w:marLeft w:val="0"/>
      <w:marRight w:val="0"/>
      <w:marTop w:val="0"/>
      <w:marBottom w:val="0"/>
      <w:divBdr>
        <w:top w:val="none" w:sz="0" w:space="0" w:color="auto"/>
        <w:left w:val="none" w:sz="0" w:space="0" w:color="auto"/>
        <w:bottom w:val="none" w:sz="0" w:space="0" w:color="auto"/>
        <w:right w:val="none" w:sz="0" w:space="0" w:color="auto"/>
      </w:divBdr>
    </w:div>
    <w:div w:id="1684746580">
      <w:bodyDiv w:val="1"/>
      <w:marLeft w:val="0"/>
      <w:marRight w:val="0"/>
      <w:marTop w:val="0"/>
      <w:marBottom w:val="0"/>
      <w:divBdr>
        <w:top w:val="none" w:sz="0" w:space="0" w:color="auto"/>
        <w:left w:val="none" w:sz="0" w:space="0" w:color="auto"/>
        <w:bottom w:val="none" w:sz="0" w:space="0" w:color="auto"/>
        <w:right w:val="none" w:sz="0" w:space="0" w:color="auto"/>
      </w:divBdr>
    </w:div>
    <w:div w:id="1688866872">
      <w:bodyDiv w:val="1"/>
      <w:marLeft w:val="0"/>
      <w:marRight w:val="0"/>
      <w:marTop w:val="0"/>
      <w:marBottom w:val="0"/>
      <w:divBdr>
        <w:top w:val="none" w:sz="0" w:space="0" w:color="auto"/>
        <w:left w:val="none" w:sz="0" w:space="0" w:color="auto"/>
        <w:bottom w:val="none" w:sz="0" w:space="0" w:color="auto"/>
        <w:right w:val="none" w:sz="0" w:space="0" w:color="auto"/>
      </w:divBdr>
    </w:div>
    <w:div w:id="1730496964">
      <w:bodyDiv w:val="1"/>
      <w:marLeft w:val="0"/>
      <w:marRight w:val="0"/>
      <w:marTop w:val="0"/>
      <w:marBottom w:val="0"/>
      <w:divBdr>
        <w:top w:val="none" w:sz="0" w:space="0" w:color="auto"/>
        <w:left w:val="none" w:sz="0" w:space="0" w:color="auto"/>
        <w:bottom w:val="none" w:sz="0" w:space="0" w:color="auto"/>
        <w:right w:val="none" w:sz="0" w:space="0" w:color="auto"/>
      </w:divBdr>
    </w:div>
    <w:div w:id="1750302435">
      <w:bodyDiv w:val="1"/>
      <w:marLeft w:val="0"/>
      <w:marRight w:val="0"/>
      <w:marTop w:val="0"/>
      <w:marBottom w:val="0"/>
      <w:divBdr>
        <w:top w:val="none" w:sz="0" w:space="0" w:color="auto"/>
        <w:left w:val="none" w:sz="0" w:space="0" w:color="auto"/>
        <w:bottom w:val="none" w:sz="0" w:space="0" w:color="auto"/>
        <w:right w:val="none" w:sz="0" w:space="0" w:color="auto"/>
      </w:divBdr>
    </w:div>
    <w:div w:id="1834179028">
      <w:bodyDiv w:val="1"/>
      <w:marLeft w:val="0"/>
      <w:marRight w:val="0"/>
      <w:marTop w:val="0"/>
      <w:marBottom w:val="0"/>
      <w:divBdr>
        <w:top w:val="none" w:sz="0" w:space="0" w:color="auto"/>
        <w:left w:val="none" w:sz="0" w:space="0" w:color="auto"/>
        <w:bottom w:val="none" w:sz="0" w:space="0" w:color="auto"/>
        <w:right w:val="none" w:sz="0" w:space="0" w:color="auto"/>
      </w:divBdr>
    </w:div>
    <w:div w:id="1849757562">
      <w:bodyDiv w:val="1"/>
      <w:marLeft w:val="0"/>
      <w:marRight w:val="0"/>
      <w:marTop w:val="0"/>
      <w:marBottom w:val="0"/>
      <w:divBdr>
        <w:top w:val="none" w:sz="0" w:space="0" w:color="auto"/>
        <w:left w:val="none" w:sz="0" w:space="0" w:color="auto"/>
        <w:bottom w:val="none" w:sz="0" w:space="0" w:color="auto"/>
        <w:right w:val="none" w:sz="0" w:space="0" w:color="auto"/>
      </w:divBdr>
    </w:div>
    <w:div w:id="1877618984">
      <w:bodyDiv w:val="1"/>
      <w:marLeft w:val="0"/>
      <w:marRight w:val="0"/>
      <w:marTop w:val="0"/>
      <w:marBottom w:val="0"/>
      <w:divBdr>
        <w:top w:val="none" w:sz="0" w:space="0" w:color="auto"/>
        <w:left w:val="none" w:sz="0" w:space="0" w:color="auto"/>
        <w:bottom w:val="none" w:sz="0" w:space="0" w:color="auto"/>
        <w:right w:val="none" w:sz="0" w:space="0" w:color="auto"/>
      </w:divBdr>
    </w:div>
    <w:div w:id="203175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olaboradores.amop/AppData/Local/Microsoft/Windows/INetCache/Content.Outlook/W1KVY621/Discusrso%20de%20odio,%20racismo%20y%20xenofobia%20-%20Mecanismos%20de%20Alerta%20y%20Respuesta,%20an&#225;lisis%20del%20discurso%20&#8216;Upstander:%20https:/real-up.eu/" TargetMode="External"/><Relationship Id="rId18" Type="http://schemas.openxmlformats.org/officeDocument/2006/relationships/hyperlink" Target="https://estadisticasdecriminalidad.ses.mir.es/publico/portalestadistico/portal/datos.html?type=pcaxis&amp;path=/Datos6/&amp;file=pcaxis" TargetMode="External"/><Relationship Id="rId26" Type="http://schemas.openxmlformats.org/officeDocument/2006/relationships/hyperlink" Target="https://fra.europa.eu/en/promising-practices/debate-appropriateness-introducing-question-ethnic-origin-studies-surveys-or" TargetMode="External"/><Relationship Id="rId3" Type="http://schemas.openxmlformats.org/officeDocument/2006/relationships/settings" Target="settings.xml"/><Relationship Id="rId21" Type="http://schemas.openxmlformats.org/officeDocument/2006/relationships/hyperlink" Target="http://www.interior.gob.es/es/web/servicios-al-ciudadano/violencia-contra-la-mujer/estadisticas" TargetMode="External"/><Relationship Id="rId7" Type="http://schemas.openxmlformats.org/officeDocument/2006/relationships/hyperlink" Target="https://www.igualdad.gob.es/ministerio/dgigualdadtrato/Documents/Executive_summary.pdf" TargetMode="External"/><Relationship Id="rId12" Type="http://schemas.openxmlformats.org/officeDocument/2006/relationships/hyperlink" Target="https://www.inclusion.gob.es/oberaxe/es/ejes/delitosodio/alreco/index.htm" TargetMode="External"/><Relationship Id="rId17" Type="http://schemas.openxmlformats.org/officeDocument/2006/relationships/hyperlink" Target="https://estadisticasdecriminalidad.ses.mir.es/publico/portalestadistico/" TargetMode="External"/><Relationship Id="rId25" Type="http://schemas.openxmlformats.org/officeDocument/2006/relationships/hyperlink" Target="https://www.poderjudicial.es/cgpj/es/Temas/Transparencia/Repositorio-de-datos-sobre-procesos-por-corrupcion/Consulta-de-datos/" TargetMode="External"/><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twitter.com/interiorgob/status/1375771077972951044" TargetMode="External"/><Relationship Id="rId20" Type="http://schemas.openxmlformats.org/officeDocument/2006/relationships/hyperlink" Target="https://real-up.e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clusion.gob.es/oberaxe/ficheros/ejes/discursoodio/Boletin_mayo-junio2022.pdf" TargetMode="External"/><Relationship Id="rId24" Type="http://schemas.openxmlformats.org/officeDocument/2006/relationships/hyperlink" Target="https://patrimoniocultural.defensa.gob.es/es/centros/archivo-general-historico-defensa/documentos" TargetMode="External"/><Relationship Id="rId32"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twitter.com/interiorgob/status/1285888569299673088" TargetMode="External"/><Relationship Id="rId23" Type="http://schemas.openxmlformats.org/officeDocument/2006/relationships/hyperlink" Target="http://pares.mcu.es/victimasGCFPortal/staticContent.form?viewName=presentacion" TargetMode="External"/><Relationship Id="rId28" Type="http://schemas.openxmlformats.org/officeDocument/2006/relationships/footer" Target="footer1.xml"/><Relationship Id="rId10" Type="http://schemas.openxmlformats.org/officeDocument/2006/relationships/hyperlink" Target="https://igualdadynodiscriminacion.igualdad.gob.es/novedades/novedades/2022/pdf/22_07_Memoria_anual_de_resultados_2021.pdf" TargetMode="External"/><Relationship Id="rId19" Type="http://schemas.openxmlformats.org/officeDocument/2006/relationships/hyperlink" Target="http://www.interior.gob.es/web/servicios-al-ciudadano/delitos-de-odio/estadisticas" TargetMode="External"/><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igualdad.gob.es/wp-content/uploads/Propuesta_de_consenso_de_introducir_una_pregunta_sobre_origen_etnico.pdf" TargetMode="External"/><Relationship Id="rId14" Type="http://schemas.openxmlformats.org/officeDocument/2006/relationships/hyperlink" Target="https://oficinanacional-delitosdeodio.ses.mir.es/publico/ONDOD" TargetMode="External"/><Relationship Id="rId22" Type="http://schemas.openxmlformats.org/officeDocument/2006/relationships/hyperlink" Target="https://www.mpr.gob.es/servicios/publicaciones/Documents/Exhumaciones_Guerra_Civil_accesible_BAJA.pdf" TargetMode="External"/><Relationship Id="rId27" Type="http://schemas.openxmlformats.org/officeDocument/2006/relationships/hyperlink" Target="https://violenciagenero.igualdad.gob.es/pactoEstado/InformeEvaluacion.htm" TargetMode="External"/><Relationship Id="rId30" Type="http://schemas.openxmlformats.org/officeDocument/2006/relationships/theme" Target="theme/theme1.xml"/><Relationship Id="rId8" Type="http://schemas.openxmlformats.org/officeDocument/2006/relationships/hyperlink" Target="https://www.igualdad.gob.es/ministerio/dgigualdadtrato/Documents/Executive_summay_2022.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2024-07-18T15:15:57Z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6B9F4B0-4FD4-4B83-9433-F385E8D0C557}"/>
</file>

<file path=customXml/itemProps2.xml><?xml version="1.0" encoding="utf-8"?>
<ds:datastoreItem xmlns:ds="http://schemas.openxmlformats.org/officeDocument/2006/customXml" ds:itemID="{FA31966B-5B23-4609-BE31-EFD140D646C5}"/>
</file>

<file path=customXml/itemProps3.xml><?xml version="1.0" encoding="utf-8"?>
<ds:datastoreItem xmlns:ds="http://schemas.openxmlformats.org/officeDocument/2006/customXml" ds:itemID="{83FC885C-95C5-44E4-9994-FEEF8D8AE255}"/>
</file>

<file path=docProps/app.xml><?xml version="1.0" encoding="utf-8"?>
<Properties xmlns="http://schemas.openxmlformats.org/officeDocument/2006/extended-properties" xmlns:vt="http://schemas.openxmlformats.org/officeDocument/2006/docPropsVTypes">
  <Template>Normal</Template>
  <TotalTime>0</TotalTime>
  <Pages>12</Pages>
  <Words>3547</Words>
  <Characters>19512</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23013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Montalbán Pulido, Andrea</dc:creator>
  <cp:keywords/>
  <dc:description/>
  <cp:lastModifiedBy>Montalbán Pulido, Andrea</cp:lastModifiedBy>
  <cp:revision>2</cp:revision>
  <dcterms:created xsi:type="dcterms:W3CDTF">2024-07-11T12:15:00Z</dcterms:created>
  <dcterms:modified xsi:type="dcterms:W3CDTF">2024-07-11T12:15:00Z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