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206EB" w14:textId="77777777" w:rsidR="000804EC" w:rsidRPr="00A371DD" w:rsidRDefault="000804EC">
      <w:pPr>
        <w:rPr>
          <w:rFonts w:ascii="Source Sans Pro" w:eastAsia="Times New Roman" w:hAnsi="Source Sans Pro" w:cs="Times New Roman"/>
        </w:rPr>
      </w:pPr>
    </w:p>
    <w:p w14:paraId="04005D7C" w14:textId="77777777" w:rsidR="000804EC" w:rsidRPr="00A371DD" w:rsidRDefault="00093CB9">
      <w:pPr>
        <w:spacing w:after="200" w:line="240" w:lineRule="auto"/>
        <w:jc w:val="center"/>
        <w:rPr>
          <w:rFonts w:ascii="Source Sans Pro" w:eastAsia="Source Sans Pro" w:hAnsi="Source Sans Pro" w:cs="Source Sans Pro"/>
          <w:color w:val="76787A"/>
        </w:rPr>
      </w:pPr>
      <w:r w:rsidRPr="00A371DD">
        <w:rPr>
          <w:rFonts w:ascii="Source Sans Pro" w:eastAsia="Source Sans Pro" w:hAnsi="Source Sans Pro" w:cs="Source Sans Pro"/>
          <w:color w:val="76787A"/>
        </w:rPr>
        <w:t>Written contribution to the</w:t>
      </w:r>
    </w:p>
    <w:p w14:paraId="1D0F181E" w14:textId="77777777" w:rsidR="000804EC" w:rsidRPr="00A371DD" w:rsidRDefault="00093CB9">
      <w:pPr>
        <w:spacing w:after="200" w:line="240" w:lineRule="auto"/>
        <w:jc w:val="center"/>
        <w:rPr>
          <w:rFonts w:ascii="Source Sans Pro" w:eastAsia="Source Sans Pro" w:hAnsi="Source Sans Pro" w:cs="Source Sans Pro"/>
          <w:color w:val="76787A"/>
        </w:rPr>
      </w:pPr>
      <w:r w:rsidRPr="00A371DD">
        <w:rPr>
          <w:rFonts w:ascii="Source Sans Pro" w:eastAsia="Source Sans Pro" w:hAnsi="Source Sans Pro" w:cs="Source Sans Pro"/>
          <w:b/>
        </w:rPr>
        <w:t>Human Rights Committee</w:t>
      </w:r>
    </w:p>
    <w:p w14:paraId="671D07F8" w14:textId="77777777" w:rsidR="000804EC" w:rsidRPr="00A371DD" w:rsidRDefault="00093CB9">
      <w:pPr>
        <w:spacing w:after="200" w:line="240" w:lineRule="auto"/>
        <w:jc w:val="center"/>
        <w:rPr>
          <w:rFonts w:ascii="Source Sans Pro" w:eastAsia="Source Sans Pro" w:hAnsi="Source Sans Pro" w:cs="Source Sans Pro"/>
          <w:color w:val="76787A"/>
        </w:rPr>
      </w:pPr>
      <w:r w:rsidRPr="00A371DD">
        <w:rPr>
          <w:rFonts w:ascii="Source Sans Pro" w:eastAsia="Source Sans Pro" w:hAnsi="Source Sans Pro" w:cs="Source Sans Pro"/>
          <w:color w:val="76787A"/>
        </w:rPr>
        <w:t xml:space="preserve">From </w:t>
      </w:r>
    </w:p>
    <w:p w14:paraId="5FC7A376" w14:textId="77777777" w:rsidR="000804EC" w:rsidRPr="00A371DD" w:rsidRDefault="00093CB9">
      <w:pPr>
        <w:spacing w:after="100" w:line="240" w:lineRule="auto"/>
        <w:jc w:val="center"/>
        <w:rPr>
          <w:rFonts w:ascii="Source Sans Pro" w:eastAsia="Source Sans Pro" w:hAnsi="Source Sans Pro" w:cs="Source Sans Pro"/>
          <w:b/>
        </w:rPr>
      </w:pPr>
      <w:r w:rsidRPr="00A371DD">
        <w:rPr>
          <w:rFonts w:ascii="Source Sans Pro" w:eastAsia="Source Sans Pro" w:hAnsi="Source Sans Pro" w:cs="Source Sans Pro"/>
          <w:b/>
        </w:rPr>
        <w:t>All Human Rights for All in Iran</w:t>
      </w:r>
    </w:p>
    <w:p w14:paraId="08D6D511" w14:textId="77777777" w:rsidR="000804EC" w:rsidRPr="00A371DD" w:rsidRDefault="00093CB9">
      <w:pPr>
        <w:spacing w:after="100" w:line="240" w:lineRule="auto"/>
        <w:jc w:val="center"/>
        <w:rPr>
          <w:rFonts w:ascii="Source Sans Pro" w:eastAsia="Source Sans Pro" w:hAnsi="Source Sans Pro" w:cs="Source Sans Pro"/>
          <w:b/>
        </w:rPr>
      </w:pPr>
      <w:proofErr w:type="spellStart"/>
      <w:r w:rsidRPr="00A371DD">
        <w:rPr>
          <w:rFonts w:ascii="Source Sans Pro" w:eastAsia="Source Sans Pro" w:hAnsi="Source Sans Pro" w:cs="Source Sans Pro"/>
          <w:b/>
        </w:rPr>
        <w:t>Siamak</w:t>
      </w:r>
      <w:proofErr w:type="spellEnd"/>
      <w:r w:rsidRPr="00A371DD">
        <w:rPr>
          <w:rFonts w:ascii="Source Sans Pro" w:eastAsia="Source Sans Pro" w:hAnsi="Source Sans Pro" w:cs="Source Sans Pro"/>
          <w:b/>
        </w:rPr>
        <w:t xml:space="preserve"> </w:t>
      </w:r>
      <w:proofErr w:type="spellStart"/>
      <w:r w:rsidRPr="00A371DD">
        <w:rPr>
          <w:rFonts w:ascii="Source Sans Pro" w:eastAsia="Source Sans Pro" w:hAnsi="Source Sans Pro" w:cs="Source Sans Pro"/>
          <w:b/>
        </w:rPr>
        <w:t>Pourzand</w:t>
      </w:r>
      <w:proofErr w:type="spellEnd"/>
      <w:r w:rsidRPr="00A371DD">
        <w:rPr>
          <w:rFonts w:ascii="Source Sans Pro" w:eastAsia="Source Sans Pro" w:hAnsi="Source Sans Pro" w:cs="Source Sans Pro"/>
          <w:b/>
        </w:rPr>
        <w:t xml:space="preserve"> Foundation</w:t>
      </w:r>
    </w:p>
    <w:p w14:paraId="34B88F92" w14:textId="77777777" w:rsidR="000804EC" w:rsidRPr="00A371DD" w:rsidRDefault="00093CB9">
      <w:pPr>
        <w:spacing w:after="100" w:line="240" w:lineRule="auto"/>
        <w:jc w:val="center"/>
        <w:rPr>
          <w:rFonts w:ascii="Source Sans Pro" w:eastAsia="Source Sans Pro" w:hAnsi="Source Sans Pro" w:cs="Source Sans Pro"/>
          <w:color w:val="76787A"/>
        </w:rPr>
      </w:pPr>
      <w:r w:rsidRPr="00A371DD">
        <w:rPr>
          <w:rFonts w:ascii="Source Sans Pro" w:eastAsia="Source Sans Pro" w:hAnsi="Source Sans Pro" w:cs="Source Sans Pro"/>
          <w:b/>
        </w:rPr>
        <w:t>Impact Iran</w:t>
      </w:r>
    </w:p>
    <w:p w14:paraId="276895D4" w14:textId="77777777" w:rsidR="000804EC" w:rsidRPr="00A371DD" w:rsidRDefault="00093CB9">
      <w:pPr>
        <w:spacing w:after="200" w:line="240" w:lineRule="auto"/>
        <w:jc w:val="center"/>
        <w:rPr>
          <w:rFonts w:ascii="Source Sans Pro" w:eastAsia="Source Sans Pro" w:hAnsi="Source Sans Pro" w:cs="Source Sans Pro"/>
          <w:color w:val="76787A"/>
        </w:rPr>
      </w:pPr>
      <w:r w:rsidRPr="00A371DD">
        <w:rPr>
          <w:rFonts w:ascii="Source Sans Pro" w:eastAsia="Source Sans Pro" w:hAnsi="Source Sans Pro" w:cs="Source Sans Pro"/>
          <w:color w:val="76787A"/>
        </w:rPr>
        <w:t>In preparation for the List of Issues prior to Reporting (LOIPR) for the</w:t>
      </w:r>
    </w:p>
    <w:p w14:paraId="7248ABEC" w14:textId="77777777" w:rsidR="000804EC" w:rsidRPr="00A371DD" w:rsidRDefault="00093CB9">
      <w:pPr>
        <w:spacing w:after="200" w:line="240" w:lineRule="auto"/>
        <w:jc w:val="center"/>
        <w:rPr>
          <w:rFonts w:ascii="Source Sans Pro" w:eastAsia="Source Sans Pro" w:hAnsi="Source Sans Pro" w:cs="Source Sans Pro"/>
          <w:b/>
        </w:rPr>
      </w:pPr>
      <w:r w:rsidRPr="00A371DD">
        <w:rPr>
          <w:rFonts w:ascii="Source Sans Pro" w:eastAsia="Source Sans Pro" w:hAnsi="Source Sans Pro" w:cs="Source Sans Pro"/>
          <w:b/>
        </w:rPr>
        <w:t>ISLAMIC REPUBLIC OF IRAN</w:t>
      </w:r>
    </w:p>
    <w:p w14:paraId="68F868A1" w14:textId="77777777" w:rsidR="000804EC" w:rsidRPr="00A371DD" w:rsidRDefault="00093CB9">
      <w:pPr>
        <w:spacing w:line="240" w:lineRule="auto"/>
        <w:jc w:val="center"/>
        <w:rPr>
          <w:rFonts w:ascii="Source Sans Pro" w:eastAsia="Source Sans Pro" w:hAnsi="Source Sans Pro" w:cs="Source Sans Pro"/>
          <w:b/>
          <w:i/>
        </w:rPr>
      </w:pPr>
      <w:r w:rsidRPr="00A371DD">
        <w:rPr>
          <w:rFonts w:ascii="Source Sans Pro" w:eastAsia="Source Sans Pro" w:hAnsi="Source Sans Pro" w:cs="Source Sans Pro"/>
          <w:b/>
          <w:i/>
        </w:rPr>
        <w:t>Discrimination and violence based on gender</w:t>
      </w:r>
    </w:p>
    <w:p w14:paraId="1CD2D7E9" w14:textId="77777777" w:rsidR="000804EC" w:rsidRPr="00A371DD" w:rsidRDefault="000804EC">
      <w:pPr>
        <w:spacing w:line="240" w:lineRule="auto"/>
        <w:jc w:val="center"/>
        <w:rPr>
          <w:rFonts w:ascii="Source Sans Pro" w:eastAsia="Source Sans Pro" w:hAnsi="Source Sans Pro" w:cs="Source Sans Pro"/>
          <w:b/>
          <w:i/>
        </w:rPr>
      </w:pPr>
    </w:p>
    <w:p w14:paraId="5FB1BCF1" w14:textId="77777777" w:rsidR="000804EC" w:rsidRPr="00A371DD" w:rsidRDefault="00093CB9">
      <w:pPr>
        <w:spacing w:after="200" w:line="240" w:lineRule="auto"/>
        <w:jc w:val="center"/>
        <w:rPr>
          <w:rFonts w:ascii="Source Sans Pro" w:eastAsia="Source Sans Pro" w:hAnsi="Source Sans Pro" w:cs="Source Sans Pro"/>
          <w:color w:val="76787A"/>
          <w:sz w:val="24"/>
          <w:szCs w:val="24"/>
        </w:rPr>
      </w:pPr>
      <w:r w:rsidRPr="00A371DD">
        <w:rPr>
          <w:rFonts w:ascii="Source Sans Pro" w:eastAsia="Source Sans Pro" w:hAnsi="Source Sans Pro" w:cs="Source Sans Pro"/>
          <w:color w:val="76787A"/>
          <w:sz w:val="24"/>
          <w:szCs w:val="24"/>
        </w:rPr>
        <w:t>Human Rights Committee, 136</w:t>
      </w:r>
      <w:r w:rsidRPr="00A371DD">
        <w:rPr>
          <w:rFonts w:ascii="Source Sans Pro" w:eastAsia="Source Sans Pro" w:hAnsi="Source Sans Pro" w:cs="Source Sans Pro"/>
          <w:color w:val="76787A"/>
          <w:sz w:val="24"/>
          <w:szCs w:val="24"/>
          <w:vertAlign w:val="superscript"/>
        </w:rPr>
        <w:t>th</w:t>
      </w:r>
      <w:r w:rsidRPr="00A371DD">
        <w:rPr>
          <w:rFonts w:ascii="Source Sans Pro" w:eastAsia="Source Sans Pro" w:hAnsi="Source Sans Pro" w:cs="Source Sans Pro"/>
          <w:color w:val="76787A"/>
          <w:sz w:val="24"/>
          <w:szCs w:val="24"/>
        </w:rPr>
        <w:t xml:space="preserve"> session (Geneva)</w:t>
      </w:r>
    </w:p>
    <w:p w14:paraId="40AA4557" w14:textId="77777777" w:rsidR="000804EC" w:rsidRPr="00A371DD" w:rsidRDefault="00093CB9">
      <w:pPr>
        <w:spacing w:after="200" w:line="240" w:lineRule="auto"/>
        <w:jc w:val="center"/>
        <w:rPr>
          <w:rFonts w:ascii="Source Sans Pro" w:eastAsia="Source Sans Pro" w:hAnsi="Source Sans Pro" w:cs="Source Sans Pro"/>
          <w:color w:val="76787A"/>
        </w:rPr>
      </w:pPr>
      <w:r w:rsidRPr="00A371DD">
        <w:rPr>
          <w:rFonts w:ascii="Source Sans Pro" w:eastAsia="Source Sans Pro" w:hAnsi="Source Sans Pro" w:cs="Source Sans Pro"/>
          <w:color w:val="76787A"/>
          <w:sz w:val="24"/>
          <w:szCs w:val="24"/>
        </w:rPr>
        <w:t>10 October – 4 November 2022</w:t>
      </w:r>
    </w:p>
    <w:tbl>
      <w:tblPr>
        <w:tblStyle w:val="a"/>
        <w:tblW w:w="93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276"/>
        <w:gridCol w:w="8074"/>
      </w:tblGrid>
      <w:tr w:rsidR="000804EC" w:rsidRPr="00A371DD" w14:paraId="2F52D1D4" w14:textId="77777777">
        <w:tc>
          <w:tcPr>
            <w:tcW w:w="1276" w:type="dxa"/>
          </w:tcPr>
          <w:p w14:paraId="5F32E1A3" w14:textId="77777777" w:rsidR="000804EC" w:rsidRPr="00A371DD" w:rsidRDefault="00093CB9">
            <w:pPr>
              <w:spacing w:before="240" w:after="200"/>
              <w:jc w:val="left"/>
              <w:rPr>
                <w:rFonts w:ascii="Source Sans Pro" w:eastAsia="Source Sans Pro" w:hAnsi="Source Sans Pro" w:cs="Source Sans Pro"/>
                <w:b/>
                <w:sz w:val="20"/>
                <w:szCs w:val="20"/>
              </w:rPr>
            </w:pPr>
            <w:r w:rsidRPr="00A371DD">
              <w:rPr>
                <w:rFonts w:ascii="Source Sans Pro" w:hAnsi="Source Sans Pro"/>
                <w:noProof/>
              </w:rPr>
              <w:drawing>
                <wp:anchor distT="0" distB="0" distL="114300" distR="114300" simplePos="0" relativeHeight="251658240" behindDoc="0" locked="0" layoutInCell="1" hidden="0" allowOverlap="1" wp14:anchorId="7D8A846A" wp14:editId="4606E193">
                  <wp:simplePos x="0" y="0"/>
                  <wp:positionH relativeFrom="column">
                    <wp:posOffset>-220344</wp:posOffset>
                  </wp:positionH>
                  <wp:positionV relativeFrom="paragraph">
                    <wp:posOffset>170815</wp:posOffset>
                  </wp:positionV>
                  <wp:extent cx="889000" cy="594738"/>
                  <wp:effectExtent l="0" t="0" r="0" b="0"/>
                  <wp:wrapNone/>
                  <wp:docPr id="3" name="image4.png" descr="Une image contenant assis, rouge, vert, noi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png" descr="Une image contenant assis, rouge, vert, noir&#10;&#10;Description générée automatiquement"/>
                          <pic:cNvPicPr preferRelativeResize="0"/>
                        </pic:nvPicPr>
                        <pic:blipFill>
                          <a:blip r:embed="rId10"/>
                          <a:srcRect/>
                          <a:stretch>
                            <a:fillRect/>
                          </a:stretch>
                        </pic:blipFill>
                        <pic:spPr>
                          <a:xfrm>
                            <a:off x="0" y="0"/>
                            <a:ext cx="889000" cy="594738"/>
                          </a:xfrm>
                          <a:prstGeom prst="rect">
                            <a:avLst/>
                          </a:prstGeom>
                          <a:ln/>
                        </pic:spPr>
                      </pic:pic>
                    </a:graphicData>
                  </a:graphic>
                </wp:anchor>
              </w:drawing>
            </w:r>
          </w:p>
        </w:tc>
        <w:tc>
          <w:tcPr>
            <w:tcW w:w="8074" w:type="dxa"/>
          </w:tcPr>
          <w:p w14:paraId="3E070B8C" w14:textId="77777777" w:rsidR="000804EC" w:rsidRPr="00A371DD" w:rsidRDefault="00093CB9">
            <w:pPr>
              <w:spacing w:before="240" w:after="200"/>
              <w:rPr>
                <w:rFonts w:ascii="Source Sans Pro" w:eastAsia="Times New Roman" w:hAnsi="Source Sans Pro" w:cs="Times New Roman"/>
                <w:sz w:val="20"/>
                <w:szCs w:val="20"/>
              </w:rPr>
            </w:pPr>
            <w:r w:rsidRPr="00A371DD">
              <w:rPr>
                <w:rFonts w:ascii="Source Sans Pro" w:eastAsia="Times New Roman" w:hAnsi="Source Sans Pro" w:cs="Times New Roman"/>
                <w:b/>
                <w:sz w:val="20"/>
                <w:szCs w:val="20"/>
              </w:rPr>
              <w:t xml:space="preserve">All Human Rights for All in Iran </w:t>
            </w:r>
            <w:r w:rsidRPr="00A371DD">
              <w:rPr>
                <w:rFonts w:ascii="Source Sans Pro" w:eastAsia="Times New Roman" w:hAnsi="Source Sans Pro" w:cs="Times New Roman"/>
                <w:sz w:val="20"/>
                <w:szCs w:val="20"/>
              </w:rPr>
              <w:t xml:space="preserve">is a non-governmental organization established in 2017, and based in Austria. All Human Rights for All in Iran is working with Iranian partners to try to draw  international attention to the human rights situation in the Islamic Republic of Iran, at the local, regional, national, and international levels. </w:t>
            </w:r>
          </w:p>
        </w:tc>
      </w:tr>
    </w:tbl>
    <w:p w14:paraId="17486EEF" w14:textId="77777777" w:rsidR="000804EC" w:rsidRPr="00A371DD" w:rsidRDefault="000804EC">
      <w:pPr>
        <w:spacing w:after="200"/>
        <w:jc w:val="left"/>
        <w:rPr>
          <w:rFonts w:ascii="Source Sans Pro" w:eastAsia="Source Sans Pro" w:hAnsi="Source Sans Pro" w:cs="Source Sans Pro"/>
          <w:color w:val="76787A"/>
          <w:sz w:val="8"/>
          <w:szCs w:val="8"/>
        </w:rPr>
      </w:pPr>
    </w:p>
    <w:tbl>
      <w:tblPr>
        <w:tblStyle w:val="a0"/>
        <w:tblW w:w="93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276"/>
        <w:gridCol w:w="8074"/>
      </w:tblGrid>
      <w:tr w:rsidR="000804EC" w:rsidRPr="00A371DD" w14:paraId="084B209D" w14:textId="77777777">
        <w:tc>
          <w:tcPr>
            <w:tcW w:w="1276" w:type="dxa"/>
          </w:tcPr>
          <w:p w14:paraId="50D49426" w14:textId="77777777" w:rsidR="000804EC" w:rsidRPr="00A371DD" w:rsidRDefault="00093CB9">
            <w:pPr>
              <w:spacing w:before="240" w:after="200"/>
              <w:jc w:val="left"/>
              <w:rPr>
                <w:rFonts w:ascii="Source Sans Pro" w:eastAsia="Source Sans Pro" w:hAnsi="Source Sans Pro" w:cs="Source Sans Pro"/>
                <w:b/>
                <w:sz w:val="20"/>
                <w:szCs w:val="20"/>
              </w:rPr>
            </w:pPr>
            <w:r w:rsidRPr="00A371DD">
              <w:rPr>
                <w:rFonts w:ascii="Source Sans Pro" w:hAnsi="Source Sans Pro"/>
                <w:noProof/>
              </w:rPr>
              <w:drawing>
                <wp:anchor distT="0" distB="0" distL="114300" distR="114300" simplePos="0" relativeHeight="251659264" behindDoc="0" locked="0" layoutInCell="1" hidden="0" allowOverlap="1" wp14:anchorId="1108A30A" wp14:editId="136379EC">
                  <wp:simplePos x="0" y="0"/>
                  <wp:positionH relativeFrom="column">
                    <wp:posOffset>-258822</wp:posOffset>
                  </wp:positionH>
                  <wp:positionV relativeFrom="paragraph">
                    <wp:posOffset>114935</wp:posOffset>
                  </wp:positionV>
                  <wp:extent cx="889000" cy="565313"/>
                  <wp:effectExtent l="0" t="0" r="0" b="0"/>
                  <wp:wrapNone/>
                  <wp:docPr id="8" name="image1.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dessin&#10;&#10;Description générée automatiquement"/>
                          <pic:cNvPicPr preferRelativeResize="0"/>
                        </pic:nvPicPr>
                        <pic:blipFill>
                          <a:blip r:embed="rId11"/>
                          <a:srcRect/>
                          <a:stretch>
                            <a:fillRect/>
                          </a:stretch>
                        </pic:blipFill>
                        <pic:spPr>
                          <a:xfrm>
                            <a:off x="0" y="0"/>
                            <a:ext cx="889000" cy="565313"/>
                          </a:xfrm>
                          <a:prstGeom prst="rect">
                            <a:avLst/>
                          </a:prstGeom>
                          <a:ln/>
                        </pic:spPr>
                      </pic:pic>
                    </a:graphicData>
                  </a:graphic>
                </wp:anchor>
              </w:drawing>
            </w:r>
          </w:p>
        </w:tc>
        <w:tc>
          <w:tcPr>
            <w:tcW w:w="8074" w:type="dxa"/>
          </w:tcPr>
          <w:p w14:paraId="06446108" w14:textId="77777777" w:rsidR="000804EC" w:rsidRPr="00A371DD" w:rsidRDefault="00093CB9">
            <w:pPr>
              <w:spacing w:before="240" w:after="200"/>
              <w:rPr>
                <w:rFonts w:ascii="Source Sans Pro" w:eastAsia="Times New Roman" w:hAnsi="Source Sans Pro" w:cs="Times New Roman"/>
                <w:b/>
                <w:sz w:val="20"/>
                <w:szCs w:val="20"/>
              </w:rPr>
            </w:pPr>
            <w:r w:rsidRPr="00A371DD">
              <w:rPr>
                <w:rFonts w:ascii="Source Sans Pro" w:eastAsia="Times New Roman" w:hAnsi="Source Sans Pro" w:cs="Times New Roman"/>
                <w:b/>
                <w:sz w:val="20"/>
                <w:szCs w:val="20"/>
              </w:rPr>
              <w:t xml:space="preserve">The </w:t>
            </w:r>
            <w:proofErr w:type="spellStart"/>
            <w:r w:rsidRPr="00A371DD">
              <w:rPr>
                <w:rFonts w:ascii="Source Sans Pro" w:eastAsia="Times New Roman" w:hAnsi="Source Sans Pro" w:cs="Times New Roman"/>
                <w:b/>
                <w:sz w:val="20"/>
                <w:szCs w:val="20"/>
              </w:rPr>
              <w:t>Siamak</w:t>
            </w:r>
            <w:proofErr w:type="spellEnd"/>
            <w:r w:rsidRPr="00A371DD">
              <w:rPr>
                <w:rFonts w:ascii="Source Sans Pro" w:eastAsia="Times New Roman" w:hAnsi="Source Sans Pro" w:cs="Times New Roman"/>
                <w:b/>
                <w:sz w:val="20"/>
                <w:szCs w:val="20"/>
              </w:rPr>
              <w:t xml:space="preserve"> </w:t>
            </w:r>
            <w:proofErr w:type="spellStart"/>
            <w:r w:rsidRPr="00A371DD">
              <w:rPr>
                <w:rFonts w:ascii="Source Sans Pro" w:eastAsia="Times New Roman" w:hAnsi="Source Sans Pro" w:cs="Times New Roman"/>
                <w:b/>
                <w:sz w:val="20"/>
                <w:szCs w:val="20"/>
              </w:rPr>
              <w:t>Pourzand</w:t>
            </w:r>
            <w:proofErr w:type="spellEnd"/>
            <w:r w:rsidRPr="00A371DD">
              <w:rPr>
                <w:rFonts w:ascii="Source Sans Pro" w:eastAsia="Times New Roman" w:hAnsi="Source Sans Pro" w:cs="Times New Roman"/>
                <w:b/>
                <w:sz w:val="20"/>
                <w:szCs w:val="20"/>
              </w:rPr>
              <w:t xml:space="preserve"> Foundation (SPF) </w:t>
            </w:r>
            <w:r w:rsidRPr="00A371DD">
              <w:rPr>
                <w:rFonts w:ascii="Source Sans Pro" w:eastAsia="Times New Roman" w:hAnsi="Source Sans Pro" w:cs="Times New Roman"/>
                <w:sz w:val="20"/>
                <w:szCs w:val="20"/>
              </w:rPr>
              <w:t>promotes freedom of expression for artists, journalists, women and human rights defenders in contexts where the censorship apparatus is hard at work. Further, it curates collaborative platforms and alternative media to empower marginalized communities such as religious minorities and ethnic groups struggling against censorship and repression. SPF is a member of Impact Iran.</w:t>
            </w:r>
          </w:p>
        </w:tc>
      </w:tr>
    </w:tbl>
    <w:p w14:paraId="452EDD0F" w14:textId="77777777" w:rsidR="000804EC" w:rsidRPr="00A371DD" w:rsidRDefault="000804EC">
      <w:pPr>
        <w:spacing w:after="200"/>
        <w:jc w:val="left"/>
        <w:rPr>
          <w:rFonts w:ascii="Source Sans Pro" w:eastAsia="Source Sans Pro" w:hAnsi="Source Sans Pro" w:cs="Source Sans Pro"/>
          <w:color w:val="76787A"/>
          <w:sz w:val="8"/>
          <w:szCs w:val="8"/>
        </w:rPr>
      </w:pPr>
    </w:p>
    <w:tbl>
      <w:tblPr>
        <w:tblStyle w:val="a1"/>
        <w:tblW w:w="935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1276"/>
        <w:gridCol w:w="8074"/>
      </w:tblGrid>
      <w:tr w:rsidR="000804EC" w:rsidRPr="00A371DD" w14:paraId="78E97F0D" w14:textId="77777777">
        <w:tc>
          <w:tcPr>
            <w:tcW w:w="1276" w:type="dxa"/>
          </w:tcPr>
          <w:p w14:paraId="31E360DE" w14:textId="77777777" w:rsidR="000804EC" w:rsidRPr="00A371DD" w:rsidRDefault="00093CB9">
            <w:pPr>
              <w:spacing w:before="240" w:after="200" w:line="276" w:lineRule="auto"/>
              <w:jc w:val="left"/>
              <w:rPr>
                <w:rFonts w:ascii="Source Sans Pro" w:eastAsia="Source Sans Pro" w:hAnsi="Source Sans Pro" w:cs="Source Sans Pro"/>
                <w:color w:val="76787A"/>
                <w:sz w:val="24"/>
                <w:szCs w:val="24"/>
              </w:rPr>
            </w:pPr>
            <w:r w:rsidRPr="00A371DD">
              <w:rPr>
                <w:rFonts w:ascii="Source Sans Pro" w:hAnsi="Source Sans Pro"/>
                <w:noProof/>
              </w:rPr>
              <w:drawing>
                <wp:anchor distT="0" distB="0" distL="114300" distR="114300" simplePos="0" relativeHeight="251660288" behindDoc="0" locked="0" layoutInCell="1" hidden="0" allowOverlap="1" wp14:anchorId="6A490A8E" wp14:editId="0F26CFCB">
                  <wp:simplePos x="0" y="0"/>
                  <wp:positionH relativeFrom="column">
                    <wp:posOffset>-402589</wp:posOffset>
                  </wp:positionH>
                  <wp:positionV relativeFrom="paragraph">
                    <wp:posOffset>232409</wp:posOffset>
                  </wp:positionV>
                  <wp:extent cx="1033061" cy="280670"/>
                  <wp:effectExtent l="0" t="0" r="0" b="0"/>
                  <wp:wrapNone/>
                  <wp:docPr id="5" name="image3.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3.png" descr="Une image contenant dessin&#10;&#10;Description générée automatiquement"/>
                          <pic:cNvPicPr preferRelativeResize="0"/>
                        </pic:nvPicPr>
                        <pic:blipFill>
                          <a:blip r:embed="rId12"/>
                          <a:srcRect/>
                          <a:stretch>
                            <a:fillRect/>
                          </a:stretch>
                        </pic:blipFill>
                        <pic:spPr>
                          <a:xfrm>
                            <a:off x="0" y="0"/>
                            <a:ext cx="1033061" cy="280670"/>
                          </a:xfrm>
                          <a:prstGeom prst="rect">
                            <a:avLst/>
                          </a:prstGeom>
                          <a:ln/>
                        </pic:spPr>
                      </pic:pic>
                    </a:graphicData>
                  </a:graphic>
                </wp:anchor>
              </w:drawing>
            </w:r>
          </w:p>
        </w:tc>
        <w:tc>
          <w:tcPr>
            <w:tcW w:w="8074" w:type="dxa"/>
          </w:tcPr>
          <w:p w14:paraId="7B07E502" w14:textId="77777777" w:rsidR="000804EC" w:rsidRPr="00A371DD" w:rsidRDefault="00093CB9">
            <w:pPr>
              <w:spacing w:before="240" w:after="200" w:line="276" w:lineRule="auto"/>
              <w:rPr>
                <w:rFonts w:ascii="Source Sans Pro" w:eastAsia="Times New Roman" w:hAnsi="Source Sans Pro" w:cs="Times New Roman"/>
                <w:b/>
                <w:sz w:val="20"/>
                <w:szCs w:val="20"/>
              </w:rPr>
            </w:pPr>
            <w:r w:rsidRPr="00A371DD">
              <w:rPr>
                <w:rFonts w:ascii="Source Sans Pro" w:eastAsia="Times New Roman" w:hAnsi="Source Sans Pro" w:cs="Times New Roman"/>
                <w:b/>
                <w:sz w:val="20"/>
                <w:szCs w:val="20"/>
              </w:rPr>
              <w:t>Impact Iran</w:t>
            </w:r>
            <w:r w:rsidRPr="00A371DD">
              <w:rPr>
                <w:rFonts w:ascii="Source Sans Pro" w:eastAsia="Times New Roman" w:hAnsi="Source Sans Pro" w:cs="Times New Roman"/>
                <w:sz w:val="20"/>
                <w:szCs w:val="20"/>
              </w:rPr>
              <w:t xml:space="preserve"> represents a coalition of 17 non-governmental organizations that draw attention to the situation of human rights in Iran, and encourage the Iranian government to address concerns expressed by the international community and international human rights bodies. We organize public advocacy campaigns aimed at the UN member states and lead high-level human rights discussions to collectively spark action by the international community to promote and protect the rights and dignity of all in Iran.</w:t>
            </w:r>
          </w:p>
        </w:tc>
      </w:tr>
    </w:tbl>
    <w:tbl>
      <w:tblPr>
        <w:tblStyle w:val="TableGrid"/>
        <w:tblW w:w="0" w:type="auto"/>
        <w:tblLook w:val="04A0" w:firstRow="1" w:lastRow="0" w:firstColumn="1" w:lastColumn="0" w:noHBand="0" w:noVBand="1"/>
      </w:tblPr>
      <w:tblGrid>
        <w:gridCol w:w="9350"/>
      </w:tblGrid>
      <w:tr w:rsidR="00A371DD" w:rsidRPr="00A371DD" w14:paraId="7439FDD5" w14:textId="77777777" w:rsidTr="00A371DD">
        <w:tc>
          <w:tcPr>
            <w:tcW w:w="9350" w:type="dxa"/>
          </w:tcPr>
          <w:p w14:paraId="6A45BB62" w14:textId="77777777" w:rsidR="00A371DD" w:rsidRDefault="00A371DD" w:rsidP="00A371DD">
            <w:p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lastRenderedPageBreak/>
              <w:t xml:space="preserve">This submission is intended to update and replace Section </w:t>
            </w:r>
            <w:r w:rsidRPr="00A371DD">
              <w:rPr>
                <w:rFonts w:ascii="Source Sans Pro" w:eastAsia="Times New Roman" w:hAnsi="Source Sans Pro" w:cs="Times New Roman"/>
                <w:i/>
                <w:iCs/>
                <w:color w:val="76787A"/>
              </w:rPr>
              <w:t>IV) Women’s and Girls’ Rights</w:t>
            </w:r>
            <w:r w:rsidRPr="00A371DD">
              <w:rPr>
                <w:rFonts w:ascii="Source Sans Pro" w:eastAsia="Times New Roman" w:hAnsi="Source Sans Pro" w:cs="Times New Roman"/>
                <w:color w:val="76787A"/>
              </w:rPr>
              <w:t xml:space="preserve"> from our previous submission to the Human Rights Committee ahead of the then scheduled adoption of the list of issues prior to reporting of the Islamic Republic of Iran. This submission from July 2020 can be found here: </w:t>
            </w:r>
          </w:p>
          <w:p w14:paraId="32BD42BE" w14:textId="47DD4228" w:rsidR="00A371DD" w:rsidRPr="00A371DD" w:rsidRDefault="00E95D22" w:rsidP="00A371DD">
            <w:pPr>
              <w:spacing w:after="200"/>
              <w:jc w:val="left"/>
              <w:rPr>
                <w:rFonts w:ascii="Source Sans Pro" w:eastAsia="Times New Roman" w:hAnsi="Source Sans Pro" w:cs="Times New Roman"/>
                <w:color w:val="76787A"/>
              </w:rPr>
            </w:pPr>
            <w:hyperlink r:id="rId13" w:history="1">
              <w:r w:rsidR="00A371DD" w:rsidRPr="00AE1745">
                <w:rPr>
                  <w:rStyle w:val="Hyperlink"/>
                  <w:rFonts w:ascii="Source Sans Pro" w:eastAsia="Times New Roman" w:hAnsi="Source Sans Pro" w:cs="Times New Roman"/>
                </w:rPr>
                <w:t>https://tbinternet.ohchr.org/_layouts/15/treatybodyexternal/Download.aspx?symbolno=INT%2fCCPR%2fNGO%2fIRN%2f42317&amp;Lang=en</w:t>
              </w:r>
            </w:hyperlink>
            <w:r w:rsidR="00A371DD">
              <w:rPr>
                <w:rFonts w:ascii="Source Sans Pro" w:eastAsia="Times New Roman" w:hAnsi="Source Sans Pro" w:cs="Times New Roman"/>
                <w:color w:val="76787A"/>
              </w:rPr>
              <w:t xml:space="preserve"> </w:t>
            </w:r>
          </w:p>
          <w:p w14:paraId="1EC48549" w14:textId="7D106E23" w:rsidR="00A371DD" w:rsidRPr="00A371DD" w:rsidRDefault="00A371DD">
            <w:p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This submission updates and replace</w:t>
            </w:r>
            <w:r>
              <w:rPr>
                <w:rFonts w:ascii="Source Sans Pro" w:eastAsia="Times New Roman" w:hAnsi="Source Sans Pro" w:cs="Times New Roman"/>
                <w:color w:val="76787A"/>
              </w:rPr>
              <w:t>s</w:t>
            </w:r>
            <w:r w:rsidRPr="00A371DD">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u w:val="single"/>
              </w:rPr>
              <w:t>only</w:t>
            </w:r>
            <w:r w:rsidRPr="00A371DD">
              <w:rPr>
                <w:rFonts w:ascii="Source Sans Pro" w:eastAsia="Times New Roman" w:hAnsi="Source Sans Pro" w:cs="Times New Roman"/>
                <w:color w:val="76787A"/>
              </w:rPr>
              <w:t xml:space="preserve"> Section IV of this initial report, and the rest of the submission (Section I - Human Rights of Religious Minorities, Section II – Human Rights of Ethnic and Linguistic Minorities, Section III – Human Rights of Lesbian, Gay, Bisexual and Trans persons) remain</w:t>
            </w:r>
            <w:r>
              <w:rPr>
                <w:rFonts w:ascii="Source Sans Pro" w:eastAsia="Times New Roman" w:hAnsi="Source Sans Pro" w:cs="Times New Roman"/>
                <w:color w:val="76787A"/>
              </w:rPr>
              <w:t>s</w:t>
            </w:r>
            <w:r w:rsidRPr="00A371DD">
              <w:rPr>
                <w:rFonts w:ascii="Source Sans Pro" w:eastAsia="Times New Roman" w:hAnsi="Source Sans Pro" w:cs="Times New Roman"/>
                <w:color w:val="76787A"/>
              </w:rPr>
              <w:t xml:space="preserve"> unchanged and </w:t>
            </w:r>
            <w:r>
              <w:rPr>
                <w:rFonts w:ascii="Source Sans Pro" w:eastAsia="Times New Roman" w:hAnsi="Source Sans Pro" w:cs="Times New Roman"/>
                <w:color w:val="76787A"/>
              </w:rPr>
              <w:t>is</w:t>
            </w:r>
            <w:r w:rsidRPr="00A371DD">
              <w:rPr>
                <w:rFonts w:ascii="Source Sans Pro" w:eastAsia="Times New Roman" w:hAnsi="Source Sans Pro" w:cs="Times New Roman"/>
                <w:color w:val="76787A"/>
              </w:rPr>
              <w:t xml:space="preserve"> still submitted to the attention of the Committee </w:t>
            </w:r>
            <w:r>
              <w:rPr>
                <w:rFonts w:ascii="Source Sans Pro" w:eastAsia="Times New Roman" w:hAnsi="Source Sans Pro" w:cs="Times New Roman"/>
                <w:color w:val="76787A"/>
              </w:rPr>
              <w:t>ahead</w:t>
            </w:r>
            <w:r w:rsidRPr="00A371DD">
              <w:rPr>
                <w:rFonts w:ascii="Source Sans Pro" w:eastAsia="Times New Roman" w:hAnsi="Source Sans Pro" w:cs="Times New Roman"/>
                <w:color w:val="76787A"/>
              </w:rPr>
              <w:t xml:space="preserve"> of the adoption of the list of issues.</w:t>
            </w:r>
          </w:p>
        </w:tc>
      </w:tr>
    </w:tbl>
    <w:p w14:paraId="4726243E" w14:textId="36303026" w:rsidR="00A371DD" w:rsidRPr="00A371DD" w:rsidRDefault="00A371DD">
      <w:pPr>
        <w:spacing w:after="200"/>
        <w:jc w:val="left"/>
        <w:rPr>
          <w:rFonts w:ascii="Source Sans Pro" w:eastAsia="Times New Roman" w:hAnsi="Source Sans Pro" w:cs="Times New Roman"/>
          <w:color w:val="76787A"/>
        </w:rPr>
      </w:pPr>
    </w:p>
    <w:p w14:paraId="71B402D6" w14:textId="21DDAE33" w:rsidR="00A371DD" w:rsidRPr="00A371DD" w:rsidRDefault="00A371DD">
      <w:pPr>
        <w:spacing w:after="200"/>
        <w:jc w:val="left"/>
        <w:rPr>
          <w:rFonts w:ascii="Source Sans Pro" w:eastAsia="Times New Roman" w:hAnsi="Source Sans Pro" w:cs="Times New Roman"/>
          <w:color w:val="76787A"/>
        </w:rPr>
      </w:pPr>
    </w:p>
    <w:p w14:paraId="5070A814" w14:textId="0CECE108" w:rsidR="00A371DD" w:rsidRPr="00A371DD" w:rsidRDefault="00A371DD">
      <w:pPr>
        <w:spacing w:after="200"/>
        <w:jc w:val="left"/>
        <w:rPr>
          <w:rFonts w:ascii="Source Sans Pro" w:eastAsia="Times New Roman" w:hAnsi="Source Sans Pro" w:cs="Times New Roman"/>
          <w:color w:val="76787A"/>
        </w:rPr>
      </w:pPr>
    </w:p>
    <w:p w14:paraId="7681BA9B" w14:textId="77777777" w:rsidR="00A371DD" w:rsidRPr="00A371DD" w:rsidRDefault="00A371DD">
      <w:pPr>
        <w:spacing w:after="200"/>
        <w:jc w:val="left"/>
        <w:rPr>
          <w:rFonts w:ascii="Source Sans Pro" w:eastAsia="Times New Roman" w:hAnsi="Source Sans Pro" w:cs="Times New Roman"/>
          <w:color w:val="76787A"/>
        </w:rPr>
      </w:pPr>
    </w:p>
    <w:p w14:paraId="4B3A277D" w14:textId="77777777" w:rsidR="00A371DD" w:rsidRPr="00A371DD" w:rsidRDefault="00A371DD">
      <w:pPr>
        <w:spacing w:after="200"/>
        <w:jc w:val="left"/>
        <w:rPr>
          <w:rFonts w:ascii="Source Sans Pro" w:eastAsia="Times New Roman" w:hAnsi="Source Sans Pro" w:cs="Times New Roman"/>
          <w:color w:val="76787A"/>
        </w:rPr>
      </w:pPr>
    </w:p>
    <w:p w14:paraId="37D916EB" w14:textId="77777777" w:rsidR="000804EC" w:rsidRPr="00A371DD" w:rsidRDefault="00093CB9">
      <w:pPr>
        <w:spacing w:after="200"/>
        <w:jc w:val="left"/>
        <w:rPr>
          <w:rFonts w:ascii="Source Sans Pro" w:eastAsia="Times New Roman" w:hAnsi="Source Sans Pro" w:cs="Times New Roman"/>
          <w:color w:val="F3765A"/>
        </w:rPr>
      </w:pPr>
      <w:r w:rsidRPr="00A371DD">
        <w:rPr>
          <w:rFonts w:ascii="Source Sans Pro" w:eastAsia="Times New Roman" w:hAnsi="Source Sans Pro" w:cs="Times New Roman"/>
          <w:b/>
          <w:color w:val="F3765A"/>
          <w:sz w:val="30"/>
          <w:szCs w:val="30"/>
        </w:rPr>
        <w:t>TABLE OF CONTENT</w:t>
      </w:r>
    </w:p>
    <w:sdt>
      <w:sdtPr>
        <w:rPr>
          <w:rFonts w:ascii="Source Sans Pro" w:hAnsi="Source Sans Pro"/>
          <w:color w:val="76787A"/>
        </w:rPr>
        <w:id w:val="110795173"/>
        <w:docPartObj>
          <w:docPartGallery w:val="Table of Contents"/>
          <w:docPartUnique/>
        </w:docPartObj>
      </w:sdtPr>
      <w:sdtEndPr/>
      <w:sdtContent>
        <w:p w14:paraId="1E5107F2" w14:textId="61D2F378" w:rsidR="000804EC" w:rsidRPr="00A371DD" w:rsidRDefault="00093CB9">
          <w:pPr>
            <w:tabs>
              <w:tab w:val="right" w:pos="9360"/>
            </w:tabs>
            <w:spacing w:before="80" w:line="240" w:lineRule="auto"/>
            <w:rPr>
              <w:rFonts w:ascii="Source Sans Pro" w:eastAsia="Times New Roman" w:hAnsi="Source Sans Pro" w:cs="Times New Roman"/>
              <w:b/>
              <w:noProof/>
              <w:color w:val="76787A"/>
            </w:rPr>
          </w:pPr>
          <w:r w:rsidRPr="00A371DD">
            <w:rPr>
              <w:rFonts w:ascii="Source Sans Pro" w:hAnsi="Source Sans Pro"/>
              <w:color w:val="76787A"/>
            </w:rPr>
            <w:fldChar w:fldCharType="begin"/>
          </w:r>
          <w:r w:rsidRPr="00A371DD">
            <w:rPr>
              <w:rFonts w:ascii="Source Sans Pro" w:hAnsi="Source Sans Pro"/>
              <w:color w:val="76787A"/>
            </w:rPr>
            <w:instrText xml:space="preserve"> TOC \h \u \z </w:instrText>
          </w:r>
          <w:r w:rsidRPr="00A371DD">
            <w:rPr>
              <w:rFonts w:ascii="Source Sans Pro" w:hAnsi="Source Sans Pro"/>
              <w:color w:val="76787A"/>
            </w:rPr>
            <w:fldChar w:fldCharType="separate"/>
          </w:r>
          <w:hyperlink w:anchor="_o0vvh35v3dp2">
            <w:r w:rsidRPr="00A371DD">
              <w:rPr>
                <w:rFonts w:ascii="Source Sans Pro" w:eastAsia="Times New Roman" w:hAnsi="Source Sans Pro" w:cs="Times New Roman"/>
                <w:b/>
                <w:noProof/>
                <w:color w:val="F3765A"/>
              </w:rPr>
              <w:t>WOMEN’S AND GIRLS’ RIGHTS</w:t>
            </w:r>
          </w:hyperlink>
          <w:r w:rsidRPr="00A371DD">
            <w:rPr>
              <w:rFonts w:ascii="Source Sans Pro" w:eastAsia="Times New Roman" w:hAnsi="Source Sans Pro" w:cs="Times New Roman"/>
              <w:b/>
              <w:noProof/>
              <w:color w:val="76787A"/>
            </w:rPr>
            <w:tab/>
          </w:r>
          <w:r w:rsidRPr="00A371DD">
            <w:rPr>
              <w:rFonts w:ascii="Source Sans Pro" w:hAnsi="Source Sans Pro"/>
              <w:noProof/>
              <w:color w:val="76787A"/>
            </w:rPr>
            <w:fldChar w:fldCharType="begin"/>
          </w:r>
          <w:r w:rsidRPr="00A371DD">
            <w:rPr>
              <w:rFonts w:ascii="Source Sans Pro" w:hAnsi="Source Sans Pro"/>
              <w:noProof/>
              <w:color w:val="76787A"/>
            </w:rPr>
            <w:instrText xml:space="preserve"> PAGEREF _o0vvh35v3dp2 \h </w:instrText>
          </w:r>
          <w:r w:rsidRPr="00A371DD">
            <w:rPr>
              <w:rFonts w:ascii="Source Sans Pro" w:hAnsi="Source Sans Pro"/>
              <w:noProof/>
              <w:color w:val="76787A"/>
            </w:rPr>
          </w:r>
          <w:r w:rsidRPr="00A371DD">
            <w:rPr>
              <w:rFonts w:ascii="Source Sans Pro" w:hAnsi="Source Sans Pro"/>
              <w:noProof/>
              <w:color w:val="76787A"/>
            </w:rPr>
            <w:fldChar w:fldCharType="separate"/>
          </w:r>
          <w:r w:rsidR="00A371DD" w:rsidRPr="00A371DD">
            <w:rPr>
              <w:rFonts w:ascii="Source Sans Pro" w:hAnsi="Source Sans Pro"/>
              <w:noProof/>
              <w:color w:val="76787A"/>
            </w:rPr>
            <w:t>2</w:t>
          </w:r>
          <w:r w:rsidRPr="00A371DD">
            <w:rPr>
              <w:rFonts w:ascii="Source Sans Pro" w:hAnsi="Source Sans Pro"/>
              <w:noProof/>
              <w:color w:val="76787A"/>
            </w:rPr>
            <w:fldChar w:fldCharType="end"/>
          </w:r>
        </w:p>
        <w:p w14:paraId="25AA88D6" w14:textId="103F2920"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p98qvn1a4gdl">
            <w:r w:rsidR="00093CB9" w:rsidRPr="00A371DD">
              <w:rPr>
                <w:rFonts w:ascii="Source Sans Pro" w:eastAsia="Times New Roman" w:hAnsi="Source Sans Pro" w:cs="Times New Roman"/>
                <w:noProof/>
                <w:color w:val="76787A"/>
              </w:rPr>
              <w:t>A) Women’s participation in public and political life</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_p98qvn1a4gdl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3</w:t>
          </w:r>
          <w:r w:rsidR="00093CB9" w:rsidRPr="00A371DD">
            <w:rPr>
              <w:rFonts w:ascii="Source Sans Pro" w:hAnsi="Source Sans Pro"/>
              <w:noProof/>
              <w:color w:val="76787A"/>
            </w:rPr>
            <w:fldChar w:fldCharType="end"/>
          </w:r>
        </w:p>
        <w:p w14:paraId="1A503CE1" w14:textId="55B2E8B7"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4i5oevbammp1">
            <w:r w:rsidR="00093CB9" w:rsidRPr="00A371DD">
              <w:rPr>
                <w:rFonts w:ascii="Source Sans Pro" w:eastAsia="Times New Roman" w:hAnsi="Source Sans Pro" w:cs="Times New Roman"/>
                <w:noProof/>
                <w:color w:val="76787A"/>
              </w:rPr>
              <w:t>B) Women in the judiciary</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_4i5oevbammp1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4</w:t>
          </w:r>
          <w:r w:rsidR="00093CB9" w:rsidRPr="00A371DD">
            <w:rPr>
              <w:rFonts w:ascii="Source Sans Pro" w:hAnsi="Source Sans Pro"/>
              <w:noProof/>
              <w:color w:val="76787A"/>
            </w:rPr>
            <w:fldChar w:fldCharType="end"/>
          </w:r>
        </w:p>
        <w:p w14:paraId="133C53FD" w14:textId="7DFCC750"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u1ymrrv0110g">
            <w:r w:rsidR="00093CB9" w:rsidRPr="00A371DD">
              <w:rPr>
                <w:rFonts w:ascii="Source Sans Pro" w:eastAsia="Times New Roman" w:hAnsi="Source Sans Pro" w:cs="Times New Roman"/>
                <w:noProof/>
                <w:color w:val="76787A"/>
              </w:rPr>
              <w:t>C) Special training programmes for women</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_u1ymrrv0110g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5</w:t>
          </w:r>
          <w:r w:rsidR="00093CB9" w:rsidRPr="00A371DD">
            <w:rPr>
              <w:rFonts w:ascii="Source Sans Pro" w:hAnsi="Source Sans Pro"/>
              <w:noProof/>
              <w:color w:val="76787A"/>
            </w:rPr>
            <w:fldChar w:fldCharType="end"/>
          </w:r>
        </w:p>
        <w:p w14:paraId="0C6ED8FF" w14:textId="54930348"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uwt849nnq4s6">
            <w:r w:rsidR="00093CB9" w:rsidRPr="00A371DD">
              <w:rPr>
                <w:rFonts w:ascii="Source Sans Pro" w:eastAsia="Times New Roman" w:hAnsi="Source Sans Pro" w:cs="Times New Roman"/>
                <w:noProof/>
                <w:color w:val="76787A"/>
              </w:rPr>
              <w:t xml:space="preserve">D) </w:t>
            </w:r>
          </w:hyperlink>
          <w:hyperlink w:anchor="_uwt849nnq4s6">
            <w:r w:rsidR="00093CB9" w:rsidRPr="00A371DD">
              <w:rPr>
                <w:rFonts w:ascii="Source Sans Pro" w:eastAsia="Times New Roman" w:hAnsi="Source Sans Pro" w:cs="Times New Roman"/>
                <w:noProof/>
                <w:color w:val="76787A"/>
              </w:rPr>
              <w:t>Sex and g</w:t>
            </w:r>
          </w:hyperlink>
          <w:hyperlink w:anchor="_uwt849nnq4s6">
            <w:r w:rsidR="00093CB9" w:rsidRPr="00A371DD">
              <w:rPr>
                <w:rFonts w:ascii="Source Sans Pro" w:eastAsia="Times New Roman" w:hAnsi="Source Sans Pro" w:cs="Times New Roman"/>
                <w:noProof/>
                <w:color w:val="76787A"/>
              </w:rPr>
              <w:t>ender-based discrimination in the Civil Code</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_uwt849nnq4s6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5</w:t>
          </w:r>
          <w:r w:rsidR="00093CB9" w:rsidRPr="00A371DD">
            <w:rPr>
              <w:rFonts w:ascii="Source Sans Pro" w:hAnsi="Source Sans Pro"/>
              <w:noProof/>
              <w:color w:val="76787A"/>
            </w:rPr>
            <w:fldChar w:fldCharType="end"/>
          </w:r>
        </w:p>
        <w:p w14:paraId="13875813" w14:textId="404A3E00"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9bhbu86o2ylr">
            <w:r w:rsidR="00093CB9" w:rsidRPr="00A371DD">
              <w:rPr>
                <w:rFonts w:ascii="Source Sans Pro" w:eastAsia="Times New Roman" w:hAnsi="Source Sans Pro" w:cs="Times New Roman"/>
                <w:noProof/>
                <w:color w:val="76787A"/>
              </w:rPr>
              <w:t>E) Criminalization of domestic violence</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_9bhbu86o2ylr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7</w:t>
          </w:r>
          <w:r w:rsidR="00093CB9" w:rsidRPr="00A371DD">
            <w:rPr>
              <w:rFonts w:ascii="Source Sans Pro" w:hAnsi="Source Sans Pro"/>
              <w:noProof/>
              <w:color w:val="76787A"/>
            </w:rPr>
            <w:fldChar w:fldCharType="end"/>
          </w:r>
        </w:p>
        <w:p w14:paraId="4A4A9589" w14:textId="365AAE3B"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rp9dl9si6xv5">
            <w:r w:rsidR="00093CB9" w:rsidRPr="00A371DD">
              <w:rPr>
                <w:rFonts w:ascii="Source Sans Pro" w:eastAsia="Times New Roman" w:hAnsi="Source Sans Pro" w:cs="Times New Roman"/>
                <w:noProof/>
                <w:color w:val="76787A"/>
              </w:rPr>
              <w:t>F)  Protection and redress for victims of domestic violence</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_rp9dl9si6xv5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8</w:t>
          </w:r>
          <w:r w:rsidR="00093CB9" w:rsidRPr="00A371DD">
            <w:rPr>
              <w:rFonts w:ascii="Source Sans Pro" w:hAnsi="Source Sans Pro"/>
              <w:noProof/>
              <w:color w:val="76787A"/>
            </w:rPr>
            <w:fldChar w:fldCharType="end"/>
          </w:r>
        </w:p>
        <w:p w14:paraId="2A57914C" w14:textId="53A64409"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c2nu15w4gh7k">
            <w:r w:rsidR="00093CB9" w:rsidRPr="00A371DD">
              <w:rPr>
                <w:rFonts w:ascii="Source Sans Pro" w:eastAsia="Times New Roman" w:hAnsi="Source Sans Pro" w:cs="Times New Roman"/>
                <w:noProof/>
                <w:color w:val="76787A"/>
              </w:rPr>
              <w:t>G) Impunity for killing in cases of adultery</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_c2nu15w4gh7k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9</w:t>
          </w:r>
          <w:r w:rsidR="00093CB9" w:rsidRPr="00A371DD">
            <w:rPr>
              <w:rFonts w:ascii="Source Sans Pro" w:hAnsi="Source Sans Pro"/>
              <w:noProof/>
              <w:color w:val="76787A"/>
            </w:rPr>
            <w:fldChar w:fldCharType="end"/>
          </w:r>
        </w:p>
        <w:p w14:paraId="7C6DD2FE" w14:textId="680A98D6" w:rsidR="000804EC" w:rsidRPr="00A371DD" w:rsidRDefault="00E95D22">
          <w:pPr>
            <w:tabs>
              <w:tab w:val="right" w:pos="9360"/>
            </w:tabs>
            <w:spacing w:before="60" w:line="240" w:lineRule="auto"/>
            <w:ind w:left="360"/>
            <w:rPr>
              <w:rFonts w:ascii="Source Sans Pro" w:eastAsia="Times New Roman" w:hAnsi="Source Sans Pro" w:cs="Times New Roman"/>
              <w:noProof/>
              <w:color w:val="76787A"/>
            </w:rPr>
          </w:pPr>
          <w:hyperlink w:anchor="_7wzqvxbqx7vc">
            <w:r w:rsidR="00093CB9" w:rsidRPr="00A371DD">
              <w:rPr>
                <w:rFonts w:ascii="Source Sans Pro" w:eastAsia="Times New Roman" w:hAnsi="Source Sans Pro" w:cs="Times New Roman"/>
                <w:noProof/>
                <w:color w:val="76787A"/>
              </w:rPr>
              <w:t>H) Trafficking of women and children and modern slavery</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_7wzqvxbqx7vc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10</w:t>
          </w:r>
          <w:r w:rsidR="00093CB9" w:rsidRPr="00A371DD">
            <w:rPr>
              <w:rFonts w:ascii="Source Sans Pro" w:hAnsi="Source Sans Pro"/>
              <w:noProof/>
              <w:color w:val="76787A"/>
            </w:rPr>
            <w:fldChar w:fldCharType="end"/>
          </w:r>
        </w:p>
        <w:p w14:paraId="1C4457EE" w14:textId="2F3167BF" w:rsidR="000804EC" w:rsidRPr="00A371DD" w:rsidRDefault="00E95D22">
          <w:pPr>
            <w:tabs>
              <w:tab w:val="right" w:pos="9360"/>
            </w:tabs>
            <w:spacing w:before="60" w:after="80" w:line="240" w:lineRule="auto"/>
            <w:ind w:left="360"/>
            <w:rPr>
              <w:rFonts w:ascii="Source Sans Pro" w:eastAsia="Times New Roman" w:hAnsi="Source Sans Pro" w:cs="Times New Roman"/>
              <w:color w:val="76787A"/>
            </w:rPr>
          </w:pPr>
          <w:hyperlink w:anchor="_5tyy83v4tn5x">
            <w:r w:rsidR="00093CB9" w:rsidRPr="00A371DD">
              <w:rPr>
                <w:rFonts w:ascii="Source Sans Pro" w:eastAsia="Times New Roman" w:hAnsi="Source Sans Pro" w:cs="Times New Roman"/>
                <w:noProof/>
                <w:color w:val="76787A"/>
              </w:rPr>
              <w:t>I) Forced, early and temporary marriage of girls</w:t>
            </w:r>
          </w:hyperlink>
          <w:r w:rsidR="00093CB9" w:rsidRPr="00A371DD">
            <w:rPr>
              <w:rFonts w:ascii="Source Sans Pro" w:eastAsia="Times New Roman" w:hAnsi="Source Sans Pro" w:cs="Times New Roman"/>
              <w:noProof/>
              <w:color w:val="76787A"/>
            </w:rPr>
            <w:tab/>
          </w:r>
          <w:r w:rsidR="00093CB9" w:rsidRPr="00A371DD">
            <w:rPr>
              <w:rFonts w:ascii="Source Sans Pro" w:hAnsi="Source Sans Pro"/>
              <w:noProof/>
              <w:color w:val="76787A"/>
            </w:rPr>
            <w:fldChar w:fldCharType="begin"/>
          </w:r>
          <w:r w:rsidR="00093CB9" w:rsidRPr="00A371DD">
            <w:rPr>
              <w:rFonts w:ascii="Source Sans Pro" w:hAnsi="Source Sans Pro"/>
              <w:noProof/>
              <w:color w:val="76787A"/>
            </w:rPr>
            <w:instrText xml:space="preserve"> PAGEREF _5tyy83v4tn5x \h </w:instrText>
          </w:r>
          <w:r w:rsidR="00093CB9" w:rsidRPr="00A371DD">
            <w:rPr>
              <w:rFonts w:ascii="Source Sans Pro" w:hAnsi="Source Sans Pro"/>
              <w:noProof/>
              <w:color w:val="76787A"/>
            </w:rPr>
          </w:r>
          <w:r w:rsidR="00093CB9" w:rsidRPr="00A371DD">
            <w:rPr>
              <w:rFonts w:ascii="Source Sans Pro" w:hAnsi="Source Sans Pro"/>
              <w:noProof/>
              <w:color w:val="76787A"/>
            </w:rPr>
            <w:fldChar w:fldCharType="separate"/>
          </w:r>
          <w:r w:rsidR="00A371DD" w:rsidRPr="00A371DD">
            <w:rPr>
              <w:rFonts w:ascii="Source Sans Pro" w:hAnsi="Source Sans Pro"/>
              <w:noProof/>
              <w:color w:val="76787A"/>
            </w:rPr>
            <w:t>11</w:t>
          </w:r>
          <w:r w:rsidR="00093CB9" w:rsidRPr="00A371DD">
            <w:rPr>
              <w:rFonts w:ascii="Source Sans Pro" w:hAnsi="Source Sans Pro"/>
              <w:noProof/>
              <w:color w:val="76787A"/>
            </w:rPr>
            <w:fldChar w:fldCharType="end"/>
          </w:r>
          <w:r w:rsidR="00093CB9" w:rsidRPr="00A371DD">
            <w:rPr>
              <w:rFonts w:ascii="Source Sans Pro" w:hAnsi="Source Sans Pro"/>
              <w:color w:val="76787A"/>
            </w:rPr>
            <w:fldChar w:fldCharType="end"/>
          </w:r>
        </w:p>
      </w:sdtContent>
    </w:sdt>
    <w:p w14:paraId="04EE1078" w14:textId="77777777" w:rsidR="000804EC" w:rsidRPr="00A371DD" w:rsidRDefault="000804EC">
      <w:pPr>
        <w:rPr>
          <w:rFonts w:ascii="Source Sans Pro" w:eastAsia="Times New Roman" w:hAnsi="Source Sans Pro" w:cs="Times New Roman"/>
          <w:color w:val="76787A"/>
        </w:rPr>
      </w:pPr>
    </w:p>
    <w:p w14:paraId="3BFA7840" w14:textId="77777777" w:rsidR="000804EC" w:rsidRPr="00A371DD" w:rsidRDefault="000804EC">
      <w:pPr>
        <w:spacing w:after="200"/>
        <w:jc w:val="left"/>
        <w:rPr>
          <w:rFonts w:ascii="Source Sans Pro" w:eastAsia="Times New Roman" w:hAnsi="Source Sans Pro" w:cs="Times New Roman"/>
          <w:color w:val="76787A"/>
        </w:rPr>
      </w:pPr>
    </w:p>
    <w:p w14:paraId="709F68EC" w14:textId="77777777" w:rsidR="00A371DD" w:rsidRPr="00A371DD" w:rsidRDefault="00A371DD">
      <w:pPr>
        <w:rPr>
          <w:rFonts w:ascii="Source Sans Pro" w:eastAsia="Times New Roman" w:hAnsi="Source Sans Pro" w:cs="Times New Roman"/>
          <w:b/>
          <w:color w:val="76787A"/>
          <w:sz w:val="48"/>
          <w:szCs w:val="48"/>
        </w:rPr>
      </w:pPr>
      <w:bookmarkStart w:id="0" w:name="_o0vvh35v3dp2" w:colFirst="0" w:colLast="0"/>
      <w:bookmarkEnd w:id="0"/>
      <w:r w:rsidRPr="00A371DD">
        <w:rPr>
          <w:rFonts w:ascii="Source Sans Pro" w:eastAsia="Times New Roman" w:hAnsi="Source Sans Pro" w:cs="Times New Roman"/>
          <w:color w:val="76787A"/>
        </w:rPr>
        <w:br w:type="page"/>
      </w:r>
    </w:p>
    <w:p w14:paraId="12E412FC" w14:textId="69E0D02E" w:rsidR="000804EC" w:rsidRPr="00D60656" w:rsidRDefault="00093CB9">
      <w:pPr>
        <w:pStyle w:val="Heading1"/>
        <w:spacing w:before="240" w:after="200"/>
        <w:jc w:val="left"/>
        <w:rPr>
          <w:rFonts w:ascii="Source Sans Pro" w:eastAsia="Times New Roman" w:hAnsi="Source Sans Pro" w:cs="Times New Roman"/>
          <w:color w:val="F3765A"/>
        </w:rPr>
      </w:pPr>
      <w:r w:rsidRPr="00D60656">
        <w:rPr>
          <w:rFonts w:ascii="Source Sans Pro" w:eastAsia="Times New Roman" w:hAnsi="Source Sans Pro" w:cs="Times New Roman"/>
          <w:color w:val="F3765A"/>
        </w:rPr>
        <w:lastRenderedPageBreak/>
        <w:t xml:space="preserve">WOMEN’S AND GIRLS’ RIGHTS </w:t>
      </w:r>
    </w:p>
    <w:p w14:paraId="52B8F7F5" w14:textId="3AC525DC" w:rsidR="000804EC" w:rsidRPr="00D60656" w:rsidRDefault="00093CB9">
      <w:pPr>
        <w:numPr>
          <w:ilvl w:val="0"/>
          <w:numId w:val="6"/>
        </w:numPr>
        <w:spacing w:after="200"/>
        <w:jc w:val="left"/>
        <w:rPr>
          <w:rFonts w:ascii="Source Sans Pro" w:eastAsia="Times New Roman" w:hAnsi="Source Sans Pro" w:cs="Times New Roman"/>
          <w:color w:val="76787A"/>
        </w:rPr>
      </w:pPr>
      <w:r w:rsidRPr="00D60656">
        <w:rPr>
          <w:rFonts w:ascii="Source Sans Pro" w:eastAsia="Times New Roman" w:hAnsi="Source Sans Pro" w:cs="Times New Roman"/>
          <w:color w:val="76787A"/>
        </w:rPr>
        <w:t>The Iranian Constitution includes several provisions that obligate the government to guarantee equality for all, including non-discrimination between men and women.</w:t>
      </w:r>
      <w:r w:rsidRPr="00D60656">
        <w:rPr>
          <w:rFonts w:ascii="Source Sans Pro" w:eastAsia="Times New Roman" w:hAnsi="Source Sans Pro" w:cs="Times New Roman"/>
          <w:color w:val="76787A"/>
          <w:vertAlign w:val="superscript"/>
        </w:rPr>
        <w:footnoteReference w:id="1"/>
      </w:r>
      <w:r w:rsidRPr="00D60656">
        <w:rPr>
          <w:rFonts w:ascii="Source Sans Pro" w:eastAsia="Times New Roman" w:hAnsi="Source Sans Pro" w:cs="Times New Roman"/>
          <w:color w:val="76787A"/>
        </w:rPr>
        <w:t xml:space="preserve"> While these provisions seemingly safeguard the human rights of women and protect against sex and gender-based discrimination, such legal guarantees only exist insofar as they are in conformity with the “Islamic criteria,” a vague requirement with no definition under Iranian law. The room for interpretation allowed under the “Islamic criteria” qualifications to legal guarantees of non-discrimination have often resulted in provisions that discriminate or have a discriminatory impact on various grounds, including sex and gender.</w:t>
      </w:r>
      <w:r w:rsidRPr="00D60656">
        <w:rPr>
          <w:rFonts w:ascii="Source Sans Pro" w:eastAsia="Times New Roman" w:hAnsi="Source Sans Pro" w:cs="Times New Roman"/>
          <w:color w:val="76787A"/>
          <w:sz w:val="24"/>
          <w:szCs w:val="24"/>
        </w:rPr>
        <w:t xml:space="preserve"> </w:t>
      </w:r>
    </w:p>
    <w:p w14:paraId="1D0D4481" w14:textId="77777777" w:rsidR="000804EC" w:rsidRPr="00D60656" w:rsidRDefault="00093CB9">
      <w:pPr>
        <w:pStyle w:val="Heading2"/>
        <w:spacing w:after="200"/>
        <w:rPr>
          <w:rFonts w:ascii="Source Sans Pro" w:eastAsia="Times New Roman" w:hAnsi="Source Sans Pro" w:cs="Times New Roman"/>
          <w:color w:val="F3765A"/>
        </w:rPr>
      </w:pPr>
      <w:bookmarkStart w:id="1" w:name="_p98qvn1a4gdl" w:colFirst="0" w:colLast="0"/>
      <w:bookmarkEnd w:id="1"/>
      <w:r w:rsidRPr="00D60656">
        <w:rPr>
          <w:rFonts w:ascii="Source Sans Pro" w:eastAsia="Times New Roman" w:hAnsi="Source Sans Pro" w:cs="Times New Roman"/>
          <w:color w:val="F3765A"/>
        </w:rPr>
        <w:t xml:space="preserve">A) Women’s participation in public and political life </w:t>
      </w:r>
    </w:p>
    <w:p w14:paraId="2109BBD1" w14:textId="77777777" w:rsidR="000804EC" w:rsidRPr="00A371DD" w:rsidRDefault="00093CB9">
      <w:pPr>
        <w:numPr>
          <w:ilvl w:val="0"/>
          <w:numId w:val="6"/>
        </w:numPr>
        <w:spacing w:after="200"/>
        <w:rPr>
          <w:rFonts w:ascii="Source Sans Pro" w:eastAsia="Times New Roman" w:hAnsi="Source Sans Pro" w:cs="Times New Roman"/>
          <w:color w:val="76787A"/>
        </w:rPr>
      </w:pPr>
      <w:r w:rsidRPr="00A371DD">
        <w:rPr>
          <w:rFonts w:ascii="Source Sans Pro" w:eastAsia="Times New Roman" w:hAnsi="Source Sans Pro" w:cs="Times New Roman"/>
          <w:color w:val="76787A"/>
        </w:rPr>
        <w:t>In 2011, the Human Rights Committee recommended that Iran take steps to increase the number of women in decision-making and judicial bodies at all levels and in all areas</w:t>
      </w:r>
      <w:r w:rsidRPr="00A371DD">
        <w:rPr>
          <w:rFonts w:ascii="Source Sans Pro" w:eastAsia="Times New Roman" w:hAnsi="Source Sans Pro" w:cs="Times New Roman"/>
          <w:color w:val="76787A"/>
          <w:vertAlign w:val="superscript"/>
        </w:rPr>
        <w:footnoteReference w:id="2"/>
      </w:r>
    </w:p>
    <w:p w14:paraId="0D770830"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Women have a limited presence in decision-making bodies in the country:</w:t>
      </w:r>
    </w:p>
    <w:p w14:paraId="2A81C2F3" w14:textId="77777777" w:rsidR="000804EC" w:rsidRPr="00A371DD" w:rsidRDefault="00093CB9">
      <w:pPr>
        <w:numPr>
          <w:ilvl w:val="0"/>
          <w:numId w:val="2"/>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Women are completely prohibited from holding the position of Supreme Leader. </w:t>
      </w:r>
    </w:p>
    <w:p w14:paraId="4F20AFE1" w14:textId="77777777" w:rsidR="000804EC" w:rsidRPr="00A371DD" w:rsidRDefault="00093CB9">
      <w:pPr>
        <w:numPr>
          <w:ilvl w:val="0"/>
          <w:numId w:val="2"/>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Candidates for the presidency in Iran must be what the Constitution refers to as </w:t>
      </w:r>
      <w:proofErr w:type="spellStart"/>
      <w:r w:rsidRPr="00A371DD">
        <w:rPr>
          <w:rFonts w:ascii="Source Sans Pro" w:eastAsia="Times New Roman" w:hAnsi="Source Sans Pro" w:cs="Times New Roman"/>
          <w:i/>
          <w:color w:val="76787A"/>
        </w:rPr>
        <w:t>Rajol</w:t>
      </w:r>
      <w:proofErr w:type="spellEnd"/>
      <w:r w:rsidRPr="00A371DD">
        <w:rPr>
          <w:rFonts w:ascii="Source Sans Pro" w:eastAsia="Times New Roman" w:hAnsi="Source Sans Pro" w:cs="Times New Roman"/>
          <w:i/>
          <w:color w:val="76787A"/>
        </w:rPr>
        <w:t>-E-</w:t>
      </w:r>
      <w:proofErr w:type="spellStart"/>
      <w:r w:rsidRPr="00A371DD">
        <w:rPr>
          <w:rFonts w:ascii="Source Sans Pro" w:eastAsia="Times New Roman" w:hAnsi="Source Sans Pro" w:cs="Times New Roman"/>
          <w:i/>
          <w:color w:val="76787A"/>
        </w:rPr>
        <w:t>Siasi</w:t>
      </w:r>
      <w:proofErr w:type="spellEnd"/>
      <w:r w:rsidRPr="00A371DD">
        <w:rPr>
          <w:rFonts w:ascii="Source Sans Pro" w:eastAsia="Times New Roman" w:hAnsi="Source Sans Pro" w:cs="Times New Roman"/>
          <w:color w:val="76787A"/>
        </w:rPr>
        <w:t xml:space="preserve"> (“political men”).</w:t>
      </w:r>
      <w:r w:rsidRPr="00A371DD">
        <w:rPr>
          <w:rFonts w:ascii="Source Sans Pro" w:eastAsia="Times New Roman" w:hAnsi="Source Sans Pro" w:cs="Times New Roman"/>
          <w:color w:val="76787A"/>
          <w:vertAlign w:val="superscript"/>
        </w:rPr>
        <w:footnoteReference w:id="3"/>
      </w:r>
      <w:r w:rsidRPr="00A371DD">
        <w:rPr>
          <w:rFonts w:ascii="Source Sans Pro" w:eastAsia="Times New Roman" w:hAnsi="Source Sans Pro" w:cs="Times New Roman"/>
          <w:color w:val="76787A"/>
        </w:rPr>
        <w:t xml:space="preserve"> Though many argue that the phrase as a whole could be understood as “political persons,” without a specification as to gender, the Guardian Council of the Constitution, a body of Islamic jurists responsible for vetting candidates for elections, has never approved a woman to stand in presidential elections or elections to the Assembly of Experts.</w:t>
      </w:r>
      <w:r w:rsidRPr="00A371DD">
        <w:rPr>
          <w:rFonts w:ascii="Source Sans Pro" w:eastAsia="Times New Roman" w:hAnsi="Source Sans Pro" w:cs="Times New Roman"/>
          <w:color w:val="76787A"/>
          <w:vertAlign w:val="superscript"/>
        </w:rPr>
        <w:footnoteReference w:id="4"/>
      </w:r>
      <w:r w:rsidRPr="00A371DD">
        <w:rPr>
          <w:rFonts w:ascii="Source Sans Pro" w:eastAsia="Times New Roman" w:hAnsi="Source Sans Pro" w:cs="Times New Roman"/>
          <w:color w:val="76787A"/>
        </w:rPr>
        <w:t xml:space="preserve"> </w:t>
      </w:r>
    </w:p>
    <w:p w14:paraId="34082F25" w14:textId="77777777" w:rsidR="000804EC" w:rsidRPr="00A371DD" w:rsidRDefault="00093CB9">
      <w:pPr>
        <w:numPr>
          <w:ilvl w:val="0"/>
          <w:numId w:val="2"/>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Additionally, no woman has ever served on the Guardian Council (body mandated to bring parliamentary resolutions in line with </w:t>
      </w:r>
      <w:proofErr w:type="spellStart"/>
      <w:r w:rsidRPr="00A371DD">
        <w:rPr>
          <w:rFonts w:ascii="Source Sans Pro" w:eastAsia="Times New Roman" w:hAnsi="Source Sans Pro" w:cs="Times New Roman"/>
          <w:color w:val="76787A"/>
        </w:rPr>
        <w:t>Shari’a</w:t>
      </w:r>
      <w:proofErr w:type="spellEnd"/>
      <w:r w:rsidRPr="00A371DD">
        <w:rPr>
          <w:rFonts w:ascii="Source Sans Pro" w:eastAsia="Times New Roman" w:hAnsi="Source Sans Pro" w:cs="Times New Roman"/>
          <w:color w:val="76787A"/>
        </w:rPr>
        <w:t xml:space="preserve"> and the Constitution and to oversee elections and vet candidates)</w:t>
      </w:r>
      <w:r w:rsidRPr="00A371DD">
        <w:rPr>
          <w:rFonts w:ascii="Source Sans Pro" w:eastAsia="Times New Roman" w:hAnsi="Source Sans Pro" w:cs="Times New Roman"/>
          <w:color w:val="76787A"/>
          <w:vertAlign w:val="superscript"/>
        </w:rPr>
        <w:footnoteReference w:id="5"/>
      </w:r>
      <w:r w:rsidRPr="00A371DD">
        <w:rPr>
          <w:rFonts w:ascii="Source Sans Pro" w:eastAsia="Times New Roman" w:hAnsi="Source Sans Pro" w:cs="Times New Roman"/>
          <w:color w:val="76787A"/>
        </w:rPr>
        <w:t xml:space="preserve"> </w:t>
      </w:r>
    </w:p>
    <w:p w14:paraId="39056134" w14:textId="77777777" w:rsidR="000804EC" w:rsidRPr="00A371DD" w:rsidRDefault="00093CB9">
      <w:pPr>
        <w:numPr>
          <w:ilvl w:val="0"/>
          <w:numId w:val="2"/>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lastRenderedPageBreak/>
        <w:t>Nor on the Expediency Council (body which serves as the Supreme Leader's advisory arm, formulating "general policies for the state" and overseeing the implementation of those policies on the behalf of the Supreme Leader).</w:t>
      </w:r>
      <w:r w:rsidRPr="00A371DD">
        <w:rPr>
          <w:rFonts w:ascii="Source Sans Pro" w:eastAsia="Times New Roman" w:hAnsi="Source Sans Pro" w:cs="Times New Roman"/>
          <w:color w:val="76787A"/>
          <w:vertAlign w:val="superscript"/>
        </w:rPr>
        <w:footnoteReference w:id="6"/>
      </w:r>
      <w:r w:rsidRPr="00A371DD">
        <w:rPr>
          <w:rFonts w:ascii="Source Sans Pro" w:eastAsia="Times New Roman" w:hAnsi="Source Sans Pro" w:cs="Times New Roman"/>
          <w:color w:val="76787A"/>
        </w:rPr>
        <w:t xml:space="preserve">  </w:t>
      </w:r>
    </w:p>
    <w:p w14:paraId="1E6EDBAA"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There are no legal limits on the ability of women to vote or become a candidate for parliament or the City and Village Councils. However, the Guardian Council is known to arbitrarily disqualify women candidates from running for election. For example, in the run-up to the 2020 elections, the Guardian Council disqualified 60 percent of female candidates. </w:t>
      </w:r>
    </w:p>
    <w:p w14:paraId="1DEDBF15" w14:textId="137D09B0"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Despite the existence of several mechanisms that ostensibly accept complaints regarding violations of citizens' rights, such as the Article 90 Commission of the parliament (established based on Article 90 of the Constitution, offering a mechanism to citizens to file complaint against any of three br</w:t>
      </w:r>
      <w:r w:rsidR="00520B7D">
        <w:rPr>
          <w:rFonts w:ascii="Source Sans Pro" w:eastAsia="Times New Roman" w:hAnsi="Source Sans Pro" w:cs="Times New Roman"/>
          <w:color w:val="76787A"/>
        </w:rPr>
        <w:t>a</w:t>
      </w:r>
      <w:r w:rsidRPr="00A371DD">
        <w:rPr>
          <w:rFonts w:ascii="Source Sans Pro" w:eastAsia="Times New Roman" w:hAnsi="Source Sans Pro" w:cs="Times New Roman"/>
          <w:color w:val="76787A"/>
        </w:rPr>
        <w:t>nch of power) and the Oversight Bodies for the exercise of Citizenship Rights in the country's provincial courts, there is no evidence to suggest that complaints to these bodies are independently reviewed and investigated. Regarding complaints related to election process or candidate vetting, election law designates the Guardian Council as the arbitrator, which itself is the body responsible for the impugned decisions.</w:t>
      </w:r>
    </w:p>
    <w:p w14:paraId="44C8568E" w14:textId="2DA47D6B"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There are currently no female ministers in the Government’s cabinet. No provincial governors are women. Then President Hassan Rouhani’s </w:t>
      </w:r>
      <w:r w:rsidR="00520B7D">
        <w:rPr>
          <w:rFonts w:ascii="Source Sans Pro" w:eastAsia="Times New Roman" w:hAnsi="Source Sans Pro" w:cs="Times New Roman"/>
          <w:color w:val="76787A"/>
        </w:rPr>
        <w:t>government</w:t>
      </w:r>
      <w:r w:rsidRPr="00A371DD">
        <w:rPr>
          <w:rFonts w:ascii="Source Sans Pro" w:eastAsia="Times New Roman" w:hAnsi="Source Sans Pro" w:cs="Times New Roman"/>
          <w:color w:val="76787A"/>
        </w:rPr>
        <w:t xml:space="preserve"> appointed three women as “county governor” out of 430 positions across the country.</w:t>
      </w:r>
      <w:r w:rsidRPr="00A371DD">
        <w:rPr>
          <w:rFonts w:ascii="Source Sans Pro" w:eastAsia="Times New Roman" w:hAnsi="Source Sans Pro" w:cs="Times New Roman"/>
          <w:color w:val="76787A"/>
          <w:vertAlign w:val="superscript"/>
        </w:rPr>
        <w:footnoteReference w:id="7"/>
      </w:r>
      <w:r w:rsidRPr="00A371DD">
        <w:rPr>
          <w:rFonts w:ascii="Source Sans Pro" w:eastAsia="Times New Roman" w:hAnsi="Source Sans Pro" w:cs="Times New Roman"/>
          <w:color w:val="76787A"/>
        </w:rPr>
        <w:t xml:space="preserve"> However, all three of them were replaced by current President Ebrahim </w:t>
      </w:r>
      <w:proofErr w:type="spellStart"/>
      <w:r w:rsidRPr="00A371DD">
        <w:rPr>
          <w:rFonts w:ascii="Source Sans Pro" w:eastAsia="Times New Roman" w:hAnsi="Source Sans Pro" w:cs="Times New Roman"/>
          <w:color w:val="76787A"/>
        </w:rPr>
        <w:t>Raisi</w:t>
      </w:r>
      <w:proofErr w:type="spellEnd"/>
      <w:r w:rsidRPr="00A371DD">
        <w:rPr>
          <w:rFonts w:ascii="Source Sans Pro" w:eastAsia="Times New Roman" w:hAnsi="Source Sans Pro" w:cs="Times New Roman"/>
          <w:color w:val="76787A"/>
        </w:rPr>
        <w:t>. As of July 2022, only one woman is serving as county governor in the current government.</w:t>
      </w:r>
      <w:r w:rsidRPr="00A371DD">
        <w:rPr>
          <w:rFonts w:ascii="Source Sans Pro" w:eastAsia="Times New Roman" w:hAnsi="Source Sans Pro" w:cs="Times New Roman"/>
          <w:color w:val="76787A"/>
          <w:vertAlign w:val="superscript"/>
        </w:rPr>
        <w:footnoteReference w:id="8"/>
      </w:r>
    </w:p>
    <w:p w14:paraId="54AD5BD4"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Women currently occupy only 5.8 percent (16 out of 290) of parliamentary seats in the new parliament elected in February 2020, compared to 17 in the previous parliament.</w:t>
      </w:r>
      <w:r w:rsidRPr="00A371DD">
        <w:rPr>
          <w:rFonts w:ascii="Source Sans Pro" w:eastAsia="Times New Roman" w:hAnsi="Source Sans Pro" w:cs="Times New Roman"/>
          <w:color w:val="76787A"/>
          <w:vertAlign w:val="superscript"/>
        </w:rPr>
        <w:footnoteReference w:id="9"/>
      </w:r>
      <w:r w:rsidRPr="00A371DD">
        <w:rPr>
          <w:rFonts w:ascii="Source Sans Pro" w:eastAsia="Times New Roman" w:hAnsi="Source Sans Pro" w:cs="Times New Roman"/>
          <w:color w:val="76787A"/>
        </w:rPr>
        <w:t xml:space="preserve"> </w:t>
      </w:r>
    </w:p>
    <w:p w14:paraId="19A8B07B"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The percentage of women candidates who registered to run in the February 2020 city councils election increased from 6.3 in 2016 to 8 percent. The number of women elected in city and village councils increased from 4029 to 5990 following the 2020 election.</w:t>
      </w:r>
      <w:r w:rsidRPr="00A371DD">
        <w:rPr>
          <w:rFonts w:ascii="Source Sans Pro" w:eastAsia="Times New Roman" w:hAnsi="Source Sans Pro" w:cs="Times New Roman"/>
          <w:color w:val="76787A"/>
          <w:vertAlign w:val="superscript"/>
        </w:rPr>
        <w:footnoteReference w:id="10"/>
      </w:r>
    </w:p>
    <w:p w14:paraId="778717B3" w14:textId="77777777" w:rsidR="000804EC" w:rsidRPr="00A371DD" w:rsidRDefault="00093CB9">
      <w:pPr>
        <w:pStyle w:val="Heading2"/>
        <w:spacing w:after="200"/>
        <w:rPr>
          <w:rFonts w:ascii="Source Sans Pro" w:eastAsia="Times New Roman" w:hAnsi="Source Sans Pro" w:cs="Times New Roman"/>
          <w:color w:val="F3765A"/>
        </w:rPr>
      </w:pPr>
      <w:bookmarkStart w:id="2" w:name="_4i5oevbammp1" w:colFirst="0" w:colLast="0"/>
      <w:bookmarkEnd w:id="2"/>
      <w:r w:rsidRPr="00A371DD">
        <w:rPr>
          <w:rFonts w:ascii="Source Sans Pro" w:eastAsia="Times New Roman" w:hAnsi="Source Sans Pro" w:cs="Times New Roman"/>
          <w:color w:val="F3765A"/>
        </w:rPr>
        <w:t>B) Women in the judiciary</w:t>
      </w:r>
    </w:p>
    <w:p w14:paraId="14A53700"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Under Iranian law, women cannot be appointed as judges. This rule is based on an interpretation of </w:t>
      </w:r>
      <w:proofErr w:type="spellStart"/>
      <w:r w:rsidRPr="00A371DD">
        <w:rPr>
          <w:rFonts w:ascii="Source Sans Pro" w:eastAsia="Times New Roman" w:hAnsi="Source Sans Pro" w:cs="Times New Roman"/>
          <w:i/>
          <w:color w:val="76787A"/>
        </w:rPr>
        <w:t>Shari’a</w:t>
      </w:r>
      <w:proofErr w:type="spellEnd"/>
      <w:r w:rsidRPr="00A371DD">
        <w:rPr>
          <w:rFonts w:ascii="Source Sans Pro" w:eastAsia="Times New Roman" w:hAnsi="Source Sans Pro" w:cs="Times New Roman"/>
          <w:color w:val="76787A"/>
        </w:rPr>
        <w:t xml:space="preserve"> according to which judging is done only by men, and women cannot issue rulings.</w:t>
      </w:r>
      <w:r w:rsidRPr="00A371DD">
        <w:rPr>
          <w:rFonts w:ascii="Source Sans Pro" w:eastAsia="Times New Roman" w:hAnsi="Source Sans Pro" w:cs="Times New Roman"/>
          <w:color w:val="76787A"/>
          <w:vertAlign w:val="superscript"/>
        </w:rPr>
        <w:footnoteReference w:id="11"/>
      </w:r>
      <w:r w:rsidRPr="00A371DD">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rPr>
        <w:lastRenderedPageBreak/>
        <w:t>While women can hold the position of ‘legal advisers,’ a role which allows them to oversee case proceedings or sit on three-person Appeals Court panels, they cannot render final verdicts, which must be signed by a judge.</w:t>
      </w:r>
      <w:r w:rsidRPr="00A371DD">
        <w:rPr>
          <w:rFonts w:ascii="Source Sans Pro" w:eastAsia="Times New Roman" w:hAnsi="Source Sans Pro" w:cs="Times New Roman"/>
          <w:color w:val="76787A"/>
          <w:vertAlign w:val="superscript"/>
        </w:rPr>
        <w:footnoteReference w:id="12"/>
      </w:r>
      <w:r w:rsidRPr="00A371DD">
        <w:rPr>
          <w:rFonts w:ascii="Source Sans Pro" w:eastAsia="Times New Roman" w:hAnsi="Source Sans Pro" w:cs="Times New Roman"/>
          <w:color w:val="76787A"/>
        </w:rPr>
        <w:t xml:space="preserve">  According to statements issued by the Deputy of Human Resources of the Judiciary, Alireza </w:t>
      </w:r>
      <w:proofErr w:type="spellStart"/>
      <w:r w:rsidRPr="00A371DD">
        <w:rPr>
          <w:rFonts w:ascii="Source Sans Pro" w:eastAsia="Times New Roman" w:hAnsi="Source Sans Pro" w:cs="Times New Roman"/>
          <w:color w:val="76787A"/>
        </w:rPr>
        <w:t>Amini</w:t>
      </w:r>
      <w:proofErr w:type="spellEnd"/>
      <w:r w:rsidRPr="00A371DD">
        <w:rPr>
          <w:rFonts w:ascii="Source Sans Pro" w:eastAsia="Times New Roman" w:hAnsi="Source Sans Pro" w:cs="Times New Roman"/>
          <w:color w:val="76787A"/>
        </w:rPr>
        <w:t>, there are about 1,000 women legal advisers in the Iranian judiciary, who hold positions in family courts, appeals courts and the Supreme Court. Again, these positions are advisory and have no decision-making power.</w:t>
      </w:r>
      <w:r w:rsidRPr="00A371DD">
        <w:rPr>
          <w:rFonts w:ascii="Source Sans Pro" w:eastAsia="Times New Roman" w:hAnsi="Source Sans Pro" w:cs="Times New Roman"/>
          <w:color w:val="76787A"/>
          <w:vertAlign w:val="superscript"/>
        </w:rPr>
        <w:footnoteReference w:id="13"/>
      </w:r>
      <w:r w:rsidRPr="00A371DD">
        <w:rPr>
          <w:rFonts w:ascii="Source Sans Pro" w:eastAsia="Times New Roman" w:hAnsi="Source Sans Pro" w:cs="Times New Roman"/>
          <w:color w:val="76787A"/>
        </w:rPr>
        <w:t xml:space="preserve"> In its National Report to the Universal Periodic Review in 2019, the Government reported that “more than 970 female judges work in the Judiciary”</w:t>
      </w:r>
      <w:r w:rsidRPr="00A371DD">
        <w:rPr>
          <w:rFonts w:ascii="Source Sans Pro" w:eastAsia="Times New Roman" w:hAnsi="Source Sans Pro" w:cs="Times New Roman"/>
          <w:color w:val="76787A"/>
          <w:vertAlign w:val="superscript"/>
        </w:rPr>
        <w:footnoteReference w:id="14"/>
      </w:r>
      <w:r w:rsidRPr="00A371DD">
        <w:rPr>
          <w:rFonts w:ascii="Source Sans Pro" w:eastAsia="Times New Roman" w:hAnsi="Source Sans Pro" w:cs="Times New Roman"/>
          <w:color w:val="76787A"/>
        </w:rPr>
        <w:t xml:space="preserve"> while the total number of judges reportedly reached 10,000 in 2015.</w:t>
      </w:r>
      <w:r w:rsidRPr="00A371DD">
        <w:rPr>
          <w:rFonts w:ascii="Source Sans Pro" w:eastAsia="Times New Roman" w:hAnsi="Source Sans Pro" w:cs="Times New Roman"/>
          <w:color w:val="76787A"/>
          <w:vertAlign w:val="superscript"/>
        </w:rPr>
        <w:footnoteReference w:id="15"/>
      </w:r>
      <w:r w:rsidRPr="00A371DD">
        <w:rPr>
          <w:rFonts w:ascii="Source Sans Pro" w:eastAsia="Times New Roman" w:hAnsi="Source Sans Pro" w:cs="Times New Roman"/>
          <w:color w:val="76787A"/>
        </w:rPr>
        <w:t xml:space="preserve"> In 2016, Tehran’s general prosecutor appointed for the first time two women as investigators (investigating magistrates) in the juvenile court of Tehran.</w:t>
      </w:r>
    </w:p>
    <w:p w14:paraId="213BAFFA"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its State party’s report to the Human Rights Committee, Iran’s Government shared the number of women employed as “administrative staff of the Judiciary” with a total number indicating 1077.</w:t>
      </w:r>
      <w:r w:rsidRPr="00A371DD">
        <w:rPr>
          <w:rFonts w:ascii="Source Sans Pro" w:eastAsia="Times New Roman" w:hAnsi="Source Sans Pro" w:cs="Times New Roman"/>
          <w:color w:val="76787A"/>
          <w:vertAlign w:val="superscript"/>
        </w:rPr>
        <w:footnoteReference w:id="16"/>
      </w:r>
      <w:r w:rsidRPr="00A371DD">
        <w:rPr>
          <w:rFonts w:ascii="Source Sans Pro" w:eastAsia="Times New Roman" w:hAnsi="Source Sans Pro" w:cs="Times New Roman"/>
          <w:color w:val="76787A"/>
        </w:rPr>
        <w:t xml:space="preserve"> As highlighted above, and as suggested by “</w:t>
      </w:r>
      <w:proofErr w:type="spellStart"/>
      <w:r w:rsidRPr="00A371DD">
        <w:rPr>
          <w:rFonts w:ascii="Source Sans Pro" w:eastAsia="Times New Roman" w:hAnsi="Source Sans Pro" w:cs="Times New Roman"/>
          <w:color w:val="76787A"/>
        </w:rPr>
        <w:t>adminsitrative</w:t>
      </w:r>
      <w:proofErr w:type="spellEnd"/>
      <w:r w:rsidRPr="00A371DD">
        <w:rPr>
          <w:rFonts w:ascii="Source Sans Pro" w:eastAsia="Times New Roman" w:hAnsi="Source Sans Pro" w:cs="Times New Roman"/>
          <w:color w:val="76787A"/>
        </w:rPr>
        <w:t xml:space="preserve"> staff”, women can only be employed in advisory or assisting positions in the Judiciary, and do not have decision-making power whatsoever. </w:t>
      </w:r>
    </w:p>
    <w:p w14:paraId="09DACD69" w14:textId="77777777" w:rsidR="000804EC" w:rsidRPr="00A371DD" w:rsidRDefault="00093CB9">
      <w:pPr>
        <w:pStyle w:val="Heading2"/>
        <w:spacing w:after="200"/>
        <w:rPr>
          <w:rFonts w:ascii="Source Sans Pro" w:eastAsia="Times New Roman" w:hAnsi="Source Sans Pro" w:cs="Times New Roman"/>
          <w:color w:val="F3765A"/>
        </w:rPr>
      </w:pPr>
      <w:bookmarkStart w:id="3" w:name="_u1ymrrv0110g" w:colFirst="0" w:colLast="0"/>
      <w:bookmarkEnd w:id="3"/>
      <w:r w:rsidRPr="00A371DD">
        <w:rPr>
          <w:rFonts w:ascii="Source Sans Pro" w:eastAsia="Times New Roman" w:hAnsi="Source Sans Pro" w:cs="Times New Roman"/>
          <w:color w:val="F3765A"/>
        </w:rPr>
        <w:t xml:space="preserve">C) Special training </w:t>
      </w:r>
      <w:proofErr w:type="spellStart"/>
      <w:r w:rsidRPr="00A371DD">
        <w:rPr>
          <w:rFonts w:ascii="Source Sans Pro" w:eastAsia="Times New Roman" w:hAnsi="Source Sans Pro" w:cs="Times New Roman"/>
          <w:color w:val="F3765A"/>
        </w:rPr>
        <w:t>programmes</w:t>
      </w:r>
      <w:proofErr w:type="spellEnd"/>
      <w:r w:rsidRPr="00A371DD">
        <w:rPr>
          <w:rFonts w:ascii="Source Sans Pro" w:eastAsia="Times New Roman" w:hAnsi="Source Sans Pro" w:cs="Times New Roman"/>
          <w:color w:val="F3765A"/>
        </w:rPr>
        <w:t xml:space="preserve"> for women</w:t>
      </w:r>
    </w:p>
    <w:p w14:paraId="2A06E27A" w14:textId="77777777" w:rsidR="000804EC" w:rsidRPr="00A371DD" w:rsidRDefault="00093CB9">
      <w:pPr>
        <w:numPr>
          <w:ilvl w:val="0"/>
          <w:numId w:val="6"/>
        </w:numPr>
        <w:spacing w:after="200"/>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In 2011, the Human Rights Committee recommended that Iran organize special training </w:t>
      </w:r>
      <w:proofErr w:type="spellStart"/>
      <w:r w:rsidRPr="00A371DD">
        <w:rPr>
          <w:rFonts w:ascii="Source Sans Pro" w:eastAsia="Times New Roman" w:hAnsi="Source Sans Pro" w:cs="Times New Roman"/>
          <w:color w:val="76787A"/>
        </w:rPr>
        <w:t>programmes</w:t>
      </w:r>
      <w:proofErr w:type="spellEnd"/>
      <w:r w:rsidRPr="00A371DD">
        <w:rPr>
          <w:rFonts w:ascii="Source Sans Pro" w:eastAsia="Times New Roman" w:hAnsi="Source Sans Pro" w:cs="Times New Roman"/>
          <w:color w:val="76787A"/>
        </w:rPr>
        <w:t xml:space="preserve"> for women and regular awareness campaigns to encourage women’s participation in public and political life</w:t>
      </w:r>
      <w:r w:rsidRPr="00A371DD">
        <w:rPr>
          <w:rFonts w:ascii="Source Sans Pro" w:eastAsia="Times New Roman" w:hAnsi="Source Sans Pro" w:cs="Times New Roman"/>
          <w:color w:val="76787A"/>
          <w:vertAlign w:val="superscript"/>
        </w:rPr>
        <w:footnoteReference w:id="17"/>
      </w:r>
    </w:p>
    <w:p w14:paraId="652B3809" w14:textId="4E28B98C" w:rsidR="000804EC"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The Charter on Citizen’s Rights, adopted under Rouhani’s administration in 2016, contains provisions </w:t>
      </w:r>
      <w:r w:rsidR="006C7FA4">
        <w:rPr>
          <w:rFonts w:ascii="Source Sans Pro" w:eastAsia="Times New Roman" w:hAnsi="Source Sans Pro" w:cs="Times New Roman"/>
          <w:color w:val="76787A"/>
        </w:rPr>
        <w:t>according to which</w:t>
      </w:r>
      <w:r w:rsidRPr="00A371DD">
        <w:rPr>
          <w:rFonts w:ascii="Source Sans Pro" w:eastAsia="Times New Roman" w:hAnsi="Source Sans Pro" w:cs="Times New Roman"/>
          <w:color w:val="76787A"/>
        </w:rPr>
        <w:t xml:space="preserve"> women</w:t>
      </w:r>
      <w:r w:rsidR="006C7FA4">
        <w:rPr>
          <w:rFonts w:ascii="Source Sans Pro" w:eastAsia="Times New Roman" w:hAnsi="Source Sans Pro" w:cs="Times New Roman"/>
          <w:color w:val="76787A"/>
        </w:rPr>
        <w:t xml:space="preserve"> should</w:t>
      </w:r>
      <w:r w:rsidRPr="00A371DD">
        <w:rPr>
          <w:rFonts w:ascii="Source Sans Pro" w:eastAsia="Times New Roman" w:hAnsi="Source Sans Pro" w:cs="Times New Roman"/>
          <w:color w:val="76787A"/>
        </w:rPr>
        <w:t xml:space="preserve"> “have active and effective participation in policymaking, legislation, management, implementation and supervision, and shall be provided equal social opportunities in accordance with Islamic norms.”</w:t>
      </w:r>
      <w:r w:rsidRPr="00A371DD">
        <w:rPr>
          <w:rFonts w:ascii="Source Sans Pro" w:eastAsia="Times New Roman" w:hAnsi="Source Sans Pro" w:cs="Times New Roman"/>
          <w:color w:val="76787A"/>
          <w:vertAlign w:val="superscript"/>
        </w:rPr>
        <w:footnoteReference w:id="18"/>
      </w:r>
      <w:r w:rsidRPr="00A371DD">
        <w:rPr>
          <w:rFonts w:ascii="Source Sans Pro" w:eastAsia="Times New Roman" w:hAnsi="Source Sans Pro" w:cs="Times New Roman"/>
          <w:color w:val="76787A"/>
        </w:rPr>
        <w:t xml:space="preserve"> However, the Charter is not </w:t>
      </w:r>
      <w:r w:rsidR="006C7FA4">
        <w:rPr>
          <w:rFonts w:ascii="Source Sans Pro" w:eastAsia="Times New Roman" w:hAnsi="Source Sans Pro" w:cs="Times New Roman"/>
          <w:color w:val="76787A"/>
        </w:rPr>
        <w:t>a legally-binding instrument</w:t>
      </w:r>
      <w:r w:rsidRPr="00A371DD">
        <w:rPr>
          <w:rFonts w:ascii="Source Sans Pro" w:eastAsia="Times New Roman" w:hAnsi="Source Sans Pro" w:cs="Times New Roman"/>
          <w:color w:val="76787A"/>
        </w:rPr>
        <w:t xml:space="preserve"> </w:t>
      </w:r>
      <w:r w:rsidR="006C7FA4">
        <w:rPr>
          <w:rFonts w:ascii="Source Sans Pro" w:eastAsia="Times New Roman" w:hAnsi="Source Sans Pro" w:cs="Times New Roman"/>
          <w:color w:val="76787A"/>
        </w:rPr>
        <w:t>and</w:t>
      </w:r>
      <w:r w:rsidR="00474F04">
        <w:rPr>
          <w:rFonts w:ascii="Source Sans Pro" w:eastAsia="Times New Roman" w:hAnsi="Source Sans Pro" w:cs="Times New Roman"/>
          <w:color w:val="76787A"/>
        </w:rPr>
        <w:t xml:space="preserve"> is not enforceable</w:t>
      </w:r>
      <w:r w:rsidRPr="00A371DD">
        <w:rPr>
          <w:rFonts w:ascii="Source Sans Pro" w:eastAsia="Times New Roman" w:hAnsi="Source Sans Pro" w:cs="Times New Roman"/>
          <w:color w:val="76787A"/>
        </w:rPr>
        <w:t xml:space="preserve">. There is no evidence that awareness campaigns or special training </w:t>
      </w:r>
      <w:proofErr w:type="spellStart"/>
      <w:r w:rsidRPr="00A371DD">
        <w:rPr>
          <w:rFonts w:ascii="Source Sans Pro" w:eastAsia="Times New Roman" w:hAnsi="Source Sans Pro" w:cs="Times New Roman"/>
          <w:color w:val="76787A"/>
        </w:rPr>
        <w:t>programmes</w:t>
      </w:r>
      <w:proofErr w:type="spellEnd"/>
      <w:r w:rsidRPr="00A371DD">
        <w:rPr>
          <w:rFonts w:ascii="Source Sans Pro" w:eastAsia="Times New Roman" w:hAnsi="Source Sans Pro" w:cs="Times New Roman"/>
          <w:color w:val="76787A"/>
        </w:rPr>
        <w:t xml:space="preserve"> to improve the number of women in decision- making and judicial bodies were designed or implemented.</w:t>
      </w:r>
    </w:p>
    <w:p w14:paraId="0B63146B" w14:textId="77777777" w:rsidR="00474F04" w:rsidRPr="00A371DD" w:rsidRDefault="00474F04" w:rsidP="00474F04">
      <w:pPr>
        <w:spacing w:after="200"/>
        <w:ind w:left="360"/>
        <w:jc w:val="left"/>
        <w:rPr>
          <w:rFonts w:ascii="Source Sans Pro" w:eastAsia="Times New Roman" w:hAnsi="Source Sans Pro" w:cs="Times New Roman"/>
          <w:color w:val="76787A"/>
        </w:rPr>
      </w:pPr>
    </w:p>
    <w:p w14:paraId="4611A9AE" w14:textId="77777777" w:rsidR="000804EC" w:rsidRPr="00A371DD" w:rsidRDefault="00093CB9">
      <w:pPr>
        <w:spacing w:after="200"/>
        <w:jc w:val="left"/>
        <w:rPr>
          <w:rFonts w:ascii="Source Sans Pro" w:eastAsia="Times New Roman" w:hAnsi="Source Sans Pro" w:cs="Times New Roman"/>
          <w:color w:val="F3765A"/>
          <w:u w:val="single"/>
        </w:rPr>
      </w:pPr>
      <w:r w:rsidRPr="00A371DD">
        <w:rPr>
          <w:rFonts w:ascii="Source Sans Pro" w:eastAsia="Times New Roman" w:hAnsi="Source Sans Pro" w:cs="Times New Roman"/>
          <w:color w:val="F3765A"/>
          <w:u w:val="single"/>
        </w:rPr>
        <w:lastRenderedPageBreak/>
        <w:t xml:space="preserve">Suggested Question </w:t>
      </w:r>
    </w:p>
    <w:p w14:paraId="2EA74E15" w14:textId="77777777" w:rsidR="000804EC" w:rsidRPr="00A371DD" w:rsidRDefault="00093CB9">
      <w:pPr>
        <w:numPr>
          <w:ilvl w:val="0"/>
          <w:numId w:val="3"/>
        </w:numPr>
        <w:spacing w:after="200"/>
        <w:jc w:val="left"/>
        <w:rPr>
          <w:rFonts w:ascii="Source Sans Pro" w:eastAsia="Times New Roman" w:hAnsi="Source Sans Pro" w:cs="Times New Roman"/>
          <w:i/>
          <w:color w:val="F3765A"/>
        </w:rPr>
      </w:pPr>
      <w:r w:rsidRPr="00A371DD">
        <w:rPr>
          <w:rFonts w:ascii="Source Sans Pro" w:eastAsia="Times New Roman" w:hAnsi="Source Sans Pro" w:cs="Times New Roman"/>
          <w:i/>
          <w:color w:val="F3765A"/>
        </w:rPr>
        <w:t>Please explain what steps have been taken to increase the number of women in decision-making and judicial bodies at all levels and in all areas, in particular the number of women employed in positions with decisional power</w:t>
      </w:r>
    </w:p>
    <w:p w14:paraId="636B353F" w14:textId="77777777" w:rsidR="000804EC" w:rsidRPr="00A371DD" w:rsidRDefault="000804EC">
      <w:pPr>
        <w:spacing w:after="200"/>
        <w:jc w:val="left"/>
        <w:rPr>
          <w:rFonts w:ascii="Source Sans Pro" w:eastAsia="Times New Roman" w:hAnsi="Source Sans Pro" w:cs="Times New Roman"/>
          <w:color w:val="76787A"/>
        </w:rPr>
      </w:pPr>
    </w:p>
    <w:p w14:paraId="22E6A5E1" w14:textId="77777777" w:rsidR="000804EC" w:rsidRPr="00A371DD" w:rsidRDefault="00093CB9">
      <w:pPr>
        <w:pStyle w:val="Heading2"/>
        <w:spacing w:after="200"/>
        <w:jc w:val="left"/>
        <w:rPr>
          <w:rFonts w:ascii="Source Sans Pro" w:eastAsia="Times New Roman" w:hAnsi="Source Sans Pro" w:cs="Times New Roman"/>
          <w:color w:val="F3765A"/>
        </w:rPr>
      </w:pPr>
      <w:bookmarkStart w:id="4" w:name="_uwt849nnq4s6" w:colFirst="0" w:colLast="0"/>
      <w:bookmarkEnd w:id="4"/>
      <w:r w:rsidRPr="00A371DD">
        <w:rPr>
          <w:rFonts w:ascii="Source Sans Pro" w:eastAsia="Times New Roman" w:hAnsi="Source Sans Pro" w:cs="Times New Roman"/>
          <w:color w:val="F3765A"/>
        </w:rPr>
        <w:t>D) Sex and gender-based discrimination in the Civil Code</w:t>
      </w:r>
    </w:p>
    <w:p w14:paraId="0576631C"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2011, the Committee recommended that Iran amend the Civil Code and the draft Family Protection Law to:</w:t>
      </w:r>
    </w:p>
    <w:p w14:paraId="29C4EFC2"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(a) abolish the requirement for a father’s or paternal grandfather’s approval to legalize a marriage; </w:t>
      </w:r>
    </w:p>
    <w:p w14:paraId="032E9D01"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(b) grant women equal rights to divorce; </w:t>
      </w:r>
    </w:p>
    <w:p w14:paraId="2E49D355"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(c) award equal custody rights to the mother, including after a child reaches the age of seven or if she remarries;</w:t>
      </w:r>
    </w:p>
    <w:p w14:paraId="613D1E8C"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(d) award guardianship of a child to the mother in the case of the father’s death; </w:t>
      </w:r>
    </w:p>
    <w:p w14:paraId="00C9DA53"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(e) grant women the same inheritance rights as men; </w:t>
      </w:r>
    </w:p>
    <w:p w14:paraId="5AC9401F"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(f) remove the legal obligation for a woman to be obedient to her husband; </w:t>
      </w:r>
    </w:p>
    <w:p w14:paraId="75ADD846"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(g) remove the requirement for a husband’s approval when a woman intends to leave the country; </w:t>
      </w:r>
    </w:p>
    <w:p w14:paraId="294EFA21"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(h) prohibit polygamy; </w:t>
      </w:r>
    </w:p>
    <w:p w14:paraId="55DE91D6"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w:t>
      </w:r>
      <w:proofErr w:type="spellStart"/>
      <w:r w:rsidRPr="00A371DD">
        <w:rPr>
          <w:rFonts w:ascii="Source Sans Pro" w:eastAsia="Times New Roman" w:hAnsi="Source Sans Pro" w:cs="Times New Roman"/>
          <w:color w:val="76787A"/>
        </w:rPr>
        <w:t>i</w:t>
      </w:r>
      <w:proofErr w:type="spellEnd"/>
      <w:r w:rsidRPr="00A371DD">
        <w:rPr>
          <w:rFonts w:ascii="Source Sans Pro" w:eastAsia="Times New Roman" w:hAnsi="Source Sans Pro" w:cs="Times New Roman"/>
          <w:color w:val="76787A"/>
        </w:rPr>
        <w:t xml:space="preserve">) remove the power of a man to prohibit his wife from entering employment. </w:t>
      </w:r>
    </w:p>
    <w:p w14:paraId="568DB461" w14:textId="77777777" w:rsidR="000804EC" w:rsidRPr="00A371DD" w:rsidRDefault="00093CB9">
      <w:pPr>
        <w:spacing w:after="200"/>
        <w:ind w:left="1134"/>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(f) give Iranian women the right to transmit their nationality to their children.</w:t>
      </w:r>
      <w:r w:rsidRPr="00A371DD">
        <w:rPr>
          <w:rFonts w:ascii="Source Sans Pro" w:eastAsia="Times New Roman" w:hAnsi="Source Sans Pro" w:cs="Times New Roman"/>
          <w:color w:val="76787A"/>
          <w:vertAlign w:val="superscript"/>
        </w:rPr>
        <w:footnoteReference w:id="19"/>
      </w:r>
    </w:p>
    <w:p w14:paraId="154DCDD3"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As of July 2022, the State has taken action on just one of the Committee’s recommendations: in 2019 the State amended the Civil Code to give Iranian women who are married to non-Iranian men the right to transmit their nationality to their children. However, Iranian women and men are still not on equal footing with respect to their ability to confer nationality - men, regardless of the nationality of their wife, can automatically pass their nationality to their children. By contrast, women married to a non-national must apply to pass nationality to children and a security check done by the Ministry of Intelligence. </w:t>
      </w:r>
    </w:p>
    <w:p w14:paraId="64DDD04C" w14:textId="02F599E4"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lastRenderedPageBreak/>
        <w:t>In November 2021 the Guardian Council ratified the ‘Youthful Population and Protection of the Family’ law</w:t>
      </w:r>
      <w:r w:rsidRPr="00A371DD">
        <w:rPr>
          <w:rFonts w:ascii="Source Sans Pro" w:eastAsia="Times New Roman" w:hAnsi="Source Sans Pro" w:cs="Times New Roman"/>
          <w:color w:val="76787A"/>
          <w:vertAlign w:val="superscript"/>
        </w:rPr>
        <w:footnoteReference w:id="20"/>
      </w:r>
      <w:r w:rsidRPr="00A371DD">
        <w:rPr>
          <w:rFonts w:ascii="Source Sans Pro" w:eastAsia="Times New Roman" w:hAnsi="Source Sans Pro" w:cs="Times New Roman"/>
          <w:color w:val="76787A"/>
        </w:rPr>
        <w:t>, which aims to boost the country’s fertility rate in Iran. The law has been denounced by UN experts as being clearly in “contravention of international law,” violating “the rights to life and health, the right to non-</w:t>
      </w:r>
      <w:proofErr w:type="spellStart"/>
      <w:r w:rsidRPr="00A371DD">
        <w:rPr>
          <w:rFonts w:ascii="Source Sans Pro" w:eastAsia="Times New Roman" w:hAnsi="Source Sans Pro" w:cs="Times New Roman"/>
          <w:color w:val="76787A"/>
        </w:rPr>
        <w:t>discriminaion</w:t>
      </w:r>
      <w:proofErr w:type="spellEnd"/>
      <w:r w:rsidRPr="00A371DD">
        <w:rPr>
          <w:rFonts w:ascii="Source Sans Pro" w:eastAsia="Times New Roman" w:hAnsi="Source Sans Pro" w:cs="Times New Roman"/>
          <w:color w:val="76787A"/>
        </w:rPr>
        <w:t xml:space="preserve"> and equality, and the right to freedom of expression.” Art. 61 of the new law vaguely stipulates that, if carried out on a large scale, abortion would fall under the crime of “corruption on earth” and would carry the death penalty.</w:t>
      </w:r>
      <w:r w:rsidRPr="00A371DD">
        <w:rPr>
          <w:rFonts w:ascii="Source Sans Pro" w:eastAsia="Times New Roman" w:hAnsi="Source Sans Pro" w:cs="Times New Roman"/>
          <w:color w:val="76787A"/>
          <w:vertAlign w:val="superscript"/>
        </w:rPr>
        <w:footnoteReference w:id="21"/>
      </w:r>
    </w:p>
    <w:p w14:paraId="2C8CD9BD" w14:textId="77777777" w:rsidR="000804EC" w:rsidRPr="00A371DD" w:rsidRDefault="00093CB9">
      <w:pPr>
        <w:spacing w:after="200"/>
        <w:jc w:val="left"/>
        <w:rPr>
          <w:rFonts w:ascii="Source Sans Pro" w:eastAsia="Times New Roman" w:hAnsi="Source Sans Pro" w:cs="Times New Roman"/>
          <w:color w:val="F3765A"/>
          <w:u w:val="single"/>
        </w:rPr>
      </w:pPr>
      <w:r w:rsidRPr="00A371DD">
        <w:rPr>
          <w:rFonts w:ascii="Source Sans Pro" w:eastAsia="Times New Roman" w:hAnsi="Source Sans Pro" w:cs="Times New Roman"/>
          <w:color w:val="F3765A"/>
          <w:u w:val="single"/>
        </w:rPr>
        <w:t>Suggested Question</w:t>
      </w:r>
    </w:p>
    <w:p w14:paraId="3289F13E" w14:textId="77777777" w:rsidR="000804EC" w:rsidRPr="00A371DD" w:rsidRDefault="00093CB9">
      <w:pPr>
        <w:numPr>
          <w:ilvl w:val="0"/>
          <w:numId w:val="3"/>
        </w:numPr>
        <w:spacing w:after="200"/>
        <w:jc w:val="left"/>
        <w:rPr>
          <w:rFonts w:ascii="Source Sans Pro" w:eastAsia="Times New Roman" w:hAnsi="Source Sans Pro" w:cs="Times New Roman"/>
          <w:i/>
          <w:color w:val="F3765A"/>
        </w:rPr>
      </w:pPr>
      <w:r w:rsidRPr="00A371DD">
        <w:rPr>
          <w:rFonts w:ascii="Source Sans Pro" w:eastAsia="Times New Roman" w:hAnsi="Source Sans Pro" w:cs="Times New Roman"/>
          <w:i/>
          <w:color w:val="F3765A"/>
        </w:rPr>
        <w:t xml:space="preserve">With reference to the previous concluding observation paragraph 9, please provide information about steps taken to amend the Civil Code to ensure gender equality </w:t>
      </w:r>
    </w:p>
    <w:p w14:paraId="70F8993C" w14:textId="77777777" w:rsidR="000804EC" w:rsidRPr="00A371DD" w:rsidRDefault="00093CB9">
      <w:pPr>
        <w:numPr>
          <w:ilvl w:val="0"/>
          <w:numId w:val="3"/>
        </w:numPr>
        <w:spacing w:after="200"/>
        <w:jc w:val="left"/>
        <w:rPr>
          <w:rFonts w:ascii="Source Sans Pro" w:eastAsia="Times New Roman" w:hAnsi="Source Sans Pro" w:cs="Times New Roman"/>
          <w:i/>
          <w:color w:val="F3765A"/>
        </w:rPr>
      </w:pPr>
      <w:r w:rsidRPr="00A371DD">
        <w:rPr>
          <w:rFonts w:ascii="Source Sans Pro" w:eastAsia="Times New Roman" w:hAnsi="Source Sans Pro" w:cs="Times New Roman"/>
          <w:i/>
          <w:color w:val="F3765A"/>
        </w:rPr>
        <w:t>Please provide information about steps taken to repeal or amend the ‘Youthful Population and Protection Family’ law to ensure gender equality</w:t>
      </w:r>
    </w:p>
    <w:p w14:paraId="0C1B781A" w14:textId="77777777" w:rsidR="000804EC" w:rsidRPr="00A371DD" w:rsidRDefault="000804EC">
      <w:pPr>
        <w:spacing w:after="200"/>
        <w:ind w:left="-360"/>
        <w:jc w:val="left"/>
        <w:rPr>
          <w:rFonts w:ascii="Source Sans Pro" w:eastAsia="Times New Roman" w:hAnsi="Source Sans Pro" w:cs="Times New Roman"/>
          <w:color w:val="76787A"/>
        </w:rPr>
      </w:pPr>
    </w:p>
    <w:p w14:paraId="14DB471A" w14:textId="77777777" w:rsidR="000804EC" w:rsidRPr="00A371DD" w:rsidRDefault="00093CB9">
      <w:pPr>
        <w:pStyle w:val="Heading2"/>
        <w:spacing w:after="200"/>
        <w:jc w:val="left"/>
        <w:rPr>
          <w:rFonts w:ascii="Source Sans Pro" w:eastAsia="Times New Roman" w:hAnsi="Source Sans Pro" w:cs="Times New Roman"/>
          <w:color w:val="F3765A"/>
        </w:rPr>
      </w:pPr>
      <w:bookmarkStart w:id="5" w:name="_9bhbu86o2ylr" w:colFirst="0" w:colLast="0"/>
      <w:bookmarkEnd w:id="5"/>
      <w:r w:rsidRPr="00A371DD">
        <w:rPr>
          <w:rFonts w:ascii="Source Sans Pro" w:eastAsia="Times New Roman" w:hAnsi="Source Sans Pro" w:cs="Times New Roman"/>
          <w:color w:val="F3765A"/>
        </w:rPr>
        <w:t>E) Criminalization of domestic violence</w:t>
      </w:r>
    </w:p>
    <w:p w14:paraId="3B437920"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2011, the Committee recommended that Iran adopt a legislation criminalizing domestic violence and take steps to effectively combat domestic violence. It also recommended that acts of domestic violence be effectively investigated and that perpetrators be prosecuted and sanctioned</w:t>
      </w:r>
      <w:r w:rsidRPr="00A371DD">
        <w:rPr>
          <w:rFonts w:ascii="Source Sans Pro" w:eastAsia="Times New Roman" w:hAnsi="Source Sans Pro" w:cs="Times New Roman"/>
          <w:color w:val="76787A"/>
          <w:vertAlign w:val="superscript"/>
        </w:rPr>
        <w:footnoteReference w:id="22"/>
      </w:r>
      <w:r w:rsidRPr="00A371DD">
        <w:rPr>
          <w:rFonts w:ascii="Source Sans Pro" w:eastAsia="Times New Roman" w:hAnsi="Source Sans Pro" w:cs="Times New Roman"/>
          <w:color w:val="76787A"/>
        </w:rPr>
        <w:t>.</w:t>
      </w:r>
    </w:p>
    <w:p w14:paraId="268AA1CF" w14:textId="5E38AFFE"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Iran does not have any laws which specifically criminalize domestic violence. Cases of domestic violence can be prosecuted as crimes of bodily assault. Rape is not classified as a distinct crime under Iranian law, but is considered as a crime of </w:t>
      </w:r>
      <w:r w:rsidRPr="00A371DD">
        <w:rPr>
          <w:rFonts w:ascii="Source Sans Pro" w:eastAsia="Times New Roman" w:hAnsi="Source Sans Pro" w:cs="Times New Roman"/>
          <w:i/>
          <w:color w:val="76787A"/>
        </w:rPr>
        <w:t>zina</w:t>
      </w:r>
      <w:r w:rsidRPr="00A371DD">
        <w:rPr>
          <w:rFonts w:ascii="Source Sans Pro" w:eastAsia="Times New Roman" w:hAnsi="Source Sans Pro" w:cs="Times New Roman"/>
          <w:color w:val="76787A"/>
        </w:rPr>
        <w:t xml:space="preserve"> (sexual relations outside of marriage) without consent.</w:t>
      </w:r>
      <w:r w:rsidRPr="00A371DD">
        <w:rPr>
          <w:rFonts w:ascii="Source Sans Pro" w:eastAsia="Times New Roman" w:hAnsi="Source Sans Pro" w:cs="Times New Roman"/>
          <w:color w:val="76787A"/>
          <w:vertAlign w:val="superscript"/>
        </w:rPr>
        <w:footnoteReference w:id="23"/>
      </w:r>
      <w:r w:rsidRPr="00A371DD">
        <w:rPr>
          <w:rFonts w:ascii="Source Sans Pro" w:eastAsia="Times New Roman" w:hAnsi="Source Sans Pro" w:cs="Times New Roman"/>
          <w:color w:val="76787A"/>
        </w:rPr>
        <w:t xml:space="preserve"> The legal definition for ‘coerced </w:t>
      </w:r>
      <w:r w:rsidRPr="00A371DD">
        <w:rPr>
          <w:rFonts w:ascii="Source Sans Pro" w:eastAsia="Times New Roman" w:hAnsi="Source Sans Pro" w:cs="Times New Roman"/>
          <w:i/>
          <w:color w:val="76787A"/>
        </w:rPr>
        <w:t>zina</w:t>
      </w:r>
      <w:r w:rsidRPr="00A371DD">
        <w:rPr>
          <w:rFonts w:ascii="Source Sans Pro" w:eastAsia="Times New Roman" w:hAnsi="Source Sans Pro" w:cs="Times New Roman"/>
          <w:color w:val="76787A"/>
        </w:rPr>
        <w:t>’ is restricted to forced vaginal and anal penetration by a penis -</w:t>
      </w:r>
      <w:r w:rsidR="00474F04">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rPr>
        <w:t>therefore exclud</w:t>
      </w:r>
      <w:r w:rsidR="00474F04">
        <w:rPr>
          <w:rFonts w:ascii="Source Sans Pro" w:eastAsia="Times New Roman" w:hAnsi="Source Sans Pro" w:cs="Times New Roman"/>
          <w:color w:val="76787A"/>
        </w:rPr>
        <w:t>es</w:t>
      </w:r>
      <w:r w:rsidRPr="00A371DD">
        <w:rPr>
          <w:rFonts w:ascii="Source Sans Pro" w:eastAsia="Times New Roman" w:hAnsi="Source Sans Pro" w:cs="Times New Roman"/>
          <w:color w:val="76787A"/>
        </w:rPr>
        <w:t xml:space="preserve"> other forms of penetration</w:t>
      </w:r>
      <w:r w:rsidR="00474F04">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rPr>
        <w:t>- and only when the perpetrator and the victim are unmarried</w:t>
      </w:r>
      <w:r w:rsidR="00474F04">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rPr>
        <w:t xml:space="preserve">- therefore </w:t>
      </w:r>
      <w:proofErr w:type="spellStart"/>
      <w:r w:rsidRPr="00A371DD">
        <w:rPr>
          <w:rFonts w:ascii="Source Sans Pro" w:eastAsia="Times New Roman" w:hAnsi="Source Sans Pro" w:cs="Times New Roman"/>
          <w:color w:val="76787A"/>
        </w:rPr>
        <w:t>explicitely</w:t>
      </w:r>
      <w:proofErr w:type="spellEnd"/>
      <w:r w:rsidRPr="00A371DD">
        <w:rPr>
          <w:rFonts w:ascii="Source Sans Pro" w:eastAsia="Times New Roman" w:hAnsi="Source Sans Pro" w:cs="Times New Roman"/>
          <w:color w:val="76787A"/>
        </w:rPr>
        <w:t xml:space="preserve"> excludes marital rape.</w:t>
      </w:r>
      <w:r w:rsidRPr="00A371DD">
        <w:rPr>
          <w:rFonts w:ascii="Source Sans Pro" w:eastAsia="Times New Roman" w:hAnsi="Source Sans Pro" w:cs="Times New Roman"/>
          <w:color w:val="76787A"/>
          <w:vertAlign w:val="superscript"/>
        </w:rPr>
        <w:footnoteReference w:id="24"/>
      </w:r>
      <w:r w:rsidRPr="00A371DD">
        <w:rPr>
          <w:rFonts w:ascii="Source Sans Pro" w:eastAsia="Times New Roman" w:hAnsi="Source Sans Pro" w:cs="Times New Roman"/>
          <w:color w:val="76787A"/>
        </w:rPr>
        <w:t xml:space="preserve"> Beyond rape, no other form of sexual assault is specifically criminalized under the Islamic Penal Code. </w:t>
      </w:r>
    </w:p>
    <w:p w14:paraId="2F6E4C3B"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Moreover, numerous articles in the country’s Civil Code effectively undermine the already limited legal protections for women against domestic violence: </w:t>
      </w:r>
    </w:p>
    <w:p w14:paraId="356F3898" w14:textId="77777777" w:rsidR="000804EC" w:rsidRPr="00A371DD" w:rsidRDefault="00093CB9">
      <w:pPr>
        <w:numPr>
          <w:ilvl w:val="0"/>
          <w:numId w:val="4"/>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lastRenderedPageBreak/>
        <w:t>Article 1105 of Iran’s Civil Code states that “in relations between husband and wife, the position of the head of the family is the exclusive right of the husband.” ‘Disobedience’ to the husband can be used as a legal ground for battery.</w:t>
      </w:r>
      <w:r w:rsidRPr="00A371DD">
        <w:rPr>
          <w:rFonts w:ascii="Source Sans Pro" w:eastAsia="Times New Roman" w:hAnsi="Source Sans Pro" w:cs="Times New Roman"/>
          <w:color w:val="76787A"/>
          <w:vertAlign w:val="superscript"/>
        </w:rPr>
        <w:footnoteReference w:id="25"/>
      </w:r>
    </w:p>
    <w:p w14:paraId="06DAEBCD" w14:textId="77777777" w:rsidR="000804EC" w:rsidRPr="00A371DD" w:rsidRDefault="00093CB9">
      <w:pPr>
        <w:numPr>
          <w:ilvl w:val="0"/>
          <w:numId w:val="4"/>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Article 1117 forbids a woman from leaving the matrimonial home without the husband’s permission</w:t>
      </w:r>
      <w:r w:rsidRPr="00A371DD">
        <w:rPr>
          <w:rFonts w:ascii="Source Sans Pro" w:eastAsia="Times New Roman" w:hAnsi="Source Sans Pro" w:cs="Times New Roman"/>
          <w:color w:val="76787A"/>
          <w:vertAlign w:val="superscript"/>
        </w:rPr>
        <w:footnoteReference w:id="26"/>
      </w:r>
      <w:r w:rsidRPr="00A371DD">
        <w:rPr>
          <w:rFonts w:ascii="Source Sans Pro" w:eastAsia="Times New Roman" w:hAnsi="Source Sans Pro" w:cs="Times New Roman"/>
          <w:color w:val="76787A"/>
        </w:rPr>
        <w:t xml:space="preserve"> unless she is able and willing to go to court to prove she is endangered. This leaves Iranian women deeply vulnerable to violence especially given the evidentiary requirement of witnesses and the fact that a female witness’s testimony is worth half that of a man’s.</w:t>
      </w:r>
    </w:p>
    <w:p w14:paraId="1794BD04" w14:textId="05DCF780" w:rsidR="000804EC" w:rsidRPr="00A371DD" w:rsidRDefault="00093CB9">
      <w:pPr>
        <w:numPr>
          <w:ilvl w:val="0"/>
          <w:numId w:val="4"/>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Article 1108 stresses that if a wife refuses to have sex with her husband without a ‘legitimate excuse,’</w:t>
      </w:r>
      <w:r w:rsidRPr="00A371DD">
        <w:rPr>
          <w:rFonts w:ascii="Source Sans Pro" w:eastAsia="Times New Roman" w:hAnsi="Source Sans Pro" w:cs="Times New Roman"/>
          <w:color w:val="76787A"/>
          <w:vertAlign w:val="superscript"/>
        </w:rPr>
        <w:footnoteReference w:id="27"/>
      </w:r>
      <w:r w:rsidRPr="00A371DD">
        <w:rPr>
          <w:rFonts w:ascii="Source Sans Pro" w:eastAsia="Times New Roman" w:hAnsi="Source Sans Pro" w:cs="Times New Roman"/>
          <w:color w:val="76787A"/>
        </w:rPr>
        <w:t xml:space="preserve"> she is not entitled to ‘spousal maintenance.’</w:t>
      </w:r>
      <w:r w:rsidR="00EA4843">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rPr>
        <w:t>Married and minor girls are also subject to Article 1108’s obligation to fulfil the sexual needs of their husbands.</w:t>
      </w:r>
    </w:p>
    <w:p w14:paraId="4023F601"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There is a dearth of recent, official data on the prevalence of domestic violence in Iran. The last official and published study on domestic violence carried out in Iran dates back 2004. The study showed that about 66 percent of women sampled responded that they had been subjected to domestic violence in the first year of their marriage.</w:t>
      </w:r>
      <w:r w:rsidRPr="00A371DD">
        <w:rPr>
          <w:rFonts w:ascii="Source Sans Pro" w:eastAsia="Times New Roman" w:hAnsi="Source Sans Pro" w:cs="Times New Roman"/>
          <w:color w:val="76787A"/>
          <w:vertAlign w:val="superscript"/>
        </w:rPr>
        <w:footnoteReference w:id="28"/>
      </w:r>
      <w:r w:rsidRPr="00A371DD">
        <w:rPr>
          <w:rFonts w:ascii="Source Sans Pro" w:eastAsia="Times New Roman" w:hAnsi="Source Sans Pro" w:cs="Times New Roman"/>
          <w:color w:val="76787A"/>
        </w:rPr>
        <w:t xml:space="preserve"> Despite the lack of comprehensive official data, cases of domestic violence are regularly reported and considered widespread in the Islamic Republic of Iran. In July 2019, the head of the Medical Examiner’s Office of Tehran Province reportedly announced that more than 16,420 cases of domestic violence had been reported to the office, a number consistently increasing since at least 2017.</w:t>
      </w:r>
      <w:r w:rsidRPr="00A371DD">
        <w:rPr>
          <w:rFonts w:ascii="Source Sans Pro" w:eastAsia="Times New Roman" w:hAnsi="Source Sans Pro" w:cs="Times New Roman"/>
          <w:color w:val="76787A"/>
          <w:vertAlign w:val="superscript"/>
        </w:rPr>
        <w:footnoteReference w:id="29"/>
      </w:r>
      <w:r w:rsidRPr="00A371DD">
        <w:rPr>
          <w:rFonts w:ascii="Source Sans Pro" w:eastAsia="Times New Roman" w:hAnsi="Source Sans Pro" w:cs="Times New Roman"/>
          <w:color w:val="76787A"/>
        </w:rPr>
        <w:t xml:space="preserve"> In February 2019, deputy of social affairs of the State’s Welfare Organization, </w:t>
      </w:r>
      <w:proofErr w:type="spellStart"/>
      <w:r w:rsidRPr="00A371DD">
        <w:rPr>
          <w:rFonts w:ascii="Source Sans Pro" w:eastAsia="Times New Roman" w:hAnsi="Source Sans Pro" w:cs="Times New Roman"/>
          <w:color w:val="76787A"/>
        </w:rPr>
        <w:t>Habibollah</w:t>
      </w:r>
      <w:proofErr w:type="spellEnd"/>
      <w:r w:rsidRPr="00A371DD">
        <w:rPr>
          <w:rFonts w:ascii="Source Sans Pro" w:eastAsia="Times New Roman" w:hAnsi="Source Sans Pro" w:cs="Times New Roman"/>
          <w:color w:val="76787A"/>
        </w:rPr>
        <w:t xml:space="preserve"> Massoudi </w:t>
      </w:r>
      <w:proofErr w:type="spellStart"/>
      <w:r w:rsidRPr="00A371DD">
        <w:rPr>
          <w:rFonts w:ascii="Source Sans Pro" w:eastAsia="Times New Roman" w:hAnsi="Source Sans Pro" w:cs="Times New Roman"/>
          <w:color w:val="76787A"/>
        </w:rPr>
        <w:t>Farbod</w:t>
      </w:r>
      <w:proofErr w:type="spellEnd"/>
      <w:r w:rsidRPr="00A371DD">
        <w:rPr>
          <w:rFonts w:ascii="Source Sans Pro" w:eastAsia="Times New Roman" w:hAnsi="Source Sans Pro" w:cs="Times New Roman"/>
          <w:color w:val="76787A"/>
        </w:rPr>
        <w:t>, reportedly announced that during 2018, about 10,000 calls relating to violence against women were made to the public social welfare hotlines.</w:t>
      </w:r>
      <w:r w:rsidRPr="00A371DD">
        <w:rPr>
          <w:rFonts w:ascii="Source Sans Pro" w:eastAsia="Times New Roman" w:hAnsi="Source Sans Pro" w:cs="Times New Roman"/>
          <w:color w:val="76787A"/>
          <w:vertAlign w:val="superscript"/>
        </w:rPr>
        <w:footnoteReference w:id="30"/>
      </w:r>
      <w:r w:rsidRPr="00A371DD">
        <w:rPr>
          <w:rFonts w:ascii="Source Sans Pro" w:eastAsia="Times New Roman" w:hAnsi="Source Sans Pro" w:cs="Times New Roman"/>
          <w:color w:val="76787A"/>
        </w:rPr>
        <w:t xml:space="preserve"> In April 2020, Mahmoud </w:t>
      </w:r>
      <w:proofErr w:type="spellStart"/>
      <w:r w:rsidRPr="00A371DD">
        <w:rPr>
          <w:rFonts w:ascii="Source Sans Pro" w:eastAsia="Times New Roman" w:hAnsi="Source Sans Pro" w:cs="Times New Roman"/>
          <w:color w:val="76787A"/>
        </w:rPr>
        <w:t>Aligoo</w:t>
      </w:r>
      <w:proofErr w:type="spellEnd"/>
      <w:r w:rsidRPr="00A371DD">
        <w:rPr>
          <w:rFonts w:ascii="Source Sans Pro" w:eastAsia="Times New Roman" w:hAnsi="Source Sans Pro" w:cs="Times New Roman"/>
          <w:color w:val="76787A"/>
        </w:rPr>
        <w:t xml:space="preserve">, the head of the department of social harms of the State’s Welfare Organization reportedly announced a dramatic increase in the number of cases of domestic violence, as Iran was going through a governmental mandated </w:t>
      </w:r>
      <w:r w:rsidRPr="00A371DD">
        <w:rPr>
          <w:rFonts w:ascii="Source Sans Pro" w:eastAsia="Times New Roman" w:hAnsi="Source Sans Pro" w:cs="Times New Roman"/>
          <w:color w:val="76787A"/>
        </w:rPr>
        <w:lastRenderedPageBreak/>
        <w:t>lockdown to combat the spread of the virus COVID-19.</w:t>
      </w:r>
      <w:r w:rsidRPr="00A371DD">
        <w:rPr>
          <w:rFonts w:ascii="Source Sans Pro" w:eastAsia="Times New Roman" w:hAnsi="Source Sans Pro" w:cs="Times New Roman"/>
          <w:color w:val="76787A"/>
          <w:vertAlign w:val="superscript"/>
        </w:rPr>
        <w:footnoteReference w:id="31"/>
      </w:r>
      <w:r w:rsidRPr="00A371DD">
        <w:rPr>
          <w:rFonts w:ascii="Source Sans Pro" w:eastAsia="Times New Roman" w:hAnsi="Source Sans Pro" w:cs="Times New Roman"/>
          <w:color w:val="76787A"/>
        </w:rPr>
        <w:t xml:space="preserve"> Yet, cases of domestic violence are believed to be largely underreported.</w:t>
      </w:r>
    </w:p>
    <w:p w14:paraId="3EA15D01" w14:textId="090F94BD"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The Bill for the Protection, Dignity and Security of Women Against Violence is still under review.</w:t>
      </w:r>
    </w:p>
    <w:p w14:paraId="4F79C4A2" w14:textId="77777777" w:rsidR="000804EC" w:rsidRPr="00A371DD" w:rsidRDefault="000804EC">
      <w:pPr>
        <w:spacing w:after="200"/>
        <w:ind w:left="360"/>
        <w:jc w:val="left"/>
        <w:rPr>
          <w:rFonts w:ascii="Source Sans Pro" w:eastAsia="Times New Roman" w:hAnsi="Source Sans Pro" w:cs="Times New Roman"/>
          <w:color w:val="76787A"/>
        </w:rPr>
      </w:pPr>
    </w:p>
    <w:p w14:paraId="0D794974" w14:textId="77777777" w:rsidR="000804EC" w:rsidRPr="00A371DD" w:rsidRDefault="00093CB9">
      <w:pPr>
        <w:pStyle w:val="Heading2"/>
        <w:spacing w:after="200"/>
        <w:jc w:val="left"/>
        <w:rPr>
          <w:rFonts w:ascii="Source Sans Pro" w:eastAsia="Times New Roman" w:hAnsi="Source Sans Pro" w:cs="Times New Roman"/>
          <w:color w:val="F3765A"/>
        </w:rPr>
      </w:pPr>
      <w:bookmarkStart w:id="6" w:name="_rp9dl9si6xv5" w:colFirst="0" w:colLast="0"/>
      <w:bookmarkEnd w:id="6"/>
      <w:r w:rsidRPr="00A371DD">
        <w:rPr>
          <w:rFonts w:ascii="Source Sans Pro" w:eastAsia="Times New Roman" w:hAnsi="Source Sans Pro" w:cs="Times New Roman"/>
          <w:color w:val="F3765A"/>
        </w:rPr>
        <w:t>F)  Protection and redress for victims of domestic violence</w:t>
      </w:r>
    </w:p>
    <w:p w14:paraId="0103AF60"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2011, the Committee recommended that Iran ensure that victims of domestic violence have access to means of redress and protection, including a sufficient number of safe houses for victims.</w:t>
      </w:r>
      <w:r w:rsidRPr="00A371DD">
        <w:rPr>
          <w:rFonts w:ascii="Source Sans Pro" w:eastAsia="Times New Roman" w:hAnsi="Source Sans Pro" w:cs="Times New Roman"/>
          <w:color w:val="76787A"/>
          <w:vertAlign w:val="superscript"/>
        </w:rPr>
        <w:footnoteReference w:id="32"/>
      </w:r>
      <w:r w:rsidRPr="00A371DD">
        <w:rPr>
          <w:rFonts w:ascii="Source Sans Pro" w:eastAsia="Times New Roman" w:hAnsi="Source Sans Pro" w:cs="Times New Roman"/>
          <w:color w:val="76787A"/>
        </w:rPr>
        <w:t xml:space="preserve"> </w:t>
      </w:r>
    </w:p>
    <w:p w14:paraId="056BAD40" w14:textId="35C9C2B8"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its July 2020 report, the Special Rapporteur on the situation of human rights in the Islamic Republic of Iran counted only 28 shelters for women victims of domestic violence, including 20 run by non-governmental organizations.</w:t>
      </w:r>
      <w:r w:rsidRPr="00A371DD">
        <w:rPr>
          <w:rFonts w:ascii="Source Sans Pro" w:eastAsia="Times New Roman" w:hAnsi="Source Sans Pro" w:cs="Times New Roman"/>
          <w:color w:val="76787A"/>
          <w:vertAlign w:val="superscript"/>
        </w:rPr>
        <w:footnoteReference w:id="33"/>
      </w:r>
      <w:r w:rsidRPr="00A371DD">
        <w:rPr>
          <w:rFonts w:ascii="Source Sans Pro" w:eastAsia="Times New Roman" w:hAnsi="Source Sans Pro" w:cs="Times New Roman"/>
          <w:color w:val="76787A"/>
        </w:rPr>
        <w:t xml:space="preserve">  According to the Government, “between 2015 and 2018, an average of 1,500 women, victims of domestic violence and their children, received specialized services, annually.”</w:t>
      </w:r>
      <w:r w:rsidRPr="00A371DD">
        <w:rPr>
          <w:rFonts w:ascii="Source Sans Pro" w:eastAsia="Times New Roman" w:hAnsi="Source Sans Pro" w:cs="Times New Roman"/>
          <w:color w:val="76787A"/>
          <w:vertAlign w:val="superscript"/>
        </w:rPr>
        <w:footnoteReference w:id="34"/>
      </w:r>
      <w:r w:rsidRPr="00A371DD">
        <w:rPr>
          <w:rFonts w:ascii="Source Sans Pro" w:eastAsia="Times New Roman" w:hAnsi="Source Sans Pro" w:cs="Times New Roman"/>
          <w:color w:val="76787A"/>
        </w:rPr>
        <w:t xml:space="preserve"> In comparison and as aforementioned, 16,420 cases of domestic violence have been reported in 2019, just in Tehran.</w:t>
      </w:r>
      <w:r w:rsidRPr="00A371DD">
        <w:rPr>
          <w:rFonts w:ascii="Source Sans Pro" w:eastAsia="Times New Roman" w:hAnsi="Source Sans Pro" w:cs="Times New Roman"/>
          <w:color w:val="76787A"/>
          <w:vertAlign w:val="superscript"/>
        </w:rPr>
        <w:footnoteReference w:id="35"/>
      </w:r>
    </w:p>
    <w:p w14:paraId="0EE22CA6" w14:textId="2FECF1D6"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Existing domestic violence shelters are generally located solely in major cities, are reportedly poorly resourced and advertised and unable to provide long-term support. Some are designed for sex workers and drug </w:t>
      </w:r>
      <w:r w:rsidR="00EA4843">
        <w:rPr>
          <w:rFonts w:ascii="Source Sans Pro" w:eastAsia="Times New Roman" w:hAnsi="Source Sans Pro" w:cs="Times New Roman"/>
          <w:color w:val="76787A"/>
        </w:rPr>
        <w:t>users</w:t>
      </w:r>
      <w:r w:rsidRPr="00A371DD">
        <w:rPr>
          <w:rFonts w:ascii="Source Sans Pro" w:eastAsia="Times New Roman" w:hAnsi="Source Sans Pro" w:cs="Times New Roman"/>
          <w:color w:val="76787A"/>
        </w:rPr>
        <w:t xml:space="preserve"> rather than domestic violence victims while others reportedly focus heavily on reconciling and reuniting victims with their abusive spouses.</w:t>
      </w:r>
      <w:r w:rsidRPr="00A371DD">
        <w:rPr>
          <w:rFonts w:ascii="Source Sans Pro" w:eastAsia="Times New Roman" w:hAnsi="Source Sans Pro" w:cs="Times New Roman"/>
          <w:color w:val="76787A"/>
          <w:vertAlign w:val="superscript"/>
        </w:rPr>
        <w:footnoteReference w:id="36"/>
      </w:r>
    </w:p>
    <w:p w14:paraId="15D7845A" w14:textId="30067C1B"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Public shelters managed by the government only receive women for one month and children are taken from the mothers upon their arrival. Women who are victims of violence are not automatically provided with defense lawyers and must themselves prove the violence suffered or engage a lawyer at their own expense. </w:t>
      </w:r>
    </w:p>
    <w:p w14:paraId="07FD3311" w14:textId="77777777" w:rsidR="000804EC" w:rsidRPr="00A371DD" w:rsidRDefault="000804EC">
      <w:pPr>
        <w:spacing w:after="200"/>
        <w:ind w:left="360"/>
        <w:jc w:val="left"/>
        <w:rPr>
          <w:rFonts w:ascii="Source Sans Pro" w:eastAsia="Times New Roman" w:hAnsi="Source Sans Pro" w:cs="Times New Roman"/>
          <w:color w:val="76787A"/>
        </w:rPr>
      </w:pPr>
    </w:p>
    <w:p w14:paraId="179CCBF5" w14:textId="77777777" w:rsidR="000804EC" w:rsidRPr="00A371DD" w:rsidRDefault="00093CB9">
      <w:pPr>
        <w:pStyle w:val="Heading2"/>
        <w:spacing w:after="200"/>
        <w:jc w:val="left"/>
        <w:rPr>
          <w:rFonts w:ascii="Source Sans Pro" w:eastAsia="Times New Roman" w:hAnsi="Source Sans Pro" w:cs="Times New Roman"/>
          <w:color w:val="F3765A"/>
        </w:rPr>
      </w:pPr>
      <w:bookmarkStart w:id="7" w:name="_c2nu15w4gh7k" w:colFirst="0" w:colLast="0"/>
      <w:bookmarkEnd w:id="7"/>
      <w:r w:rsidRPr="00A371DD">
        <w:rPr>
          <w:rFonts w:ascii="Source Sans Pro" w:eastAsia="Times New Roman" w:hAnsi="Source Sans Pro" w:cs="Times New Roman"/>
          <w:color w:val="F3765A"/>
        </w:rPr>
        <w:lastRenderedPageBreak/>
        <w:t xml:space="preserve">G) Impunity for killing in cases of adultery </w:t>
      </w:r>
    </w:p>
    <w:p w14:paraId="75492530"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relation to so-called “honor killings”, the Committee recommended that Iran ensure that a husband is not exempted from punishment for voluntary manslaughter, in the event that he murders his wife on suspicion of adultery.</w:t>
      </w:r>
      <w:r w:rsidRPr="00A371DD">
        <w:rPr>
          <w:rFonts w:ascii="Source Sans Pro" w:eastAsia="Times New Roman" w:hAnsi="Source Sans Pro" w:cs="Times New Roman"/>
          <w:color w:val="76787A"/>
          <w:vertAlign w:val="superscript"/>
        </w:rPr>
        <w:footnoteReference w:id="37"/>
      </w:r>
    </w:p>
    <w:p w14:paraId="122494C3"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The Islamic Penal Code provides various exemptions for husbands, fathers and grandfathers who kill or assault their female relatives. Article 630 of the Islamic Penal Code (2013) exempts husbands from criminal liability and </w:t>
      </w:r>
      <w:proofErr w:type="spellStart"/>
      <w:r w:rsidRPr="00A371DD">
        <w:rPr>
          <w:rFonts w:ascii="Source Sans Pro" w:eastAsia="Times New Roman" w:hAnsi="Source Sans Pro" w:cs="Times New Roman"/>
          <w:i/>
          <w:color w:val="76787A"/>
        </w:rPr>
        <w:t>qisas</w:t>
      </w:r>
      <w:proofErr w:type="spellEnd"/>
      <w:r w:rsidRPr="00A371DD">
        <w:rPr>
          <w:rFonts w:ascii="Source Sans Pro" w:eastAsia="Times New Roman" w:hAnsi="Source Sans Pro" w:cs="Times New Roman"/>
          <w:color w:val="76787A"/>
        </w:rPr>
        <w:t xml:space="preserve"> if he commits murder, assault and/or battery against his wife, if the husband catches their wife committing a </w:t>
      </w:r>
      <w:r w:rsidRPr="00A371DD">
        <w:rPr>
          <w:rFonts w:ascii="Source Sans Pro" w:eastAsia="Times New Roman" w:hAnsi="Source Sans Pro" w:cs="Times New Roman"/>
          <w:i/>
          <w:color w:val="76787A"/>
        </w:rPr>
        <w:t>zina</w:t>
      </w:r>
      <w:r w:rsidRPr="00A371DD">
        <w:rPr>
          <w:rFonts w:ascii="Source Sans Pro" w:eastAsia="Times New Roman" w:hAnsi="Source Sans Pro" w:cs="Times New Roman"/>
          <w:color w:val="76787A"/>
        </w:rPr>
        <w:t xml:space="preserve"> offence (adultery) with another man. There also exist exemptions in the Islamic Penal Code for fathers and grandfathers who kill their children.</w:t>
      </w:r>
      <w:r w:rsidRPr="00A371DD">
        <w:rPr>
          <w:rFonts w:ascii="Source Sans Pro" w:eastAsia="Times New Roman" w:hAnsi="Source Sans Pro" w:cs="Times New Roman"/>
          <w:color w:val="76787A"/>
          <w:vertAlign w:val="superscript"/>
        </w:rPr>
        <w:footnoteReference w:id="38"/>
      </w:r>
      <w:r w:rsidRPr="00A371DD">
        <w:rPr>
          <w:rFonts w:ascii="Source Sans Pro" w:eastAsia="Times New Roman" w:hAnsi="Source Sans Pro" w:cs="Times New Roman"/>
          <w:color w:val="76787A"/>
        </w:rPr>
        <w:t xml:space="preserve"> Moreover, adultery can be sentenced with the death penalty in Iran, including the death penalty by stoning.</w:t>
      </w:r>
      <w:r w:rsidRPr="00A371DD">
        <w:rPr>
          <w:rFonts w:ascii="Source Sans Pro" w:eastAsia="Times New Roman" w:hAnsi="Source Sans Pro" w:cs="Times New Roman"/>
          <w:color w:val="76787A"/>
          <w:vertAlign w:val="superscript"/>
        </w:rPr>
        <w:footnoteReference w:id="39"/>
      </w:r>
      <w:r w:rsidRPr="00A371DD">
        <w:rPr>
          <w:rFonts w:ascii="Source Sans Pro" w:eastAsia="Times New Roman" w:hAnsi="Source Sans Pro" w:cs="Times New Roman"/>
          <w:color w:val="76787A"/>
        </w:rPr>
        <w:t xml:space="preserve"> </w:t>
      </w:r>
    </w:p>
    <w:p w14:paraId="206BBF4E" w14:textId="77777777" w:rsidR="000804EC" w:rsidRPr="00A371DD" w:rsidRDefault="00093CB9">
      <w:pPr>
        <w:spacing w:after="200"/>
        <w:jc w:val="left"/>
        <w:rPr>
          <w:rFonts w:ascii="Source Sans Pro" w:eastAsia="Times New Roman" w:hAnsi="Source Sans Pro" w:cs="Times New Roman"/>
          <w:color w:val="F3765A"/>
          <w:u w:val="single"/>
        </w:rPr>
      </w:pPr>
      <w:r w:rsidRPr="00A371DD">
        <w:rPr>
          <w:rFonts w:ascii="Source Sans Pro" w:eastAsia="Times New Roman" w:hAnsi="Source Sans Pro" w:cs="Times New Roman"/>
          <w:color w:val="F3765A"/>
          <w:u w:val="single"/>
        </w:rPr>
        <w:t xml:space="preserve">Suggested Question </w:t>
      </w:r>
    </w:p>
    <w:p w14:paraId="6096CB3B" w14:textId="77777777" w:rsidR="000804EC" w:rsidRPr="00A371DD" w:rsidRDefault="00093CB9">
      <w:pPr>
        <w:numPr>
          <w:ilvl w:val="0"/>
          <w:numId w:val="1"/>
        </w:numPr>
        <w:spacing w:after="200"/>
        <w:jc w:val="left"/>
        <w:rPr>
          <w:rFonts w:ascii="Source Sans Pro" w:eastAsia="Times New Roman" w:hAnsi="Source Sans Pro" w:cs="Times New Roman"/>
          <w:i/>
          <w:color w:val="F3765A"/>
        </w:rPr>
      </w:pPr>
      <w:r w:rsidRPr="00A371DD">
        <w:rPr>
          <w:rFonts w:ascii="Source Sans Pro" w:eastAsia="Times New Roman" w:hAnsi="Source Sans Pro" w:cs="Times New Roman"/>
          <w:i/>
          <w:color w:val="F3765A"/>
        </w:rPr>
        <w:t>Please provide information about steps the state party has taken to adopt legislation criminalizing domestic violence and take steps to effectively combat domestic violence</w:t>
      </w:r>
    </w:p>
    <w:p w14:paraId="13FF839B" w14:textId="77777777" w:rsidR="000804EC" w:rsidRPr="00A371DD" w:rsidRDefault="000804EC">
      <w:pPr>
        <w:spacing w:after="200"/>
        <w:ind w:left="360"/>
        <w:jc w:val="left"/>
        <w:rPr>
          <w:rFonts w:ascii="Source Sans Pro" w:eastAsia="Times New Roman" w:hAnsi="Source Sans Pro" w:cs="Times New Roman"/>
          <w:color w:val="76787A"/>
        </w:rPr>
      </w:pPr>
    </w:p>
    <w:p w14:paraId="4C689DBC" w14:textId="77777777" w:rsidR="000804EC" w:rsidRPr="00A371DD" w:rsidRDefault="00093CB9">
      <w:pPr>
        <w:pStyle w:val="Heading2"/>
        <w:spacing w:after="200"/>
        <w:jc w:val="left"/>
        <w:rPr>
          <w:rFonts w:ascii="Source Sans Pro" w:eastAsia="Times New Roman" w:hAnsi="Source Sans Pro" w:cs="Times New Roman"/>
          <w:color w:val="F3765A"/>
        </w:rPr>
      </w:pPr>
      <w:bookmarkStart w:id="8" w:name="_7wzqvxbqx7vc" w:colFirst="0" w:colLast="0"/>
      <w:bookmarkEnd w:id="8"/>
      <w:r w:rsidRPr="00A371DD">
        <w:rPr>
          <w:rFonts w:ascii="Source Sans Pro" w:eastAsia="Times New Roman" w:hAnsi="Source Sans Pro" w:cs="Times New Roman"/>
          <w:color w:val="F3765A"/>
        </w:rPr>
        <w:t>H) Trafficking of women and children and modern slavery</w:t>
      </w:r>
    </w:p>
    <w:p w14:paraId="647819A0"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2011, the Committee recommended that Iran take steps to combat and prevent the trafficking and sale of persons under 18 years of age and requested that Iran provide statistics on the number of arrests and convictions under the 2004 law to combat trafficking.</w:t>
      </w:r>
      <w:r w:rsidRPr="00A371DD">
        <w:rPr>
          <w:rFonts w:ascii="Source Sans Pro" w:eastAsia="Times New Roman" w:hAnsi="Source Sans Pro" w:cs="Times New Roman"/>
          <w:color w:val="76787A"/>
          <w:vertAlign w:val="superscript"/>
        </w:rPr>
        <w:footnoteReference w:id="40"/>
      </w:r>
    </w:p>
    <w:p w14:paraId="6E7BF147"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Since 2004, Iran </w:t>
      </w:r>
      <w:proofErr w:type="spellStart"/>
      <w:r w:rsidRPr="00A371DD">
        <w:rPr>
          <w:rFonts w:ascii="Source Sans Pro" w:eastAsia="Times New Roman" w:hAnsi="Source Sans Pro" w:cs="Times New Roman"/>
          <w:color w:val="76787A"/>
        </w:rPr>
        <w:t>criminalises</w:t>
      </w:r>
      <w:proofErr w:type="spellEnd"/>
      <w:r w:rsidRPr="00A371DD">
        <w:rPr>
          <w:rFonts w:ascii="Source Sans Pro" w:eastAsia="Times New Roman" w:hAnsi="Source Sans Pro" w:cs="Times New Roman"/>
          <w:color w:val="76787A"/>
        </w:rPr>
        <w:t xml:space="preserve"> the trafficking of persons by means of threat or use of force or coercion, abuse of power, abuse of a victim’s position of vulnerability for purposes of prostitution, slavery or forced marriage.</w:t>
      </w:r>
      <w:r w:rsidRPr="00A371DD">
        <w:rPr>
          <w:rFonts w:ascii="Source Sans Pro" w:eastAsia="Times New Roman" w:hAnsi="Source Sans Pro" w:cs="Times New Roman"/>
          <w:color w:val="76787A"/>
          <w:vertAlign w:val="superscript"/>
        </w:rPr>
        <w:footnoteReference w:id="41"/>
      </w:r>
      <w:r w:rsidRPr="00A371DD">
        <w:rPr>
          <w:rFonts w:ascii="Source Sans Pro" w:eastAsia="Times New Roman" w:hAnsi="Source Sans Pro" w:cs="Times New Roman"/>
          <w:color w:val="76787A"/>
        </w:rPr>
        <w:t xml:space="preserve"> Penalties can reach up to 10 years imprisonment for perpetrators.</w:t>
      </w:r>
      <w:r w:rsidRPr="00A371DD">
        <w:rPr>
          <w:rFonts w:ascii="Source Sans Pro" w:eastAsia="Times New Roman" w:hAnsi="Source Sans Pro" w:cs="Times New Roman"/>
          <w:color w:val="76787A"/>
          <w:vertAlign w:val="superscript"/>
        </w:rPr>
        <w:footnoteReference w:id="42"/>
      </w:r>
      <w:r w:rsidRPr="00A371DD">
        <w:rPr>
          <w:rFonts w:ascii="Source Sans Pro" w:eastAsia="Times New Roman" w:hAnsi="Source Sans Pro" w:cs="Times New Roman"/>
          <w:color w:val="76787A"/>
        </w:rPr>
        <w:t xml:space="preserve"> </w:t>
      </w:r>
    </w:p>
    <w:p w14:paraId="23E42F0D"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The Judiciary drafted a bill to amend the law which, as of July 2022, is under parliament’s review. The draft bill includes higher penalties for crimes of human trafficking involving children, adolescents, women, persons with disabilities, victims of floods and earthquakes, and for cases where the perpetrator is the legal guardian of the victim. </w:t>
      </w:r>
      <w:r w:rsidRPr="00A371DD">
        <w:rPr>
          <w:rFonts w:ascii="Source Sans Pro" w:eastAsia="Times New Roman" w:hAnsi="Source Sans Pro" w:cs="Times New Roman"/>
          <w:color w:val="76787A"/>
          <w:vertAlign w:val="superscript"/>
        </w:rPr>
        <w:footnoteReference w:id="43"/>
      </w:r>
      <w:r w:rsidRPr="00A371DD">
        <w:rPr>
          <w:rFonts w:ascii="Source Sans Pro" w:eastAsia="Times New Roman" w:hAnsi="Source Sans Pro" w:cs="Times New Roman"/>
          <w:color w:val="76787A"/>
        </w:rPr>
        <w:t xml:space="preserve"> The current draft also exempts women, </w:t>
      </w:r>
      <w:r w:rsidRPr="00A371DD">
        <w:rPr>
          <w:rFonts w:ascii="Source Sans Pro" w:eastAsia="Times New Roman" w:hAnsi="Source Sans Pro" w:cs="Times New Roman"/>
          <w:color w:val="76787A"/>
        </w:rPr>
        <w:lastRenderedPageBreak/>
        <w:t>children, and adolescents who have been trafficked by their husbands or legal guardians from criminal liability for the illegal crossing of the border.</w:t>
      </w:r>
      <w:r w:rsidRPr="00A371DD">
        <w:rPr>
          <w:rFonts w:ascii="Source Sans Pro" w:eastAsia="Times New Roman" w:hAnsi="Source Sans Pro" w:cs="Times New Roman"/>
          <w:color w:val="76787A"/>
          <w:vertAlign w:val="superscript"/>
        </w:rPr>
        <w:footnoteReference w:id="44"/>
      </w:r>
      <w:r w:rsidRPr="00A371DD">
        <w:rPr>
          <w:rFonts w:ascii="Source Sans Pro" w:eastAsia="Times New Roman" w:hAnsi="Source Sans Pro" w:cs="Times New Roman"/>
          <w:color w:val="76787A"/>
        </w:rPr>
        <w:t xml:space="preserve"> </w:t>
      </w:r>
    </w:p>
    <w:p w14:paraId="03EDBBC0" w14:textId="28F62B6C"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The current draft, if adopted, does not amend the 2004 law’s definition of trafficking, which is currently inconsistent with international law. For instance, the law and the draft do not protect persons against all forms of trafficking as defined under the 2000 Protocol to Prevent, Suppress and Punish Trafficking</w:t>
      </w:r>
      <w:r w:rsidR="00EA4843">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rPr>
        <w:t>in Persons, Especially Women and Children.</w:t>
      </w:r>
      <w:r w:rsidRPr="00A371DD">
        <w:rPr>
          <w:rFonts w:ascii="Source Sans Pro" w:eastAsia="Times New Roman" w:hAnsi="Source Sans Pro" w:cs="Times New Roman"/>
          <w:color w:val="76787A"/>
          <w:vertAlign w:val="superscript"/>
        </w:rPr>
        <w:footnoteReference w:id="45"/>
      </w:r>
      <w:r w:rsidRPr="00A371DD">
        <w:rPr>
          <w:rFonts w:ascii="Source Sans Pro" w:eastAsia="Times New Roman" w:hAnsi="Source Sans Pro" w:cs="Times New Roman"/>
          <w:color w:val="76787A"/>
        </w:rPr>
        <w:t xml:space="preserve">  The draft also does not address the absence of an independent mechanism mandated to monitor acts of human trafficking and that is competent to receive complaints from victims.</w:t>
      </w:r>
    </w:p>
    <w:p w14:paraId="524866CD"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The State does not publish official and comprehensive statistics of victims of human trafficking, or numbers of investigations, prosecutions, convictions and sentences for perpetrators. However, reports suggest that human trafficking is an issue in Iran, and that it targets women and children in particular.</w:t>
      </w:r>
      <w:r w:rsidRPr="00A371DD">
        <w:rPr>
          <w:rFonts w:ascii="Source Sans Pro" w:eastAsia="Times New Roman" w:hAnsi="Source Sans Pro" w:cs="Times New Roman"/>
          <w:color w:val="76787A"/>
          <w:vertAlign w:val="superscript"/>
        </w:rPr>
        <w:footnoteReference w:id="46"/>
      </w:r>
      <w:r w:rsidRPr="00A371DD">
        <w:rPr>
          <w:rFonts w:ascii="Source Sans Pro" w:eastAsia="Times New Roman" w:hAnsi="Source Sans Pro" w:cs="Times New Roman"/>
          <w:color w:val="76787A"/>
        </w:rPr>
        <w:t xml:space="preserve"> </w:t>
      </w:r>
    </w:p>
    <w:p w14:paraId="3E9CAD33"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There are no national procedures or measures to proactively identify victims of trafficking in Iran. Additionally, while the State Welfare Organization provides some level of protection to victims of abuse, it does not offer special protection services to victims of trafficking, including special shelters or medical, psycho-social, and legal assistance. </w:t>
      </w:r>
    </w:p>
    <w:p w14:paraId="1BAD587E"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Women victims of human trafficking face serious difficulties accessing justice in Iran. One of the reasons is that a woman’s legal testimony is only given half the weight of that of a man. Furthermore, women victims of sexual abuse, including victims of sex trafficking, may face prosecution for act of adultery, defined as sexual relations outside of marriage under Iranian law and punishable by death.</w:t>
      </w:r>
    </w:p>
    <w:p w14:paraId="6428A0E1" w14:textId="77777777" w:rsidR="000804EC" w:rsidRPr="00A371DD" w:rsidRDefault="00093CB9">
      <w:pPr>
        <w:spacing w:after="200"/>
        <w:jc w:val="left"/>
        <w:rPr>
          <w:rFonts w:ascii="Source Sans Pro" w:eastAsia="Times New Roman" w:hAnsi="Source Sans Pro" w:cs="Times New Roman"/>
          <w:color w:val="F3765A"/>
          <w:u w:val="single"/>
        </w:rPr>
      </w:pPr>
      <w:r w:rsidRPr="00A371DD">
        <w:rPr>
          <w:rFonts w:ascii="Source Sans Pro" w:eastAsia="Times New Roman" w:hAnsi="Source Sans Pro" w:cs="Times New Roman"/>
          <w:color w:val="F3765A"/>
          <w:u w:val="single"/>
        </w:rPr>
        <w:t>Suggested Questions</w:t>
      </w:r>
    </w:p>
    <w:p w14:paraId="05B0C00B" w14:textId="77777777" w:rsidR="000804EC" w:rsidRPr="00A371DD" w:rsidRDefault="00093CB9">
      <w:pPr>
        <w:numPr>
          <w:ilvl w:val="0"/>
          <w:numId w:val="1"/>
        </w:numPr>
        <w:spacing w:after="200"/>
        <w:jc w:val="left"/>
        <w:rPr>
          <w:rFonts w:ascii="Source Sans Pro" w:eastAsia="Times New Roman" w:hAnsi="Source Sans Pro" w:cs="Times New Roman"/>
          <w:i/>
          <w:color w:val="F3765A"/>
        </w:rPr>
      </w:pPr>
      <w:r w:rsidRPr="00A371DD">
        <w:rPr>
          <w:rFonts w:ascii="Source Sans Pro" w:eastAsia="Times New Roman" w:hAnsi="Source Sans Pro" w:cs="Times New Roman"/>
          <w:i/>
          <w:color w:val="F3765A"/>
        </w:rPr>
        <w:t>With reference to the previous concluding observations (para. 20), please provide statistics about the number of arrests and convictions under the 2004 law to combat trafficking</w:t>
      </w:r>
    </w:p>
    <w:p w14:paraId="68C4137A" w14:textId="77777777" w:rsidR="000804EC" w:rsidRPr="00A371DD" w:rsidRDefault="00093CB9">
      <w:pPr>
        <w:numPr>
          <w:ilvl w:val="0"/>
          <w:numId w:val="1"/>
        </w:numPr>
        <w:spacing w:after="200"/>
        <w:jc w:val="left"/>
        <w:rPr>
          <w:rFonts w:ascii="Source Sans Pro" w:eastAsia="Times New Roman" w:hAnsi="Source Sans Pro" w:cs="Times New Roman"/>
          <w:i/>
          <w:color w:val="F3765A"/>
        </w:rPr>
      </w:pPr>
      <w:r w:rsidRPr="00A371DD">
        <w:rPr>
          <w:rFonts w:ascii="Source Sans Pro" w:eastAsia="Times New Roman" w:hAnsi="Source Sans Pro" w:cs="Times New Roman"/>
          <w:i/>
          <w:color w:val="F3765A"/>
        </w:rPr>
        <w:t>Please provide information about steps the state party has taken to eliminate to combat and prevent the trafficking and sale of persons under 18 years of age</w:t>
      </w:r>
    </w:p>
    <w:p w14:paraId="452C12FA" w14:textId="77777777" w:rsidR="000804EC" w:rsidRPr="00A371DD" w:rsidRDefault="00093CB9">
      <w:pPr>
        <w:numPr>
          <w:ilvl w:val="0"/>
          <w:numId w:val="1"/>
        </w:numPr>
        <w:spacing w:after="200"/>
        <w:jc w:val="left"/>
        <w:rPr>
          <w:rFonts w:ascii="Source Sans Pro" w:eastAsia="Times New Roman" w:hAnsi="Source Sans Pro" w:cs="Times New Roman"/>
          <w:i/>
          <w:color w:val="F3765A"/>
        </w:rPr>
      </w:pPr>
      <w:r w:rsidRPr="00A371DD">
        <w:rPr>
          <w:rFonts w:ascii="Source Sans Pro" w:eastAsia="Times New Roman" w:hAnsi="Source Sans Pro" w:cs="Times New Roman"/>
          <w:i/>
          <w:color w:val="F3765A"/>
        </w:rPr>
        <w:t>Please provide information about steps the state party has taken to gather, and make publicly available, the number of arrests and convictions for human trafficking</w:t>
      </w:r>
    </w:p>
    <w:p w14:paraId="46E0CAA0" w14:textId="77777777" w:rsidR="000804EC" w:rsidRPr="00A371DD" w:rsidRDefault="000804EC">
      <w:pPr>
        <w:spacing w:after="200"/>
        <w:jc w:val="left"/>
        <w:rPr>
          <w:rFonts w:ascii="Source Sans Pro" w:eastAsia="Times New Roman" w:hAnsi="Source Sans Pro" w:cs="Times New Roman"/>
          <w:color w:val="76787A"/>
        </w:rPr>
      </w:pPr>
    </w:p>
    <w:p w14:paraId="38CA32BE" w14:textId="77777777" w:rsidR="000804EC" w:rsidRPr="00A371DD" w:rsidRDefault="00093CB9">
      <w:pPr>
        <w:pStyle w:val="Heading2"/>
        <w:spacing w:after="200"/>
        <w:jc w:val="left"/>
        <w:rPr>
          <w:rFonts w:ascii="Source Sans Pro" w:eastAsia="Times New Roman" w:hAnsi="Source Sans Pro" w:cs="Times New Roman"/>
          <w:color w:val="F3765A"/>
        </w:rPr>
      </w:pPr>
      <w:bookmarkStart w:id="9" w:name="_5tyy83v4tn5x" w:colFirst="0" w:colLast="0"/>
      <w:bookmarkEnd w:id="9"/>
      <w:r w:rsidRPr="00A371DD">
        <w:rPr>
          <w:rFonts w:ascii="Source Sans Pro" w:eastAsia="Times New Roman" w:hAnsi="Source Sans Pro" w:cs="Times New Roman"/>
          <w:color w:val="F3765A"/>
        </w:rPr>
        <w:t>I) Forced, early and temporary marriage of girls</w:t>
      </w:r>
    </w:p>
    <w:p w14:paraId="40097BF7"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2011, the Human Rights Committee recommended that Iran eliminate discrimination on the basis of sex with regard to the minimum age for marriage, ensure that the minimum age complies with international standards and adopt measures to prevent forced, early and temporary marriage of girls.</w:t>
      </w:r>
      <w:r w:rsidRPr="00A371DD">
        <w:rPr>
          <w:rFonts w:ascii="Source Sans Pro" w:eastAsia="Times New Roman" w:hAnsi="Source Sans Pro" w:cs="Times New Roman"/>
          <w:color w:val="76787A"/>
          <w:vertAlign w:val="superscript"/>
        </w:rPr>
        <w:footnoteReference w:id="47"/>
      </w:r>
    </w:p>
    <w:p w14:paraId="46E57D82"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In 2016, the Committee on the Rights of the Child stated that the legal age of marriage in the Islamic Republic of Iran “gravely violated rights under the Convention [on the Rights of the Child] and placed children, in particular girls, at risk of forced, early and temporary marriages, with irreversible consequences on their physical and mental health and development.”</w:t>
      </w:r>
      <w:r w:rsidRPr="00A371DD">
        <w:rPr>
          <w:rFonts w:ascii="Source Sans Pro" w:eastAsia="Times New Roman" w:hAnsi="Source Sans Pro" w:cs="Times New Roman"/>
          <w:color w:val="76787A"/>
          <w:vertAlign w:val="superscript"/>
        </w:rPr>
        <w:footnoteReference w:id="48"/>
      </w:r>
    </w:p>
    <w:p w14:paraId="6D0CC8B4" w14:textId="341FAC93"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Child marriage continues to be permitted under Iranian law. The legal minimum age for marriage is 13 years old for girls and 15 years old for boys.</w:t>
      </w:r>
      <w:r w:rsidRPr="00A371DD">
        <w:rPr>
          <w:rFonts w:ascii="Source Sans Pro" w:eastAsia="Times New Roman" w:hAnsi="Source Sans Pro" w:cs="Times New Roman"/>
          <w:color w:val="76787A"/>
          <w:vertAlign w:val="superscript"/>
        </w:rPr>
        <w:footnoteReference w:id="49"/>
      </w:r>
      <w:r w:rsidRPr="00A371DD">
        <w:rPr>
          <w:rFonts w:ascii="Source Sans Pro" w:eastAsia="Times New Roman" w:hAnsi="Source Sans Pro" w:cs="Times New Roman"/>
          <w:color w:val="76787A"/>
        </w:rPr>
        <w:t xml:space="preserve"> However, </w:t>
      </w:r>
      <w:r w:rsidR="00EA4843">
        <w:rPr>
          <w:rFonts w:ascii="Source Sans Pro" w:eastAsia="Times New Roman" w:hAnsi="Source Sans Pro" w:cs="Times New Roman"/>
          <w:color w:val="76787A"/>
        </w:rPr>
        <w:t xml:space="preserve">younger </w:t>
      </w:r>
      <w:r w:rsidRPr="00A371DD">
        <w:rPr>
          <w:rFonts w:ascii="Source Sans Pro" w:eastAsia="Times New Roman" w:hAnsi="Source Sans Pro" w:cs="Times New Roman"/>
          <w:color w:val="76787A"/>
        </w:rPr>
        <w:t>children who have reached puberty can marry with parental consent and court approval.</w:t>
      </w:r>
      <w:r w:rsidRPr="00A371DD">
        <w:rPr>
          <w:rFonts w:ascii="Source Sans Pro" w:eastAsia="Times New Roman" w:hAnsi="Source Sans Pro" w:cs="Times New Roman"/>
          <w:color w:val="76787A"/>
          <w:vertAlign w:val="superscript"/>
        </w:rPr>
        <w:footnoteReference w:id="50"/>
      </w:r>
      <w:r w:rsidRPr="00A371DD">
        <w:rPr>
          <w:rFonts w:ascii="Source Sans Pro" w:eastAsia="Times New Roman" w:hAnsi="Source Sans Pro" w:cs="Times New Roman"/>
          <w:color w:val="76787A"/>
        </w:rPr>
        <w:t xml:space="preserve"> The predefined age of puberty under Iranian law, and the age of legal majority, is 9 lunar years for girls and 15 lunar years for boys.</w:t>
      </w:r>
      <w:r w:rsidRPr="00A371DD">
        <w:rPr>
          <w:rFonts w:ascii="Source Sans Pro" w:eastAsia="Times New Roman" w:hAnsi="Source Sans Pro" w:cs="Times New Roman"/>
          <w:color w:val="76787A"/>
          <w:vertAlign w:val="superscript"/>
        </w:rPr>
        <w:footnoteReference w:id="51"/>
      </w:r>
      <w:r w:rsidRPr="00A371DD">
        <w:rPr>
          <w:rFonts w:ascii="Source Sans Pro" w:eastAsia="Times New Roman" w:hAnsi="Source Sans Pro" w:cs="Times New Roman"/>
          <w:color w:val="76787A"/>
        </w:rPr>
        <w:t xml:space="preserve"> </w:t>
      </w:r>
      <w:r w:rsidRPr="00A371DD">
        <w:rPr>
          <w:rFonts w:ascii="Source Sans Pro" w:eastAsia="Times New Roman" w:hAnsi="Source Sans Pro" w:cs="Times New Roman"/>
          <w:color w:val="76787A"/>
          <w:vertAlign w:val="superscript"/>
        </w:rPr>
        <w:footnoteReference w:id="52"/>
      </w:r>
      <w:r w:rsidRPr="00A371DD">
        <w:rPr>
          <w:rFonts w:ascii="Source Sans Pro" w:eastAsia="Times New Roman" w:hAnsi="Source Sans Pro" w:cs="Times New Roman"/>
          <w:color w:val="76787A"/>
        </w:rPr>
        <w:t xml:space="preserve"> </w:t>
      </w:r>
    </w:p>
    <w:p w14:paraId="1E7C917C" w14:textId="3E2C4112"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 xml:space="preserve">Under </w:t>
      </w:r>
      <w:proofErr w:type="spellStart"/>
      <w:r w:rsidRPr="00A371DD">
        <w:rPr>
          <w:rFonts w:ascii="Source Sans Pro" w:eastAsia="Times New Roman" w:hAnsi="Source Sans Pro" w:cs="Times New Roman"/>
          <w:i/>
          <w:color w:val="76787A"/>
        </w:rPr>
        <w:t>Shari’a</w:t>
      </w:r>
      <w:proofErr w:type="spellEnd"/>
      <w:r w:rsidRPr="00A371DD">
        <w:rPr>
          <w:rFonts w:ascii="Source Sans Pro" w:eastAsia="Times New Roman" w:hAnsi="Source Sans Pro" w:cs="Times New Roman"/>
          <w:color w:val="76787A"/>
        </w:rPr>
        <w:t xml:space="preserve"> law in Iran, marriages (</w:t>
      </w:r>
      <w:proofErr w:type="spellStart"/>
      <w:r w:rsidRPr="00A371DD">
        <w:rPr>
          <w:rFonts w:ascii="Source Sans Pro" w:eastAsia="Times New Roman" w:hAnsi="Source Sans Pro" w:cs="Times New Roman"/>
          <w:i/>
          <w:color w:val="76787A"/>
        </w:rPr>
        <w:t>Aghd</w:t>
      </w:r>
      <w:proofErr w:type="spellEnd"/>
      <w:r w:rsidRPr="00A371DD">
        <w:rPr>
          <w:rFonts w:ascii="Source Sans Pro" w:eastAsia="Times New Roman" w:hAnsi="Source Sans Pro" w:cs="Times New Roman"/>
          <w:color w:val="76787A"/>
        </w:rPr>
        <w:t xml:space="preserve"> in Persian) of girls as young as 9 lunar years are permitted, and such marriages cannot be officially registered. Young girls are also subjected to temporary religious marriages in Iran, which do not need to be registered, known as </w:t>
      </w:r>
      <w:proofErr w:type="spellStart"/>
      <w:r w:rsidRPr="00A371DD">
        <w:rPr>
          <w:rFonts w:ascii="Source Sans Pro" w:eastAsia="Times New Roman" w:hAnsi="Source Sans Pro" w:cs="Times New Roman"/>
          <w:i/>
          <w:color w:val="76787A"/>
        </w:rPr>
        <w:t>sigheh</w:t>
      </w:r>
      <w:proofErr w:type="spellEnd"/>
      <w:r w:rsidRPr="00A371DD">
        <w:rPr>
          <w:rFonts w:ascii="Source Sans Pro" w:eastAsia="Times New Roman" w:hAnsi="Source Sans Pro" w:cs="Times New Roman"/>
          <w:color w:val="76787A"/>
        </w:rPr>
        <w:t xml:space="preserve">. In some cases, such marriages is a way for impoverished families to obtain </w:t>
      </w:r>
      <w:r w:rsidRPr="00A371DD">
        <w:rPr>
          <w:rFonts w:ascii="Source Sans Pro" w:eastAsia="Times New Roman" w:hAnsi="Source Sans Pro" w:cs="Times New Roman"/>
          <w:i/>
          <w:color w:val="76787A"/>
        </w:rPr>
        <w:t>shir-</w:t>
      </w:r>
      <w:proofErr w:type="spellStart"/>
      <w:r w:rsidRPr="00A371DD">
        <w:rPr>
          <w:rFonts w:ascii="Source Sans Pro" w:eastAsia="Times New Roman" w:hAnsi="Source Sans Pro" w:cs="Times New Roman"/>
          <w:i/>
          <w:color w:val="76787A"/>
        </w:rPr>
        <w:t>baha</w:t>
      </w:r>
      <w:proofErr w:type="spellEnd"/>
      <w:r w:rsidRPr="00A371DD">
        <w:rPr>
          <w:rFonts w:ascii="Source Sans Pro" w:eastAsia="Times New Roman" w:hAnsi="Source Sans Pro" w:cs="Times New Roman"/>
          <w:color w:val="76787A"/>
        </w:rPr>
        <w:t xml:space="preserve"> (payment). To skirt the restriction on marriage for girls under 13, some impoverished families arrange temporary marriages for girls in order to receive </w:t>
      </w:r>
      <w:r w:rsidRPr="00A371DD">
        <w:rPr>
          <w:rFonts w:ascii="Source Sans Pro" w:eastAsia="Times New Roman" w:hAnsi="Source Sans Pro" w:cs="Times New Roman"/>
          <w:i/>
          <w:color w:val="76787A"/>
        </w:rPr>
        <w:t>shir-</w:t>
      </w:r>
      <w:proofErr w:type="spellStart"/>
      <w:r w:rsidRPr="00A371DD">
        <w:rPr>
          <w:rFonts w:ascii="Source Sans Pro" w:eastAsia="Times New Roman" w:hAnsi="Source Sans Pro" w:cs="Times New Roman"/>
          <w:i/>
          <w:color w:val="76787A"/>
        </w:rPr>
        <w:t>baha</w:t>
      </w:r>
      <w:proofErr w:type="spellEnd"/>
      <w:r w:rsidRPr="00A371DD">
        <w:rPr>
          <w:rFonts w:ascii="Source Sans Pro" w:eastAsia="Times New Roman" w:hAnsi="Source Sans Pro" w:cs="Times New Roman"/>
          <w:color w:val="76787A"/>
        </w:rPr>
        <w:t xml:space="preserve"> (a payment). </w:t>
      </w:r>
    </w:p>
    <w:p w14:paraId="2BE611B2"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With the permission of the court, the legal guardian has the right to marry for, and on behalf of, a minor daughter - legally sanctioning compulsory marriage.</w:t>
      </w:r>
      <w:r w:rsidRPr="00A371DD">
        <w:rPr>
          <w:rFonts w:ascii="Source Sans Pro" w:eastAsia="Times New Roman" w:hAnsi="Source Sans Pro" w:cs="Times New Roman"/>
          <w:color w:val="76787A"/>
          <w:vertAlign w:val="superscript"/>
        </w:rPr>
        <w:footnoteReference w:id="53"/>
      </w:r>
      <w:r w:rsidRPr="00A371DD">
        <w:rPr>
          <w:rFonts w:ascii="Source Sans Pro" w:eastAsia="Times New Roman" w:hAnsi="Source Sans Pro" w:cs="Times New Roman"/>
          <w:color w:val="76787A"/>
        </w:rPr>
        <w:t xml:space="preserve"> Iran’s Government affirmed in 2019 that when a case of forced marriage is reported to the Judiciary and a judicial case is filed, the forced marriage can be dissolved and those who facilitated the forced marriage are prosecuted.</w:t>
      </w:r>
      <w:r w:rsidRPr="00A371DD">
        <w:rPr>
          <w:rFonts w:ascii="Source Sans Pro" w:eastAsia="Times New Roman" w:hAnsi="Source Sans Pro" w:cs="Times New Roman"/>
          <w:color w:val="76787A"/>
          <w:vertAlign w:val="superscript"/>
        </w:rPr>
        <w:footnoteReference w:id="54"/>
      </w:r>
      <w:r w:rsidRPr="00A371DD">
        <w:rPr>
          <w:rFonts w:ascii="Source Sans Pro" w:eastAsia="Times New Roman" w:hAnsi="Source Sans Pro" w:cs="Times New Roman"/>
          <w:color w:val="76787A"/>
        </w:rPr>
        <w:t xml:space="preserve"> However, in law and practice, children lack access to legal recourse as they cannot file law suits without the representation of their legal guardian when under 15 years old.</w:t>
      </w:r>
      <w:r w:rsidRPr="00A371DD">
        <w:rPr>
          <w:rFonts w:ascii="Source Sans Pro" w:eastAsia="Times New Roman" w:hAnsi="Source Sans Pro" w:cs="Times New Roman"/>
          <w:color w:val="76787A"/>
          <w:vertAlign w:val="superscript"/>
        </w:rPr>
        <w:footnoteReference w:id="55"/>
      </w:r>
    </w:p>
    <w:p w14:paraId="580BC7F9" w14:textId="0568174C" w:rsidR="000804EC" w:rsidRPr="00A371DD" w:rsidRDefault="00093CB9" w:rsidP="00A371DD">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Official data provided by the National Organization for Civil Registration show</w:t>
      </w:r>
      <w:r w:rsidR="008611D1">
        <w:rPr>
          <w:rFonts w:ascii="Source Sans Pro" w:eastAsia="Times New Roman" w:hAnsi="Source Sans Pro" w:cs="Times New Roman"/>
          <w:color w:val="76787A"/>
        </w:rPr>
        <w:t>s</w:t>
      </w:r>
      <w:r w:rsidRPr="00A371DD">
        <w:rPr>
          <w:rFonts w:ascii="Source Sans Pro" w:eastAsia="Times New Roman" w:hAnsi="Source Sans Pro" w:cs="Times New Roman"/>
          <w:color w:val="76787A"/>
        </w:rPr>
        <w:t xml:space="preserve"> that the number of child marriages is increasing each year in Iran.</w:t>
      </w:r>
      <w:r w:rsidRPr="00A371DD">
        <w:rPr>
          <w:rFonts w:ascii="Source Sans Pro" w:eastAsia="Times New Roman" w:hAnsi="Source Sans Pro" w:cs="Times New Roman"/>
          <w:color w:val="76787A"/>
          <w:vertAlign w:val="superscript"/>
        </w:rPr>
        <w:footnoteReference w:id="56"/>
      </w:r>
      <w:r w:rsidRPr="00A371DD">
        <w:rPr>
          <w:rFonts w:ascii="Source Sans Pro" w:eastAsia="Times New Roman" w:hAnsi="Source Sans Pro" w:cs="Times New Roman"/>
          <w:color w:val="76787A"/>
        </w:rPr>
        <w:t xml:space="preserve"> Since the Committee's previous report, more than one million child marriages have reportedly been registered. Since 2018, a total of 474,946 child marriages have been recorded. Among them, 458,566 marriages involved girls under 18, and 51,521 of them were 13 years old or younger. .</w:t>
      </w:r>
      <w:r w:rsidRPr="00A371DD">
        <w:rPr>
          <w:rFonts w:ascii="Source Sans Pro" w:eastAsia="Times New Roman" w:hAnsi="Source Sans Pro" w:cs="Times New Roman"/>
          <w:color w:val="76787A"/>
          <w:vertAlign w:val="superscript"/>
        </w:rPr>
        <w:footnoteReference w:id="57"/>
      </w:r>
      <w:r w:rsidRPr="00A371DD">
        <w:rPr>
          <w:rFonts w:ascii="Source Sans Pro" w:eastAsia="Times New Roman" w:hAnsi="Source Sans Pro" w:cs="Times New Roman"/>
          <w:color w:val="76787A"/>
        </w:rPr>
        <w:t xml:space="preserve"> Numbers, however, are likely to be higher as many child marriages go unregistered.</w:t>
      </w:r>
    </w:p>
    <w:p w14:paraId="3CD6FDD7" w14:textId="19D9B264" w:rsidR="000804EC" w:rsidRPr="00A371DD" w:rsidRDefault="00093CB9" w:rsidP="00A371DD">
      <w:pPr>
        <w:spacing w:after="200"/>
        <w:jc w:val="center"/>
        <w:rPr>
          <w:rFonts w:ascii="Source Sans Pro" w:eastAsia="Times New Roman" w:hAnsi="Source Sans Pro" w:cs="Times New Roman"/>
          <w:color w:val="76787A"/>
        </w:rPr>
      </w:pPr>
      <w:r w:rsidRPr="00A371DD">
        <w:rPr>
          <w:rFonts w:ascii="Source Sans Pro" w:eastAsia="Times New Roman" w:hAnsi="Source Sans Pro" w:cs="Times New Roman"/>
          <w:noProof/>
          <w:color w:val="76787A"/>
        </w:rPr>
        <w:drawing>
          <wp:inline distT="114300" distB="114300" distL="114300" distR="114300" wp14:anchorId="5EFE48EE" wp14:editId="5C40B66A">
            <wp:extent cx="4672013" cy="2875085"/>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672013" cy="2875085"/>
                    </a:xfrm>
                    <a:prstGeom prst="rect">
                      <a:avLst/>
                    </a:prstGeom>
                    <a:ln/>
                  </pic:spPr>
                </pic:pic>
              </a:graphicData>
            </a:graphic>
          </wp:inline>
        </w:drawing>
      </w:r>
    </w:p>
    <w:p w14:paraId="1ED4EEE2" w14:textId="77777777" w:rsidR="000804EC" w:rsidRPr="00A371DD" w:rsidRDefault="00093CB9">
      <w:pPr>
        <w:spacing w:after="200"/>
        <w:jc w:val="center"/>
        <w:rPr>
          <w:rFonts w:ascii="Source Sans Pro" w:eastAsia="Times New Roman" w:hAnsi="Source Sans Pro" w:cs="Times New Roman"/>
          <w:color w:val="76787A"/>
        </w:rPr>
      </w:pPr>
      <w:r w:rsidRPr="00A371DD">
        <w:rPr>
          <w:rFonts w:ascii="Source Sans Pro" w:eastAsia="Times New Roman" w:hAnsi="Source Sans Pro" w:cs="Times New Roman"/>
          <w:noProof/>
          <w:color w:val="76787A"/>
        </w:rPr>
        <w:drawing>
          <wp:inline distT="114300" distB="114300" distL="114300" distR="114300" wp14:anchorId="39A2E630" wp14:editId="39658592">
            <wp:extent cx="4924425" cy="305752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l="1619" t="2727"/>
                    <a:stretch>
                      <a:fillRect/>
                    </a:stretch>
                  </pic:blipFill>
                  <pic:spPr>
                    <a:xfrm>
                      <a:off x="0" y="0"/>
                      <a:ext cx="4924425" cy="3057525"/>
                    </a:xfrm>
                    <a:prstGeom prst="rect">
                      <a:avLst/>
                    </a:prstGeom>
                    <a:ln/>
                  </pic:spPr>
                </pic:pic>
              </a:graphicData>
            </a:graphic>
          </wp:inline>
        </w:drawing>
      </w:r>
    </w:p>
    <w:p w14:paraId="69DD1C68" w14:textId="77777777" w:rsidR="000804EC" w:rsidRPr="00A371DD" w:rsidRDefault="00093CB9">
      <w:pPr>
        <w:numPr>
          <w:ilvl w:val="0"/>
          <w:numId w:val="6"/>
        </w:numPr>
        <w:spacing w:after="200"/>
        <w:jc w:val="left"/>
        <w:rPr>
          <w:rFonts w:ascii="Source Sans Pro" w:eastAsia="Times New Roman" w:hAnsi="Source Sans Pro" w:cs="Times New Roman"/>
          <w:color w:val="76787A"/>
        </w:rPr>
      </w:pPr>
      <w:r w:rsidRPr="00A371DD">
        <w:rPr>
          <w:rFonts w:ascii="Source Sans Pro" w:eastAsia="Times New Roman" w:hAnsi="Source Sans Pro" w:cs="Times New Roman"/>
          <w:color w:val="76787A"/>
        </w:rPr>
        <w:t>The statistics published by the Iranian Statistics Center show that 9,753 girls aged 10 to 14 were married in the spring of 2021, which is the highest seasonal number of marriages for girls aged 10 to 14 compared to the seasonal statistics of the previous two years.</w:t>
      </w:r>
      <w:r w:rsidRPr="00A371DD">
        <w:rPr>
          <w:rFonts w:ascii="Source Sans Pro" w:eastAsia="Times New Roman" w:hAnsi="Source Sans Pro" w:cs="Times New Roman"/>
          <w:color w:val="76787A"/>
          <w:vertAlign w:val="superscript"/>
        </w:rPr>
        <w:footnoteReference w:id="58"/>
      </w:r>
    </w:p>
    <w:p w14:paraId="6297A67C" w14:textId="77777777" w:rsidR="000804EC" w:rsidRPr="00A371DD" w:rsidRDefault="000804EC">
      <w:pPr>
        <w:spacing w:after="200"/>
        <w:jc w:val="left"/>
        <w:rPr>
          <w:rFonts w:ascii="Source Sans Pro" w:eastAsia="Times New Roman" w:hAnsi="Source Sans Pro" w:cs="Times New Roman"/>
          <w:color w:val="F3765A"/>
          <w:u w:val="single"/>
        </w:rPr>
      </w:pPr>
    </w:p>
    <w:p w14:paraId="6EDAC1AE" w14:textId="77777777" w:rsidR="000804EC" w:rsidRPr="00A371DD" w:rsidRDefault="00093CB9">
      <w:pPr>
        <w:spacing w:after="200"/>
        <w:jc w:val="left"/>
        <w:rPr>
          <w:rFonts w:ascii="Source Sans Pro" w:eastAsia="Times New Roman" w:hAnsi="Source Sans Pro" w:cs="Times New Roman"/>
          <w:color w:val="F3765A"/>
          <w:u w:val="single"/>
        </w:rPr>
      </w:pPr>
      <w:r w:rsidRPr="00A371DD">
        <w:rPr>
          <w:rFonts w:ascii="Source Sans Pro" w:eastAsia="Times New Roman" w:hAnsi="Source Sans Pro" w:cs="Times New Roman"/>
          <w:color w:val="F3765A"/>
          <w:u w:val="single"/>
        </w:rPr>
        <w:t xml:space="preserve">Suggested question </w:t>
      </w:r>
    </w:p>
    <w:p w14:paraId="594519DC" w14:textId="77777777" w:rsidR="000804EC" w:rsidRPr="00A371DD" w:rsidRDefault="00093CB9">
      <w:pPr>
        <w:numPr>
          <w:ilvl w:val="0"/>
          <w:numId w:val="5"/>
        </w:numPr>
        <w:spacing w:after="200"/>
        <w:jc w:val="left"/>
        <w:rPr>
          <w:rFonts w:ascii="Source Sans Pro" w:hAnsi="Source Sans Pro"/>
          <w:i/>
          <w:color w:val="F3765A"/>
        </w:rPr>
      </w:pPr>
      <w:r w:rsidRPr="00A371DD">
        <w:rPr>
          <w:rFonts w:ascii="Source Sans Pro" w:eastAsia="Times New Roman" w:hAnsi="Source Sans Pro" w:cs="Times New Roman"/>
          <w:i/>
          <w:color w:val="F3765A"/>
        </w:rPr>
        <w:t>Please provide information about steps the state party has taken or intend to take to eliminate forced, early and temporary marriage of girls?</w:t>
      </w:r>
    </w:p>
    <w:p w14:paraId="4AFDEB42" w14:textId="77777777" w:rsidR="000804EC" w:rsidRPr="00A371DD" w:rsidRDefault="000804EC">
      <w:pPr>
        <w:spacing w:after="200"/>
        <w:jc w:val="left"/>
        <w:rPr>
          <w:rFonts w:ascii="Source Sans Pro" w:eastAsia="Times New Roman" w:hAnsi="Source Sans Pro" w:cs="Times New Roman"/>
          <w:i/>
          <w:color w:val="F3765A"/>
        </w:rPr>
      </w:pPr>
    </w:p>
    <w:p w14:paraId="0A3710C1" w14:textId="77777777" w:rsidR="000804EC" w:rsidRDefault="000804EC">
      <w:pPr>
        <w:rPr>
          <w:rFonts w:ascii="Times New Roman" w:eastAsia="Times New Roman" w:hAnsi="Times New Roman" w:cs="Times New Roman"/>
        </w:rPr>
      </w:pPr>
    </w:p>
    <w:sectPr w:rsidR="000804EC">
      <w:footerReference w:type="default" r:id="rId16"/>
      <w:headerReference w:type="first" r:id="rId17"/>
      <w:footerReference w:type="firs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D3F1F" w14:textId="77777777" w:rsidR="00E4077C" w:rsidRDefault="00E4077C">
      <w:pPr>
        <w:spacing w:line="240" w:lineRule="auto"/>
      </w:pPr>
      <w:r>
        <w:separator/>
      </w:r>
    </w:p>
  </w:endnote>
  <w:endnote w:type="continuationSeparator" w:id="0">
    <w:p w14:paraId="5D1F916E" w14:textId="77777777" w:rsidR="00E4077C" w:rsidRDefault="00E407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ource Sans Pro">
    <w:altName w:val="Source Sans Pro"/>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6A2D2" w14:textId="30E1FE3C" w:rsidR="000804EC" w:rsidRDefault="00093CB9">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A371DD">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C9A34" w14:textId="77777777" w:rsidR="000804EC" w:rsidRDefault="00093CB9">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A371DD">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5F9DC" w14:textId="77777777" w:rsidR="00E4077C" w:rsidRDefault="00E4077C">
      <w:pPr>
        <w:spacing w:line="240" w:lineRule="auto"/>
      </w:pPr>
      <w:r>
        <w:separator/>
      </w:r>
    </w:p>
  </w:footnote>
  <w:footnote w:type="continuationSeparator" w:id="0">
    <w:p w14:paraId="3F415C85" w14:textId="77777777" w:rsidR="00E4077C" w:rsidRDefault="00E4077C">
      <w:pPr>
        <w:spacing w:line="240" w:lineRule="auto"/>
      </w:pPr>
      <w:r>
        <w:continuationSeparator/>
      </w:r>
    </w:p>
  </w:footnote>
  <w:footnote w:id="1">
    <w:p w14:paraId="166956E4"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Article 20 of the Constitution emphasizes that all people of the nation, both men and women, are equally protected by law, and enjoy all human, political, economic, social and cultural rights, in accordance with “Islamic standards.” Article 21 of the Constitution obliges the government to guarantee the rights of women in all respects, in accordance with “Islamic standards.” </w:t>
      </w:r>
    </w:p>
  </w:footnote>
  <w:footnote w:id="2">
    <w:p w14:paraId="62372093"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8</w:t>
      </w:r>
    </w:p>
  </w:footnote>
  <w:footnote w:id="3">
    <w:p w14:paraId="77E99500"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Art 115, Constitution of Iran.</w:t>
      </w:r>
    </w:p>
  </w:footnote>
  <w:footnote w:id="4">
    <w:p w14:paraId="57061F1A"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The Assembly of Experts is a constitutional body with authority to appoint or dismiss the Supreme Leader.</w:t>
      </w:r>
    </w:p>
  </w:footnote>
  <w:footnote w:id="5">
    <w:p w14:paraId="20E41D43"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In addition, the Guardian Council is responsible for overseeing elections and vetting candidates.</w:t>
      </w:r>
    </w:p>
  </w:footnote>
  <w:footnote w:id="6">
    <w:p w14:paraId="6A434DA2" w14:textId="77777777" w:rsidR="000804EC" w:rsidRPr="00A371DD" w:rsidRDefault="00093CB9">
      <w:pPr>
        <w:spacing w:line="240" w:lineRule="auto"/>
        <w:jc w:val="left"/>
        <w:rPr>
          <w:rFonts w:ascii="Source Sans Pro" w:eastAsia="Source Sans Pro" w:hAnsi="Source Sans Pro" w:cs="Source Sans Pro"/>
          <w:color w:val="76787A"/>
          <w:sz w:val="16"/>
          <w:szCs w:val="16"/>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The body, whose members are all appointed by the Supreme Leader, was initially established as an arbitration body between parliament and the Guardian Council. </w:t>
      </w:r>
    </w:p>
  </w:footnote>
  <w:footnote w:id="7">
    <w:p w14:paraId="330625D5"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Executive rankings at the provincial level: 1) Governor, 2) County Governor, 3) District Governor, 4) Village President.</w:t>
      </w:r>
    </w:p>
  </w:footnote>
  <w:footnote w:id="8">
    <w:p w14:paraId="0DE61806"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1">
        <w:r w:rsidRPr="00A371DD">
          <w:rPr>
            <w:rFonts w:ascii="Source Sans Pro" w:eastAsia="Times New Roman" w:hAnsi="Source Sans Pro" w:cs="Times New Roman"/>
            <w:color w:val="76787A"/>
            <w:sz w:val="18"/>
            <w:szCs w:val="18"/>
          </w:rPr>
          <w:t>https://www.donya-e-eqtesad.com/fa/tiny/news-3837523</w:t>
        </w:r>
      </w:hyperlink>
      <w:r w:rsidRPr="00A371DD">
        <w:rPr>
          <w:rFonts w:ascii="Source Sans Pro" w:eastAsia="Times New Roman" w:hAnsi="Source Sans Pro" w:cs="Times New Roman"/>
          <w:color w:val="76787A"/>
          <w:sz w:val="18"/>
          <w:szCs w:val="18"/>
        </w:rPr>
        <w:t xml:space="preserve"> </w:t>
      </w:r>
    </w:p>
  </w:footnote>
  <w:footnote w:id="9">
    <w:p w14:paraId="4F346822"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2">
        <w:r w:rsidRPr="00A371DD">
          <w:rPr>
            <w:rFonts w:ascii="Source Sans Pro" w:eastAsia="Times New Roman" w:hAnsi="Source Sans Pro" w:cs="Times New Roman"/>
            <w:color w:val="76787A"/>
            <w:sz w:val="18"/>
            <w:szCs w:val="18"/>
          </w:rPr>
          <w:t>https://newspaper.hamshahrionline.ir/id/104282/</w:t>
        </w:r>
      </w:hyperlink>
      <w:r w:rsidRPr="00A371DD">
        <w:rPr>
          <w:rFonts w:ascii="Source Sans Pro" w:eastAsia="Times New Roman" w:hAnsi="Source Sans Pro" w:cs="Times New Roman"/>
          <w:color w:val="76787A"/>
          <w:sz w:val="18"/>
          <w:szCs w:val="18"/>
        </w:rPr>
        <w:t xml:space="preserve"> </w:t>
      </w:r>
    </w:p>
  </w:footnote>
  <w:footnote w:id="10">
    <w:p w14:paraId="288BC4E8"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3">
        <w:r w:rsidRPr="00A371DD">
          <w:rPr>
            <w:rFonts w:ascii="Source Sans Pro" w:eastAsia="Times New Roman" w:hAnsi="Source Sans Pro" w:cs="Times New Roman"/>
            <w:color w:val="76787A"/>
            <w:sz w:val="18"/>
            <w:szCs w:val="18"/>
          </w:rPr>
          <w:t>https://irna.ir/xjD4b9</w:t>
        </w:r>
      </w:hyperlink>
      <w:r w:rsidRPr="00A371DD">
        <w:rPr>
          <w:rFonts w:ascii="Source Sans Pro" w:eastAsia="Times New Roman" w:hAnsi="Source Sans Pro" w:cs="Times New Roman"/>
          <w:color w:val="76787A"/>
          <w:sz w:val="18"/>
          <w:szCs w:val="18"/>
        </w:rPr>
        <w:t xml:space="preserve"> </w:t>
      </w:r>
    </w:p>
  </w:footnote>
  <w:footnote w:id="11">
    <w:p w14:paraId="150DC8FB"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The law of conditions for the election of judges of the judiciary: </w:t>
      </w:r>
      <w:hyperlink r:id="rId4">
        <w:r w:rsidRPr="00A371DD">
          <w:rPr>
            <w:rFonts w:ascii="Source Sans Pro" w:eastAsia="Times New Roman" w:hAnsi="Source Sans Pro" w:cs="Times New Roman"/>
            <w:color w:val="76787A"/>
            <w:sz w:val="18"/>
            <w:szCs w:val="18"/>
          </w:rPr>
          <w:t>https://rc.majlis.ir/fa/law/show/90547</w:t>
        </w:r>
      </w:hyperlink>
    </w:p>
  </w:footnote>
  <w:footnote w:id="12">
    <w:p w14:paraId="4CE410B6"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The law of conditions for the election of judges of the judiciary: </w:t>
      </w:r>
      <w:hyperlink r:id="rId5">
        <w:r w:rsidRPr="00A371DD">
          <w:rPr>
            <w:rFonts w:ascii="Source Sans Pro" w:eastAsia="Times New Roman" w:hAnsi="Source Sans Pro" w:cs="Times New Roman"/>
            <w:color w:val="76787A"/>
            <w:sz w:val="18"/>
            <w:szCs w:val="18"/>
          </w:rPr>
          <w:t>https://rc.majlis.ir/fa/law/show/90547</w:t>
        </w:r>
      </w:hyperlink>
    </w:p>
  </w:footnote>
  <w:footnote w:id="13">
    <w:p w14:paraId="6461F38D"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See; </w:t>
      </w:r>
      <w:hyperlink r:id="rId6">
        <w:r w:rsidRPr="00A371DD">
          <w:rPr>
            <w:rFonts w:ascii="Source Sans Pro" w:eastAsia="Times New Roman" w:hAnsi="Source Sans Pro" w:cs="Times New Roman"/>
            <w:color w:val="76787A"/>
            <w:sz w:val="18"/>
            <w:szCs w:val="18"/>
          </w:rPr>
          <w:t>http://www.iribnews.ir/009NnJ</w:t>
        </w:r>
      </w:hyperlink>
      <w:r w:rsidRPr="00A371DD">
        <w:rPr>
          <w:rFonts w:ascii="Source Sans Pro" w:eastAsia="Times New Roman" w:hAnsi="Source Sans Pro" w:cs="Times New Roman"/>
          <w:color w:val="76787A"/>
          <w:sz w:val="18"/>
          <w:szCs w:val="18"/>
        </w:rPr>
        <w:t xml:space="preserve"> ; and </w:t>
      </w:r>
      <w:hyperlink r:id="rId7">
        <w:r w:rsidRPr="00A371DD">
          <w:rPr>
            <w:rFonts w:ascii="Source Sans Pro" w:eastAsia="Times New Roman" w:hAnsi="Source Sans Pro" w:cs="Times New Roman"/>
            <w:color w:val="76787A"/>
            <w:sz w:val="18"/>
            <w:szCs w:val="18"/>
          </w:rPr>
          <w:t>https://www.yjc.ir/00QghG</w:t>
        </w:r>
      </w:hyperlink>
      <w:r w:rsidRPr="00A371DD">
        <w:rPr>
          <w:rFonts w:ascii="Source Sans Pro" w:eastAsia="Times New Roman" w:hAnsi="Source Sans Pro" w:cs="Times New Roman"/>
          <w:color w:val="76787A"/>
          <w:sz w:val="18"/>
          <w:szCs w:val="18"/>
        </w:rPr>
        <w:t xml:space="preserve"> </w:t>
      </w:r>
    </w:p>
  </w:footnote>
  <w:footnote w:id="14">
    <w:p w14:paraId="1CC95578"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UPR 2019, National Report, Islamic Republic of Iran, </w:t>
      </w:r>
      <w:hyperlink r:id="rId8">
        <w:r w:rsidRPr="00A371DD">
          <w:rPr>
            <w:rFonts w:ascii="Source Sans Pro" w:eastAsia="Times New Roman" w:hAnsi="Source Sans Pro" w:cs="Times New Roman"/>
            <w:color w:val="76787A"/>
            <w:sz w:val="18"/>
            <w:szCs w:val="18"/>
            <w:u w:val="single"/>
          </w:rPr>
          <w:t>https://undocs.org/A/HRC/WG.6/34/IRN/1</w:t>
        </w:r>
      </w:hyperlink>
    </w:p>
  </w:footnote>
  <w:footnote w:id="15">
    <w:p w14:paraId="72E0AFFC"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Hiring 3,700 Judges During The Fifth Development Plan, 700 Women Active In Judiciary,” </w:t>
      </w:r>
      <w:r w:rsidRPr="00A371DD">
        <w:rPr>
          <w:rFonts w:ascii="Source Sans Pro" w:eastAsia="Times New Roman" w:hAnsi="Source Sans Pro" w:cs="Times New Roman"/>
          <w:color w:val="76787A"/>
          <w:sz w:val="18"/>
          <w:szCs w:val="18"/>
        </w:rPr>
        <w:t>Mizan News, September 16, 2015, https://www.mizanonline.com/fa/news/77228/</w:t>
      </w:r>
      <w:r w:rsidRPr="00A371DD">
        <w:rPr>
          <w:rFonts w:ascii="Source Sans Pro" w:eastAsia="Times New Roman" w:hAnsi="Source Sans Pro" w:cs="Times New Roman"/>
          <w:color w:val="76787A"/>
          <w:sz w:val="18"/>
          <w:szCs w:val="18"/>
          <w:rtl/>
        </w:rPr>
        <w:t>جذب-سه-هزار-و-700-قاضی-در-طول-برنامه-پنجم-توسعه-فعالیت-700-زن-در-امور-قضائی</w:t>
      </w:r>
    </w:p>
  </w:footnote>
  <w:footnote w:id="16">
    <w:p w14:paraId="30CC5D1F"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Fourth periodic report submitted by the Islamic Republic of Iran, CCPR/C/IRN/4, para. 164</w:t>
      </w:r>
    </w:p>
  </w:footnote>
  <w:footnote w:id="17">
    <w:p w14:paraId="2B1D2A6E" w14:textId="77777777" w:rsidR="000804EC" w:rsidRPr="00A371DD" w:rsidRDefault="00093CB9">
      <w:pPr>
        <w:spacing w:line="240" w:lineRule="auto"/>
        <w:ind w:right="-36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8</w:t>
      </w:r>
    </w:p>
  </w:footnote>
  <w:footnote w:id="18">
    <w:p w14:paraId="18F19255"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The Islamic Republic of Iran, Charter on Citizens’ Rights, 2016, article 11 </w:t>
      </w:r>
      <w:hyperlink r:id="rId9">
        <w:r w:rsidRPr="00A371DD">
          <w:rPr>
            <w:rFonts w:ascii="Source Sans Pro" w:eastAsia="Times New Roman" w:hAnsi="Source Sans Pro" w:cs="Times New Roman"/>
            <w:color w:val="76787A"/>
            <w:sz w:val="18"/>
            <w:szCs w:val="18"/>
          </w:rPr>
          <w:t>http://media.president.ir/uploads/ads/148214250789390200.pdf</w:t>
        </w:r>
      </w:hyperlink>
      <w:r w:rsidRPr="00A371DD">
        <w:rPr>
          <w:rFonts w:ascii="Source Sans Pro" w:eastAsia="Times New Roman" w:hAnsi="Source Sans Pro" w:cs="Times New Roman"/>
          <w:color w:val="76787A"/>
          <w:sz w:val="18"/>
          <w:szCs w:val="18"/>
        </w:rPr>
        <w:t xml:space="preserve"> </w:t>
      </w:r>
    </w:p>
  </w:footnote>
  <w:footnote w:id="19">
    <w:p w14:paraId="06878E97" w14:textId="77777777" w:rsidR="000804EC" w:rsidRPr="00A371DD" w:rsidRDefault="00093CB9">
      <w:pPr>
        <w:spacing w:line="240" w:lineRule="auto"/>
        <w:ind w:right="-27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9</w:t>
      </w:r>
    </w:p>
  </w:footnote>
  <w:footnote w:id="20">
    <w:p w14:paraId="1975E3D1"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10">
        <w:r w:rsidRPr="00A371DD">
          <w:rPr>
            <w:rFonts w:ascii="Source Sans Pro" w:eastAsia="Times New Roman" w:hAnsi="Source Sans Pro" w:cs="Times New Roman"/>
            <w:color w:val="76787A"/>
            <w:sz w:val="18"/>
            <w:szCs w:val="18"/>
          </w:rPr>
          <w:t>http://nazarat.shora-rc.ir/Forms/frmShenasname.aspx?id=Bffc3DPSti0=&amp;TN=l7tLyhyOobj0SooAFUE3m68PnpG7MruN</w:t>
        </w:r>
      </w:hyperlink>
      <w:r w:rsidRPr="00A371DD">
        <w:rPr>
          <w:rFonts w:ascii="Source Sans Pro" w:eastAsia="Times New Roman" w:hAnsi="Source Sans Pro" w:cs="Times New Roman"/>
          <w:color w:val="76787A"/>
          <w:sz w:val="18"/>
          <w:szCs w:val="18"/>
        </w:rPr>
        <w:t xml:space="preserve"> </w:t>
      </w:r>
    </w:p>
  </w:footnote>
  <w:footnote w:id="21">
    <w:p w14:paraId="5AB17BCD"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hyperlink r:id="rId11">
        <w:r w:rsidRPr="00A371DD">
          <w:rPr>
            <w:rFonts w:ascii="Source Sans Pro" w:eastAsia="Times New Roman" w:hAnsi="Source Sans Pro" w:cs="Times New Roman"/>
            <w:color w:val="76787A"/>
            <w:sz w:val="18"/>
            <w:szCs w:val="18"/>
          </w:rPr>
          <w:t>https://www.ohchr.org/en/press-releases/2022/01/iran-repeal-crippling-new-anti-abortion-law-un-experts?LangID=E&amp;NewsID=27817</w:t>
        </w:r>
      </w:hyperlink>
      <w:r w:rsidRPr="00A371DD">
        <w:rPr>
          <w:rFonts w:ascii="Source Sans Pro" w:eastAsia="Times New Roman" w:hAnsi="Source Sans Pro" w:cs="Times New Roman"/>
          <w:color w:val="76787A"/>
          <w:sz w:val="18"/>
          <w:szCs w:val="18"/>
        </w:rPr>
        <w:t xml:space="preserve"> </w:t>
      </w:r>
    </w:p>
  </w:footnote>
  <w:footnote w:id="22">
    <w:p w14:paraId="65E74E1F" w14:textId="77777777" w:rsidR="000804EC" w:rsidRPr="00A371DD" w:rsidRDefault="00093CB9">
      <w:pPr>
        <w:spacing w:line="240" w:lineRule="auto"/>
        <w:ind w:right="-27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11</w:t>
      </w:r>
    </w:p>
  </w:footnote>
  <w:footnote w:id="23">
    <w:p w14:paraId="75ACF59E"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Article 221 of the Islamic Penal Code (2013), Iran Human Rights Documentation Centre, </w:t>
      </w:r>
      <w:hyperlink r:id="rId12">
        <w:r w:rsidRPr="00A371DD">
          <w:rPr>
            <w:rFonts w:ascii="Source Sans Pro" w:eastAsia="Times New Roman" w:hAnsi="Source Sans Pro" w:cs="Times New Roman"/>
            <w:color w:val="76787A"/>
            <w:sz w:val="18"/>
            <w:szCs w:val="18"/>
          </w:rPr>
          <w:t>https://iranhrdc.org/english-translation-of-books-i-ii-of-the-new-islamic-penal-code/</w:t>
        </w:r>
      </w:hyperlink>
    </w:p>
  </w:footnote>
  <w:footnote w:id="24">
    <w:p w14:paraId="07579FFE"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Iran Human Rights Documentation Center, 2020, </w:t>
      </w:r>
      <w:hyperlink r:id="rId13">
        <w:r w:rsidRPr="00A371DD">
          <w:rPr>
            <w:rFonts w:ascii="Source Sans Pro" w:eastAsia="Times New Roman" w:hAnsi="Source Sans Pro" w:cs="Times New Roman"/>
            <w:color w:val="76787A"/>
            <w:sz w:val="18"/>
            <w:szCs w:val="18"/>
          </w:rPr>
          <w:t>https://iranhrdc.org/access-to-justice-for-victims-of-sexual-violence-in-iran/</w:t>
        </w:r>
      </w:hyperlink>
    </w:p>
  </w:footnote>
  <w:footnote w:id="25">
    <w:p w14:paraId="47A194D6"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Iran Human Rights Documentation Centre </w:t>
      </w:r>
      <w:hyperlink r:id="rId14">
        <w:r w:rsidRPr="00A371DD">
          <w:rPr>
            <w:rFonts w:ascii="Source Sans Pro" w:eastAsia="Times New Roman" w:hAnsi="Source Sans Pro" w:cs="Times New Roman"/>
            <w:color w:val="76787A"/>
            <w:sz w:val="18"/>
            <w:szCs w:val="18"/>
          </w:rPr>
          <w:t>https://iranhrdc.org/wp-content/uploads/pdf_en/LegalCom/Womens_Rights_Commentary_389929723.pdf</w:t>
        </w:r>
      </w:hyperlink>
    </w:p>
  </w:footnote>
  <w:footnote w:id="26">
    <w:p w14:paraId="1CD7AD1C" w14:textId="77777777" w:rsidR="000804EC" w:rsidRPr="00A371DD" w:rsidRDefault="00093CB9">
      <w:pPr>
        <w:spacing w:line="240" w:lineRule="auto"/>
        <w:ind w:right="-36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Article 1114 outlines that, “the wife must stay in the dwelling that the husband allots for her unless such a right is reserved to the wife.”</w:t>
      </w:r>
    </w:p>
  </w:footnote>
  <w:footnote w:id="27">
    <w:p w14:paraId="1918DD12"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A reasonable and valid excuse for a wife to refuse sexual relations is when the husband has contracted a venereal disease. Iran Human Rights Documentation Centre, </w:t>
      </w:r>
      <w:hyperlink r:id="rId15">
        <w:r w:rsidRPr="00A371DD">
          <w:rPr>
            <w:rFonts w:ascii="Source Sans Pro" w:eastAsia="Times New Roman" w:hAnsi="Source Sans Pro" w:cs="Times New Roman"/>
            <w:color w:val="76787A"/>
            <w:sz w:val="18"/>
            <w:szCs w:val="18"/>
          </w:rPr>
          <w:t>https://iranhrdc.org/wp-content/uploads/pdf_en/LegalCom/Womens_Rights_Commentary_389929723.pdf</w:t>
        </w:r>
      </w:hyperlink>
    </w:p>
  </w:footnote>
  <w:footnote w:id="28">
    <w:p w14:paraId="69E5C378"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The study was undertaken by the Women’s Centre for Presidential Advisory, the Interior Ministry and the Ministry of Higher Education of the Islamic Republic of Iran and published in 2004. The study was conducted based on questionnaires and only main cities were visited. </w:t>
      </w:r>
      <w:r w:rsidRPr="00A371DD">
        <w:rPr>
          <w:rFonts w:ascii="Source Sans Pro" w:eastAsia="Times New Roman" w:hAnsi="Source Sans Pro" w:cs="Times New Roman"/>
          <w:color w:val="76787A"/>
          <w:sz w:val="18"/>
          <w:szCs w:val="18"/>
        </w:rPr>
        <w:t xml:space="preserve">Moradian, A., Domestic Violence against Single and Married Women in Iranian Society, The Chicago School of Professional Society, August 2009 </w:t>
      </w:r>
      <w:hyperlink r:id="rId16">
        <w:r w:rsidRPr="00A371DD">
          <w:rPr>
            <w:rFonts w:ascii="Source Sans Pro" w:eastAsia="Times New Roman" w:hAnsi="Source Sans Pro" w:cs="Times New Roman"/>
            <w:color w:val="76787A"/>
            <w:sz w:val="18"/>
            <w:szCs w:val="18"/>
          </w:rPr>
          <w:t>https://iranian.com/2009/09/10/domestic-violence-against-single-and-married-women-in-iranian-society/</w:t>
        </w:r>
      </w:hyperlink>
      <w:r w:rsidRPr="00A371DD">
        <w:rPr>
          <w:rFonts w:ascii="Source Sans Pro" w:eastAsia="Times New Roman" w:hAnsi="Source Sans Pro" w:cs="Times New Roman"/>
          <w:color w:val="76787A"/>
          <w:sz w:val="18"/>
          <w:szCs w:val="18"/>
        </w:rPr>
        <w:t xml:space="preserve"> ; Ceasefire Centre for Civilian Rights, Centre for Supporters of Human Rights and Minority Rights Group International September 2019, </w:t>
      </w:r>
      <w:hyperlink r:id="rId17">
        <w:r w:rsidRPr="00A371DD">
          <w:rPr>
            <w:rFonts w:ascii="Source Sans Pro" w:eastAsia="Times New Roman" w:hAnsi="Source Sans Pro" w:cs="Times New Roman"/>
            <w:color w:val="76787A"/>
            <w:sz w:val="18"/>
            <w:szCs w:val="18"/>
          </w:rPr>
          <w:t>https://www.justice.gov/eoir/page/file/1203136/download</w:t>
        </w:r>
      </w:hyperlink>
      <w:r w:rsidRPr="00A371DD">
        <w:rPr>
          <w:rFonts w:ascii="Source Sans Pro" w:eastAsia="Times New Roman" w:hAnsi="Source Sans Pro" w:cs="Times New Roman"/>
          <w:color w:val="76787A"/>
          <w:sz w:val="18"/>
          <w:szCs w:val="18"/>
        </w:rPr>
        <w:t xml:space="preserve"> ; See also </w:t>
      </w:r>
      <w:hyperlink r:id="rId18">
        <w:r w:rsidRPr="00A371DD">
          <w:rPr>
            <w:rFonts w:ascii="Source Sans Pro" w:eastAsia="Times New Roman" w:hAnsi="Source Sans Pro" w:cs="Times New Roman"/>
            <w:color w:val="76787A"/>
            <w:sz w:val="18"/>
            <w:szCs w:val="18"/>
          </w:rPr>
          <w:t>https</w:t>
        </w:r>
      </w:hyperlink>
      <w:hyperlink r:id="rId19">
        <w:r w:rsidRPr="00A371DD">
          <w:rPr>
            <w:rFonts w:ascii="Source Sans Pro" w:eastAsia="Times New Roman" w:hAnsi="Source Sans Pro" w:cs="Times New Roman"/>
            <w:color w:val="76787A"/>
            <w:sz w:val="18"/>
            <w:szCs w:val="18"/>
          </w:rPr>
          <w:t>://</w:t>
        </w:r>
      </w:hyperlink>
      <w:hyperlink r:id="rId20">
        <w:r w:rsidRPr="00A371DD">
          <w:rPr>
            <w:rFonts w:ascii="Source Sans Pro" w:eastAsia="Times New Roman" w:hAnsi="Source Sans Pro" w:cs="Times New Roman"/>
            <w:color w:val="76787A"/>
            <w:sz w:val="18"/>
            <w:szCs w:val="18"/>
          </w:rPr>
          <w:t>www</w:t>
        </w:r>
      </w:hyperlink>
      <w:hyperlink r:id="rId21">
        <w:r w:rsidRPr="00A371DD">
          <w:rPr>
            <w:rFonts w:ascii="Source Sans Pro" w:eastAsia="Times New Roman" w:hAnsi="Source Sans Pro" w:cs="Times New Roman"/>
            <w:color w:val="76787A"/>
            <w:sz w:val="18"/>
            <w:szCs w:val="18"/>
          </w:rPr>
          <w:t>.</w:t>
        </w:r>
      </w:hyperlink>
      <w:hyperlink r:id="rId22">
        <w:r w:rsidRPr="00A371DD">
          <w:rPr>
            <w:rFonts w:ascii="Source Sans Pro" w:eastAsia="Times New Roman" w:hAnsi="Source Sans Pro" w:cs="Times New Roman"/>
            <w:color w:val="76787A"/>
            <w:sz w:val="18"/>
            <w:szCs w:val="18"/>
          </w:rPr>
          <w:t>isna</w:t>
        </w:r>
      </w:hyperlink>
      <w:hyperlink r:id="rId23">
        <w:r w:rsidRPr="00A371DD">
          <w:rPr>
            <w:rFonts w:ascii="Source Sans Pro" w:eastAsia="Times New Roman" w:hAnsi="Source Sans Pro" w:cs="Times New Roman"/>
            <w:color w:val="76787A"/>
            <w:sz w:val="18"/>
            <w:szCs w:val="18"/>
          </w:rPr>
          <w:t>.</w:t>
        </w:r>
      </w:hyperlink>
      <w:hyperlink r:id="rId24">
        <w:r w:rsidRPr="00A371DD">
          <w:rPr>
            <w:rFonts w:ascii="Source Sans Pro" w:eastAsia="Times New Roman" w:hAnsi="Source Sans Pro" w:cs="Times New Roman"/>
            <w:color w:val="76787A"/>
            <w:sz w:val="18"/>
            <w:szCs w:val="18"/>
          </w:rPr>
          <w:t>ir</w:t>
        </w:r>
      </w:hyperlink>
      <w:hyperlink r:id="rId25">
        <w:r w:rsidRPr="00A371DD">
          <w:rPr>
            <w:rFonts w:ascii="Source Sans Pro" w:eastAsia="Times New Roman" w:hAnsi="Source Sans Pro" w:cs="Times New Roman"/>
            <w:color w:val="76787A"/>
            <w:sz w:val="18"/>
            <w:szCs w:val="18"/>
          </w:rPr>
          <w:t>/</w:t>
        </w:r>
      </w:hyperlink>
      <w:hyperlink r:id="rId26">
        <w:r w:rsidRPr="00A371DD">
          <w:rPr>
            <w:rFonts w:ascii="Source Sans Pro" w:eastAsia="Times New Roman" w:hAnsi="Source Sans Pro" w:cs="Times New Roman"/>
            <w:color w:val="76787A"/>
            <w:sz w:val="18"/>
            <w:szCs w:val="18"/>
          </w:rPr>
          <w:t>news</w:t>
        </w:r>
      </w:hyperlink>
      <w:hyperlink r:id="rId27">
        <w:r w:rsidRPr="00A371DD">
          <w:rPr>
            <w:rFonts w:ascii="Source Sans Pro" w:eastAsia="Times New Roman" w:hAnsi="Source Sans Pro" w:cs="Times New Roman"/>
            <w:color w:val="76787A"/>
            <w:sz w:val="18"/>
            <w:szCs w:val="18"/>
          </w:rPr>
          <w:t>/8307-07024/</w:t>
        </w:r>
      </w:hyperlink>
      <w:hyperlink r:id="rId28">
        <w:r w:rsidRPr="00A371DD">
          <w:rPr>
            <w:rFonts w:ascii="Source Sans Pro" w:eastAsia="Times New Roman" w:hAnsi="Source Sans Pro" w:cs="Times New Roman"/>
            <w:color w:val="76787A"/>
            <w:sz w:val="18"/>
            <w:szCs w:val="18"/>
            <w:rtl/>
          </w:rPr>
          <w:t>نتايج</w:t>
        </w:r>
      </w:hyperlink>
      <w:hyperlink r:id="rId29">
        <w:r w:rsidRPr="00A371DD">
          <w:rPr>
            <w:rFonts w:ascii="Source Sans Pro" w:eastAsia="Times New Roman" w:hAnsi="Source Sans Pro" w:cs="Times New Roman"/>
            <w:color w:val="76787A"/>
            <w:sz w:val="18"/>
            <w:szCs w:val="18"/>
            <w:rtl/>
          </w:rPr>
          <w:t>-</w:t>
        </w:r>
      </w:hyperlink>
      <w:hyperlink r:id="rId30">
        <w:r w:rsidRPr="00A371DD">
          <w:rPr>
            <w:rFonts w:ascii="Source Sans Pro" w:eastAsia="Times New Roman" w:hAnsi="Source Sans Pro" w:cs="Times New Roman"/>
            <w:color w:val="76787A"/>
            <w:sz w:val="18"/>
            <w:szCs w:val="18"/>
            <w:rtl/>
          </w:rPr>
          <w:t>طرح</w:t>
        </w:r>
      </w:hyperlink>
      <w:hyperlink r:id="rId31">
        <w:r w:rsidRPr="00A371DD">
          <w:rPr>
            <w:rFonts w:ascii="Source Sans Pro" w:eastAsia="Times New Roman" w:hAnsi="Source Sans Pro" w:cs="Times New Roman"/>
            <w:color w:val="76787A"/>
            <w:sz w:val="18"/>
            <w:szCs w:val="18"/>
            <w:rtl/>
          </w:rPr>
          <w:t>-</w:t>
        </w:r>
      </w:hyperlink>
      <w:hyperlink r:id="rId32">
        <w:r w:rsidRPr="00A371DD">
          <w:rPr>
            <w:rFonts w:ascii="Source Sans Pro" w:eastAsia="Times New Roman" w:hAnsi="Source Sans Pro" w:cs="Times New Roman"/>
            <w:color w:val="76787A"/>
            <w:sz w:val="18"/>
            <w:szCs w:val="18"/>
            <w:rtl/>
          </w:rPr>
          <w:t>ملي</w:t>
        </w:r>
      </w:hyperlink>
      <w:hyperlink r:id="rId33">
        <w:r w:rsidRPr="00A371DD">
          <w:rPr>
            <w:rFonts w:ascii="Source Sans Pro" w:eastAsia="Times New Roman" w:hAnsi="Source Sans Pro" w:cs="Times New Roman"/>
            <w:color w:val="76787A"/>
            <w:sz w:val="18"/>
            <w:szCs w:val="18"/>
            <w:rtl/>
          </w:rPr>
          <w:t>-</w:t>
        </w:r>
      </w:hyperlink>
      <w:hyperlink r:id="rId34">
        <w:r w:rsidRPr="00A371DD">
          <w:rPr>
            <w:rFonts w:ascii="Source Sans Pro" w:eastAsia="Times New Roman" w:hAnsi="Source Sans Pro" w:cs="Times New Roman"/>
            <w:color w:val="76787A"/>
            <w:sz w:val="18"/>
            <w:szCs w:val="18"/>
            <w:rtl/>
          </w:rPr>
          <w:t>بررسي</w:t>
        </w:r>
      </w:hyperlink>
      <w:hyperlink r:id="rId35">
        <w:r w:rsidRPr="00A371DD">
          <w:rPr>
            <w:rFonts w:ascii="Source Sans Pro" w:eastAsia="Times New Roman" w:hAnsi="Source Sans Pro" w:cs="Times New Roman"/>
            <w:color w:val="76787A"/>
            <w:sz w:val="18"/>
            <w:szCs w:val="18"/>
            <w:rtl/>
          </w:rPr>
          <w:t>-</w:t>
        </w:r>
      </w:hyperlink>
      <w:hyperlink r:id="rId36">
        <w:r w:rsidRPr="00A371DD">
          <w:rPr>
            <w:rFonts w:ascii="Source Sans Pro" w:eastAsia="Times New Roman" w:hAnsi="Source Sans Pro" w:cs="Times New Roman"/>
            <w:color w:val="76787A"/>
            <w:sz w:val="18"/>
            <w:szCs w:val="18"/>
            <w:rtl/>
          </w:rPr>
          <w:t>خشونت</w:t>
        </w:r>
      </w:hyperlink>
      <w:hyperlink r:id="rId37">
        <w:r w:rsidRPr="00A371DD">
          <w:rPr>
            <w:rFonts w:ascii="Source Sans Pro" w:eastAsia="Times New Roman" w:hAnsi="Source Sans Pro" w:cs="Times New Roman"/>
            <w:color w:val="76787A"/>
            <w:sz w:val="18"/>
            <w:szCs w:val="18"/>
            <w:rtl/>
          </w:rPr>
          <w:t>-</w:t>
        </w:r>
      </w:hyperlink>
      <w:hyperlink r:id="rId38">
        <w:r w:rsidRPr="00A371DD">
          <w:rPr>
            <w:rFonts w:ascii="Source Sans Pro" w:eastAsia="Times New Roman" w:hAnsi="Source Sans Pro" w:cs="Times New Roman"/>
            <w:color w:val="76787A"/>
            <w:sz w:val="18"/>
            <w:szCs w:val="18"/>
            <w:rtl/>
          </w:rPr>
          <w:t>خانگي</w:t>
        </w:r>
      </w:hyperlink>
      <w:hyperlink r:id="rId39">
        <w:r w:rsidRPr="00A371DD">
          <w:rPr>
            <w:rFonts w:ascii="Source Sans Pro" w:eastAsia="Times New Roman" w:hAnsi="Source Sans Pro" w:cs="Times New Roman"/>
            <w:color w:val="76787A"/>
            <w:sz w:val="18"/>
            <w:szCs w:val="18"/>
            <w:rtl/>
          </w:rPr>
          <w:t>-</w:t>
        </w:r>
      </w:hyperlink>
      <w:hyperlink r:id="rId40">
        <w:r w:rsidRPr="00A371DD">
          <w:rPr>
            <w:rFonts w:ascii="Source Sans Pro" w:eastAsia="Times New Roman" w:hAnsi="Source Sans Pro" w:cs="Times New Roman"/>
            <w:color w:val="76787A"/>
            <w:sz w:val="18"/>
            <w:szCs w:val="18"/>
            <w:rtl/>
          </w:rPr>
          <w:t>عليه</w:t>
        </w:r>
      </w:hyperlink>
      <w:hyperlink r:id="rId41">
        <w:r w:rsidRPr="00A371DD">
          <w:rPr>
            <w:rFonts w:ascii="Source Sans Pro" w:eastAsia="Times New Roman" w:hAnsi="Source Sans Pro" w:cs="Times New Roman"/>
            <w:color w:val="76787A"/>
            <w:sz w:val="18"/>
            <w:szCs w:val="18"/>
            <w:rtl/>
          </w:rPr>
          <w:t>-</w:t>
        </w:r>
      </w:hyperlink>
      <w:hyperlink r:id="rId42">
        <w:r w:rsidRPr="00A371DD">
          <w:rPr>
            <w:rFonts w:ascii="Source Sans Pro" w:eastAsia="Times New Roman" w:hAnsi="Source Sans Pro" w:cs="Times New Roman"/>
            <w:color w:val="76787A"/>
            <w:sz w:val="18"/>
            <w:szCs w:val="18"/>
            <w:rtl/>
          </w:rPr>
          <w:t>زنان</w:t>
        </w:r>
      </w:hyperlink>
      <w:hyperlink r:id="rId43">
        <w:r w:rsidRPr="00A371DD">
          <w:rPr>
            <w:rFonts w:ascii="Source Sans Pro" w:eastAsia="Times New Roman" w:hAnsi="Source Sans Pro" w:cs="Times New Roman"/>
            <w:color w:val="76787A"/>
            <w:sz w:val="18"/>
            <w:szCs w:val="18"/>
            <w:rtl/>
          </w:rPr>
          <w:t>-</w:t>
        </w:r>
      </w:hyperlink>
      <w:hyperlink r:id="rId44">
        <w:r w:rsidRPr="00A371DD">
          <w:rPr>
            <w:rFonts w:ascii="Source Sans Pro" w:eastAsia="Times New Roman" w:hAnsi="Source Sans Pro" w:cs="Times New Roman"/>
            <w:color w:val="76787A"/>
            <w:sz w:val="18"/>
            <w:szCs w:val="18"/>
            <w:rtl/>
          </w:rPr>
          <w:t>در</w:t>
        </w:r>
      </w:hyperlink>
      <w:hyperlink r:id="rId45">
        <w:r w:rsidRPr="00A371DD">
          <w:rPr>
            <w:rFonts w:ascii="Source Sans Pro" w:eastAsia="Times New Roman" w:hAnsi="Source Sans Pro" w:cs="Times New Roman"/>
            <w:color w:val="76787A"/>
            <w:sz w:val="18"/>
            <w:szCs w:val="18"/>
            <w:rtl/>
          </w:rPr>
          <w:t>-28-</w:t>
        </w:r>
      </w:hyperlink>
      <w:hyperlink r:id="rId46">
        <w:r w:rsidRPr="00A371DD">
          <w:rPr>
            <w:rFonts w:ascii="Source Sans Pro" w:eastAsia="Times New Roman" w:hAnsi="Source Sans Pro" w:cs="Times New Roman"/>
            <w:color w:val="76787A"/>
            <w:sz w:val="18"/>
            <w:szCs w:val="18"/>
            <w:rtl/>
          </w:rPr>
          <w:t>استان</w:t>
        </w:r>
      </w:hyperlink>
      <w:hyperlink r:id="rId47">
        <w:r w:rsidRPr="00A371DD">
          <w:rPr>
            <w:rFonts w:ascii="Source Sans Pro" w:eastAsia="Times New Roman" w:hAnsi="Source Sans Pro" w:cs="Times New Roman"/>
            <w:color w:val="76787A"/>
            <w:sz w:val="18"/>
            <w:szCs w:val="18"/>
            <w:rtl/>
          </w:rPr>
          <w:t>-</w:t>
        </w:r>
      </w:hyperlink>
      <w:hyperlink r:id="rId48">
        <w:r w:rsidRPr="00A371DD">
          <w:rPr>
            <w:rFonts w:ascii="Source Sans Pro" w:eastAsia="Times New Roman" w:hAnsi="Source Sans Pro" w:cs="Times New Roman"/>
            <w:color w:val="76787A"/>
            <w:sz w:val="18"/>
            <w:szCs w:val="18"/>
            <w:rtl/>
          </w:rPr>
          <w:t>اعلام</w:t>
        </w:r>
      </w:hyperlink>
      <w:hyperlink r:id="rId49">
        <w:r w:rsidRPr="00A371DD">
          <w:rPr>
            <w:rFonts w:ascii="Source Sans Pro" w:eastAsia="Times New Roman" w:hAnsi="Source Sans Pro" w:cs="Times New Roman"/>
            <w:color w:val="76787A"/>
            <w:sz w:val="18"/>
            <w:szCs w:val="18"/>
          </w:rPr>
          <w:t>A</w:t>
        </w:r>
      </w:hyperlink>
    </w:p>
  </w:footnote>
  <w:footnote w:id="29">
    <w:p w14:paraId="2E88BAD2"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Activists News Agency, 2019,  </w:t>
      </w:r>
      <w:hyperlink r:id="rId50">
        <w:r w:rsidRPr="00A371DD">
          <w:rPr>
            <w:rFonts w:ascii="Source Sans Pro" w:eastAsia="Times New Roman" w:hAnsi="Source Sans Pro" w:cs="Times New Roman"/>
            <w:color w:val="76787A"/>
            <w:sz w:val="18"/>
            <w:szCs w:val="18"/>
          </w:rPr>
          <w:t>https://www.en-hrana.org/increase-in-domestic-violence-in-tehran-more-than-16-thousand-cases-were-filed</w:t>
        </w:r>
      </w:hyperlink>
      <w:r w:rsidRPr="00A371DD">
        <w:rPr>
          <w:rFonts w:ascii="Source Sans Pro" w:eastAsia="Times New Roman" w:hAnsi="Source Sans Pro" w:cs="Times New Roman"/>
          <w:color w:val="76787A"/>
          <w:sz w:val="18"/>
          <w:szCs w:val="18"/>
        </w:rPr>
        <w:t xml:space="preserve"> </w:t>
      </w:r>
    </w:p>
  </w:footnote>
  <w:footnote w:id="30">
    <w:p w14:paraId="4E73D72A"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Activists News Agency, 2020, </w:t>
      </w:r>
      <w:hyperlink r:id="rId51">
        <w:r w:rsidRPr="00A371DD">
          <w:rPr>
            <w:rFonts w:ascii="Source Sans Pro" w:eastAsia="Times New Roman" w:hAnsi="Source Sans Pro" w:cs="Times New Roman"/>
            <w:color w:val="76787A"/>
            <w:sz w:val="18"/>
            <w:szCs w:val="18"/>
          </w:rPr>
          <w:t>https://www.en-hrana.org/domestic-violence-increased-during-coronavirus-quarantines-and-stay-at-home-orders</w:t>
        </w:r>
      </w:hyperlink>
      <w:r w:rsidRPr="00A371DD">
        <w:rPr>
          <w:rFonts w:ascii="Source Sans Pro" w:eastAsia="Times New Roman" w:hAnsi="Source Sans Pro" w:cs="Times New Roman"/>
          <w:color w:val="76787A"/>
          <w:sz w:val="18"/>
          <w:szCs w:val="18"/>
        </w:rPr>
        <w:t xml:space="preserve"> </w:t>
      </w:r>
    </w:p>
  </w:footnote>
  <w:footnote w:id="31">
    <w:p w14:paraId="4D124E08"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Activists News Agency, 2020, </w:t>
      </w:r>
      <w:hyperlink r:id="rId52">
        <w:r w:rsidRPr="00A371DD">
          <w:rPr>
            <w:rFonts w:ascii="Source Sans Pro" w:eastAsia="Times New Roman" w:hAnsi="Source Sans Pro" w:cs="Times New Roman"/>
            <w:color w:val="76787A"/>
            <w:sz w:val="18"/>
            <w:szCs w:val="18"/>
          </w:rPr>
          <w:t>https://www.en-hrana.org/domestic-violence-increased-during-coronavirus-quarantines-and-stay-at-home-orders</w:t>
        </w:r>
      </w:hyperlink>
      <w:r w:rsidRPr="00A371DD">
        <w:rPr>
          <w:rFonts w:ascii="Source Sans Pro" w:eastAsia="Times New Roman" w:hAnsi="Source Sans Pro" w:cs="Times New Roman"/>
          <w:color w:val="76787A"/>
          <w:sz w:val="18"/>
          <w:szCs w:val="18"/>
        </w:rPr>
        <w:t xml:space="preserve"> ; IRNA, 2020, </w:t>
      </w:r>
      <w:hyperlink r:id="rId53">
        <w:r w:rsidRPr="00A371DD">
          <w:rPr>
            <w:rFonts w:ascii="Source Sans Pro" w:eastAsia="Times New Roman" w:hAnsi="Source Sans Pro" w:cs="Times New Roman"/>
            <w:color w:val="76787A"/>
            <w:sz w:val="18"/>
            <w:szCs w:val="18"/>
          </w:rPr>
          <w:t>https://bit.ly/2VRztcz</w:t>
        </w:r>
      </w:hyperlink>
      <w:r w:rsidRPr="00A371DD">
        <w:rPr>
          <w:rFonts w:ascii="Source Sans Pro" w:eastAsia="Times New Roman" w:hAnsi="Source Sans Pro" w:cs="Times New Roman"/>
          <w:color w:val="76787A"/>
          <w:sz w:val="18"/>
          <w:szCs w:val="18"/>
        </w:rPr>
        <w:t xml:space="preserve"> </w:t>
      </w:r>
    </w:p>
  </w:footnote>
  <w:footnote w:id="32">
    <w:p w14:paraId="524878B3" w14:textId="77777777" w:rsidR="000804EC" w:rsidRPr="00A371DD" w:rsidRDefault="00093CB9">
      <w:pPr>
        <w:spacing w:line="240" w:lineRule="auto"/>
        <w:ind w:right="-36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11</w:t>
      </w:r>
    </w:p>
  </w:footnote>
  <w:footnote w:id="33">
    <w:p w14:paraId="414B452B"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See www.irna.ir/news/83656641/ ; Report of the Special Rapporteur on the situation of human rights in the Islamic Republic of Iran, July 2020, https://undocs.org/A/75/213 </w:t>
      </w:r>
    </w:p>
  </w:footnote>
  <w:footnote w:id="34">
    <w:p w14:paraId="7FA949CD"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UPR 2019, National Report, Islamic Republic of Iran, https://undocs.org/A/HRC/WG.6/34/IRN/1</w:t>
      </w:r>
    </w:p>
  </w:footnote>
  <w:footnote w:id="35">
    <w:p w14:paraId="1C812CBE"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Activists News Agency, 2019,  https://www.en-hrana.org/increase-in-domestic-violence-in-tehran-more-than-16-thousand-cases-were-filed </w:t>
      </w:r>
    </w:p>
  </w:footnote>
  <w:footnote w:id="36">
    <w:p w14:paraId="229E44D3"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Ceasefire Centre for Civilian Rights, Centre for Supporters of Human Rights and Minority Rights Group International</w:t>
      </w:r>
    </w:p>
    <w:p w14:paraId="2CC3174A"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eastAsia="Times New Roman" w:hAnsi="Source Sans Pro" w:cs="Times New Roman"/>
          <w:color w:val="76787A"/>
          <w:sz w:val="18"/>
          <w:szCs w:val="18"/>
        </w:rPr>
        <w:t xml:space="preserve">September 2019, </w:t>
      </w:r>
      <w:hyperlink r:id="rId54">
        <w:r w:rsidRPr="00A371DD">
          <w:rPr>
            <w:rFonts w:ascii="Source Sans Pro" w:eastAsia="Times New Roman" w:hAnsi="Source Sans Pro" w:cs="Times New Roman"/>
            <w:color w:val="76787A"/>
            <w:sz w:val="18"/>
            <w:szCs w:val="18"/>
          </w:rPr>
          <w:t>https://www.justice.gov/eoir/page/file/1203136/download</w:t>
        </w:r>
      </w:hyperlink>
      <w:r w:rsidRPr="00A371DD">
        <w:rPr>
          <w:rFonts w:ascii="Source Sans Pro" w:eastAsia="Times New Roman" w:hAnsi="Source Sans Pro" w:cs="Times New Roman"/>
          <w:color w:val="76787A"/>
          <w:sz w:val="18"/>
          <w:szCs w:val="18"/>
        </w:rPr>
        <w:t xml:space="preserve"> </w:t>
      </w:r>
    </w:p>
  </w:footnote>
  <w:footnote w:id="37">
    <w:p w14:paraId="5361340B" w14:textId="77777777" w:rsidR="000804EC" w:rsidRPr="00A371DD" w:rsidRDefault="00093CB9">
      <w:pPr>
        <w:spacing w:line="240" w:lineRule="auto"/>
        <w:ind w:right="-36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11</w:t>
      </w:r>
    </w:p>
  </w:footnote>
  <w:footnote w:id="38">
    <w:p w14:paraId="531672BF"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Islamic Penal Code, 2013, Art. 301</w:t>
      </w:r>
    </w:p>
  </w:footnote>
  <w:footnote w:id="39">
    <w:p w14:paraId="1F3CE0AE"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Islamic Penal Code, arts. 221-32.</w:t>
      </w:r>
    </w:p>
  </w:footnote>
  <w:footnote w:id="40">
    <w:p w14:paraId="7D843E23" w14:textId="77777777" w:rsidR="000804EC" w:rsidRPr="00A371DD" w:rsidRDefault="00093CB9">
      <w:pPr>
        <w:spacing w:line="240" w:lineRule="auto"/>
        <w:ind w:right="-36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20</w:t>
      </w:r>
    </w:p>
  </w:footnote>
  <w:footnote w:id="41">
    <w:p w14:paraId="5550B721"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55">
        <w:r w:rsidRPr="00A371DD">
          <w:rPr>
            <w:rFonts w:ascii="Source Sans Pro" w:eastAsia="Times New Roman" w:hAnsi="Source Sans Pro" w:cs="Times New Roman"/>
            <w:color w:val="76787A"/>
            <w:sz w:val="18"/>
            <w:szCs w:val="18"/>
          </w:rPr>
          <w:t>https://rc.majlis.ir/fa/law/show/94178</w:t>
        </w:r>
      </w:hyperlink>
      <w:r w:rsidRPr="00A371DD">
        <w:rPr>
          <w:rFonts w:ascii="Source Sans Pro" w:eastAsia="Times New Roman" w:hAnsi="Source Sans Pro" w:cs="Times New Roman"/>
          <w:color w:val="76787A"/>
          <w:sz w:val="18"/>
          <w:szCs w:val="18"/>
        </w:rPr>
        <w:t xml:space="preserve"> </w:t>
      </w:r>
    </w:p>
  </w:footnote>
  <w:footnote w:id="42">
    <w:p w14:paraId="148E54EB"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56">
        <w:r w:rsidRPr="00A371DD">
          <w:rPr>
            <w:rFonts w:ascii="Source Sans Pro" w:eastAsia="Times New Roman" w:hAnsi="Source Sans Pro" w:cs="Times New Roman"/>
            <w:color w:val="76787A"/>
            <w:sz w:val="18"/>
            <w:szCs w:val="18"/>
          </w:rPr>
          <w:t>https://rc.majlis.ir/fa/law/show/94178</w:t>
        </w:r>
      </w:hyperlink>
      <w:r w:rsidRPr="00A371DD">
        <w:rPr>
          <w:rFonts w:ascii="Source Sans Pro" w:eastAsia="Times New Roman" w:hAnsi="Source Sans Pro" w:cs="Times New Roman"/>
          <w:color w:val="76787A"/>
          <w:sz w:val="18"/>
          <w:szCs w:val="18"/>
        </w:rPr>
        <w:t xml:space="preserve"> </w:t>
      </w:r>
    </w:p>
  </w:footnote>
  <w:footnote w:id="43">
    <w:p w14:paraId="335C6C60"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57">
        <w:r w:rsidRPr="00A371DD">
          <w:rPr>
            <w:rFonts w:ascii="Source Sans Pro" w:eastAsia="Times New Roman" w:hAnsi="Source Sans Pro" w:cs="Times New Roman"/>
            <w:color w:val="76787A"/>
            <w:sz w:val="18"/>
            <w:szCs w:val="18"/>
          </w:rPr>
          <w:t>http://cabinetoffice.ir/fa/print/4997</w:t>
        </w:r>
      </w:hyperlink>
      <w:r w:rsidRPr="00A371DD">
        <w:rPr>
          <w:rFonts w:ascii="Source Sans Pro" w:eastAsia="Times New Roman" w:hAnsi="Source Sans Pro" w:cs="Times New Roman"/>
          <w:color w:val="76787A"/>
          <w:sz w:val="18"/>
          <w:szCs w:val="18"/>
        </w:rPr>
        <w:t xml:space="preserve"> </w:t>
      </w:r>
    </w:p>
  </w:footnote>
  <w:footnote w:id="44">
    <w:p w14:paraId="7BB670C5"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58">
        <w:r w:rsidRPr="00A371DD">
          <w:rPr>
            <w:rFonts w:ascii="Source Sans Pro" w:eastAsia="Times New Roman" w:hAnsi="Source Sans Pro" w:cs="Times New Roman"/>
            <w:color w:val="76787A"/>
            <w:sz w:val="18"/>
            <w:szCs w:val="18"/>
          </w:rPr>
          <w:t>http://cabinetoffice.ir/fa/print/4997</w:t>
        </w:r>
      </w:hyperlink>
      <w:r w:rsidRPr="00A371DD">
        <w:rPr>
          <w:rFonts w:ascii="Source Sans Pro" w:eastAsia="Times New Roman" w:hAnsi="Source Sans Pro" w:cs="Times New Roman"/>
          <w:color w:val="76787A"/>
          <w:sz w:val="18"/>
          <w:szCs w:val="18"/>
        </w:rPr>
        <w:t xml:space="preserve"> </w:t>
      </w:r>
    </w:p>
  </w:footnote>
  <w:footnote w:id="45">
    <w:p w14:paraId="211123DD"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59">
        <w:r w:rsidRPr="00A371DD">
          <w:rPr>
            <w:rFonts w:ascii="Source Sans Pro" w:eastAsia="Times New Roman" w:hAnsi="Source Sans Pro" w:cs="Times New Roman"/>
            <w:color w:val="76787A"/>
            <w:sz w:val="18"/>
            <w:szCs w:val="18"/>
          </w:rPr>
          <w:t>https://www.ohchr.org/sites/default/files/Documents/Publications/FS36_en.pdf</w:t>
        </w:r>
      </w:hyperlink>
      <w:r w:rsidRPr="00A371DD">
        <w:rPr>
          <w:rFonts w:ascii="Source Sans Pro" w:eastAsia="Times New Roman" w:hAnsi="Source Sans Pro" w:cs="Times New Roman"/>
          <w:color w:val="76787A"/>
          <w:sz w:val="18"/>
          <w:szCs w:val="18"/>
        </w:rPr>
        <w:t xml:space="preserve"> </w:t>
      </w:r>
    </w:p>
  </w:footnote>
  <w:footnote w:id="46">
    <w:p w14:paraId="29999726"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60">
        <w:r w:rsidRPr="00A371DD">
          <w:rPr>
            <w:rFonts w:ascii="Source Sans Pro" w:eastAsia="Times New Roman" w:hAnsi="Source Sans Pro" w:cs="Times New Roman"/>
            <w:color w:val="76787A"/>
            <w:sz w:val="18"/>
            <w:szCs w:val="18"/>
          </w:rPr>
          <w:t>https://www.radiofarda.com/a/Trafficking-in-Persons-Report-2018-iran/29327230.html</w:t>
        </w:r>
      </w:hyperlink>
      <w:r w:rsidRPr="00A371DD">
        <w:rPr>
          <w:rFonts w:ascii="Source Sans Pro" w:eastAsia="Times New Roman" w:hAnsi="Source Sans Pro" w:cs="Times New Roman"/>
          <w:color w:val="76787A"/>
          <w:sz w:val="18"/>
          <w:szCs w:val="18"/>
        </w:rPr>
        <w:t xml:space="preserve"> ; </w:t>
      </w:r>
      <w:hyperlink r:id="rId61">
        <w:r w:rsidRPr="00A371DD">
          <w:rPr>
            <w:rFonts w:ascii="Source Sans Pro" w:eastAsia="Times New Roman" w:hAnsi="Source Sans Pro" w:cs="Times New Roman"/>
            <w:color w:val="76787A"/>
            <w:sz w:val="18"/>
            <w:szCs w:val="18"/>
          </w:rPr>
          <w:t>http://shargh.jrl.police.ir/article_95328_95254e66a74f7c5ce3e74fe16f286e21.pdf</w:t>
        </w:r>
      </w:hyperlink>
      <w:r w:rsidRPr="00A371DD">
        <w:rPr>
          <w:rFonts w:ascii="Source Sans Pro" w:eastAsia="Times New Roman" w:hAnsi="Source Sans Pro" w:cs="Times New Roman"/>
          <w:color w:val="76787A"/>
          <w:sz w:val="18"/>
          <w:szCs w:val="18"/>
        </w:rPr>
        <w:t xml:space="preserve"> </w:t>
      </w:r>
    </w:p>
  </w:footnote>
  <w:footnote w:id="47">
    <w:p w14:paraId="044859AF" w14:textId="77777777" w:rsidR="000804EC" w:rsidRPr="00A371DD" w:rsidRDefault="00093CB9">
      <w:pPr>
        <w:spacing w:line="240" w:lineRule="auto"/>
        <w:ind w:right="-360"/>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Human Rights Committee, </w:t>
      </w:r>
      <w:r w:rsidRPr="00A371DD">
        <w:rPr>
          <w:rFonts w:ascii="Source Sans Pro" w:eastAsia="Times New Roman" w:hAnsi="Source Sans Pro" w:cs="Times New Roman"/>
          <w:i/>
          <w:color w:val="76787A"/>
          <w:sz w:val="18"/>
          <w:szCs w:val="18"/>
        </w:rPr>
        <w:t>Concluding observations: Islamic Republic of Iran</w:t>
      </w:r>
      <w:r w:rsidRPr="00A371DD">
        <w:rPr>
          <w:rFonts w:ascii="Source Sans Pro" w:eastAsia="Times New Roman" w:hAnsi="Source Sans Pro" w:cs="Times New Roman"/>
          <w:color w:val="76787A"/>
          <w:sz w:val="18"/>
          <w:szCs w:val="18"/>
        </w:rPr>
        <w:t>, 29 November 2011, CCPR/C/IRN/CO/3, para. 28</w:t>
      </w:r>
    </w:p>
  </w:footnote>
  <w:footnote w:id="48">
    <w:p w14:paraId="66A54FFC"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CRC/C/IRN/CO/3-4, para. 27-28 </w:t>
      </w:r>
      <w:hyperlink r:id="rId62">
        <w:r w:rsidRPr="00A371DD">
          <w:rPr>
            <w:rFonts w:ascii="Source Sans Pro" w:eastAsia="Times New Roman" w:hAnsi="Source Sans Pro" w:cs="Times New Roman"/>
            <w:color w:val="76787A"/>
            <w:sz w:val="18"/>
            <w:szCs w:val="18"/>
          </w:rPr>
          <w:t>https://undocs.org/en/CRC/C/IRN/CO/3-4</w:t>
        </w:r>
      </w:hyperlink>
    </w:p>
  </w:footnote>
  <w:footnote w:id="49">
    <w:p w14:paraId="6EFA6656"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Article 1041 of the Civil Code as amended up until December 2000</w:t>
      </w:r>
    </w:p>
  </w:footnote>
  <w:footnote w:id="50">
    <w:p w14:paraId="1734F1BF"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Iran Human Rights Documentation Center, </w:t>
      </w:r>
      <w:hyperlink r:id="rId63">
        <w:r w:rsidRPr="00A371DD">
          <w:rPr>
            <w:rFonts w:ascii="Source Sans Pro" w:eastAsia="Times New Roman" w:hAnsi="Source Sans Pro" w:cs="Times New Roman"/>
            <w:color w:val="76787A"/>
            <w:sz w:val="18"/>
            <w:szCs w:val="18"/>
          </w:rPr>
          <w:t>https://iranhrdc.org/wp-content/uploads/pdf_en/LegalCom/Womens_Rights_Commentary_389929723.pdf</w:t>
        </w:r>
      </w:hyperlink>
      <w:r w:rsidRPr="00A371DD">
        <w:rPr>
          <w:rFonts w:ascii="Source Sans Pro" w:eastAsia="Times New Roman" w:hAnsi="Source Sans Pro" w:cs="Times New Roman"/>
          <w:color w:val="76787A"/>
          <w:sz w:val="18"/>
          <w:szCs w:val="18"/>
        </w:rPr>
        <w:t xml:space="preserve"> </w:t>
      </w:r>
    </w:p>
  </w:footnote>
  <w:footnote w:id="51">
    <w:p w14:paraId="652AF3A4"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Committee on the Rights of the Child, 2016, CRC/C/IRN/CO/3-4, paras. 27–28 </w:t>
      </w:r>
      <w:hyperlink r:id="rId64">
        <w:r w:rsidRPr="00A371DD">
          <w:rPr>
            <w:rFonts w:ascii="Source Sans Pro" w:eastAsia="Times New Roman" w:hAnsi="Source Sans Pro" w:cs="Times New Roman"/>
            <w:color w:val="76787A"/>
            <w:sz w:val="18"/>
            <w:szCs w:val="18"/>
          </w:rPr>
          <w:t>https://undocs.org/en/CRC/C/IRN/CO/3-4</w:t>
        </w:r>
      </w:hyperlink>
      <w:r w:rsidRPr="00A371DD">
        <w:rPr>
          <w:rFonts w:ascii="Source Sans Pro" w:eastAsia="Times New Roman" w:hAnsi="Source Sans Pro" w:cs="Times New Roman"/>
          <w:color w:val="76787A"/>
          <w:sz w:val="18"/>
          <w:szCs w:val="18"/>
        </w:rPr>
        <w:t xml:space="preserve"> </w:t>
      </w:r>
    </w:p>
  </w:footnote>
  <w:footnote w:id="52">
    <w:p w14:paraId="3BD1D0D1"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The marriage may not be consummated until the girls reach puberty. </w:t>
      </w:r>
    </w:p>
  </w:footnote>
  <w:footnote w:id="53">
    <w:p w14:paraId="7B44AD86"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Iran Human Rights Documentation Center, </w:t>
      </w:r>
      <w:hyperlink r:id="rId65">
        <w:r w:rsidRPr="00A371DD">
          <w:rPr>
            <w:rFonts w:ascii="Source Sans Pro" w:eastAsia="Times New Roman" w:hAnsi="Source Sans Pro" w:cs="Times New Roman"/>
            <w:color w:val="76787A"/>
            <w:sz w:val="18"/>
            <w:szCs w:val="18"/>
          </w:rPr>
          <w:t>https://iranhrdc.org/wp-content/uploads/pdf_en/LegalCom/Womens_Rights_Commentary_389929723.pdf</w:t>
        </w:r>
      </w:hyperlink>
    </w:p>
  </w:footnote>
  <w:footnote w:id="54">
    <w:p w14:paraId="14C1F873"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Universal Periodic Review, 2019, Reply of the Islamic Republic of Iran, </w:t>
      </w:r>
      <w:hyperlink r:id="rId66">
        <w:r w:rsidRPr="00A371DD">
          <w:rPr>
            <w:rFonts w:ascii="Source Sans Pro" w:eastAsia="Times New Roman" w:hAnsi="Source Sans Pro" w:cs="Times New Roman"/>
            <w:color w:val="76787A"/>
            <w:sz w:val="18"/>
            <w:szCs w:val="18"/>
          </w:rPr>
          <w:t>https://undocs.org/en/A/HRC/43/12/Add.1</w:t>
        </w:r>
      </w:hyperlink>
      <w:r w:rsidRPr="00A371DD">
        <w:rPr>
          <w:rFonts w:ascii="Source Sans Pro" w:eastAsia="Times New Roman" w:hAnsi="Source Sans Pro" w:cs="Times New Roman"/>
          <w:color w:val="76787A"/>
          <w:sz w:val="18"/>
          <w:szCs w:val="18"/>
        </w:rPr>
        <w:t xml:space="preserve"> </w:t>
      </w:r>
    </w:p>
  </w:footnote>
  <w:footnote w:id="55">
    <w:p w14:paraId="70651689"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Islamic Penal Code, Book 2, arts. 146 and 147.  </w:t>
      </w:r>
    </w:p>
  </w:footnote>
  <w:footnote w:id="56">
    <w:p w14:paraId="711E7FE6" w14:textId="77777777" w:rsidR="000804EC" w:rsidRPr="00A371DD" w:rsidRDefault="00093CB9">
      <w:pPr>
        <w:spacing w:line="240" w:lineRule="auto"/>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The National Institution of Registry </w:t>
      </w:r>
      <w:hyperlink r:id="rId67">
        <w:r w:rsidRPr="00A371DD">
          <w:rPr>
            <w:rFonts w:ascii="Source Sans Pro" w:eastAsia="Times New Roman" w:hAnsi="Source Sans Pro" w:cs="Times New Roman"/>
            <w:color w:val="76787A"/>
            <w:sz w:val="18"/>
            <w:szCs w:val="18"/>
          </w:rPr>
          <w:t>www.sabteahval.ir/avej/tab-1499.aspx</w:t>
        </w:r>
      </w:hyperlink>
      <w:r w:rsidRPr="00A371DD">
        <w:rPr>
          <w:rFonts w:ascii="Source Sans Pro" w:eastAsia="Times New Roman" w:hAnsi="Source Sans Pro" w:cs="Times New Roman"/>
          <w:color w:val="76787A"/>
          <w:sz w:val="18"/>
          <w:szCs w:val="18"/>
        </w:rPr>
        <w:t xml:space="preserve"> </w:t>
      </w:r>
    </w:p>
  </w:footnote>
  <w:footnote w:id="57">
    <w:p w14:paraId="3A1D9DC1" w14:textId="77777777" w:rsidR="000804EC" w:rsidRPr="00A371DD" w:rsidRDefault="00093CB9">
      <w:pPr>
        <w:spacing w:line="240" w:lineRule="auto"/>
        <w:jc w:val="left"/>
        <w:rPr>
          <w:rFonts w:ascii="Source Sans Pro" w:eastAsia="Times New Roman" w:hAnsi="Source Sans Pro"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68">
        <w:r w:rsidRPr="00A371DD">
          <w:rPr>
            <w:rFonts w:ascii="Source Sans Pro" w:eastAsia="Times New Roman" w:hAnsi="Source Sans Pro" w:cs="Times New Roman"/>
            <w:color w:val="76787A"/>
            <w:sz w:val="18"/>
            <w:szCs w:val="18"/>
          </w:rPr>
          <w:t>https://www.sabteahval.ir/avej/Page.aspx?mId=49826&amp;ID=3256&amp;Page=Magazines/SquareshowMagazine</w:t>
        </w:r>
      </w:hyperlink>
      <w:r w:rsidRPr="00A371DD">
        <w:rPr>
          <w:rFonts w:ascii="Source Sans Pro" w:eastAsia="Times New Roman" w:hAnsi="Source Sans Pro" w:cs="Times New Roman"/>
          <w:color w:val="76787A"/>
          <w:sz w:val="18"/>
          <w:szCs w:val="18"/>
        </w:rPr>
        <w:t xml:space="preserve"> </w:t>
      </w:r>
    </w:p>
  </w:footnote>
  <w:footnote w:id="58">
    <w:p w14:paraId="1D39D10E" w14:textId="77777777" w:rsidR="000804EC" w:rsidRDefault="00093CB9">
      <w:pPr>
        <w:spacing w:line="240" w:lineRule="auto"/>
        <w:jc w:val="left"/>
        <w:rPr>
          <w:rFonts w:ascii="Times New Roman" w:eastAsia="Times New Roman" w:hAnsi="Times New Roman" w:cs="Times New Roman"/>
          <w:color w:val="76787A"/>
          <w:sz w:val="18"/>
          <w:szCs w:val="18"/>
        </w:rPr>
      </w:pPr>
      <w:r w:rsidRPr="00A371DD">
        <w:rPr>
          <w:rFonts w:ascii="Source Sans Pro" w:hAnsi="Source Sans Pro"/>
          <w:color w:val="76787A"/>
          <w:vertAlign w:val="superscript"/>
        </w:rPr>
        <w:footnoteRef/>
      </w:r>
      <w:r w:rsidRPr="00A371DD">
        <w:rPr>
          <w:rFonts w:ascii="Source Sans Pro" w:eastAsia="Times New Roman" w:hAnsi="Source Sans Pro" w:cs="Times New Roman"/>
          <w:color w:val="76787A"/>
          <w:sz w:val="18"/>
          <w:szCs w:val="18"/>
        </w:rPr>
        <w:t xml:space="preserve"> </w:t>
      </w:r>
      <w:hyperlink r:id="rId69">
        <w:r w:rsidRPr="00A371DD">
          <w:rPr>
            <w:rFonts w:ascii="Source Sans Pro" w:eastAsia="Times New Roman" w:hAnsi="Source Sans Pro" w:cs="Times New Roman"/>
            <w:color w:val="76787A"/>
            <w:sz w:val="18"/>
            <w:szCs w:val="18"/>
          </w:rPr>
          <w:t>https://www.isna.ir/news/1400083023744/</w:t>
        </w:r>
      </w:hyperlink>
      <w:r w:rsidRPr="00A371DD">
        <w:rPr>
          <w:rFonts w:ascii="Times New Roman" w:eastAsia="Times New Roman" w:hAnsi="Times New Roman" w:cs="Times New Roman"/>
          <w:color w:val="76787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8BDF" w14:textId="77777777" w:rsidR="000804EC" w:rsidRDefault="000804EC"/>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3480"/>
      <w:gridCol w:w="3120"/>
    </w:tblGrid>
    <w:tr w:rsidR="000804EC" w14:paraId="6CC2DC2B" w14:textId="77777777">
      <w:trPr>
        <w:trHeight w:val="1395"/>
      </w:trPr>
      <w:tc>
        <w:tcPr>
          <w:tcW w:w="276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498D90F" w14:textId="77777777" w:rsidR="000804EC" w:rsidRDefault="00093CB9">
          <w:pPr>
            <w:widowControl w:val="0"/>
            <w:pBdr>
              <w:top w:val="nil"/>
              <w:left w:val="nil"/>
              <w:bottom w:val="nil"/>
              <w:right w:val="nil"/>
              <w:between w:val="nil"/>
            </w:pBdr>
            <w:spacing w:line="240" w:lineRule="auto"/>
            <w:jc w:val="left"/>
          </w:pPr>
          <w:r>
            <w:rPr>
              <w:noProof/>
            </w:rPr>
            <w:drawing>
              <wp:anchor distT="0" distB="0" distL="114300" distR="114300" simplePos="0" relativeHeight="251658240" behindDoc="0" locked="0" layoutInCell="1" hidden="0" allowOverlap="1" wp14:anchorId="50FD6B4E" wp14:editId="250A6A9A">
                <wp:simplePos x="0" y="0"/>
                <wp:positionH relativeFrom="column">
                  <wp:posOffset>171450</wp:posOffset>
                </wp:positionH>
                <wp:positionV relativeFrom="paragraph">
                  <wp:posOffset>0</wp:posOffset>
                </wp:positionV>
                <wp:extent cx="1110542" cy="742950"/>
                <wp:effectExtent l="0" t="0" r="0" b="0"/>
                <wp:wrapNone/>
                <wp:docPr id="6" name="image5.png" descr="Une image contenant assis, rouge, vert, noi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png" descr="Une image contenant assis, rouge, vert, noir&#10;&#10;Description générée automatiquement"/>
                        <pic:cNvPicPr preferRelativeResize="0"/>
                      </pic:nvPicPr>
                      <pic:blipFill>
                        <a:blip r:embed="rId1"/>
                        <a:srcRect/>
                        <a:stretch>
                          <a:fillRect/>
                        </a:stretch>
                      </pic:blipFill>
                      <pic:spPr>
                        <a:xfrm>
                          <a:off x="0" y="0"/>
                          <a:ext cx="1110542" cy="742950"/>
                        </a:xfrm>
                        <a:prstGeom prst="rect">
                          <a:avLst/>
                        </a:prstGeom>
                        <a:ln/>
                      </pic:spPr>
                    </pic:pic>
                  </a:graphicData>
                </a:graphic>
              </wp:anchor>
            </w:drawing>
          </w:r>
        </w:p>
      </w:tc>
      <w:tc>
        <w:tcPr>
          <w:tcW w:w="34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6CBCF6A" w14:textId="77777777" w:rsidR="000804EC" w:rsidRDefault="00093CB9">
          <w:pPr>
            <w:widowControl w:val="0"/>
            <w:pBdr>
              <w:top w:val="nil"/>
              <w:left w:val="nil"/>
              <w:bottom w:val="nil"/>
              <w:right w:val="nil"/>
              <w:between w:val="nil"/>
            </w:pBdr>
            <w:spacing w:line="240" w:lineRule="auto"/>
            <w:jc w:val="left"/>
          </w:pPr>
          <w:r>
            <w:rPr>
              <w:noProof/>
            </w:rPr>
            <w:drawing>
              <wp:anchor distT="0" distB="0" distL="114300" distR="114300" simplePos="0" relativeHeight="251659264" behindDoc="0" locked="0" layoutInCell="1" hidden="0" allowOverlap="1" wp14:anchorId="1BA85291" wp14:editId="23743621">
                <wp:simplePos x="0" y="0"/>
                <wp:positionH relativeFrom="column">
                  <wp:posOffset>116205</wp:posOffset>
                </wp:positionH>
                <wp:positionV relativeFrom="paragraph">
                  <wp:posOffset>0</wp:posOffset>
                </wp:positionV>
                <wp:extent cx="1845945" cy="501015"/>
                <wp:effectExtent l="0" t="0" r="0" b="0"/>
                <wp:wrapNone/>
                <wp:docPr id="7" name="image2.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png" descr="Une image contenant dessin&#10;&#10;Description générée automatiquement"/>
                        <pic:cNvPicPr preferRelativeResize="0"/>
                      </pic:nvPicPr>
                      <pic:blipFill>
                        <a:blip r:embed="rId2"/>
                        <a:srcRect/>
                        <a:stretch>
                          <a:fillRect/>
                        </a:stretch>
                      </pic:blipFill>
                      <pic:spPr>
                        <a:xfrm>
                          <a:off x="0" y="0"/>
                          <a:ext cx="1845945" cy="501015"/>
                        </a:xfrm>
                        <a:prstGeom prst="rect">
                          <a:avLst/>
                        </a:prstGeom>
                        <a:ln/>
                      </pic:spPr>
                    </pic:pic>
                  </a:graphicData>
                </a:graphic>
              </wp:anchor>
            </w:drawing>
          </w:r>
        </w:p>
      </w:tc>
      <w:tc>
        <w:tcPr>
          <w:tcW w:w="312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3E113D7" w14:textId="77777777" w:rsidR="000804EC" w:rsidRDefault="00093CB9">
          <w:pPr>
            <w:widowControl w:val="0"/>
            <w:pBdr>
              <w:top w:val="nil"/>
              <w:left w:val="nil"/>
              <w:bottom w:val="nil"/>
              <w:right w:val="nil"/>
              <w:between w:val="nil"/>
            </w:pBdr>
            <w:spacing w:line="240" w:lineRule="auto"/>
            <w:jc w:val="left"/>
          </w:pPr>
          <w:r>
            <w:rPr>
              <w:noProof/>
            </w:rPr>
            <w:drawing>
              <wp:anchor distT="0" distB="0" distL="114300" distR="114300" simplePos="0" relativeHeight="251660288" behindDoc="0" locked="0" layoutInCell="1" hidden="0" allowOverlap="1" wp14:anchorId="3C4D6555" wp14:editId="00354374">
                <wp:simplePos x="0" y="0"/>
                <wp:positionH relativeFrom="column">
                  <wp:posOffset>171450</wp:posOffset>
                </wp:positionH>
                <wp:positionV relativeFrom="paragraph">
                  <wp:posOffset>0</wp:posOffset>
                </wp:positionV>
                <wp:extent cx="1114425" cy="708660"/>
                <wp:effectExtent l="0" t="0" r="0" b="0"/>
                <wp:wrapNone/>
                <wp:docPr id="1" name="image1.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dessin&#10;&#10;Description générée automatiquement"/>
                        <pic:cNvPicPr preferRelativeResize="0"/>
                      </pic:nvPicPr>
                      <pic:blipFill>
                        <a:blip r:embed="rId3"/>
                        <a:srcRect/>
                        <a:stretch>
                          <a:fillRect/>
                        </a:stretch>
                      </pic:blipFill>
                      <pic:spPr>
                        <a:xfrm>
                          <a:off x="0" y="0"/>
                          <a:ext cx="1114425" cy="708660"/>
                        </a:xfrm>
                        <a:prstGeom prst="rect">
                          <a:avLst/>
                        </a:prstGeom>
                        <a:ln/>
                      </pic:spPr>
                    </pic:pic>
                  </a:graphicData>
                </a:graphic>
              </wp:anchor>
            </w:drawing>
          </w:r>
        </w:p>
      </w:tc>
    </w:tr>
  </w:tbl>
  <w:p w14:paraId="0A855F40" w14:textId="77777777" w:rsidR="000804EC" w:rsidRDefault="000804E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D1765"/>
    <w:multiLevelType w:val="multilevel"/>
    <w:tmpl w:val="5998A182"/>
    <w:lvl w:ilvl="0">
      <w:start w:val="46"/>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36AC3488"/>
    <w:multiLevelType w:val="multilevel"/>
    <w:tmpl w:val="288005DA"/>
    <w:lvl w:ilvl="0">
      <w:start w:val="1"/>
      <w:numFmt w:val="bullet"/>
      <w:lvlText w:val="-"/>
      <w:lvlJc w:val="left"/>
      <w:pPr>
        <w:ind w:left="1080" w:hanging="360"/>
      </w:pPr>
      <w:rPr>
        <w:rFonts w:ascii="Source Sans Pro" w:eastAsia="Source Sans Pro" w:hAnsi="Source Sans Pro" w:cs="Source Sans Pro"/>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68F014B6"/>
    <w:multiLevelType w:val="multilevel"/>
    <w:tmpl w:val="56E2A15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B4A399D"/>
    <w:multiLevelType w:val="multilevel"/>
    <w:tmpl w:val="EDE2B684"/>
    <w:lvl w:ilvl="0">
      <w:start w:val="3"/>
      <w:numFmt w:val="bullet"/>
      <w:lvlText w:val="-"/>
      <w:lvlJc w:val="left"/>
      <w:pPr>
        <w:ind w:left="720" w:hanging="360"/>
      </w:pPr>
      <w:rPr>
        <w:rFonts w:ascii="Source Sans Pro" w:eastAsia="Source Sans Pro" w:hAnsi="Source Sans Pro" w:cs="Source Sans Pr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5434B8C"/>
    <w:multiLevelType w:val="multilevel"/>
    <w:tmpl w:val="DE2A6BE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78B62550"/>
    <w:multiLevelType w:val="multilevel"/>
    <w:tmpl w:val="656E8822"/>
    <w:lvl w:ilvl="0">
      <w:start w:val="46"/>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82508861">
    <w:abstractNumId w:val="3"/>
  </w:num>
  <w:num w:numId="2" w16cid:durableId="24599622">
    <w:abstractNumId w:val="0"/>
  </w:num>
  <w:num w:numId="3" w16cid:durableId="688946545">
    <w:abstractNumId w:val="1"/>
  </w:num>
  <w:num w:numId="4" w16cid:durableId="2046713425">
    <w:abstractNumId w:val="5"/>
  </w:num>
  <w:num w:numId="5" w16cid:durableId="26219900">
    <w:abstractNumId w:val="4"/>
  </w:num>
  <w:num w:numId="6" w16cid:durableId="12486578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4EC"/>
    <w:rsid w:val="000804EC"/>
    <w:rsid w:val="00093CB9"/>
    <w:rsid w:val="00474F04"/>
    <w:rsid w:val="00520B7D"/>
    <w:rsid w:val="006C7FA4"/>
    <w:rsid w:val="008611D1"/>
    <w:rsid w:val="00A371DD"/>
    <w:rsid w:val="00D60656"/>
    <w:rsid w:val="00E4077C"/>
    <w:rsid w:val="00E95D22"/>
    <w:rsid w:val="00EA484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1AC0A"/>
  <w15:docId w15:val="{0B78B947-AE3E-5442-A4E0-21CC6EDC8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ato" w:eastAsia="Lato" w:hAnsi="Lato" w:cs="Lato"/>
        <w:sz w:val="22"/>
        <w:szCs w:val="22"/>
        <w:lang w:val="en" w:eastAsia="fr-FR"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0000FF"/>
      <w:sz w:val="48"/>
      <w:szCs w:val="48"/>
    </w:rPr>
  </w:style>
  <w:style w:type="paragraph" w:styleId="Heading2">
    <w:name w:val="heading 2"/>
    <w:basedOn w:val="Normal"/>
    <w:next w:val="Normal"/>
    <w:uiPriority w:val="9"/>
    <w:unhideWhenUsed/>
    <w:qFormat/>
    <w:pPr>
      <w:keepNext/>
      <w:keepLines/>
      <w:spacing w:before="360" w:after="120"/>
      <w:outlineLvl w:val="1"/>
    </w:pPr>
    <w:rPr>
      <w:b/>
      <w:i/>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1"/>
    <w:pPr>
      <w:spacing w:line="240" w:lineRule="auto"/>
    </w:pPr>
    <w:tblPr>
      <w:tblStyleRowBandSize w:val="1"/>
      <w:tblStyleColBandSize w:val="1"/>
    </w:tblPr>
  </w:style>
  <w:style w:type="table" w:customStyle="1" w:styleId="a0">
    <w:basedOn w:val="TableNormal1"/>
    <w:pPr>
      <w:spacing w:line="240" w:lineRule="auto"/>
    </w:pPr>
    <w:tblPr>
      <w:tblStyleRowBandSize w:val="1"/>
      <w:tblStyleColBandSize w:val="1"/>
    </w:tblPr>
  </w:style>
  <w:style w:type="table" w:customStyle="1" w:styleId="a1">
    <w:basedOn w:val="TableNormal1"/>
    <w:pPr>
      <w:spacing w:line="240" w:lineRule="auto"/>
    </w:pPr>
    <w:tblPr>
      <w:tblStyleRowBandSize w:val="1"/>
      <w:tblStyleColBandSize w:val="1"/>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A371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71DD"/>
    <w:pPr>
      <w:tabs>
        <w:tab w:val="center" w:pos="4536"/>
        <w:tab w:val="right" w:pos="9072"/>
      </w:tabs>
      <w:spacing w:line="240" w:lineRule="auto"/>
    </w:pPr>
  </w:style>
  <w:style w:type="character" w:customStyle="1" w:styleId="HeaderChar">
    <w:name w:val="Header Char"/>
    <w:basedOn w:val="DefaultParagraphFont"/>
    <w:link w:val="Header"/>
    <w:uiPriority w:val="99"/>
    <w:rsid w:val="00A371DD"/>
  </w:style>
  <w:style w:type="paragraph" w:styleId="Footer">
    <w:name w:val="footer"/>
    <w:basedOn w:val="Normal"/>
    <w:link w:val="FooterChar"/>
    <w:uiPriority w:val="99"/>
    <w:unhideWhenUsed/>
    <w:rsid w:val="00A371DD"/>
    <w:pPr>
      <w:tabs>
        <w:tab w:val="center" w:pos="4536"/>
        <w:tab w:val="right" w:pos="9072"/>
      </w:tabs>
      <w:spacing w:line="240" w:lineRule="auto"/>
    </w:pPr>
  </w:style>
  <w:style w:type="character" w:customStyle="1" w:styleId="FooterChar">
    <w:name w:val="Footer Char"/>
    <w:basedOn w:val="DefaultParagraphFont"/>
    <w:link w:val="Footer"/>
    <w:uiPriority w:val="99"/>
    <w:rsid w:val="00A371DD"/>
  </w:style>
  <w:style w:type="character" w:styleId="Hyperlink">
    <w:name w:val="Hyperlink"/>
    <w:basedOn w:val="DefaultParagraphFont"/>
    <w:uiPriority w:val="99"/>
    <w:unhideWhenUsed/>
    <w:rsid w:val="00A371DD"/>
    <w:rPr>
      <w:color w:val="0000FF" w:themeColor="hyperlink"/>
      <w:u w:val="single"/>
    </w:rPr>
  </w:style>
  <w:style w:type="character" w:styleId="UnresolvedMention">
    <w:name w:val="Unresolved Mention"/>
    <w:basedOn w:val="DefaultParagraphFont"/>
    <w:uiPriority w:val="99"/>
    <w:semiHidden/>
    <w:unhideWhenUsed/>
    <w:rsid w:val="00A37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binternet.ohchr.org/_layouts/15/treatybodyexternal/Download.aspx?symbolno=INT%2fCCPR%2fNGO%2fIRN%2f42317&amp;Lang=en"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26"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21"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2"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7"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63" Type="http://schemas.openxmlformats.org/officeDocument/2006/relationships/hyperlink" Target="https://iranhrdc.org/wp-content/uploads/pdf_en/LegalCom/Womens_Rights_Commentary_389929723.pdf" TargetMode="External"/><Relationship Id="rId68" Type="http://schemas.openxmlformats.org/officeDocument/2006/relationships/hyperlink" Target="https://www.sabteahval.ir/avej/Page.aspx?mId=49826&amp;ID=3256&amp;Page=Magazines/SquareshowMagazine" TargetMode="External"/><Relationship Id="rId7" Type="http://schemas.openxmlformats.org/officeDocument/2006/relationships/hyperlink" Target="https://www.yjc.ir/00QghG" TargetMode="External"/><Relationship Id="rId2" Type="http://schemas.openxmlformats.org/officeDocument/2006/relationships/hyperlink" Target="https://newspaper.hamshahrionline.ir/id/104282/" TargetMode="External"/><Relationship Id="rId16" Type="http://schemas.openxmlformats.org/officeDocument/2006/relationships/hyperlink" Target="https://iranian.com/2009/09/10/domestic-violence-against-single-and-married-women-in-iranian-society/" TargetMode="External"/><Relationship Id="rId2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11" Type="http://schemas.openxmlformats.org/officeDocument/2006/relationships/hyperlink" Target="https://www.ohchr.org/en/press-releases/2022/01/iran-repeal-crippling-new-anti-abortion-law-un-experts?LangID=E&amp;NewsID=27817" TargetMode="External"/><Relationship Id="rId24"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2"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7"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0"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5"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3" Type="http://schemas.openxmlformats.org/officeDocument/2006/relationships/hyperlink" Target="https://bit.ly/2VRztcz" TargetMode="External"/><Relationship Id="rId58" Type="http://schemas.openxmlformats.org/officeDocument/2006/relationships/hyperlink" Target="http://cabinetoffice.ir/fa/print/4997" TargetMode="External"/><Relationship Id="rId66" Type="http://schemas.openxmlformats.org/officeDocument/2006/relationships/hyperlink" Target="https://undocs.org/en/A/HRC/43/12/Add.1" TargetMode="External"/><Relationship Id="rId5" Type="http://schemas.openxmlformats.org/officeDocument/2006/relationships/hyperlink" Target="https://rc.majlis.ir/fa/law/show/90547" TargetMode="External"/><Relationship Id="rId61" Type="http://schemas.openxmlformats.org/officeDocument/2006/relationships/hyperlink" Target="http://shargh.jrl.police.ir/article_95328_95254e66a74f7c5ce3e74fe16f286e21.pdf" TargetMode="External"/><Relationship Id="rId1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14" Type="http://schemas.openxmlformats.org/officeDocument/2006/relationships/hyperlink" Target="https://iranhrdc.org/wp-content/uploads/pdf_en/LegalCom/Womens_Rights_Commentary_389929723.pdf" TargetMode="External"/><Relationship Id="rId22"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27"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0"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5"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3"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6" Type="http://schemas.openxmlformats.org/officeDocument/2006/relationships/hyperlink" Target="https://rc.majlis.ir/fa/law/show/94178" TargetMode="External"/><Relationship Id="rId64" Type="http://schemas.openxmlformats.org/officeDocument/2006/relationships/hyperlink" Target="https://undocs.org/en/CRC/C/IRN/CO/3-4" TargetMode="External"/><Relationship Id="rId69" Type="http://schemas.openxmlformats.org/officeDocument/2006/relationships/hyperlink" Target="https://www.isna.ir/news/1400083023744/" TargetMode="External"/><Relationship Id="rId8" Type="http://schemas.openxmlformats.org/officeDocument/2006/relationships/hyperlink" Target="https://undocs.org/A/HRC/WG.6/34/IRN/1" TargetMode="External"/><Relationship Id="rId51" Type="http://schemas.openxmlformats.org/officeDocument/2006/relationships/hyperlink" Target="https://www.en-hrana.org/domestic-violence-increased-during-coronavirus-quarantines-and-stay-at-home-orders" TargetMode="External"/><Relationship Id="rId3" Type="http://schemas.openxmlformats.org/officeDocument/2006/relationships/hyperlink" Target="https://irna.ir/xjD4b9" TargetMode="External"/><Relationship Id="rId12" Type="http://schemas.openxmlformats.org/officeDocument/2006/relationships/hyperlink" Target="https://iranhrdc.org/english-translation-of-books-i-ii-of-the-new-islamic-penal-code/" TargetMode="External"/><Relationship Id="rId17" Type="http://schemas.openxmlformats.org/officeDocument/2006/relationships/hyperlink" Target="https://www.justice.gov/eoir/page/file/1203136/download" TargetMode="External"/><Relationship Id="rId25"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3"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6"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9" Type="http://schemas.openxmlformats.org/officeDocument/2006/relationships/hyperlink" Target="https://www.ohchr.org/sites/default/files/Documents/Publications/FS36_en.pdf" TargetMode="External"/><Relationship Id="rId67" Type="http://schemas.openxmlformats.org/officeDocument/2006/relationships/hyperlink" Target="http://www.sabteahval.ir/avej/tab-1499.aspx" TargetMode="External"/><Relationship Id="rId20"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1"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4" Type="http://schemas.openxmlformats.org/officeDocument/2006/relationships/hyperlink" Target="https://www.justice.gov/eoir/page/file/1203136/download" TargetMode="External"/><Relationship Id="rId62" Type="http://schemas.openxmlformats.org/officeDocument/2006/relationships/hyperlink" Target="https://undocs.org/en/CRC/C/IRN/CO/3-4" TargetMode="External"/><Relationship Id="rId1" Type="http://schemas.openxmlformats.org/officeDocument/2006/relationships/hyperlink" Target="https://www.donya-e-eqtesad.com/fa/tiny/news-3837523" TargetMode="External"/><Relationship Id="rId6" Type="http://schemas.openxmlformats.org/officeDocument/2006/relationships/hyperlink" Target="http://www.iribnews.ir/009NnJ" TargetMode="External"/><Relationship Id="rId15" Type="http://schemas.openxmlformats.org/officeDocument/2006/relationships/hyperlink" Target="https://iranhrdc.org/wp-content/uploads/pdf_en/LegalCom/Womens_Rights_Commentary_389929723.pdf" TargetMode="External"/><Relationship Id="rId23"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2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6"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7" Type="http://schemas.openxmlformats.org/officeDocument/2006/relationships/hyperlink" Target="http://cabinetoffice.ir/fa/print/4997" TargetMode="External"/><Relationship Id="rId10" Type="http://schemas.openxmlformats.org/officeDocument/2006/relationships/hyperlink" Target="http://nazarat.shora-rc.ir/Forms/frmShenasname.aspx?id=Bffc3DPSti0=&amp;TN=l7tLyhyOobj0SooAFUE3m68PnpG7MruN" TargetMode="External"/><Relationship Id="rId31"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44"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2" Type="http://schemas.openxmlformats.org/officeDocument/2006/relationships/hyperlink" Target="https://www.en-hrana.org/domestic-violence-increased-during-coronavirus-quarantines-and-stay-at-home-orders" TargetMode="External"/><Relationship Id="rId60" Type="http://schemas.openxmlformats.org/officeDocument/2006/relationships/hyperlink" Target="https://www.radiofarda.com/a/Trafficking-in-Persons-Report-2018-iran/29327230.html" TargetMode="External"/><Relationship Id="rId65" Type="http://schemas.openxmlformats.org/officeDocument/2006/relationships/hyperlink" Target="https://iranhrdc.org/wp-content/uploads/pdf_en/LegalCom/Womens_Rights_Commentary_389929723.pdf" TargetMode="External"/><Relationship Id="rId4" Type="http://schemas.openxmlformats.org/officeDocument/2006/relationships/hyperlink" Target="https://rc.majlis.ir/fa/law/show/90547" TargetMode="External"/><Relationship Id="rId9" Type="http://schemas.openxmlformats.org/officeDocument/2006/relationships/hyperlink" Target="http://media.president.ir/uploads/ads/148214250789390200.pdf" TargetMode="External"/><Relationship Id="rId13" Type="http://schemas.openxmlformats.org/officeDocument/2006/relationships/hyperlink" Target="https://iranhrdc.org/access-to-justice-for-victims-of-sexual-violence-in-iran/" TargetMode="External"/><Relationship Id="rId18"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9"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34" Type="http://schemas.openxmlformats.org/officeDocument/2006/relationships/hyperlink" Target="https://www.isna.ir/news/8307-07024/%D9%86%D8%AA%D8%A7%D9%8A%D8%AC-%D8%B7%D8%B1%D8%AD-%D9%85%D9%84%D9%8A-%D8%A8%D8%B1%D8%B1%D8%B3%D9%8A-%D8%AE%D8%B4%D9%88%D9%86%D8%AA-%D8%AE%D8%A7%D9%86%DA%AF%D9%8A-%D8%B9%D9%84%D9%8A%D9%87-%D8%B2%D9%86%D8%A7%D9%86-%D8%AF%D8%B1-28-%D8%A7%D8%B3%D8%AA%D8%A7%D9%86-%D8%A7%D8%B9%D9%84%D8%A7%D9%85A" TargetMode="External"/><Relationship Id="rId50" Type="http://schemas.openxmlformats.org/officeDocument/2006/relationships/hyperlink" Target="https://www.en-hrana.org/increase-in-domestic-violence-in-tehran-more-than-16-thousand-cases-were-filed" TargetMode="External"/><Relationship Id="rId55" Type="http://schemas.openxmlformats.org/officeDocument/2006/relationships/hyperlink" Target="https://rc.majlis.ir/fa/law/show/94178"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6D21C6-8DB6-4014-A67C-068DE70ED231}">
  <ds:schemaRefs>
    <ds:schemaRef ds:uri="http://schemas.microsoft.com/sharepoint/v3/contenttype/forms"/>
  </ds:schemaRefs>
</ds:datastoreItem>
</file>

<file path=customXml/itemProps2.xml><?xml version="1.0" encoding="utf-8"?>
<ds:datastoreItem xmlns:ds="http://schemas.openxmlformats.org/officeDocument/2006/customXml" ds:itemID="{FB68BE4A-2C2E-4F75-AE33-62F1A58D3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82236CE-47AC-483B-B353-3D6E1343E6F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3765</Words>
  <Characters>21464</Characters>
  <Application>Microsoft Office Word</Application>
  <DocSecurity>0</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ROSNIANSKY Cherry Lou</dc:creator>
  <cp:lastModifiedBy>Cherry Balmaceda Rosniansky</cp:lastModifiedBy>
  <cp:revision>2</cp:revision>
  <dcterms:created xsi:type="dcterms:W3CDTF">2023-09-04T13:23:00Z</dcterms:created>
  <dcterms:modified xsi:type="dcterms:W3CDTF">2023-09-04T13:23:00Z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