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E0916"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CE3C2A" w:rsidRPr="00E93A15" w14:paraId="70A51E2E" w14:textId="77777777">
        <w:trPr>
          <w:trHeight w:val="1575"/>
          <w:jc w:val="center"/>
        </w:trPr>
        <w:tc>
          <w:tcPr>
            <w:tcW w:w="9029" w:type="dxa"/>
            <w:shd w:val="clear" w:color="auto" w:fill="auto"/>
            <w:tcMar>
              <w:top w:w="100" w:type="dxa"/>
              <w:left w:w="100" w:type="dxa"/>
              <w:bottom w:w="100" w:type="dxa"/>
              <w:right w:w="100" w:type="dxa"/>
            </w:tcMar>
          </w:tcPr>
          <w:p w14:paraId="0DFF60A5" w14:textId="77777777" w:rsidR="00CE3C2A" w:rsidRPr="00E93A15" w:rsidRDefault="00000000">
            <w:pPr>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color w:val="202124"/>
                <w:sz w:val="24"/>
                <w:szCs w:val="24"/>
                <w:highlight w:val="white"/>
                <w:lang w:val="es-ES"/>
              </w:rPr>
              <w:t>Comité de Derechos Humanos</w:t>
            </w:r>
          </w:p>
          <w:p w14:paraId="192B50A4" w14:textId="77777777" w:rsidR="00CE3C2A" w:rsidRPr="00E93A15" w:rsidRDefault="00000000">
            <w:p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 xml:space="preserve"> </w:t>
            </w:r>
          </w:p>
          <w:p w14:paraId="2DC16DFC" w14:textId="7F6EFE4A" w:rsidR="00CE3C2A" w:rsidRPr="00E93A15" w:rsidRDefault="00000000">
            <w:pPr>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Participaci</w:t>
            </w:r>
            <w:r w:rsidR="00E93A15" w:rsidRPr="00E93A15">
              <w:rPr>
                <w:rFonts w:ascii="Times New Roman" w:eastAsia="Times New Roman" w:hAnsi="Times New Roman" w:cs="Times New Roman"/>
                <w:b/>
                <w:noProof/>
                <w:sz w:val="24"/>
                <w:szCs w:val="24"/>
                <w:lang w:val="es-ES"/>
              </w:rPr>
              <w:t>o</w:t>
            </w:r>
            <w:r w:rsidRPr="00E93A15">
              <w:rPr>
                <w:rFonts w:ascii="Times New Roman" w:eastAsia="Times New Roman" w:hAnsi="Times New Roman" w:cs="Times New Roman"/>
                <w:b/>
                <w:noProof/>
                <w:sz w:val="24"/>
                <w:szCs w:val="24"/>
                <w:lang w:val="es-ES"/>
              </w:rPr>
              <w:t>n de organizaciones no gubernamentales (ONG)</w:t>
            </w:r>
          </w:p>
        </w:tc>
      </w:tr>
    </w:tbl>
    <w:p w14:paraId="0983CF6A" w14:textId="77777777" w:rsidR="00CE3C2A" w:rsidRPr="00E93A15" w:rsidRDefault="00CE3C2A">
      <w:pPr>
        <w:jc w:val="both"/>
        <w:rPr>
          <w:rFonts w:ascii="Times New Roman" w:eastAsia="Times New Roman" w:hAnsi="Times New Roman" w:cs="Times New Roman"/>
          <w:b/>
          <w:noProof/>
          <w:sz w:val="24"/>
          <w:szCs w:val="24"/>
          <w:lang w:val="es-ES"/>
        </w:rPr>
      </w:pPr>
    </w:p>
    <w:p w14:paraId="20B8BCFF" w14:textId="77777777" w:rsidR="00CE3C2A" w:rsidRPr="00E93A15" w:rsidRDefault="00000000">
      <w:pPr>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 xml:space="preserve"> </w:t>
      </w:r>
    </w:p>
    <w:p w14:paraId="6A3751E9" w14:textId="77777777" w:rsidR="00CE3C2A" w:rsidRPr="00E93A15" w:rsidRDefault="00000000">
      <w:pPr>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73° período de sesiones (13 de febrero de 2023), Ginebra, Naciones Unidas, Sala –</w:t>
      </w:r>
    </w:p>
    <w:p w14:paraId="674E383A" w14:textId="77777777" w:rsidR="00CE3C2A" w:rsidRPr="00E93A15" w:rsidRDefault="00000000">
      <w:pPr>
        <w:spacing w:before="480"/>
        <w:jc w:val="both"/>
        <w:rPr>
          <w:rFonts w:ascii="Times New Roman" w:eastAsia="Times New Roman" w:hAnsi="Times New Roman" w:cs="Times New Roman"/>
          <w:b/>
          <w:noProof/>
          <w:color w:val="202124"/>
          <w:sz w:val="24"/>
          <w:szCs w:val="24"/>
          <w:lang w:val="es-ES"/>
        </w:rPr>
      </w:pPr>
      <w:r w:rsidRPr="00E93A15">
        <w:rPr>
          <w:rFonts w:ascii="Times New Roman" w:eastAsia="Times New Roman" w:hAnsi="Times New Roman" w:cs="Times New Roman"/>
          <w:b/>
          <w:noProof/>
          <w:sz w:val="24"/>
          <w:szCs w:val="24"/>
          <w:lang w:val="es-ES"/>
        </w:rPr>
        <w:t xml:space="preserve">Organizaciones: Fundación Iguales - Panamá, </w:t>
      </w:r>
      <w:r w:rsidRPr="00E93A15">
        <w:rPr>
          <w:rFonts w:ascii="Times New Roman" w:eastAsia="Times New Roman" w:hAnsi="Times New Roman" w:cs="Times New Roman"/>
          <w:b/>
          <w:noProof/>
          <w:color w:val="202124"/>
          <w:sz w:val="24"/>
          <w:szCs w:val="24"/>
          <w:lang w:val="es-ES"/>
        </w:rPr>
        <w:t>Asociación panameña de Personas Trans, Fe y Alegría Panamá, Red de Mujeres Afrodescendientes de Panamá (REMAP), Consejo Noruego para Refugiados (NRC), Centro de la Mujer Panameña (CEMP), Coalición Internacional de Mujeres y Familias (CIMUF), Asociación Panameña para el Planeamiento de la Familia (APLAFA).</w:t>
      </w:r>
    </w:p>
    <w:p w14:paraId="3ECFE814" w14:textId="77777777" w:rsidR="00CE3C2A" w:rsidRPr="00E93A15" w:rsidRDefault="00000000">
      <w:pPr>
        <w:spacing w:before="48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Estado Parte: Panamá.</w:t>
      </w:r>
    </w:p>
    <w:p w14:paraId="49072D65" w14:textId="77777777" w:rsidR="00CE3C2A" w:rsidRPr="00E93A15" w:rsidRDefault="00CE3C2A">
      <w:pPr>
        <w:jc w:val="both"/>
        <w:rPr>
          <w:rFonts w:ascii="Times New Roman" w:eastAsia="Times New Roman" w:hAnsi="Times New Roman" w:cs="Times New Roman"/>
          <w:b/>
          <w:noProof/>
          <w:sz w:val="24"/>
          <w:szCs w:val="24"/>
          <w:lang w:val="es-ES"/>
        </w:rPr>
      </w:pPr>
    </w:p>
    <w:p w14:paraId="33654546" w14:textId="77777777" w:rsidR="00CE3C2A" w:rsidRPr="00E93A15" w:rsidRDefault="00000000">
      <w:pPr>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Documento puede ser publicado.</w:t>
      </w:r>
    </w:p>
    <w:p w14:paraId="4F1F5024" w14:textId="77777777" w:rsidR="00CE3C2A" w:rsidRPr="00E93A15" w:rsidRDefault="00CE3C2A">
      <w:pPr>
        <w:jc w:val="both"/>
        <w:rPr>
          <w:rFonts w:ascii="Times New Roman" w:eastAsia="Times New Roman" w:hAnsi="Times New Roman" w:cs="Times New Roman"/>
          <w:b/>
          <w:noProof/>
          <w:sz w:val="24"/>
          <w:szCs w:val="24"/>
          <w:lang w:val="es-ES"/>
        </w:rPr>
      </w:pPr>
    </w:p>
    <w:p w14:paraId="7F525A61" w14:textId="77777777" w:rsidR="00CE3C2A" w:rsidRPr="00E93A15" w:rsidRDefault="00CE3C2A">
      <w:pPr>
        <w:jc w:val="both"/>
        <w:rPr>
          <w:rFonts w:ascii="Times New Roman" w:eastAsia="Times New Roman" w:hAnsi="Times New Roman" w:cs="Times New Roman"/>
          <w:b/>
          <w:noProof/>
          <w:sz w:val="24"/>
          <w:szCs w:val="24"/>
          <w:lang w:val="es-ES"/>
        </w:rPr>
      </w:pPr>
    </w:p>
    <w:p w14:paraId="15622B42"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0"/>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28C02D16" w14:textId="77777777">
        <w:trPr>
          <w:trHeight w:val="917"/>
        </w:trPr>
        <w:tc>
          <w:tcPr>
            <w:tcW w:w="9435" w:type="dxa"/>
            <w:shd w:val="clear" w:color="auto" w:fill="auto"/>
            <w:tcMar>
              <w:top w:w="100" w:type="dxa"/>
              <w:left w:w="100" w:type="dxa"/>
              <w:bottom w:w="100" w:type="dxa"/>
              <w:right w:w="100" w:type="dxa"/>
            </w:tcMar>
          </w:tcPr>
          <w:p w14:paraId="72224BBB"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No discriminación (art. 2, párr. 2)</w:t>
            </w:r>
          </w:p>
        </w:tc>
      </w:tr>
    </w:tbl>
    <w:p w14:paraId="6F8E6B0C" w14:textId="77777777" w:rsidR="00CE3C2A" w:rsidRPr="00E93A15" w:rsidRDefault="00CE3C2A">
      <w:pPr>
        <w:jc w:val="both"/>
        <w:rPr>
          <w:rFonts w:ascii="Times New Roman" w:eastAsia="Times New Roman" w:hAnsi="Times New Roman" w:cs="Times New Roman"/>
          <w:noProof/>
          <w:sz w:val="24"/>
          <w:szCs w:val="24"/>
          <w:lang w:val="es-ES"/>
        </w:rPr>
      </w:pPr>
    </w:p>
    <w:p w14:paraId="45ADA531" w14:textId="77777777" w:rsidR="00CE3C2A" w:rsidRPr="00E93A15" w:rsidRDefault="00CE3C2A">
      <w:pPr>
        <w:spacing w:line="360" w:lineRule="auto"/>
        <w:jc w:val="both"/>
        <w:rPr>
          <w:rFonts w:ascii="Times New Roman" w:eastAsia="Times New Roman" w:hAnsi="Times New Roman" w:cs="Times New Roman"/>
          <w:noProof/>
          <w:sz w:val="24"/>
          <w:szCs w:val="24"/>
          <w:lang w:val="es-ES"/>
        </w:rPr>
      </w:pPr>
    </w:p>
    <w:p w14:paraId="31A73021" w14:textId="77777777" w:rsidR="00CE3C2A" w:rsidRPr="00E93A15" w:rsidRDefault="00000000">
      <w:pPr>
        <w:numPr>
          <w:ilvl w:val="0"/>
          <w:numId w:val="18"/>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En Panamá existen iniciativas legislativas para prevenir la discriminación pero la implementación y reglamentación de estas leyes en la mayoría de los casos nunca sucede. La Ley 7, de 14 de febrero de 2018</w:t>
      </w:r>
      <w:r w:rsidRPr="00E93A15">
        <w:rPr>
          <w:rFonts w:ascii="Times New Roman" w:eastAsia="Times New Roman" w:hAnsi="Times New Roman" w:cs="Times New Roman"/>
          <w:noProof/>
          <w:color w:val="202124"/>
          <w:sz w:val="24"/>
          <w:szCs w:val="24"/>
          <w:highlight w:val="white"/>
          <w:vertAlign w:val="superscript"/>
          <w:lang w:val="es-ES"/>
        </w:rPr>
        <w:footnoteReference w:id="1"/>
      </w:r>
      <w:r w:rsidRPr="00E93A15">
        <w:rPr>
          <w:rFonts w:ascii="Times New Roman" w:eastAsia="Times New Roman" w:hAnsi="Times New Roman" w:cs="Times New Roman"/>
          <w:noProof/>
          <w:color w:val="202124"/>
          <w:sz w:val="24"/>
          <w:szCs w:val="24"/>
          <w:highlight w:val="white"/>
          <w:lang w:val="es-ES"/>
        </w:rPr>
        <w:t xml:space="preserve">, que adopta medidas para prevenir, prohibir y sancionar actos discriminatorios y dicta otras disposiciones, no ha sido reglamentada luego de 4 años de su promulgación. En su artículo 1,  se establece su objetivo: “prohibir y establecer la responsabilidad por todo acto de violencia que atente contra la honra, la dignidad, la integridad física y psicológica de las personas, proteger el derecho al </w:t>
      </w:r>
      <w:r w:rsidRPr="00E93A15">
        <w:rPr>
          <w:rFonts w:ascii="Times New Roman" w:eastAsia="Times New Roman" w:hAnsi="Times New Roman" w:cs="Times New Roman"/>
          <w:noProof/>
          <w:color w:val="202124"/>
          <w:sz w:val="24"/>
          <w:szCs w:val="24"/>
          <w:highlight w:val="white"/>
          <w:lang w:val="es-ES"/>
        </w:rPr>
        <w:lastRenderedPageBreak/>
        <w:t xml:space="preserve">trabajo en condiciones de equidad y establecer políticas públicas para prevenir estos actos, conforme a las convenciones sobre Derechos Humanos ratificadas por la República de Panamá”. Para lograr el objetivo previsto “el desarrollo de la Política Pública se enfocará en: 1. Sensibilizar, prevenir y prohibir con miras a erradicar el hostigamiento, acoso sexual o moral, racismo y sexismo en el ámbito laboral, educativo, comunitario y en cualesquiera otros ámbitos. 2. Imponer responsabilidades y sanciones, garantizando con ello los derechos humanos, la dignidad, el respeto y el bienestar de toda mujer u hombre de cualquier edad” (Artículo 2). </w:t>
      </w:r>
    </w:p>
    <w:p w14:paraId="75EE27F8"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4C8047F5" w14:textId="77777777" w:rsidR="00CE3C2A" w:rsidRPr="00E93A15" w:rsidRDefault="00000000">
      <w:pPr>
        <w:numPr>
          <w:ilvl w:val="0"/>
          <w:numId w:val="18"/>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Aunque la ley define racismo y sexismo, no se menciona la "orientación sexual", ni la "identidad de género". No incluye en forma explícita la discriminación por orientación sexual o identidad de género, y por contraste en el artículo 133 del reglamento disciplinario de la Policía Nacional contemplado en el Decreto Ejecutivo 204 de 3 de septiembre de 1997</w:t>
      </w:r>
      <w:r w:rsidRPr="00E93A15">
        <w:rPr>
          <w:rFonts w:ascii="Times New Roman" w:eastAsia="Times New Roman" w:hAnsi="Times New Roman" w:cs="Times New Roman"/>
          <w:noProof/>
          <w:color w:val="202124"/>
          <w:sz w:val="24"/>
          <w:szCs w:val="24"/>
          <w:highlight w:val="white"/>
          <w:vertAlign w:val="superscript"/>
          <w:lang w:val="es-ES"/>
        </w:rPr>
        <w:footnoteReference w:id="2"/>
      </w:r>
      <w:r w:rsidRPr="00E93A15">
        <w:rPr>
          <w:rFonts w:ascii="Times New Roman" w:eastAsia="Times New Roman" w:hAnsi="Times New Roman" w:cs="Times New Roman"/>
          <w:noProof/>
          <w:color w:val="202124"/>
          <w:sz w:val="24"/>
          <w:szCs w:val="24"/>
          <w:highlight w:val="white"/>
          <w:lang w:val="es-ES"/>
        </w:rPr>
        <w:t xml:space="preserve"> establecen que practicar la homosexualidad y el lesbianismo se consideran faltas gravísimas de conducta dentro de la fuerza pública panameña. Si para las y los miembros de la Policía es una falta grave, ese mismo criterio usa la Policía frente a la ciudadanía. De igual forma el reglamento general de los bomberos expedido hace tan solo 11 años también lo incluye. Estas faltas, tienen como sanción 30 días de arresto, suspensiones, degradaciones en la carrera o hasta la destitución.</w:t>
      </w:r>
    </w:p>
    <w:p w14:paraId="70556D60"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1851E0E2" w14:textId="77777777" w:rsidR="00CE3C2A" w:rsidRPr="00E93A15" w:rsidRDefault="00000000">
      <w:pPr>
        <w:numPr>
          <w:ilvl w:val="0"/>
          <w:numId w:val="1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La discriminación racial y la exclusión de la población afrodescendiente sigue siendo un gran desafío en Panamá, a pesar de que se han creado algunos mecanismos jurídicos e institucionales para atender demanda de las poblaciones afrodescendientes. Desde el año 2000 fue aprobada la Ley 16 que establece el Día Nacional de la Etnia Negra</w:t>
      </w:r>
      <w:r w:rsidRPr="00E93A15">
        <w:rPr>
          <w:rFonts w:ascii="Times New Roman" w:eastAsia="Times New Roman" w:hAnsi="Times New Roman" w:cs="Times New Roman"/>
          <w:noProof/>
          <w:color w:val="202124"/>
          <w:sz w:val="24"/>
          <w:szCs w:val="24"/>
          <w:highlight w:val="white"/>
          <w:vertAlign w:val="superscript"/>
          <w:lang w:val="es-ES"/>
        </w:rPr>
        <w:footnoteReference w:id="3"/>
      </w:r>
      <w:r w:rsidRPr="00E93A15">
        <w:rPr>
          <w:rFonts w:ascii="Times New Roman" w:eastAsia="Times New Roman" w:hAnsi="Times New Roman" w:cs="Times New Roman"/>
          <w:noProof/>
          <w:color w:val="202124"/>
          <w:sz w:val="24"/>
          <w:szCs w:val="24"/>
          <w:highlight w:val="white"/>
          <w:lang w:val="es-ES"/>
        </w:rPr>
        <w:t xml:space="preserve"> y se crea la Comisión Nacional contra la Discriminación, adscrita a la Defensoría del Pueblo, esta instancia hasta la fecha no ha funcionado y no existe ningún protocolo para presentar denuncias ni para elaborar los informes sobre casos registrados en el país. También existen otros mecanismos jurídicos como la Secretaría Nacional para el Desarrollo de los Afropanameños (SENADAP).</w:t>
      </w:r>
    </w:p>
    <w:p w14:paraId="182CEBE3"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0E621645" w14:textId="77777777" w:rsidR="00CE3C2A" w:rsidRPr="00E93A15" w:rsidRDefault="00000000">
      <w:pPr>
        <w:numPr>
          <w:ilvl w:val="0"/>
          <w:numId w:val="1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No obstante, parece ser una mera formalidad, al no contar con autonomía administrativa, no tiene personal, ni presupuesto para operar. La práctica de Perfilamiento Racial sigue siendo un mecanismo utilizado por los agentes de seguridad y la policía para identificar posibles sospechosos de diferentes delitos. </w:t>
      </w:r>
    </w:p>
    <w:p w14:paraId="63FD0E62"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7E1DC414" w14:textId="77777777" w:rsidR="00CE3C2A" w:rsidRPr="00E93A15" w:rsidRDefault="00000000">
      <w:pPr>
        <w:numPr>
          <w:ilvl w:val="0"/>
          <w:numId w:val="1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Panamá no cuenta con una Ley anti discriminación que reconozca la orientación sexual y identidad de género como categorías protegidas. Recientemente se aprobó la Ley 120, aprobada </w:t>
      </w:r>
      <w:r w:rsidRPr="00E93A15">
        <w:rPr>
          <w:rFonts w:ascii="Times New Roman" w:eastAsia="Times New Roman" w:hAnsi="Times New Roman" w:cs="Times New Roman"/>
          <w:noProof/>
          <w:color w:val="444444"/>
          <w:sz w:val="24"/>
          <w:szCs w:val="24"/>
          <w:highlight w:val="white"/>
          <w:lang w:val="es-ES"/>
        </w:rPr>
        <w:t>el 3 de marzo de 2021</w:t>
      </w:r>
      <w:r w:rsidRPr="00E93A15">
        <w:rPr>
          <w:rFonts w:ascii="Times New Roman" w:eastAsia="Times New Roman" w:hAnsi="Times New Roman" w:cs="Times New Roman"/>
          <w:noProof/>
          <w:color w:val="202124"/>
          <w:sz w:val="24"/>
          <w:szCs w:val="24"/>
          <w:highlight w:val="white"/>
          <w:lang w:val="es-ES"/>
        </w:rPr>
        <w:t xml:space="preserve"> que prohíbe a parejas del mismo sexo a adoptar.</w:t>
      </w:r>
    </w:p>
    <w:p w14:paraId="56F8247B" w14:textId="77777777" w:rsidR="00CE3C2A" w:rsidRPr="00E93A15" w:rsidRDefault="00CE3C2A">
      <w:pPr>
        <w:spacing w:line="360" w:lineRule="auto"/>
        <w:jc w:val="both"/>
        <w:rPr>
          <w:rFonts w:ascii="Times New Roman" w:eastAsia="Times New Roman" w:hAnsi="Times New Roman" w:cs="Times New Roman"/>
          <w:i/>
          <w:noProof/>
          <w:sz w:val="24"/>
          <w:szCs w:val="24"/>
          <w:lang w:val="es-ES"/>
        </w:rPr>
      </w:pPr>
    </w:p>
    <w:p w14:paraId="089C6E36" w14:textId="77777777" w:rsidR="00CE3C2A" w:rsidRPr="00E93A15" w:rsidRDefault="00000000">
      <w:pPr>
        <w:spacing w:line="360" w:lineRule="auto"/>
        <w:jc w:val="both"/>
        <w:rPr>
          <w:rFonts w:ascii="Times New Roman" w:eastAsia="Times New Roman" w:hAnsi="Times New Roman" w:cs="Times New Roman"/>
          <w:b/>
          <w:i/>
          <w:noProof/>
          <w:sz w:val="24"/>
          <w:szCs w:val="24"/>
          <w:lang w:val="es-ES"/>
        </w:rPr>
      </w:pPr>
      <w:r w:rsidRPr="00E93A15">
        <w:rPr>
          <w:rFonts w:ascii="Times New Roman" w:eastAsia="Times New Roman" w:hAnsi="Times New Roman" w:cs="Times New Roman"/>
          <w:b/>
          <w:i/>
          <w:noProof/>
          <w:sz w:val="24"/>
          <w:szCs w:val="24"/>
          <w:lang w:val="es-ES"/>
        </w:rPr>
        <w:t>Recomendaciones</w:t>
      </w:r>
    </w:p>
    <w:p w14:paraId="743CB3D4" w14:textId="77777777" w:rsidR="00CE3C2A" w:rsidRPr="00E93A15" w:rsidRDefault="00CE3C2A">
      <w:pPr>
        <w:spacing w:line="360" w:lineRule="auto"/>
        <w:jc w:val="both"/>
        <w:rPr>
          <w:rFonts w:ascii="Times New Roman" w:eastAsia="Times New Roman" w:hAnsi="Times New Roman" w:cs="Times New Roman"/>
          <w:noProof/>
          <w:sz w:val="24"/>
          <w:szCs w:val="24"/>
          <w:lang w:val="es-ES"/>
        </w:rPr>
      </w:pPr>
    </w:p>
    <w:p w14:paraId="57CBBE48" w14:textId="77777777" w:rsidR="00CE3C2A" w:rsidRPr="00E93A15" w:rsidRDefault="00000000">
      <w:pPr>
        <w:numPr>
          <w:ilvl w:val="0"/>
          <w:numId w:val="12"/>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Proponemos a la Comisión recomendar al Gobierno de Panamá la elaboración de los protocolos para atención de los casos de violencia y un Protocolo para los operadores de seguridad y policiales para evitar el perfilamiento racial.</w:t>
      </w:r>
    </w:p>
    <w:p w14:paraId="3E4FAA25"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113F2D0E" w14:textId="77777777" w:rsidR="00CE3C2A" w:rsidRPr="00E93A15" w:rsidRDefault="00000000">
      <w:pPr>
        <w:numPr>
          <w:ilvl w:val="0"/>
          <w:numId w:val="12"/>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Realizar capacitaciones continuas a todos los funcionarios del Sistema Judicial, Policía Nacional y otros estamentos de seguridad y migración, con el fin de sensibilizarlos en la atención de casos de violencia y perfilación racial.</w:t>
      </w:r>
    </w:p>
    <w:p w14:paraId="3FB01CDF"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625065FC" w14:textId="77777777" w:rsidR="00CE3C2A" w:rsidRPr="00E93A15" w:rsidRDefault="00000000">
      <w:pPr>
        <w:numPr>
          <w:ilvl w:val="0"/>
          <w:numId w:val="12"/>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Recomendamos al Comité solicitar al estado de Panamá atender las recomendaciones presentadas por el Comité de Expertos del CERD que visitó Panamá en el año 2010.</w:t>
      </w:r>
    </w:p>
    <w:p w14:paraId="41655F9F" w14:textId="77777777" w:rsidR="00CE3C2A" w:rsidRPr="00E93A15" w:rsidRDefault="00000000">
      <w:pPr>
        <w:numPr>
          <w:ilvl w:val="0"/>
          <w:numId w:val="12"/>
        </w:numPr>
        <w:jc w:val="both"/>
        <w:rPr>
          <w:rFonts w:ascii="Times New Roman" w:eastAsia="Times New Roman" w:hAnsi="Times New Roman" w:cs="Times New Roman"/>
          <w:noProof/>
          <w:color w:val="202124"/>
          <w:sz w:val="24"/>
          <w:szCs w:val="24"/>
          <w:lang w:val="es-ES"/>
        </w:rPr>
      </w:pPr>
      <w:r w:rsidRPr="00E93A15">
        <w:rPr>
          <w:rFonts w:ascii="Times New Roman" w:eastAsia="Times New Roman" w:hAnsi="Times New Roman" w:cs="Times New Roman"/>
          <w:noProof/>
          <w:color w:val="202124"/>
          <w:sz w:val="24"/>
          <w:szCs w:val="24"/>
          <w:lang w:val="es-ES"/>
        </w:rPr>
        <w:t>La aprobación de una Ley de no discriminación que reconozca la orientación sexual, la identidad y expresión de género como categorías protegidas, en concordancia con al Convención Americana de Derechos Humanos.</w:t>
      </w:r>
    </w:p>
    <w:p w14:paraId="69121FE4" w14:textId="77777777" w:rsidR="00CE3C2A" w:rsidRPr="00E93A15" w:rsidRDefault="00000000">
      <w:pPr>
        <w:numPr>
          <w:ilvl w:val="0"/>
          <w:numId w:val="12"/>
        </w:numPr>
        <w:jc w:val="both"/>
        <w:rPr>
          <w:rFonts w:ascii="Times New Roman" w:eastAsia="Times New Roman" w:hAnsi="Times New Roman" w:cs="Times New Roman"/>
          <w:noProof/>
          <w:color w:val="202124"/>
          <w:sz w:val="24"/>
          <w:szCs w:val="24"/>
          <w:lang w:val="es-ES"/>
        </w:rPr>
      </w:pPr>
      <w:r w:rsidRPr="00E93A15">
        <w:rPr>
          <w:rFonts w:ascii="Times New Roman" w:eastAsia="Times New Roman" w:hAnsi="Times New Roman" w:cs="Times New Roman"/>
          <w:noProof/>
          <w:color w:val="202124"/>
          <w:sz w:val="24"/>
          <w:szCs w:val="24"/>
          <w:lang w:val="es-ES"/>
        </w:rPr>
        <w:t xml:space="preserve"> Ley de identidad de género, y todas las protecciones para la dignidad de personas trans y su derecho a la identidad.</w:t>
      </w:r>
    </w:p>
    <w:p w14:paraId="775E5274" w14:textId="77777777" w:rsidR="00CE3C2A" w:rsidRPr="00E93A15" w:rsidRDefault="00000000">
      <w:pPr>
        <w:numPr>
          <w:ilvl w:val="0"/>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La derogación del: </w:t>
      </w:r>
    </w:p>
    <w:p w14:paraId="788E2A2B" w14:textId="77777777" w:rsidR="00CE3C2A" w:rsidRPr="00E93A15" w:rsidRDefault="00000000">
      <w:pPr>
        <w:numPr>
          <w:ilvl w:val="1"/>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Artículo 133 del reglamento disciplinario de la Policía</w:t>
      </w:r>
    </w:p>
    <w:p w14:paraId="00F4A18C" w14:textId="77777777" w:rsidR="00CE3C2A" w:rsidRPr="00E93A15" w:rsidRDefault="00000000">
      <w:pPr>
        <w:numPr>
          <w:ilvl w:val="1"/>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Artículo 156 del Reglamento General del Benemérito Cuerpo de Bomberos </w:t>
      </w:r>
    </w:p>
    <w:p w14:paraId="43E616F4" w14:textId="77777777" w:rsidR="00CE3C2A" w:rsidRPr="00E93A15" w:rsidRDefault="00000000">
      <w:pPr>
        <w:numPr>
          <w:ilvl w:val="1"/>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La Resolución No 7 de 17 de abril de 2013, sobre bancos de sangre</w:t>
      </w:r>
    </w:p>
    <w:p w14:paraId="6D0B7717" w14:textId="77777777" w:rsidR="00CE3C2A" w:rsidRPr="00E93A15" w:rsidRDefault="00000000">
      <w:pPr>
        <w:numPr>
          <w:ilvl w:val="1"/>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Del artículo de la Ley 120, que prohíbe a parejas del mismo sexo a adoptar.</w:t>
      </w:r>
    </w:p>
    <w:p w14:paraId="6BE49A99" w14:textId="77777777" w:rsidR="00CE3C2A" w:rsidRPr="00E93A15" w:rsidRDefault="00000000">
      <w:pPr>
        <w:numPr>
          <w:ilvl w:val="0"/>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Al Órgano Ejecutivo que emita la orden de que las Notarías inicien de pleno derecho el casamiento civil de parejas del mismo sexo.</w:t>
      </w:r>
    </w:p>
    <w:p w14:paraId="3C0BD97E" w14:textId="77777777" w:rsidR="00CE3C2A" w:rsidRPr="00E93A15" w:rsidRDefault="00000000">
      <w:pPr>
        <w:numPr>
          <w:ilvl w:val="0"/>
          <w:numId w:val="12"/>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Que el Tribunal Electoral, en cumplimiento de su autonomía, haga el debido control de convencionalidad y registre los matrimonios del mismo sexo celebrados en el extranjero</w:t>
      </w:r>
    </w:p>
    <w:p w14:paraId="2DA37EA2" w14:textId="77777777" w:rsidR="00CE3C2A" w:rsidRPr="00E93A15" w:rsidRDefault="00CE3C2A">
      <w:pPr>
        <w:jc w:val="both"/>
        <w:rPr>
          <w:rFonts w:ascii="Times New Roman" w:eastAsia="Times New Roman" w:hAnsi="Times New Roman" w:cs="Times New Roman"/>
          <w:noProof/>
          <w:color w:val="202124"/>
          <w:sz w:val="24"/>
          <w:szCs w:val="24"/>
          <w:highlight w:val="white"/>
          <w:lang w:val="es-ES"/>
        </w:rPr>
      </w:pPr>
    </w:p>
    <w:p w14:paraId="743DC7BE" w14:textId="77777777" w:rsidR="00CE3C2A" w:rsidRPr="00E93A15" w:rsidRDefault="00CE3C2A">
      <w:pPr>
        <w:spacing w:line="360" w:lineRule="auto"/>
        <w:jc w:val="both"/>
        <w:rPr>
          <w:rFonts w:ascii="Times New Roman" w:eastAsia="Times New Roman" w:hAnsi="Times New Roman" w:cs="Times New Roman"/>
          <w:noProof/>
          <w:sz w:val="24"/>
          <w:szCs w:val="24"/>
          <w:lang w:val="es-ES"/>
        </w:rPr>
      </w:pPr>
    </w:p>
    <w:p w14:paraId="0124BB63" w14:textId="77777777" w:rsidR="00CE3C2A" w:rsidRPr="00E93A15" w:rsidRDefault="00CE3C2A">
      <w:pPr>
        <w:spacing w:line="360" w:lineRule="auto"/>
        <w:jc w:val="both"/>
        <w:rPr>
          <w:rFonts w:ascii="Times New Roman" w:eastAsia="Times New Roman" w:hAnsi="Times New Roman" w:cs="Times New Roman"/>
          <w:b/>
          <w:noProof/>
          <w:sz w:val="24"/>
          <w:szCs w:val="24"/>
          <w:lang w:val="es-ES"/>
        </w:rPr>
      </w:pPr>
    </w:p>
    <w:tbl>
      <w:tblPr>
        <w:tblStyle w:val="a1"/>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15658130" w14:textId="77777777">
        <w:trPr>
          <w:trHeight w:val="917"/>
        </w:trPr>
        <w:tc>
          <w:tcPr>
            <w:tcW w:w="9435" w:type="dxa"/>
            <w:shd w:val="clear" w:color="auto" w:fill="auto"/>
            <w:tcMar>
              <w:top w:w="100" w:type="dxa"/>
              <w:left w:w="100" w:type="dxa"/>
              <w:bottom w:w="100" w:type="dxa"/>
              <w:right w:w="100" w:type="dxa"/>
            </w:tcMar>
          </w:tcPr>
          <w:p w14:paraId="79358613" w14:textId="77777777" w:rsidR="00CE3C2A" w:rsidRPr="00E93A15" w:rsidRDefault="00000000">
            <w:pPr>
              <w:widowControl w:val="0"/>
              <w:spacing w:before="360" w:after="240" w:line="360" w:lineRule="auto"/>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Igualdad entre el hombre y la mujer (arts. 2, 3, 25 y 26)</w:t>
            </w:r>
          </w:p>
        </w:tc>
      </w:tr>
    </w:tbl>
    <w:p w14:paraId="7219DE3C" w14:textId="77777777" w:rsidR="00CE3C2A" w:rsidRPr="00E93A15" w:rsidRDefault="00CE3C2A">
      <w:pPr>
        <w:spacing w:line="360" w:lineRule="auto"/>
        <w:jc w:val="both"/>
        <w:rPr>
          <w:rFonts w:ascii="Times New Roman" w:eastAsia="Times New Roman" w:hAnsi="Times New Roman" w:cs="Times New Roman"/>
          <w:noProof/>
          <w:sz w:val="24"/>
          <w:szCs w:val="24"/>
          <w:lang w:val="es-ES"/>
        </w:rPr>
      </w:pPr>
    </w:p>
    <w:p w14:paraId="656F8ECB" w14:textId="77777777" w:rsidR="00CE3C2A" w:rsidRPr="00E93A15" w:rsidRDefault="00000000">
      <w:pPr>
        <w:numPr>
          <w:ilvl w:val="0"/>
          <w:numId w:val="1"/>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El problema de la igualdad entre el hombre y la mujer en Panamá comienza desde siquiera reconocer que esta es una problemática de relevancia. Lo anterior se hace evidente cuando en marzo de 2021, la Corte Suprema de Justicia de Panamá resolvió que la maternidad es un aspecto que impide colocar "en situación de igualdad a los hombres y las mujeres”</w:t>
      </w:r>
      <w:r w:rsidRPr="00E93A15">
        <w:rPr>
          <w:rFonts w:ascii="Times New Roman" w:eastAsia="Times New Roman" w:hAnsi="Times New Roman" w:cs="Times New Roman"/>
          <w:noProof/>
          <w:color w:val="202124"/>
          <w:sz w:val="24"/>
          <w:szCs w:val="24"/>
          <w:highlight w:val="white"/>
          <w:vertAlign w:val="superscript"/>
          <w:lang w:val="es-ES"/>
        </w:rPr>
        <w:footnoteReference w:id="4"/>
      </w:r>
      <w:r w:rsidRPr="00E93A15">
        <w:rPr>
          <w:rFonts w:ascii="Times New Roman" w:eastAsia="Times New Roman" w:hAnsi="Times New Roman" w:cs="Times New Roman"/>
          <w:noProof/>
          <w:color w:val="202124"/>
          <w:sz w:val="24"/>
          <w:szCs w:val="24"/>
          <w:highlight w:val="white"/>
          <w:lang w:val="es-ES"/>
        </w:rPr>
        <w:t>.</w:t>
      </w:r>
    </w:p>
    <w:p w14:paraId="03C5EA46"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5AB941D1" w14:textId="77777777" w:rsidR="00CE3C2A" w:rsidRPr="00E93A15" w:rsidRDefault="00000000">
      <w:pPr>
        <w:numPr>
          <w:ilvl w:val="0"/>
          <w:numId w:val="1"/>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El fallo de la Corte suprema responde a un "recurso de inconstitucionalidad" interpuesto en el año 2015 por la jurista Haydée Méndez contra los artículos 3 y 4 de la Ley 7 de 2013</w:t>
      </w:r>
      <w:r w:rsidRPr="00E93A15">
        <w:rPr>
          <w:rFonts w:ascii="Times New Roman" w:eastAsia="Times New Roman" w:hAnsi="Times New Roman" w:cs="Times New Roman"/>
          <w:noProof/>
          <w:color w:val="202124"/>
          <w:sz w:val="24"/>
          <w:szCs w:val="24"/>
          <w:highlight w:val="white"/>
          <w:vertAlign w:val="superscript"/>
          <w:lang w:val="es-ES"/>
        </w:rPr>
        <w:footnoteReference w:id="5"/>
      </w:r>
      <w:r w:rsidRPr="00E93A15">
        <w:rPr>
          <w:rFonts w:ascii="Times New Roman" w:eastAsia="Times New Roman" w:hAnsi="Times New Roman" w:cs="Times New Roman"/>
          <w:noProof/>
          <w:color w:val="202124"/>
          <w:sz w:val="24"/>
          <w:szCs w:val="24"/>
          <w:highlight w:val="white"/>
          <w:lang w:val="es-ES"/>
        </w:rPr>
        <w:t xml:space="preserve"> "Que establece el marco regulatorio para la esterilización femenina" gratuita, es decir, en el sector público de la salud. Esos dos artículos condicionan a que en el sector público de salud las mujeres solo pueden acceder a la esterilización quirúrgica si tienen 23 años o más, dos hijos y una recomendación médica. La misma ley establece que los hombres de 18 años o más podrán solicitar en el sistema público la esterilización sin condición alguna. </w:t>
      </w:r>
    </w:p>
    <w:p w14:paraId="101EC638"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07A71D47" w14:textId="77777777" w:rsidR="00CE3C2A" w:rsidRPr="00E93A15" w:rsidRDefault="00000000">
      <w:pPr>
        <w:numPr>
          <w:ilvl w:val="0"/>
          <w:numId w:val="1"/>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Los magistrados señalaron "que pese a que la mujer y el hombre son iguales ante la Ley y por ende tienen los mismos derechos y obligaciones, no puede soslayarse que la mujer (...) específicamente la maternidad, dista mucho de ser semejante al hombre en términos reproductivos. De allí que, en ese sentido, no pueda colocarse en situación de igualdad a los hombres y las mujeres". El fallo fue firmado por cinco magistrados, todos hombres, con el salvamento del voto (disensión) de los otros cuatro, de ellos tres mujeres, que conforman el pleno de la Corte.</w:t>
      </w:r>
    </w:p>
    <w:p w14:paraId="311AD27C"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6D09A088" w14:textId="77777777" w:rsidR="00CE3C2A" w:rsidRPr="00E93A15" w:rsidRDefault="00000000">
      <w:pPr>
        <w:numPr>
          <w:ilvl w:val="0"/>
          <w:numId w:val="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lastRenderedPageBreak/>
        <w:t>En el proceso de Reformas Electorales, se rechazó una propuesta de que los partidos políticos incluyeran políticas de diversidad dentro de sus colectivos. Actualmente hay una gran disparidad de género en puestos directivos, así como una profunda falta de diversidad.</w:t>
      </w:r>
    </w:p>
    <w:p w14:paraId="2560782B"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00EEDFB8" w14:textId="77777777" w:rsidR="00CE3C2A" w:rsidRPr="00E93A15" w:rsidRDefault="00000000">
      <w:pPr>
        <w:numPr>
          <w:ilvl w:val="0"/>
          <w:numId w:val="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El Estado Panameño cuenta con una serie de normas en materia de derechos de las mujeres, sin embargo, su implementación es insuficiente, así como los mecanismos de monitoreo y evaluación.</w:t>
      </w:r>
    </w:p>
    <w:p w14:paraId="67093E01"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689C93FD" w14:textId="77777777" w:rsidR="00CE3C2A" w:rsidRPr="00E93A15" w:rsidRDefault="00000000">
      <w:pPr>
        <w:numPr>
          <w:ilvl w:val="0"/>
          <w:numId w:val="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Panamá, para el año 2022, se ubicó en la posición 61 de 191 países, atendiendo al índice de desarrollo humano, pero pierde 19 puntos al ajustarlo en base a la desigualdad y cae a la posición 96, cuando se aplicaba el Índice de Desigualdad de Género, que mide tres dimensiones: salud reproductiva, empoderamiento, y participación en el mercado de trabajo. (PNUD, 2022).</w:t>
      </w:r>
    </w:p>
    <w:p w14:paraId="59E63E3B"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70EE37CB" w14:textId="77777777" w:rsidR="00CE3C2A" w:rsidRPr="00E93A15" w:rsidRDefault="00000000">
      <w:pPr>
        <w:numPr>
          <w:ilvl w:val="0"/>
          <w:numId w:val="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En materia económica, persiste la desigualdad; las mujeres invierten mayor tiempo en trabajo de cuidado no remunerado, el  70.6% de las mujeres, frente un 26.5% de los hombres respondieron que se ocupan de las “tareas” de cuidado (CIEPS, 2019); situación que se agravó producto de la pandemia. El menor acceso de las mujeres al empleo formal, impacta en otros indicadores; 45% de las mujeres no tiene cobertura de seguro social y aproximadamente un 30% lo tiene como beneficiaria o dependiente de la pareja (PNUD, 2020).</w:t>
      </w:r>
    </w:p>
    <w:p w14:paraId="7DDF6931"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7ED38624" w14:textId="77777777" w:rsidR="00CE3C2A" w:rsidRPr="00E93A15" w:rsidRDefault="00000000">
      <w:pPr>
        <w:numPr>
          <w:ilvl w:val="0"/>
          <w:numId w:val="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En materia de participación política, para el año 2019 el número de mujeres elegidas en los comicios electorales fue de 104 de un total de 861 candidatas, representando solo el 12.11% de todos los puestos de elección (Libertad Ciudadana, 2021). En la Asamblea Nacional de Diputados, de 71 escaños, solo 16 (22.5%), están ocupados por mujeres.</w:t>
      </w:r>
    </w:p>
    <w:p w14:paraId="13CE1156"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637BC643" w14:textId="77777777" w:rsidR="00CE3C2A" w:rsidRPr="00E93A15" w:rsidRDefault="00000000">
      <w:pPr>
        <w:numPr>
          <w:ilvl w:val="0"/>
          <w:numId w:val="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La Ley 4/1999, establece la obligación de los gobiernos de garantizar al menos el 30% de mujeres como ministras, viceministras y directoras de entidades autónomas; mientras, que la Ley 56/2017, señala la misma cuota de mujeres para las juntas directivas estatales semiautónomas y demás entidades gubernamentales; sin embargo, ninguna establece sanciones por su incumplimiento. En el caso de la ley electoral, se </w:t>
      </w:r>
      <w:r w:rsidRPr="00E93A15">
        <w:rPr>
          <w:rFonts w:ascii="Times New Roman" w:eastAsia="Times New Roman" w:hAnsi="Times New Roman" w:cs="Times New Roman"/>
          <w:noProof/>
          <w:color w:val="202124"/>
          <w:sz w:val="24"/>
          <w:szCs w:val="24"/>
          <w:highlight w:val="white"/>
          <w:lang w:val="es-ES"/>
        </w:rPr>
        <w:lastRenderedPageBreak/>
        <w:t>establece la paridad en las elecciones internas y generales, pero no se cumple y no hay mecanismos para garantizar su aplicación.</w:t>
      </w:r>
    </w:p>
    <w:p w14:paraId="1E71F71F"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152220A1" w14:textId="77777777" w:rsidR="00CE3C2A" w:rsidRPr="00E93A15" w:rsidRDefault="00000000">
      <w:pPr>
        <w:spacing w:line="360" w:lineRule="auto"/>
        <w:jc w:val="both"/>
        <w:rPr>
          <w:rFonts w:ascii="Times New Roman" w:eastAsia="Times New Roman" w:hAnsi="Times New Roman" w:cs="Times New Roman"/>
          <w:b/>
          <w:noProof/>
          <w:color w:val="202124"/>
          <w:sz w:val="24"/>
          <w:szCs w:val="24"/>
          <w:highlight w:val="white"/>
          <w:lang w:val="es-ES"/>
        </w:rPr>
      </w:pPr>
      <w:r w:rsidRPr="00E93A15">
        <w:rPr>
          <w:rFonts w:ascii="Times New Roman" w:eastAsia="Times New Roman" w:hAnsi="Times New Roman" w:cs="Times New Roman"/>
          <w:b/>
          <w:noProof/>
          <w:color w:val="202124"/>
          <w:sz w:val="24"/>
          <w:szCs w:val="24"/>
          <w:highlight w:val="white"/>
          <w:lang w:val="es-ES"/>
        </w:rPr>
        <w:t>Recomendaciones:</w:t>
      </w:r>
    </w:p>
    <w:p w14:paraId="594A7516" w14:textId="77777777" w:rsidR="00CE3C2A" w:rsidRPr="00E93A15" w:rsidRDefault="00CE3C2A">
      <w:pPr>
        <w:spacing w:line="360" w:lineRule="auto"/>
        <w:jc w:val="both"/>
        <w:rPr>
          <w:rFonts w:ascii="Times New Roman" w:eastAsia="Times New Roman" w:hAnsi="Times New Roman" w:cs="Times New Roman"/>
          <w:b/>
          <w:noProof/>
          <w:color w:val="202124"/>
          <w:sz w:val="24"/>
          <w:szCs w:val="24"/>
          <w:highlight w:val="white"/>
          <w:lang w:val="es-ES"/>
        </w:rPr>
      </w:pPr>
    </w:p>
    <w:p w14:paraId="187ABA77" w14:textId="77777777" w:rsidR="00CE3C2A" w:rsidRPr="00E93A15" w:rsidRDefault="00000000">
      <w:pPr>
        <w:numPr>
          <w:ilvl w:val="0"/>
          <w:numId w:val="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Se recomienda al Estado la modificación de la prohibición a mujeres para su esterilización. Se solicita la igualdad de condiciones para acceder a este para hombres y mujeres.</w:t>
      </w:r>
    </w:p>
    <w:p w14:paraId="3750292B" w14:textId="77777777" w:rsidR="00CE3C2A" w:rsidRPr="00E93A15" w:rsidRDefault="00000000">
      <w:pPr>
        <w:numPr>
          <w:ilvl w:val="0"/>
          <w:numId w:val="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Se debe implementar la educación integral en sexualidad de forma obligatoria, desde un enfoque de género y derechos humanos, para el cambio de los patrones socioculturales sexistas.</w:t>
      </w:r>
    </w:p>
    <w:p w14:paraId="19482A78" w14:textId="77777777" w:rsidR="00CE3C2A" w:rsidRPr="00E93A15" w:rsidRDefault="00000000">
      <w:pPr>
        <w:numPr>
          <w:ilvl w:val="0"/>
          <w:numId w:val="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Se requiere una política pública de cuidado. Las encuestas de mercado laboral reflejan que un gran número de mujeres no buscan trabajo, por dedicarse a cuidado de la niñez y otras responsabilidades familiares; situación que se incrementó con la pandemia.</w:t>
      </w:r>
    </w:p>
    <w:p w14:paraId="0091FAE4" w14:textId="77777777" w:rsidR="00CE3C2A" w:rsidRPr="00E93A15" w:rsidRDefault="00000000">
      <w:pPr>
        <w:numPr>
          <w:ilvl w:val="0"/>
          <w:numId w:val="8"/>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Es necesario que se establezcan medidas para garantizar la paridad política, entre ellas, mecanismos de sanción efectivas en caso de no cumplimiento.</w:t>
      </w:r>
    </w:p>
    <w:p w14:paraId="7B52A044" w14:textId="77777777" w:rsidR="00CE3C2A" w:rsidRPr="00E93A15" w:rsidRDefault="00CE3C2A">
      <w:pPr>
        <w:spacing w:line="360" w:lineRule="auto"/>
        <w:jc w:val="both"/>
        <w:rPr>
          <w:rFonts w:ascii="Times New Roman" w:eastAsia="Times New Roman" w:hAnsi="Times New Roman" w:cs="Times New Roman"/>
          <w:noProof/>
          <w:sz w:val="24"/>
          <w:szCs w:val="24"/>
          <w:lang w:val="es-ES"/>
        </w:rPr>
      </w:pPr>
    </w:p>
    <w:p w14:paraId="2BDB4DB0" w14:textId="77777777" w:rsidR="00CE3C2A" w:rsidRPr="00E93A15" w:rsidRDefault="00CE3C2A">
      <w:pPr>
        <w:jc w:val="both"/>
        <w:rPr>
          <w:rFonts w:ascii="Times New Roman" w:eastAsia="Times New Roman" w:hAnsi="Times New Roman" w:cs="Times New Roman"/>
          <w:b/>
          <w:noProof/>
          <w:sz w:val="24"/>
          <w:szCs w:val="24"/>
          <w:lang w:val="es-ES"/>
        </w:rPr>
      </w:pPr>
    </w:p>
    <w:p w14:paraId="1740170E"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2"/>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606D4A93" w14:textId="77777777">
        <w:trPr>
          <w:trHeight w:val="917"/>
        </w:trPr>
        <w:tc>
          <w:tcPr>
            <w:tcW w:w="9435" w:type="dxa"/>
            <w:shd w:val="clear" w:color="auto" w:fill="auto"/>
            <w:tcMar>
              <w:top w:w="100" w:type="dxa"/>
              <w:left w:w="100" w:type="dxa"/>
              <w:bottom w:w="100" w:type="dxa"/>
              <w:right w:w="100" w:type="dxa"/>
            </w:tcMar>
          </w:tcPr>
          <w:p w14:paraId="10C13DD2"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Violencia contra la mujer, incluida la violencia doméstica (arts. 2, 3, 6, 7, 14, 24 y 26)</w:t>
            </w:r>
          </w:p>
        </w:tc>
      </w:tr>
    </w:tbl>
    <w:p w14:paraId="5BD2C676" w14:textId="77777777" w:rsidR="00CE3C2A" w:rsidRPr="00E93A15" w:rsidRDefault="00CE3C2A">
      <w:pPr>
        <w:jc w:val="both"/>
        <w:rPr>
          <w:rFonts w:ascii="Times New Roman" w:eastAsia="Times New Roman" w:hAnsi="Times New Roman" w:cs="Times New Roman"/>
          <w:noProof/>
          <w:sz w:val="24"/>
          <w:szCs w:val="24"/>
          <w:lang w:val="es-ES"/>
        </w:rPr>
      </w:pPr>
    </w:p>
    <w:p w14:paraId="40148DA2" w14:textId="77777777" w:rsidR="00CE3C2A" w:rsidRPr="00E93A15" w:rsidRDefault="00000000">
      <w:pPr>
        <w:numPr>
          <w:ilvl w:val="0"/>
          <w:numId w:val="2"/>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Consideramos importante señalar los datos de 2021 del INAMU en torno a que 75% de las mujeres en sus albergues eran extranjeras víctimas de violencia. Muchas mujeres que son atendidas que declaran ser víctimas de abusos en sus trabajos, como falta de vacaciones, maltratos verbales, salarios por debajo de lo establecido y en condiciones de encierro. Hasta ahora no hemos podido constatar más allá de la seria preocupación de las autoridades acciones concretas para solventar estas situaciones. Las medidas adoptadas por el Estado para protección a las víctimas de violencia basada en género no son eficaces.</w:t>
      </w:r>
    </w:p>
    <w:p w14:paraId="6F8A67D9"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2BBEF488" w14:textId="77777777" w:rsidR="00CE3C2A" w:rsidRPr="00E93A15" w:rsidRDefault="00000000">
      <w:pPr>
        <w:numPr>
          <w:ilvl w:val="0"/>
          <w:numId w:val="2"/>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Persisten denuncias de violencia a mujeres de la diversidad sexual en centros de detención.</w:t>
      </w:r>
    </w:p>
    <w:p w14:paraId="57B7D341"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42305A40" w14:textId="77777777" w:rsidR="00CE3C2A" w:rsidRPr="00E93A15" w:rsidRDefault="00000000">
      <w:pPr>
        <w:numPr>
          <w:ilvl w:val="0"/>
          <w:numId w:val="2"/>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Respecto a la normativa, mediante el Decreto Ejecutivo 100/2017 se reglamentó la Ley 82/2013, sin embargo, a pesar de algunos avances, persisten retrasos en su implementación. Solo se mantienen en funcionamiento dos albergues, para mujeres cuya vida e integridad se encuentre en riesgo; mientras que la ley establece que debe existir uno por provincia/comarcas y 4 en la provincia de Panamá; no se han creado las fiscalías y juzgados especializados en violencia contra las mujeres; no se ha establecido el fondo especial de reparaciones; y aún no se ha implementado como parte de las medidas de protección el </w:t>
      </w:r>
      <w:r w:rsidRPr="00E93A15">
        <w:rPr>
          <w:rFonts w:ascii="Times New Roman" w:eastAsia="Times New Roman" w:hAnsi="Times New Roman" w:cs="Times New Roman"/>
          <w:i/>
          <w:noProof/>
          <w:color w:val="202124"/>
          <w:sz w:val="24"/>
          <w:szCs w:val="24"/>
          <w:highlight w:val="white"/>
          <w:lang w:val="es-ES"/>
        </w:rPr>
        <w:t>instrumento de seguridad con receptor en la víctima</w:t>
      </w:r>
      <w:r w:rsidRPr="00E93A15">
        <w:rPr>
          <w:rFonts w:ascii="Times New Roman" w:eastAsia="Times New Roman" w:hAnsi="Times New Roman" w:cs="Times New Roman"/>
          <w:noProof/>
          <w:color w:val="202124"/>
          <w:sz w:val="24"/>
          <w:szCs w:val="24"/>
          <w:highlight w:val="white"/>
          <w:lang w:val="es-ES"/>
        </w:rPr>
        <w:t xml:space="preserve"> (brazalete electrónico).</w:t>
      </w:r>
    </w:p>
    <w:p w14:paraId="540329D5" w14:textId="77777777" w:rsidR="00CE3C2A" w:rsidRPr="00E93A15" w:rsidRDefault="00CE3C2A">
      <w:pPr>
        <w:spacing w:line="360" w:lineRule="auto"/>
        <w:ind w:left="720"/>
        <w:jc w:val="both"/>
        <w:rPr>
          <w:rFonts w:ascii="Times New Roman" w:eastAsia="Times New Roman" w:hAnsi="Times New Roman" w:cs="Times New Roman"/>
          <w:noProof/>
          <w:color w:val="202124"/>
          <w:sz w:val="24"/>
          <w:szCs w:val="24"/>
          <w:highlight w:val="white"/>
          <w:lang w:val="es-ES"/>
        </w:rPr>
      </w:pPr>
    </w:p>
    <w:p w14:paraId="1868AF64"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031D4F19" w14:textId="77777777" w:rsidR="00CE3C2A" w:rsidRPr="00E93A15" w:rsidRDefault="00000000">
      <w:pPr>
        <w:numPr>
          <w:ilvl w:val="0"/>
          <w:numId w:val="2"/>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sz w:val="24"/>
          <w:szCs w:val="24"/>
          <w:highlight w:val="white"/>
          <w:lang w:val="es-ES"/>
        </w:rPr>
        <w:t xml:space="preserve">Según Diagnóstico de la Violencia hacia mujeres afrodescendientes (UNFPA Panamá, marzo 2022) Los datos demuestran que el delito de femicidio está en aumento en el país, a pesar de que en los últimos años se han desarrollado políticas públicas encaminadas a velar por la seguridad y la vida de las mujeres, como la Ley 82 del 24 de octubre del 2013 y la creación de los Centros Nacionales de Atención a la Mujer, (CINAMUS). Entre el 2014 y el 2019, las víctimas de femicidios consumados y en grado de tentativa tenían entre 18 y 49 años de edad. De los 199 femicidios ocurridos en este período, 18 mujeres tenían entre 0 y 17 años. En el período del 2015 al 2019, las provincias donde más femicidios se cometieron fueron Panamá, Chiriquí y Panamá Oeste, con 63 (39%), 27 (17%) y 26 (16%) casos, respectivamente.  Un hecho que refleja estos datos es la falta de pertinencia étnica en la publicación de los mismos. Ello no es una prioridad para los operadores de justicia. </w:t>
      </w:r>
    </w:p>
    <w:p w14:paraId="1670154D" w14:textId="77777777" w:rsidR="00CE3C2A" w:rsidRPr="00E93A15" w:rsidRDefault="00CE3C2A">
      <w:pPr>
        <w:spacing w:line="360" w:lineRule="auto"/>
        <w:jc w:val="both"/>
        <w:rPr>
          <w:rFonts w:ascii="Times New Roman" w:eastAsia="Times New Roman" w:hAnsi="Times New Roman" w:cs="Times New Roman"/>
          <w:noProof/>
          <w:sz w:val="24"/>
          <w:szCs w:val="24"/>
          <w:highlight w:val="white"/>
          <w:lang w:val="es-ES"/>
        </w:rPr>
      </w:pPr>
    </w:p>
    <w:p w14:paraId="64EDECAF" w14:textId="41620947" w:rsidR="00CE3C2A" w:rsidRPr="00E93A15" w:rsidRDefault="00000000">
      <w:pPr>
        <w:numPr>
          <w:ilvl w:val="0"/>
          <w:numId w:val="2"/>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sz w:val="24"/>
          <w:szCs w:val="24"/>
          <w:highlight w:val="white"/>
          <w:lang w:val="es-ES"/>
        </w:rPr>
        <w:t>En cuanto a los delitos de violación cometidos en el año 2019 en todo el país, 1,762 fueron a menores de edad, de los cuales el 88.42% de las v</w:t>
      </w:r>
      <w:r w:rsidR="005B193D">
        <w:rPr>
          <w:rFonts w:ascii="Times New Roman" w:eastAsia="Times New Roman" w:hAnsi="Times New Roman" w:cs="Times New Roman"/>
          <w:noProof/>
          <w:sz w:val="24"/>
          <w:szCs w:val="24"/>
          <w:highlight w:val="white"/>
          <w:lang w:val="es-ES"/>
        </w:rPr>
        <w:t>í</w:t>
      </w:r>
      <w:r w:rsidRPr="00E93A15">
        <w:rPr>
          <w:rFonts w:ascii="Times New Roman" w:eastAsia="Times New Roman" w:hAnsi="Times New Roman" w:cs="Times New Roman"/>
          <w:noProof/>
          <w:sz w:val="24"/>
          <w:szCs w:val="24"/>
          <w:highlight w:val="white"/>
          <w:lang w:val="es-ES"/>
        </w:rPr>
        <w:t xml:space="preserve">ctimas fue del sexo femenino y 11.57% del masculino. La cifra más alta ocurrió en menores de 10 a 14 años con un 46.59%, seguidas del rango de edad de 15 a 17 años con el 37.68%, y en tercer lugar en el grupo de 5 a 9 años en el 11.12% de los casos. En el año 2019 se denunciaron 285 violaciones doblemente agravadas, de las cuales 262 fueron del sexo femenino. En 11 denuncias las víctimas tenían entre 0 y 4 años y en 32 denuncias la víctima tenía de 5 a 9 años de edad, según datos suministrados por el Ministerio Público. El 92% de las víctimas de este tipo fueron niñas y adolescentes. De enero a octubre de 2020 se </w:t>
      </w:r>
      <w:r w:rsidRPr="00E93A15">
        <w:rPr>
          <w:rFonts w:ascii="Times New Roman" w:eastAsia="Times New Roman" w:hAnsi="Times New Roman" w:cs="Times New Roman"/>
          <w:noProof/>
          <w:sz w:val="24"/>
          <w:szCs w:val="24"/>
          <w:highlight w:val="white"/>
          <w:lang w:val="es-ES"/>
        </w:rPr>
        <w:lastRenderedPageBreak/>
        <w:t xml:space="preserve">denunciaron 4,525 delitos sexuales. Dentro de este renglón, el delito más frecuente fue la violación: 1,742 casos, frente a estos datos que denotan el grado de vulnerabilidad que vive la niñez y adolescencia en Panamá, la persona entrevistada en el Ministerio Público aseguró que los datos por etnia solo se obtienen para las indígenas, y no los hay para las niñas, adolescentes y mujeres afrodescendientes. </w:t>
      </w:r>
    </w:p>
    <w:p w14:paraId="169DF1E2" w14:textId="77777777" w:rsidR="00CE3C2A" w:rsidRPr="00E93A15" w:rsidRDefault="00CE3C2A">
      <w:pPr>
        <w:spacing w:line="360" w:lineRule="auto"/>
        <w:jc w:val="both"/>
        <w:rPr>
          <w:rFonts w:ascii="Times New Roman" w:eastAsia="Times New Roman" w:hAnsi="Times New Roman" w:cs="Times New Roman"/>
          <w:noProof/>
          <w:sz w:val="24"/>
          <w:szCs w:val="24"/>
          <w:highlight w:val="white"/>
          <w:lang w:val="es-ES"/>
        </w:rPr>
      </w:pPr>
    </w:p>
    <w:p w14:paraId="44552BB1" w14:textId="77777777" w:rsidR="00CE3C2A" w:rsidRPr="00E93A15" w:rsidRDefault="00CE3C2A">
      <w:pPr>
        <w:spacing w:line="360" w:lineRule="auto"/>
        <w:jc w:val="both"/>
        <w:rPr>
          <w:rFonts w:ascii="Times New Roman" w:eastAsia="Times New Roman" w:hAnsi="Times New Roman" w:cs="Times New Roman"/>
          <w:noProof/>
          <w:sz w:val="24"/>
          <w:szCs w:val="24"/>
          <w:highlight w:val="white"/>
          <w:lang w:val="es-ES"/>
        </w:rPr>
      </w:pPr>
    </w:p>
    <w:p w14:paraId="1279EECF" w14:textId="77777777" w:rsidR="00CE3C2A" w:rsidRPr="00E93A15" w:rsidRDefault="00000000">
      <w:pPr>
        <w:numPr>
          <w:ilvl w:val="0"/>
          <w:numId w:val="2"/>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sz w:val="24"/>
          <w:szCs w:val="24"/>
          <w:highlight w:val="white"/>
          <w:lang w:val="es-ES"/>
        </w:rPr>
        <w:t xml:space="preserve">El Observatorio Panameño contra la Violencia de Género registró durante 2020 las cifras más altas de feminicidios desde 2015. Según estas estadísticas basadas en los reportes del Ministerio Público, durante el año 2020 un total de 31 mujeres fueron asesinadas, hubo 5 tentativas de femicidio y 15 muertes violentas. De igual forma, durante 2020 el Ministerio Público recibió un total de 15.123 denuncias por violencia doméstica o intrafamiliar, además de 5.159 denuncias relacionadas con delitos sexuales: 2.124 violaciones, 205 violaciones doblemente agravadas, 17 tentativas de violación, 1.913 delitos de acceso sexual a personas mayores a 14 años y menores a 18 años, 876 actos libidinosos y 24 denuncias de acoso sexual. </w:t>
      </w:r>
    </w:p>
    <w:p w14:paraId="6ACB35F1" w14:textId="77777777" w:rsidR="00CE3C2A" w:rsidRPr="00E93A15" w:rsidRDefault="00CE3C2A">
      <w:pPr>
        <w:jc w:val="both"/>
        <w:rPr>
          <w:rFonts w:ascii="Times New Roman" w:eastAsia="Times New Roman" w:hAnsi="Times New Roman" w:cs="Times New Roman"/>
          <w:noProof/>
          <w:color w:val="202124"/>
          <w:sz w:val="24"/>
          <w:szCs w:val="24"/>
          <w:highlight w:val="white"/>
          <w:lang w:val="es-ES"/>
        </w:rPr>
      </w:pPr>
    </w:p>
    <w:p w14:paraId="10E147FA" w14:textId="77777777" w:rsidR="00CE3C2A" w:rsidRPr="00E93A15" w:rsidRDefault="00000000">
      <w:pPr>
        <w:jc w:val="both"/>
        <w:rPr>
          <w:rFonts w:ascii="Times New Roman" w:eastAsia="Times New Roman" w:hAnsi="Times New Roman" w:cs="Times New Roman"/>
          <w:b/>
          <w:i/>
          <w:noProof/>
          <w:sz w:val="24"/>
          <w:szCs w:val="24"/>
          <w:lang w:val="es-ES"/>
        </w:rPr>
      </w:pPr>
      <w:r w:rsidRPr="00E93A15">
        <w:rPr>
          <w:rFonts w:ascii="Times New Roman" w:eastAsia="Times New Roman" w:hAnsi="Times New Roman" w:cs="Times New Roman"/>
          <w:b/>
          <w:i/>
          <w:noProof/>
          <w:sz w:val="24"/>
          <w:szCs w:val="24"/>
          <w:lang w:val="es-ES"/>
        </w:rPr>
        <w:t>Recomendaciones</w:t>
      </w:r>
    </w:p>
    <w:p w14:paraId="2D930B2D" w14:textId="77777777" w:rsidR="00CE3C2A" w:rsidRPr="00E93A15" w:rsidRDefault="00CE3C2A">
      <w:pPr>
        <w:jc w:val="both"/>
        <w:rPr>
          <w:rFonts w:ascii="Times New Roman" w:eastAsia="Times New Roman" w:hAnsi="Times New Roman" w:cs="Times New Roman"/>
          <w:noProof/>
          <w:sz w:val="24"/>
          <w:szCs w:val="24"/>
          <w:lang w:val="es-ES"/>
        </w:rPr>
      </w:pPr>
    </w:p>
    <w:p w14:paraId="7D209084" w14:textId="77777777" w:rsidR="00CE3C2A" w:rsidRPr="00E93A15" w:rsidRDefault="00000000">
      <w:pPr>
        <w:numPr>
          <w:ilvl w:val="0"/>
          <w:numId w:val="3"/>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Se debe dotar de presupuesto necesario para la implementación de las normas de prevención y atención de la violencia contra las mujeres, incluida la Ley 82/2013.</w:t>
      </w:r>
    </w:p>
    <w:p w14:paraId="6555099E" w14:textId="77777777" w:rsidR="00CE3C2A" w:rsidRPr="00E93A15" w:rsidRDefault="00CE3C2A">
      <w:pPr>
        <w:ind w:left="720"/>
        <w:jc w:val="both"/>
        <w:rPr>
          <w:rFonts w:ascii="Times New Roman" w:eastAsia="Times New Roman" w:hAnsi="Times New Roman" w:cs="Times New Roman"/>
          <w:noProof/>
          <w:sz w:val="24"/>
          <w:szCs w:val="24"/>
          <w:lang w:val="es-ES"/>
        </w:rPr>
      </w:pPr>
    </w:p>
    <w:p w14:paraId="0A5EE15F" w14:textId="77777777" w:rsidR="00CE3C2A" w:rsidRPr="00E93A15" w:rsidRDefault="00000000">
      <w:pPr>
        <w:numPr>
          <w:ilvl w:val="0"/>
          <w:numId w:val="3"/>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personal de las instituciones encargadas de la política pública de igualdad, debe ser técnico y su nombramiento debe basarse en la Ley de Carrera Administrativa.</w:t>
      </w:r>
    </w:p>
    <w:p w14:paraId="74F8AD5C" w14:textId="77777777" w:rsidR="00CE3C2A" w:rsidRPr="00E93A15" w:rsidRDefault="00CE3C2A">
      <w:pPr>
        <w:jc w:val="both"/>
        <w:rPr>
          <w:rFonts w:ascii="Times New Roman" w:eastAsia="Times New Roman" w:hAnsi="Times New Roman" w:cs="Times New Roman"/>
          <w:noProof/>
          <w:sz w:val="24"/>
          <w:szCs w:val="24"/>
          <w:lang w:val="es-ES"/>
        </w:rPr>
      </w:pPr>
    </w:p>
    <w:p w14:paraId="031F96F0" w14:textId="77777777" w:rsidR="00CE3C2A" w:rsidRPr="00E93A15" w:rsidRDefault="00CE3C2A">
      <w:pPr>
        <w:jc w:val="both"/>
        <w:rPr>
          <w:rFonts w:ascii="Times New Roman" w:eastAsia="Times New Roman" w:hAnsi="Times New Roman" w:cs="Times New Roman"/>
          <w:noProof/>
          <w:sz w:val="24"/>
          <w:szCs w:val="24"/>
          <w:lang w:val="es-ES"/>
        </w:rPr>
      </w:pPr>
    </w:p>
    <w:p w14:paraId="6DEE3A0B" w14:textId="77777777" w:rsidR="00CE3C2A" w:rsidRPr="00E93A15" w:rsidRDefault="00CE3C2A">
      <w:pPr>
        <w:jc w:val="both"/>
        <w:rPr>
          <w:rFonts w:ascii="Times New Roman" w:eastAsia="Times New Roman" w:hAnsi="Times New Roman" w:cs="Times New Roman"/>
          <w:noProof/>
          <w:sz w:val="24"/>
          <w:szCs w:val="24"/>
          <w:lang w:val="es-ES"/>
        </w:rPr>
      </w:pPr>
    </w:p>
    <w:p w14:paraId="6735B56D"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3"/>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0854DE22" w14:textId="77777777">
        <w:trPr>
          <w:trHeight w:val="917"/>
        </w:trPr>
        <w:tc>
          <w:tcPr>
            <w:tcW w:w="9435" w:type="dxa"/>
            <w:shd w:val="clear" w:color="auto" w:fill="auto"/>
            <w:tcMar>
              <w:top w:w="100" w:type="dxa"/>
              <w:left w:w="100" w:type="dxa"/>
              <w:bottom w:w="100" w:type="dxa"/>
              <w:right w:w="100" w:type="dxa"/>
            </w:tcMar>
          </w:tcPr>
          <w:p w14:paraId="127E0A11"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Interrupción voluntaria del embarazo y derechos reproductivos (arts. 2, 3, 6, 7, 17, 24 y 26)</w:t>
            </w:r>
          </w:p>
        </w:tc>
      </w:tr>
    </w:tbl>
    <w:p w14:paraId="3ADA7B6B" w14:textId="77777777" w:rsidR="00CE3C2A" w:rsidRPr="00E93A15" w:rsidRDefault="00CE3C2A">
      <w:pPr>
        <w:jc w:val="both"/>
        <w:rPr>
          <w:rFonts w:ascii="Times New Roman" w:eastAsia="Times New Roman" w:hAnsi="Times New Roman" w:cs="Times New Roman"/>
          <w:noProof/>
          <w:sz w:val="24"/>
          <w:szCs w:val="24"/>
          <w:lang w:val="es-ES"/>
        </w:rPr>
      </w:pPr>
    </w:p>
    <w:p w14:paraId="6ABD9322" w14:textId="77777777" w:rsidR="00CE3C2A" w:rsidRPr="00E93A15" w:rsidRDefault="00CE3C2A">
      <w:pPr>
        <w:ind w:left="720"/>
        <w:jc w:val="both"/>
        <w:rPr>
          <w:rFonts w:ascii="Times New Roman" w:eastAsia="Times New Roman" w:hAnsi="Times New Roman" w:cs="Times New Roman"/>
          <w:noProof/>
          <w:sz w:val="24"/>
          <w:szCs w:val="24"/>
          <w:lang w:val="es-ES"/>
        </w:rPr>
      </w:pPr>
    </w:p>
    <w:p w14:paraId="05C26256" w14:textId="77777777" w:rsidR="00CE3C2A" w:rsidRPr="00E93A15" w:rsidRDefault="00000000">
      <w:pPr>
        <w:numPr>
          <w:ilvl w:val="0"/>
          <w:numId w:val="4"/>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 xml:space="preserve">Respecto a la autonomía reproductiva, en el año 2020, la Corte Suprema de Justicia de Panamá, determinó que no era inconstitucional la Ley 7/2013, que establece requisitos diferenciados para que las mujeres puedan acceder a la esterilización gratuita en centros </w:t>
      </w:r>
      <w:r w:rsidRPr="00E93A15">
        <w:rPr>
          <w:rFonts w:ascii="Times New Roman" w:eastAsia="Times New Roman" w:hAnsi="Times New Roman" w:cs="Times New Roman"/>
          <w:noProof/>
          <w:sz w:val="24"/>
          <w:szCs w:val="24"/>
          <w:lang w:val="es-ES"/>
        </w:rPr>
        <w:lastRenderedPageBreak/>
        <w:t>de salud públicos. Esta ley permite a los hombres acceder desde los 18 años, mientras que a las mujeres se les exigen 23 años y 2 hijos.</w:t>
      </w:r>
    </w:p>
    <w:p w14:paraId="0D432EB3" w14:textId="77777777" w:rsidR="00CE3C2A" w:rsidRPr="00E93A15" w:rsidRDefault="00CE3C2A">
      <w:pPr>
        <w:ind w:left="720"/>
        <w:jc w:val="both"/>
        <w:rPr>
          <w:rFonts w:ascii="Times New Roman" w:eastAsia="Times New Roman" w:hAnsi="Times New Roman" w:cs="Times New Roman"/>
          <w:noProof/>
          <w:sz w:val="24"/>
          <w:szCs w:val="24"/>
          <w:lang w:val="es-ES"/>
        </w:rPr>
      </w:pPr>
    </w:p>
    <w:p w14:paraId="65633801" w14:textId="77777777" w:rsidR="00CE3C2A" w:rsidRPr="00E93A15" w:rsidRDefault="00000000">
      <w:pPr>
        <w:numPr>
          <w:ilvl w:val="0"/>
          <w:numId w:val="4"/>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En cuanto a la interrupción voluntaria del embarazo, en los últimos años en la Asamblea Nacional de Diputados se han presentado diversas normativas que representarían un retroceso en la materia, entre ellas, una propuesta de ley del año 2019, para el registro</w:t>
      </w:r>
      <w:r w:rsidRPr="00E93A15">
        <w:rPr>
          <w:rFonts w:ascii="Times New Roman" w:eastAsia="Times New Roman" w:hAnsi="Times New Roman" w:cs="Times New Roman"/>
          <w:i/>
          <w:noProof/>
          <w:sz w:val="24"/>
          <w:szCs w:val="24"/>
          <w:lang w:val="es-ES"/>
        </w:rPr>
        <w:t xml:space="preserve"> de niños concebidos no nacidos</w:t>
      </w:r>
      <w:r w:rsidRPr="00E93A15">
        <w:rPr>
          <w:rFonts w:ascii="Times New Roman" w:eastAsia="Times New Roman" w:hAnsi="Times New Roman" w:cs="Times New Roman"/>
          <w:noProof/>
          <w:sz w:val="24"/>
          <w:szCs w:val="24"/>
          <w:lang w:val="es-ES"/>
        </w:rPr>
        <w:t>, que a pesar del continuo rechazo por organizaciones de mujeres, se volvió a presentar en el año 2022, sin ser archivado hasta la fecha.</w:t>
      </w:r>
    </w:p>
    <w:p w14:paraId="2A687A4C" w14:textId="77777777" w:rsidR="00CE3C2A" w:rsidRPr="00E93A15" w:rsidRDefault="00CE3C2A">
      <w:pPr>
        <w:ind w:left="720"/>
        <w:jc w:val="both"/>
        <w:rPr>
          <w:rFonts w:ascii="Times New Roman" w:eastAsia="Times New Roman" w:hAnsi="Times New Roman" w:cs="Times New Roman"/>
          <w:noProof/>
          <w:sz w:val="24"/>
          <w:szCs w:val="24"/>
          <w:lang w:val="es-ES"/>
        </w:rPr>
      </w:pPr>
    </w:p>
    <w:p w14:paraId="052879B9" w14:textId="77777777" w:rsidR="00CE3C2A" w:rsidRPr="00E93A15" w:rsidRDefault="00000000">
      <w:pPr>
        <w:numPr>
          <w:ilvl w:val="0"/>
          <w:numId w:val="4"/>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En el año 2022, el Ministerio de Salud y el Ministerio Público, publicaron protocolos sobre el procedimiento a seguir para los abortos permitidos por la ley, sin embargo, es necesario establecer un mecanismo de monitoreo y evaluación. Para el mismo año, una niña indígena de 8 años, violada por un hombre de su entorno familiar, fue obligada a llevar a término su embarazo. En el 2021, se registraron 381 nacimientos vivos, cuyas madres eran niñas menores de 15 años, y 9,211, de 15 a 19 años.</w:t>
      </w:r>
    </w:p>
    <w:p w14:paraId="7CD265F3" w14:textId="77777777" w:rsidR="00CE3C2A" w:rsidRPr="00E93A15" w:rsidRDefault="00CE3C2A">
      <w:pPr>
        <w:jc w:val="both"/>
        <w:rPr>
          <w:rFonts w:ascii="Times New Roman" w:eastAsia="Times New Roman" w:hAnsi="Times New Roman" w:cs="Times New Roman"/>
          <w:noProof/>
          <w:sz w:val="24"/>
          <w:szCs w:val="24"/>
          <w:lang w:val="es-ES"/>
        </w:rPr>
      </w:pPr>
    </w:p>
    <w:p w14:paraId="2E9E20E0" w14:textId="77777777" w:rsidR="00CE3C2A" w:rsidRPr="00E93A15" w:rsidRDefault="00000000">
      <w:p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Recomendaciones:</w:t>
      </w:r>
    </w:p>
    <w:p w14:paraId="0360061F" w14:textId="77777777" w:rsidR="00CE3C2A" w:rsidRPr="00E93A15" w:rsidRDefault="00CE3C2A">
      <w:pPr>
        <w:jc w:val="both"/>
        <w:rPr>
          <w:rFonts w:ascii="Times New Roman" w:eastAsia="Times New Roman" w:hAnsi="Times New Roman" w:cs="Times New Roman"/>
          <w:noProof/>
          <w:sz w:val="24"/>
          <w:szCs w:val="24"/>
          <w:lang w:val="es-ES"/>
        </w:rPr>
      </w:pPr>
    </w:p>
    <w:p w14:paraId="15D79773" w14:textId="77777777" w:rsidR="00CE3C2A" w:rsidRPr="00E93A15" w:rsidRDefault="00000000">
      <w:pPr>
        <w:numPr>
          <w:ilvl w:val="0"/>
          <w:numId w:val="17"/>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Se deben revisar los plazos para la interrupción legal del embarazo, considerando la alta prevalencia de delitos sexuales en el país, en su mayoría contra niñas y adolescentes. En el año 2018, el Comité de los Derechos del Niño recomendó a Panamá la despenalización del aborto en todos los casos y que velara porque las niñas puedan abortar en condiciones seguras y ser atendidas tras hacerlo; además, que revisara su legislación para salvaguardar el interés superior de las niñas embarazadas y velara por que sus opiniones se escuchen y siempre se tengan debidamente en cuenta en las decisiones relacionadas con el aborto.</w:t>
      </w:r>
    </w:p>
    <w:p w14:paraId="0AD9D57F" w14:textId="77777777" w:rsidR="00CE3C2A" w:rsidRPr="00E93A15" w:rsidRDefault="00CE3C2A">
      <w:pPr>
        <w:ind w:left="720"/>
        <w:jc w:val="both"/>
        <w:rPr>
          <w:rFonts w:ascii="Times New Roman" w:eastAsia="Times New Roman" w:hAnsi="Times New Roman" w:cs="Times New Roman"/>
          <w:noProof/>
          <w:sz w:val="24"/>
          <w:szCs w:val="24"/>
          <w:lang w:val="es-ES"/>
        </w:rPr>
      </w:pPr>
    </w:p>
    <w:p w14:paraId="61E01DE2" w14:textId="77777777" w:rsidR="00CE3C2A" w:rsidRPr="00E93A15" w:rsidRDefault="00CE3C2A">
      <w:pPr>
        <w:jc w:val="both"/>
        <w:rPr>
          <w:rFonts w:ascii="Times New Roman" w:eastAsia="Times New Roman" w:hAnsi="Times New Roman" w:cs="Times New Roman"/>
          <w:noProof/>
          <w:sz w:val="24"/>
          <w:szCs w:val="24"/>
          <w:lang w:val="es-ES"/>
        </w:rPr>
      </w:pPr>
    </w:p>
    <w:p w14:paraId="6DE76282" w14:textId="77777777" w:rsidR="00CE3C2A" w:rsidRPr="00E93A15" w:rsidRDefault="00CE3C2A">
      <w:pPr>
        <w:jc w:val="both"/>
        <w:rPr>
          <w:rFonts w:ascii="Times New Roman" w:eastAsia="Times New Roman" w:hAnsi="Times New Roman" w:cs="Times New Roman"/>
          <w:noProof/>
          <w:sz w:val="24"/>
          <w:szCs w:val="24"/>
          <w:lang w:val="es-ES"/>
        </w:rPr>
      </w:pPr>
    </w:p>
    <w:p w14:paraId="60BAF548"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4"/>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3EA2E2E3" w14:textId="77777777">
        <w:trPr>
          <w:trHeight w:val="917"/>
        </w:trPr>
        <w:tc>
          <w:tcPr>
            <w:tcW w:w="9435" w:type="dxa"/>
            <w:shd w:val="clear" w:color="auto" w:fill="auto"/>
            <w:tcMar>
              <w:top w:w="100" w:type="dxa"/>
              <w:left w:w="100" w:type="dxa"/>
              <w:bottom w:w="100" w:type="dxa"/>
              <w:right w:w="100" w:type="dxa"/>
            </w:tcMar>
          </w:tcPr>
          <w:p w14:paraId="7F60C643"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Prohibición de la tortura y otros tratos o penas crueles, inhumanos o degradantes (arts. 7, 9, 14 y 24)</w:t>
            </w:r>
          </w:p>
        </w:tc>
      </w:tr>
    </w:tbl>
    <w:p w14:paraId="09E703B2" w14:textId="77777777" w:rsidR="00CE3C2A" w:rsidRPr="00E93A15" w:rsidRDefault="00CE3C2A">
      <w:pPr>
        <w:jc w:val="both"/>
        <w:rPr>
          <w:rFonts w:ascii="Times New Roman" w:eastAsia="Times New Roman" w:hAnsi="Times New Roman" w:cs="Times New Roman"/>
          <w:noProof/>
          <w:sz w:val="24"/>
          <w:szCs w:val="24"/>
          <w:lang w:val="es-ES"/>
        </w:rPr>
      </w:pPr>
    </w:p>
    <w:p w14:paraId="7E858659" w14:textId="77777777" w:rsidR="00CE3C2A" w:rsidRPr="00E93A15" w:rsidRDefault="00000000">
      <w:pPr>
        <w:numPr>
          <w:ilvl w:val="0"/>
          <w:numId w:val="16"/>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 xml:space="preserve">Las “prácticas de conversión”, también llamadas </w:t>
      </w:r>
      <w:r w:rsidRPr="00E93A15">
        <w:rPr>
          <w:rFonts w:ascii="Times New Roman" w:eastAsia="Times New Roman" w:hAnsi="Times New Roman" w:cs="Times New Roman"/>
          <w:noProof/>
          <w:color w:val="333333"/>
          <w:sz w:val="24"/>
          <w:szCs w:val="24"/>
          <w:highlight w:val="white"/>
          <w:lang w:val="es-ES"/>
        </w:rPr>
        <w:t>“terapias de conversión” o “terapias reparativas”, son prácticas que pretenden modificar la orientación sexual o identidad de género de una persona. La sociedad civil desde hace años viene tratando de dar evidencia de esta práctica la cual se puede estar dando de manera sostenida en Panamá. Especialmente ante la ausencia de una prohibición por parte del Estado. Siendo estas prácticas contrarias a los derechos humanos y la dignidad de personas LGBTIQ+.</w:t>
      </w:r>
    </w:p>
    <w:p w14:paraId="637FF77F"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3F46A405" w14:textId="77777777" w:rsidR="00CE3C2A" w:rsidRPr="00E93A15" w:rsidRDefault="00000000">
      <w:pPr>
        <w:numPr>
          <w:ilvl w:val="0"/>
          <w:numId w:val="16"/>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lastRenderedPageBreak/>
        <w:t>En 2019, se documentó un presento caso de teraprias reparativas perpetrados por entes estatales de salud. Panademia LGTBIQ+</w:t>
      </w:r>
      <w:r w:rsidRPr="00E93A15">
        <w:rPr>
          <w:rFonts w:ascii="Times New Roman" w:eastAsia="Times New Roman" w:hAnsi="Times New Roman" w:cs="Times New Roman"/>
          <w:noProof/>
          <w:color w:val="333333"/>
          <w:sz w:val="24"/>
          <w:szCs w:val="24"/>
          <w:highlight w:val="white"/>
          <w:vertAlign w:val="superscript"/>
          <w:lang w:val="es-ES"/>
        </w:rPr>
        <w:footnoteReference w:id="6"/>
      </w:r>
      <w:r w:rsidRPr="00E93A15">
        <w:rPr>
          <w:rFonts w:ascii="Times New Roman" w:eastAsia="Times New Roman" w:hAnsi="Times New Roman" w:cs="Times New Roman"/>
          <w:noProof/>
          <w:color w:val="333333"/>
          <w:sz w:val="24"/>
          <w:szCs w:val="24"/>
          <w:highlight w:val="white"/>
          <w:lang w:val="es-ES"/>
        </w:rPr>
        <w:t xml:space="preserve"> fue una serie de Concolón Podcast y Fundación Iguales, con enfoque de derechos humanos en el mes del Orgullo y en el marco de la pandemia del Covid-19. Esta investigación arrojó luces sobre una situación por muchos conocida pero difícilmente comprobada.</w:t>
      </w:r>
    </w:p>
    <w:p w14:paraId="140F2857"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248B40E3" w14:textId="77777777" w:rsidR="00CE3C2A" w:rsidRPr="00E93A15" w:rsidRDefault="00000000">
      <w:pPr>
        <w:numPr>
          <w:ilvl w:val="0"/>
          <w:numId w:val="16"/>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Las “terapias de conversión” ocurren en las sombras, dentro de instituciones religiosas en dónde el Estado no tiene una fiscalización.</w:t>
      </w:r>
    </w:p>
    <w:p w14:paraId="0D450F8C"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2D72217D" w14:textId="77777777" w:rsidR="00CE3C2A" w:rsidRPr="00E93A15" w:rsidRDefault="00000000">
      <w:pPr>
        <w:numPr>
          <w:ilvl w:val="0"/>
          <w:numId w:val="16"/>
        </w:numPr>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 xml:space="preserve">En el Informe del Experto Independiente sobre la protección contra la violencia y la discriminación por motivos de orientación sexual o identidad de género, Víctor Madrigal, al Consejo de Derechos Humanos en su 44º período de sesiones de julio de 2020 se corrobora esto. En su párrafo 43, cuando se refiere a las terapias de aversión, específicamente al electrochoque, como una práctica existente en Panamá a personas para </w:t>
      </w:r>
      <w:r w:rsidRPr="00E93A15">
        <w:rPr>
          <w:rFonts w:ascii="Times New Roman" w:eastAsia="Times New Roman" w:hAnsi="Times New Roman" w:cs="Times New Roman"/>
          <w:noProof/>
          <w:color w:val="333333"/>
          <w:sz w:val="24"/>
          <w:szCs w:val="24"/>
          <w:highlight w:val="white"/>
          <w:lang w:val="es-ES"/>
        </w:rPr>
        <w:t xml:space="preserve">modificar la orientación sexual o identidad de género. El uso inválido de medicación </w:t>
      </w:r>
    </w:p>
    <w:p w14:paraId="0E7B71A9" w14:textId="77777777" w:rsidR="00CE3C2A" w:rsidRPr="00E93A15" w:rsidRDefault="00000000">
      <w:pPr>
        <w:ind w:left="720"/>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también es reportado en dicho Informe en su párrafo 47.</w:t>
      </w:r>
    </w:p>
    <w:p w14:paraId="30C40B2E"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6BEDB2AF" w14:textId="77777777" w:rsidR="00CE3C2A" w:rsidRPr="00E93A15" w:rsidRDefault="00000000">
      <w:pPr>
        <w:numPr>
          <w:ilvl w:val="0"/>
          <w:numId w:val="16"/>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Es ya materia de este Comité considerar a las “terapias de conversión” como tratos crueles e inhumanos o degradantes y en casos poder configurar un tipo de tortura.</w:t>
      </w:r>
    </w:p>
    <w:p w14:paraId="18ECCEA6" w14:textId="77777777" w:rsidR="00CE3C2A" w:rsidRPr="00E93A15" w:rsidRDefault="00000000">
      <w:p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br/>
        <w:t>Recomendaciones:</w:t>
      </w:r>
    </w:p>
    <w:p w14:paraId="4FC07F82" w14:textId="77777777" w:rsidR="00CE3C2A" w:rsidRPr="00E93A15" w:rsidRDefault="00CE3C2A">
      <w:pPr>
        <w:jc w:val="both"/>
        <w:rPr>
          <w:rFonts w:ascii="Times New Roman" w:eastAsia="Times New Roman" w:hAnsi="Times New Roman" w:cs="Times New Roman"/>
          <w:noProof/>
          <w:color w:val="333333"/>
          <w:sz w:val="24"/>
          <w:szCs w:val="24"/>
          <w:highlight w:val="white"/>
          <w:lang w:val="es-ES"/>
        </w:rPr>
      </w:pPr>
    </w:p>
    <w:p w14:paraId="26E889D3" w14:textId="77777777" w:rsidR="00CE3C2A" w:rsidRPr="00E93A15" w:rsidRDefault="00000000">
      <w:pPr>
        <w:numPr>
          <w:ilvl w:val="0"/>
          <w:numId w:val="13"/>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Una Ley de prohibición de “terapias de conversión”, así como mecanismos de prevención y protección de “terapias” sin un contenido científico ni médico que pueda violar los derechos humanos de personas LGBTIQ+. Con especial interés a la protección de sufrir los efectos de “terapias de conversión” a ninéz y adolescencia LGBTIQ+.</w:t>
      </w:r>
    </w:p>
    <w:p w14:paraId="41FC3733"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03DE6750" w14:textId="77777777" w:rsidR="00CE3C2A" w:rsidRPr="00E93A15" w:rsidRDefault="00000000">
      <w:pPr>
        <w:numPr>
          <w:ilvl w:val="0"/>
          <w:numId w:val="13"/>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Lineamientos y normas éticas en colegios profesionales en relación a la no práctica de “terapias de conversión”.</w:t>
      </w:r>
    </w:p>
    <w:p w14:paraId="062E1BFE"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31F48E08" w14:textId="77777777" w:rsidR="00CE3C2A" w:rsidRPr="00E93A15" w:rsidRDefault="00000000">
      <w:pPr>
        <w:numPr>
          <w:ilvl w:val="0"/>
          <w:numId w:val="13"/>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 xml:space="preserve">Trabajar para prevenir las “prácticas de conversión” como parte de las políticas de salud mental. </w:t>
      </w:r>
    </w:p>
    <w:p w14:paraId="0DF98993" w14:textId="77777777" w:rsidR="00CE3C2A" w:rsidRPr="00E93A15" w:rsidRDefault="00CE3C2A">
      <w:pPr>
        <w:ind w:left="720"/>
        <w:jc w:val="both"/>
        <w:rPr>
          <w:rFonts w:ascii="Times New Roman" w:eastAsia="Times New Roman" w:hAnsi="Times New Roman" w:cs="Times New Roman"/>
          <w:noProof/>
          <w:color w:val="333333"/>
          <w:sz w:val="24"/>
          <w:szCs w:val="24"/>
          <w:highlight w:val="white"/>
          <w:lang w:val="es-ES"/>
        </w:rPr>
      </w:pPr>
    </w:p>
    <w:p w14:paraId="391F7683" w14:textId="77777777" w:rsidR="00CE3C2A" w:rsidRPr="00E93A15" w:rsidRDefault="00000000">
      <w:pPr>
        <w:numPr>
          <w:ilvl w:val="0"/>
          <w:numId w:val="13"/>
        </w:numPr>
        <w:jc w:val="both"/>
        <w:rPr>
          <w:rFonts w:ascii="Times New Roman" w:eastAsia="Times New Roman" w:hAnsi="Times New Roman" w:cs="Times New Roman"/>
          <w:noProof/>
          <w:color w:val="333333"/>
          <w:sz w:val="24"/>
          <w:szCs w:val="24"/>
          <w:highlight w:val="white"/>
          <w:lang w:val="es-ES"/>
        </w:rPr>
      </w:pPr>
      <w:r w:rsidRPr="00E93A15">
        <w:rPr>
          <w:rFonts w:ascii="Times New Roman" w:eastAsia="Times New Roman" w:hAnsi="Times New Roman" w:cs="Times New Roman"/>
          <w:noProof/>
          <w:color w:val="333333"/>
          <w:sz w:val="24"/>
          <w:szCs w:val="24"/>
          <w:highlight w:val="white"/>
          <w:lang w:val="es-ES"/>
        </w:rPr>
        <w:t xml:space="preserve">Campañas de sensibilización sobre los peligros de las “prácticas de conversión”. Verificar los lineamientos del Comité de Derechos Humanos, como de las organizaciones especializadas en salud como lo son la Organización Panamericana de la Salud y sus protocolos, así como de las recomendaciones de instancias regionales de derechos humanos como la Comisión Interamericana de Derechos Humanos. Todas instancias con claros lineamientos de prohibición de estas mal llamadas “terapias”. </w:t>
      </w:r>
    </w:p>
    <w:p w14:paraId="07125C94"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5"/>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65E259A6" w14:textId="77777777">
        <w:trPr>
          <w:trHeight w:val="917"/>
        </w:trPr>
        <w:tc>
          <w:tcPr>
            <w:tcW w:w="9435" w:type="dxa"/>
            <w:shd w:val="clear" w:color="auto" w:fill="auto"/>
            <w:tcMar>
              <w:top w:w="100" w:type="dxa"/>
              <w:left w:w="100" w:type="dxa"/>
              <w:bottom w:w="100" w:type="dxa"/>
              <w:right w:w="100" w:type="dxa"/>
            </w:tcMar>
          </w:tcPr>
          <w:p w14:paraId="66765D33"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lastRenderedPageBreak/>
              <w:t>Independencia del Poder Judicial y administración de justicia (arts. 2 y 14)</w:t>
            </w:r>
          </w:p>
        </w:tc>
      </w:tr>
    </w:tbl>
    <w:p w14:paraId="37961344" w14:textId="77777777" w:rsidR="00CE3C2A" w:rsidRPr="00E93A15" w:rsidRDefault="00CE3C2A">
      <w:pPr>
        <w:jc w:val="both"/>
        <w:rPr>
          <w:rFonts w:ascii="Times New Roman" w:eastAsia="Times New Roman" w:hAnsi="Times New Roman" w:cs="Times New Roman"/>
          <w:noProof/>
          <w:sz w:val="24"/>
          <w:szCs w:val="24"/>
          <w:lang w:val="es-ES"/>
        </w:rPr>
      </w:pPr>
    </w:p>
    <w:p w14:paraId="136DE901" w14:textId="77777777" w:rsidR="00CE3C2A" w:rsidRPr="00E93A15" w:rsidRDefault="00000000">
      <w:pPr>
        <w:numPr>
          <w:ilvl w:val="0"/>
          <w:numId w:val="11"/>
        </w:numPr>
        <w:spacing w:line="360" w:lineRule="auto"/>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Según el Artículo 160 de la Constitución Nacional "es función judicial de la Asamblea Nacional conocer de las acusaciones o denuncias que se presenten contra" "... los Magistrados de la Corte Suprema de Justicia (CSJ) </w:t>
      </w:r>
      <w:r w:rsidRPr="00E93A15">
        <w:rPr>
          <w:rFonts w:ascii="Times New Roman" w:eastAsia="Times New Roman" w:hAnsi="Times New Roman" w:cs="Times New Roman"/>
          <w:noProof/>
          <w:color w:val="202124"/>
          <w:sz w:val="24"/>
          <w:szCs w:val="24"/>
          <w:highlight w:val="white"/>
          <w:vertAlign w:val="superscript"/>
          <w:lang w:val="es-ES"/>
        </w:rPr>
        <w:footnoteReference w:id="7"/>
      </w:r>
      <w:r w:rsidRPr="00E93A15">
        <w:rPr>
          <w:rFonts w:ascii="Times New Roman" w:eastAsia="Times New Roman" w:hAnsi="Times New Roman" w:cs="Times New Roman"/>
          <w:noProof/>
          <w:color w:val="202124"/>
          <w:sz w:val="24"/>
          <w:szCs w:val="24"/>
          <w:highlight w:val="white"/>
          <w:lang w:val="es-ES"/>
        </w:rPr>
        <w:t xml:space="preserve">y juzgarlos"... En el Artículo 206 numeral 3, una de las atribuciones de la CSJ es "investigar y procesar a los Diputados. Para efectos de la investigación, el Pleno de la Corte Suprema de Justicia comisionará a un agente de instrucción". Con ese marco legal constitucional, un fallo de la Corte Suprema de Justicia, de abril de 2021 declaró "no culpable" al diputado de la Asamblea Nacional Dr. Arquesio Arias (miembro del gobernante Partido Revolucionario Democrático, con mayoría en la Asamblea), acusado de supuestos delitos sexuales. En tres de los cargos, los nueve magistrados que conforman el pleno lo declararon no culpable, pero en el caso de supuestos actos libidinosos contra la menor de edad, cinco de los nueve magistrados votaron a favor de su culpabilidad. Sin embargo, la legislación panameña establece que para que un diputado sea declarado culpable debía producirse una votación con mayoría calificada, de las dos terceras partes, es decir de seis votos o más para declarar su condena. Es decir, si un ciudadano, que no tiene los privilegios como Diputado hubiese sido encontrado culpable por 5 de 9 miembros de un jurado, hubiese sido declarado culpable. Pero el Diputado quedó en libertad. En Panamá al ser las y los Diputados quienes aprueban el nombramiento de Magistrados (Art. 161 #4 de la Constitución) y además juzgarse unos a otros, no hay independencia en las decisiones. Fuentes: Protestas en Panamá por fallo que declaró "no culpable" a diputado en juicio por supuestos delitos sexuales. </w:t>
      </w:r>
    </w:p>
    <w:p w14:paraId="7A9081E8"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14D4AA7A" w14:textId="4DBFD8C1" w:rsidR="00CE3C2A" w:rsidRPr="00E93A15" w:rsidRDefault="00000000">
      <w:pPr>
        <w:numPr>
          <w:ilvl w:val="0"/>
          <w:numId w:val="11"/>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La Corte Suprema de Justicia de Panamá desde el 2016 demora la petición de justicia de parejas del mismo sexo que buscan que se les reconozca su derecho al matrimonio civil</w:t>
      </w:r>
      <w:r w:rsidRPr="00E93A15">
        <w:rPr>
          <w:rFonts w:ascii="Times New Roman" w:eastAsia="Times New Roman" w:hAnsi="Times New Roman" w:cs="Times New Roman"/>
          <w:noProof/>
          <w:color w:val="202124"/>
          <w:sz w:val="24"/>
          <w:szCs w:val="24"/>
          <w:highlight w:val="white"/>
          <w:vertAlign w:val="superscript"/>
          <w:lang w:val="es-ES"/>
        </w:rPr>
        <w:footnoteReference w:id="8"/>
      </w:r>
      <w:r w:rsidRPr="00E93A15">
        <w:rPr>
          <w:rFonts w:ascii="Times New Roman" w:eastAsia="Times New Roman" w:hAnsi="Times New Roman" w:cs="Times New Roman"/>
          <w:noProof/>
          <w:color w:val="202124"/>
          <w:sz w:val="24"/>
          <w:szCs w:val="24"/>
          <w:highlight w:val="white"/>
          <w:lang w:val="es-ES"/>
        </w:rPr>
        <w:t xml:space="preserve">. Con una demora de más de seis años, hay cinco casos frente a la Corte Suprema de Justicia y el Tribunal Electoral, lo cual configura una violación a los derechos humanos de estas parejas por la denegación de justicia.   </w:t>
      </w:r>
    </w:p>
    <w:p w14:paraId="3D9CD446" w14:textId="77777777" w:rsidR="00CE3C2A" w:rsidRPr="00E93A15" w:rsidRDefault="00CE3C2A">
      <w:pPr>
        <w:spacing w:line="360" w:lineRule="auto"/>
        <w:jc w:val="both"/>
        <w:rPr>
          <w:rFonts w:ascii="Times New Roman" w:eastAsia="Times New Roman" w:hAnsi="Times New Roman" w:cs="Times New Roman"/>
          <w:noProof/>
          <w:color w:val="202124"/>
          <w:sz w:val="24"/>
          <w:szCs w:val="24"/>
          <w:highlight w:val="white"/>
          <w:lang w:val="es-ES"/>
        </w:rPr>
      </w:pPr>
    </w:p>
    <w:p w14:paraId="448865FC" w14:textId="77777777" w:rsidR="00CE3C2A" w:rsidRPr="00E93A15" w:rsidRDefault="00000000">
      <w:pPr>
        <w:spacing w:line="360" w:lineRule="auto"/>
        <w:jc w:val="both"/>
        <w:rPr>
          <w:rFonts w:ascii="Times New Roman" w:eastAsia="Times New Roman" w:hAnsi="Times New Roman" w:cs="Times New Roman"/>
          <w:b/>
          <w:i/>
          <w:noProof/>
          <w:sz w:val="24"/>
          <w:szCs w:val="24"/>
          <w:lang w:val="es-ES"/>
        </w:rPr>
      </w:pPr>
      <w:r w:rsidRPr="00E93A15">
        <w:rPr>
          <w:rFonts w:ascii="Times New Roman" w:eastAsia="Times New Roman" w:hAnsi="Times New Roman" w:cs="Times New Roman"/>
          <w:b/>
          <w:i/>
          <w:noProof/>
          <w:sz w:val="24"/>
          <w:szCs w:val="24"/>
          <w:lang w:val="es-ES"/>
        </w:rPr>
        <w:t>Recomendaciones:</w:t>
      </w:r>
    </w:p>
    <w:p w14:paraId="3FBD453F" w14:textId="77777777" w:rsidR="00CE3C2A" w:rsidRPr="00E93A15" w:rsidRDefault="00CE3C2A">
      <w:pPr>
        <w:spacing w:line="360" w:lineRule="auto"/>
        <w:jc w:val="both"/>
        <w:rPr>
          <w:rFonts w:ascii="Times New Roman" w:eastAsia="Times New Roman" w:hAnsi="Times New Roman" w:cs="Times New Roman"/>
          <w:b/>
          <w:i/>
          <w:noProof/>
          <w:sz w:val="24"/>
          <w:szCs w:val="24"/>
          <w:lang w:val="es-ES"/>
        </w:rPr>
      </w:pPr>
    </w:p>
    <w:p w14:paraId="5B164D6A" w14:textId="036C830A" w:rsidR="00CE3C2A" w:rsidRPr="00E93A15" w:rsidRDefault="00000000">
      <w:pPr>
        <w:numPr>
          <w:ilvl w:val="0"/>
          <w:numId w:val="9"/>
        </w:numPr>
        <w:spacing w:line="360" w:lineRule="auto"/>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Solicitar que Panamá adecue su legislación nacional para evitar el conflicto de intereses entre el Órgan</w:t>
      </w:r>
      <w:r w:rsidR="004B5383">
        <w:rPr>
          <w:rFonts w:ascii="Times New Roman" w:eastAsia="Times New Roman" w:hAnsi="Times New Roman" w:cs="Times New Roman"/>
          <w:noProof/>
          <w:sz w:val="24"/>
          <w:szCs w:val="24"/>
          <w:lang w:val="es-ES"/>
        </w:rPr>
        <w:t>o</w:t>
      </w:r>
      <w:r w:rsidRPr="00E93A15">
        <w:rPr>
          <w:rFonts w:ascii="Times New Roman" w:eastAsia="Times New Roman" w:hAnsi="Times New Roman" w:cs="Times New Roman"/>
          <w:noProof/>
          <w:sz w:val="24"/>
          <w:szCs w:val="24"/>
          <w:lang w:val="es-ES"/>
        </w:rPr>
        <w:t xml:space="preserve"> Judicial y el Órgano Legislativo, que impiden existe un real sistema de fiscalización que deriva en la impunidad de sus miembros en caso de faltas a la Ley. </w:t>
      </w:r>
    </w:p>
    <w:p w14:paraId="01A4B8F3" w14:textId="77777777" w:rsidR="00CE3C2A" w:rsidRPr="00E93A15" w:rsidRDefault="00000000">
      <w:pPr>
        <w:numPr>
          <w:ilvl w:val="0"/>
          <w:numId w:val="9"/>
        </w:numPr>
        <w:spacing w:line="360" w:lineRule="auto"/>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Exigir que Panamá cumpla con su obligación democrática de acceso a la justicia y que las parejas del mismo sexo tengan resolución en al solicitud de su reconocimiento al matrimonio civil. Respirando así que la justicia se impartida por igual y sin demoras, basadas en intereses políticos o personas de los miembros de la Corte Suprema de Justicia.</w:t>
      </w:r>
    </w:p>
    <w:p w14:paraId="2757E2CC" w14:textId="77777777" w:rsidR="00CE3C2A" w:rsidRPr="00E93A15" w:rsidRDefault="00CE3C2A">
      <w:pPr>
        <w:spacing w:line="360" w:lineRule="auto"/>
        <w:jc w:val="both"/>
        <w:rPr>
          <w:rFonts w:ascii="Times New Roman" w:eastAsia="Times New Roman" w:hAnsi="Times New Roman" w:cs="Times New Roman"/>
          <w:b/>
          <w:noProof/>
          <w:sz w:val="24"/>
          <w:szCs w:val="24"/>
          <w:lang w:val="es-ES"/>
        </w:rPr>
      </w:pPr>
    </w:p>
    <w:tbl>
      <w:tblPr>
        <w:tblStyle w:val="a6"/>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4EBC6392" w14:textId="77777777">
        <w:trPr>
          <w:trHeight w:val="917"/>
        </w:trPr>
        <w:tc>
          <w:tcPr>
            <w:tcW w:w="9435" w:type="dxa"/>
            <w:shd w:val="clear" w:color="auto" w:fill="auto"/>
            <w:tcMar>
              <w:top w:w="100" w:type="dxa"/>
              <w:left w:w="100" w:type="dxa"/>
              <w:bottom w:w="100" w:type="dxa"/>
              <w:right w:w="100" w:type="dxa"/>
            </w:tcMar>
          </w:tcPr>
          <w:p w14:paraId="71A47F81"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Libertad de expresión y asociación y violencia contra personas defensoras de derechos humanos (arts. 6, 7, 9, 17, 19 y 22)</w:t>
            </w:r>
          </w:p>
        </w:tc>
      </w:tr>
    </w:tbl>
    <w:p w14:paraId="2C44C942" w14:textId="77777777" w:rsidR="00CE3C2A" w:rsidRPr="00E93A15" w:rsidRDefault="00CE3C2A">
      <w:pPr>
        <w:jc w:val="both"/>
        <w:rPr>
          <w:rFonts w:ascii="Times New Roman" w:eastAsia="Times New Roman" w:hAnsi="Times New Roman" w:cs="Times New Roman"/>
          <w:noProof/>
          <w:sz w:val="24"/>
          <w:szCs w:val="24"/>
          <w:lang w:val="es-ES"/>
        </w:rPr>
      </w:pPr>
    </w:p>
    <w:p w14:paraId="65E9AE0F" w14:textId="77777777" w:rsidR="00CE3C2A" w:rsidRPr="00E93A15" w:rsidRDefault="00000000">
      <w:pPr>
        <w:numPr>
          <w:ilvl w:val="0"/>
          <w:numId w:val="14"/>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Panamá no cuenta con una Ley de protección a defensoras y defensores de derecho humanos. En los últimos años se han dado casos de violencia económica a defensores de derechos humanos, especialmente a defensores del ambiente y en espacios rurales.</w:t>
      </w:r>
    </w:p>
    <w:p w14:paraId="50C7616C" w14:textId="1ECEE34D" w:rsidR="00CE3C2A" w:rsidRPr="00E93A15" w:rsidRDefault="00000000">
      <w:pPr>
        <w:numPr>
          <w:ilvl w:val="0"/>
          <w:numId w:val="14"/>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Si bien el derecho a la asociación no se ve limitado de manera directa, al el Estado no contar con un sistema propicio para el debido ejercicio del trabajo de las organizaciones sin fines de lucro, este derecho a la asociación se me disminuido por la alta carga burocrática, fiscal, lo que conlleva que muchas organizaciones sin fines de lucro dejen de operar. Más aún cuando el Estado no tiene ningún tipo de incentivo o ayuda económico al trabajo de estas organizaciones. No hay una cultura de reconocimiento o apoyo al trabajo de estas organi</w:t>
      </w:r>
      <w:r w:rsidR="001F3345">
        <w:rPr>
          <w:rFonts w:ascii="Times New Roman" w:eastAsia="Times New Roman" w:hAnsi="Times New Roman" w:cs="Times New Roman"/>
          <w:noProof/>
          <w:color w:val="202124"/>
          <w:sz w:val="24"/>
          <w:szCs w:val="24"/>
          <w:highlight w:val="white"/>
          <w:lang w:val="es-ES"/>
        </w:rPr>
        <w:t>z</w:t>
      </w:r>
      <w:r w:rsidRPr="00E93A15">
        <w:rPr>
          <w:rFonts w:ascii="Times New Roman" w:eastAsia="Times New Roman" w:hAnsi="Times New Roman" w:cs="Times New Roman"/>
          <w:noProof/>
          <w:color w:val="202124"/>
          <w:sz w:val="24"/>
          <w:szCs w:val="24"/>
          <w:highlight w:val="white"/>
          <w:lang w:val="es-ES"/>
        </w:rPr>
        <w:t>aciones, cuando vienen a ser un complemento, muchas veces las únicas instancias dando un servicio social a la población, en ausencia del Estado.</w:t>
      </w:r>
    </w:p>
    <w:p w14:paraId="0BF13C43" w14:textId="77777777" w:rsidR="00CE3C2A" w:rsidRPr="00E93A15" w:rsidRDefault="00CE3C2A">
      <w:pPr>
        <w:ind w:left="720"/>
        <w:jc w:val="both"/>
        <w:rPr>
          <w:rFonts w:ascii="Times New Roman" w:eastAsia="Times New Roman" w:hAnsi="Times New Roman" w:cs="Times New Roman"/>
          <w:noProof/>
          <w:color w:val="202124"/>
          <w:sz w:val="24"/>
          <w:szCs w:val="24"/>
          <w:highlight w:val="white"/>
          <w:lang w:val="es-ES"/>
        </w:rPr>
      </w:pPr>
    </w:p>
    <w:p w14:paraId="40A18984" w14:textId="77777777" w:rsidR="00CE3C2A" w:rsidRPr="00E93A15" w:rsidRDefault="00000000">
      <w:pPr>
        <w:spacing w:line="360" w:lineRule="auto"/>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b/>
          <w:noProof/>
          <w:sz w:val="24"/>
          <w:szCs w:val="24"/>
          <w:lang w:val="es-ES"/>
        </w:rPr>
        <w:t>Recomendaciones</w:t>
      </w:r>
      <w:r w:rsidRPr="00E93A15">
        <w:rPr>
          <w:rFonts w:ascii="Times New Roman" w:eastAsia="Times New Roman" w:hAnsi="Times New Roman" w:cs="Times New Roman"/>
          <w:noProof/>
          <w:sz w:val="24"/>
          <w:szCs w:val="24"/>
          <w:lang w:val="es-ES"/>
        </w:rPr>
        <w:t>:</w:t>
      </w:r>
    </w:p>
    <w:p w14:paraId="1025691E" w14:textId="77777777" w:rsidR="00CE3C2A" w:rsidRPr="00E93A15" w:rsidRDefault="00CE3C2A">
      <w:pPr>
        <w:spacing w:line="360" w:lineRule="auto"/>
        <w:jc w:val="both"/>
        <w:rPr>
          <w:rFonts w:ascii="Times New Roman" w:eastAsia="Times New Roman" w:hAnsi="Times New Roman" w:cs="Times New Roman"/>
          <w:noProof/>
          <w:sz w:val="24"/>
          <w:szCs w:val="24"/>
          <w:lang w:val="es-ES"/>
        </w:rPr>
      </w:pPr>
    </w:p>
    <w:p w14:paraId="063E676A" w14:textId="77777777" w:rsidR="00CE3C2A" w:rsidRPr="00E93A15" w:rsidRDefault="00000000">
      <w:pPr>
        <w:numPr>
          <w:ilvl w:val="0"/>
          <w:numId w:val="6"/>
        </w:numPr>
        <w:spacing w:line="360" w:lineRule="auto"/>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 xml:space="preserve">La creación y aprobación de una </w:t>
      </w:r>
      <w:r w:rsidRPr="00E93A15">
        <w:rPr>
          <w:rFonts w:ascii="Times New Roman" w:eastAsia="Times New Roman" w:hAnsi="Times New Roman" w:cs="Times New Roman"/>
          <w:noProof/>
          <w:color w:val="202124"/>
          <w:sz w:val="24"/>
          <w:szCs w:val="24"/>
          <w:highlight w:val="white"/>
          <w:lang w:val="es-ES"/>
        </w:rPr>
        <w:t>Ley de protección a defensoras y defensores de derecho humanos.</w:t>
      </w:r>
    </w:p>
    <w:p w14:paraId="2311F3E0" w14:textId="7D0211C1" w:rsidR="00CE3C2A" w:rsidRPr="00E93A15" w:rsidRDefault="00000000">
      <w:pPr>
        <w:numPr>
          <w:ilvl w:val="0"/>
          <w:numId w:val="6"/>
        </w:numPr>
        <w:spacing w:line="360" w:lineRule="auto"/>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 xml:space="preserve">La modernización del sistema de otorgamiento de personerías jurídicas a organizaciones sin fines de lucro que más que un escrutinio, sea también un espacio de acompañamiento y apoyo a la labor de las organizaciones de la sociedad civil. </w:t>
      </w:r>
      <w:r w:rsidRPr="00E93A15">
        <w:rPr>
          <w:rFonts w:ascii="Times New Roman" w:eastAsia="Times New Roman" w:hAnsi="Times New Roman" w:cs="Times New Roman"/>
          <w:noProof/>
          <w:color w:val="202124"/>
          <w:sz w:val="24"/>
          <w:szCs w:val="24"/>
          <w:highlight w:val="white"/>
          <w:lang w:val="es-ES"/>
        </w:rPr>
        <w:lastRenderedPageBreak/>
        <w:t>Específicamente una centralización de las responsabilidades de dichas organizaciones frente al Estado, así como la facilitación en la entrega de informes de ejecución y transparencia que no generen una carga excesiva a las organizaciones para que pueden poder ejercer sus funciones sociales.</w:t>
      </w:r>
    </w:p>
    <w:p w14:paraId="02C58BDB" w14:textId="77777777" w:rsidR="00CE3C2A" w:rsidRPr="00E93A15" w:rsidRDefault="00CE3C2A">
      <w:pPr>
        <w:jc w:val="both"/>
        <w:rPr>
          <w:rFonts w:ascii="Times New Roman" w:eastAsia="Times New Roman" w:hAnsi="Times New Roman" w:cs="Times New Roman"/>
          <w:b/>
          <w:noProof/>
          <w:sz w:val="24"/>
          <w:szCs w:val="24"/>
          <w:lang w:val="es-ES"/>
        </w:rPr>
      </w:pPr>
    </w:p>
    <w:tbl>
      <w:tblPr>
        <w:tblStyle w:val="a7"/>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74D54D0A" w14:textId="77777777">
        <w:trPr>
          <w:trHeight w:val="917"/>
        </w:trPr>
        <w:tc>
          <w:tcPr>
            <w:tcW w:w="9435" w:type="dxa"/>
            <w:shd w:val="clear" w:color="auto" w:fill="auto"/>
            <w:tcMar>
              <w:top w:w="100" w:type="dxa"/>
              <w:left w:w="100" w:type="dxa"/>
              <w:bottom w:w="100" w:type="dxa"/>
              <w:right w:w="100" w:type="dxa"/>
            </w:tcMar>
          </w:tcPr>
          <w:p w14:paraId="6F92FBDD"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Migrantes, solicitantes de asilo y refugiados (arts. 2, 9, 10, 12, 13 y 26)</w:t>
            </w:r>
          </w:p>
        </w:tc>
      </w:tr>
    </w:tbl>
    <w:p w14:paraId="35F95DDD" w14:textId="77777777" w:rsidR="00CE3C2A" w:rsidRPr="00E93A15" w:rsidRDefault="00CE3C2A">
      <w:pPr>
        <w:jc w:val="both"/>
        <w:rPr>
          <w:rFonts w:ascii="Times New Roman" w:eastAsia="Times New Roman" w:hAnsi="Times New Roman" w:cs="Times New Roman"/>
          <w:noProof/>
          <w:sz w:val="24"/>
          <w:szCs w:val="24"/>
          <w:lang w:val="es-ES"/>
        </w:rPr>
      </w:pPr>
    </w:p>
    <w:p w14:paraId="3A92AA0C" w14:textId="77777777" w:rsidR="00CE3C2A" w:rsidRPr="00E93A15" w:rsidRDefault="00000000">
      <w:pPr>
        <w:numPr>
          <w:ilvl w:val="0"/>
          <w:numId w:val="15"/>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Sabemos que el gobierno ha desarrollado acciones paliativas a la situación de los migrantes en el Darién, Sin embargo las mismas siguen siendo limitadas y no corresponden a las realidad. Hemos constatado condiciones no adecuadas, la insalubridad y el hacinamiento en muchos casos. De igual manera la condición de refugio sigue siendo muy cerrada y restringida a condiciones de carácter político, obviando nuevas realidades de las causas de la movilidad forzada. Urge que el país adopte medidas acorde a estas condiciones históricas. Esto afecta tanto a quienes entran desde el sur en tránsito como a quienes tienen a Panamá como país destino.</w:t>
      </w:r>
    </w:p>
    <w:p w14:paraId="27926222" w14:textId="77777777" w:rsidR="00CE3C2A" w:rsidRPr="00E93A15" w:rsidRDefault="00CE3C2A">
      <w:pPr>
        <w:jc w:val="both"/>
        <w:rPr>
          <w:rFonts w:ascii="Times New Roman" w:eastAsia="Times New Roman" w:hAnsi="Times New Roman" w:cs="Times New Roman"/>
          <w:b/>
          <w:noProof/>
          <w:color w:val="202124"/>
          <w:sz w:val="24"/>
          <w:szCs w:val="24"/>
          <w:highlight w:val="white"/>
          <w:lang w:val="es-ES"/>
        </w:rPr>
      </w:pPr>
    </w:p>
    <w:p w14:paraId="35CB68AD" w14:textId="77777777" w:rsidR="00CE3C2A" w:rsidRPr="00E93A15" w:rsidRDefault="00000000">
      <w:pPr>
        <w:numPr>
          <w:ilvl w:val="0"/>
          <w:numId w:val="15"/>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Observamos el trato diferenciado que se le da a los migrantes en Panamá. Mientras los inmigrantes que cuentan con poder económico y provienen de países europeos reciben un trato preferencial, a los inmigrantes pobres y afrodescendientes reciben un trato diferenciado. Se les encierra por largos períodos en albergues que no cuentan con los servicios básicos para una vida digna y están localizados en una de las provincia más inhóspita y empobrecida del país.</w:t>
      </w:r>
    </w:p>
    <w:p w14:paraId="577B82C6" w14:textId="77777777" w:rsidR="00CE3C2A" w:rsidRPr="00E93A15" w:rsidRDefault="00CE3C2A">
      <w:pPr>
        <w:jc w:val="both"/>
        <w:rPr>
          <w:rFonts w:ascii="Times New Roman" w:eastAsia="Times New Roman" w:hAnsi="Times New Roman" w:cs="Times New Roman"/>
          <w:noProof/>
          <w:color w:val="202124"/>
          <w:sz w:val="24"/>
          <w:szCs w:val="24"/>
          <w:highlight w:val="white"/>
          <w:lang w:val="es-ES"/>
        </w:rPr>
      </w:pPr>
    </w:p>
    <w:p w14:paraId="3854BC2C" w14:textId="77777777" w:rsidR="00CE3C2A" w:rsidRPr="00E93A15" w:rsidRDefault="00CE3C2A">
      <w:pPr>
        <w:jc w:val="both"/>
        <w:rPr>
          <w:rFonts w:ascii="Times New Roman" w:eastAsia="Times New Roman" w:hAnsi="Times New Roman" w:cs="Times New Roman"/>
          <w:noProof/>
          <w:color w:val="202124"/>
          <w:sz w:val="24"/>
          <w:szCs w:val="24"/>
          <w:highlight w:val="white"/>
          <w:lang w:val="es-ES"/>
        </w:rPr>
      </w:pPr>
    </w:p>
    <w:p w14:paraId="25C3C073" w14:textId="77777777" w:rsidR="00CE3C2A" w:rsidRPr="00E93A15" w:rsidRDefault="00000000">
      <w:pPr>
        <w:jc w:val="both"/>
        <w:rPr>
          <w:rFonts w:ascii="Times New Roman" w:eastAsia="Times New Roman" w:hAnsi="Times New Roman" w:cs="Times New Roman"/>
          <w:b/>
          <w:i/>
          <w:noProof/>
          <w:sz w:val="24"/>
          <w:szCs w:val="24"/>
          <w:lang w:val="es-ES"/>
        </w:rPr>
      </w:pPr>
      <w:r w:rsidRPr="00E93A15">
        <w:rPr>
          <w:rFonts w:ascii="Times New Roman" w:eastAsia="Times New Roman" w:hAnsi="Times New Roman" w:cs="Times New Roman"/>
          <w:b/>
          <w:i/>
          <w:noProof/>
          <w:sz w:val="24"/>
          <w:szCs w:val="24"/>
          <w:lang w:val="es-ES"/>
        </w:rPr>
        <w:t>Recomendaciones:</w:t>
      </w:r>
    </w:p>
    <w:p w14:paraId="61BAB4CC" w14:textId="77777777" w:rsidR="00CE3C2A" w:rsidRPr="00E93A15" w:rsidRDefault="00CE3C2A">
      <w:pPr>
        <w:spacing w:line="360" w:lineRule="auto"/>
        <w:jc w:val="both"/>
        <w:rPr>
          <w:rFonts w:ascii="Times New Roman" w:eastAsia="Times New Roman" w:hAnsi="Times New Roman" w:cs="Times New Roman"/>
          <w:i/>
          <w:noProof/>
          <w:sz w:val="24"/>
          <w:szCs w:val="24"/>
          <w:lang w:val="es-ES"/>
        </w:rPr>
      </w:pPr>
    </w:p>
    <w:p w14:paraId="52B6D8B7" w14:textId="77777777" w:rsidR="00CE3C2A" w:rsidRPr="00E93A15" w:rsidRDefault="00000000">
      <w:pPr>
        <w:numPr>
          <w:ilvl w:val="0"/>
          <w:numId w:val="7"/>
        </w:numPr>
        <w:jc w:val="both"/>
        <w:rPr>
          <w:rFonts w:ascii="Times New Roman" w:eastAsia="Times New Roman" w:hAnsi="Times New Roman" w:cs="Times New Roman"/>
          <w:i/>
          <w:noProof/>
          <w:sz w:val="24"/>
          <w:szCs w:val="24"/>
          <w:lang w:val="es-ES"/>
        </w:rPr>
      </w:pPr>
      <w:r w:rsidRPr="00E93A15">
        <w:rPr>
          <w:rFonts w:ascii="Times New Roman" w:eastAsia="Times New Roman" w:hAnsi="Times New Roman" w:cs="Times New Roman"/>
          <w:noProof/>
          <w:color w:val="202124"/>
          <w:sz w:val="24"/>
          <w:szCs w:val="24"/>
          <w:highlight w:val="white"/>
          <w:lang w:val="es-ES"/>
        </w:rPr>
        <w:t>Incorporar la Declaración de Cartagena para los Refugiados a la legislación nacional. Derogar el término de 6 meses para poder presentar una solicitud de refugio. Corregir el vacío jurídico de quienes entran al país a través de puntos que no son considerados como puntos fronterizos autorizados, como lo son los aeropuertos.</w:t>
      </w:r>
    </w:p>
    <w:p w14:paraId="4BA4BFD1" w14:textId="77777777" w:rsidR="00CE3C2A" w:rsidRPr="00E93A15" w:rsidRDefault="00CE3C2A">
      <w:pPr>
        <w:ind w:left="720"/>
        <w:jc w:val="both"/>
        <w:rPr>
          <w:rFonts w:ascii="Times New Roman" w:eastAsia="Times New Roman" w:hAnsi="Times New Roman" w:cs="Times New Roman"/>
          <w:noProof/>
          <w:color w:val="202124"/>
          <w:sz w:val="24"/>
          <w:szCs w:val="24"/>
          <w:highlight w:val="white"/>
          <w:lang w:val="es-ES"/>
        </w:rPr>
      </w:pPr>
    </w:p>
    <w:p w14:paraId="0A5F9EE1" w14:textId="77777777" w:rsidR="00CE3C2A" w:rsidRPr="00E93A15" w:rsidRDefault="00000000">
      <w:pPr>
        <w:numPr>
          <w:ilvl w:val="0"/>
          <w:numId w:val="7"/>
        </w:numPr>
        <w:jc w:val="both"/>
        <w:rPr>
          <w:rFonts w:ascii="Times New Roman" w:eastAsia="Times New Roman" w:hAnsi="Times New Roman" w:cs="Times New Roman"/>
          <w:i/>
          <w:noProof/>
          <w:sz w:val="24"/>
          <w:szCs w:val="24"/>
          <w:lang w:val="es-ES"/>
        </w:rPr>
      </w:pPr>
      <w:r w:rsidRPr="00E93A15">
        <w:rPr>
          <w:rFonts w:ascii="Times New Roman" w:eastAsia="Times New Roman" w:hAnsi="Times New Roman" w:cs="Times New Roman"/>
          <w:noProof/>
          <w:color w:val="202124"/>
          <w:sz w:val="24"/>
          <w:szCs w:val="24"/>
          <w:highlight w:val="white"/>
          <w:lang w:val="es-ES"/>
        </w:rPr>
        <w:t xml:space="preserve">Brindar información sobre el acceso al procedimiento de la condición de refugiado a las personas que solicitan en puestos de frontera como los aeropuertos. </w:t>
      </w:r>
    </w:p>
    <w:p w14:paraId="115ECB13" w14:textId="77777777" w:rsidR="00CE3C2A" w:rsidRPr="00E93A15" w:rsidRDefault="00CE3C2A">
      <w:pPr>
        <w:ind w:left="720"/>
        <w:jc w:val="both"/>
        <w:rPr>
          <w:rFonts w:ascii="Times New Roman" w:eastAsia="Times New Roman" w:hAnsi="Times New Roman" w:cs="Times New Roman"/>
          <w:noProof/>
          <w:color w:val="202124"/>
          <w:sz w:val="24"/>
          <w:szCs w:val="24"/>
          <w:highlight w:val="white"/>
          <w:lang w:val="es-ES"/>
        </w:rPr>
      </w:pPr>
    </w:p>
    <w:tbl>
      <w:tblPr>
        <w:tblStyle w:val="a8"/>
        <w:tblW w:w="9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35"/>
      </w:tblGrid>
      <w:tr w:rsidR="00CE3C2A" w:rsidRPr="00E93A15" w14:paraId="52378106" w14:textId="77777777">
        <w:trPr>
          <w:trHeight w:val="917"/>
        </w:trPr>
        <w:tc>
          <w:tcPr>
            <w:tcW w:w="9435" w:type="dxa"/>
            <w:shd w:val="clear" w:color="auto" w:fill="auto"/>
            <w:tcMar>
              <w:top w:w="100" w:type="dxa"/>
              <w:left w:w="100" w:type="dxa"/>
              <w:bottom w:w="100" w:type="dxa"/>
              <w:right w:w="100" w:type="dxa"/>
            </w:tcMar>
          </w:tcPr>
          <w:p w14:paraId="7CA14741" w14:textId="77777777" w:rsidR="00CE3C2A" w:rsidRPr="00E93A15" w:rsidRDefault="00000000">
            <w:pPr>
              <w:widowControl w:val="0"/>
              <w:spacing w:before="360" w:after="240"/>
              <w:ind w:right="1140"/>
              <w:jc w:val="both"/>
              <w:rPr>
                <w:rFonts w:ascii="Times New Roman" w:eastAsia="Times New Roman" w:hAnsi="Times New Roman" w:cs="Times New Roman"/>
                <w:b/>
                <w:noProof/>
                <w:sz w:val="24"/>
                <w:szCs w:val="24"/>
                <w:lang w:val="es-ES"/>
              </w:rPr>
            </w:pPr>
            <w:r w:rsidRPr="00E93A15">
              <w:rPr>
                <w:rFonts w:ascii="Times New Roman" w:eastAsia="Times New Roman" w:hAnsi="Times New Roman" w:cs="Times New Roman"/>
                <w:b/>
                <w:noProof/>
                <w:sz w:val="24"/>
                <w:szCs w:val="24"/>
                <w:lang w:val="es-ES"/>
              </w:rPr>
              <w:t>Igualdad y no discriminación y protección de los derechos de las personas pertenecientes a minorías étnicas (artículos 2, 25, 26 y 27)</w:t>
            </w:r>
          </w:p>
        </w:tc>
      </w:tr>
    </w:tbl>
    <w:p w14:paraId="365D9920" w14:textId="77777777" w:rsidR="00CE3C2A" w:rsidRPr="00E93A15" w:rsidRDefault="00CE3C2A">
      <w:pPr>
        <w:jc w:val="both"/>
        <w:rPr>
          <w:rFonts w:ascii="Times New Roman" w:eastAsia="Times New Roman" w:hAnsi="Times New Roman" w:cs="Times New Roman"/>
          <w:noProof/>
          <w:sz w:val="24"/>
          <w:szCs w:val="24"/>
          <w:lang w:val="es-ES"/>
        </w:rPr>
      </w:pPr>
    </w:p>
    <w:p w14:paraId="3FC82137" w14:textId="77777777" w:rsidR="00CE3C2A" w:rsidRPr="00E93A15" w:rsidRDefault="00000000">
      <w:pPr>
        <w:numPr>
          <w:ilvl w:val="0"/>
          <w:numId w:val="5"/>
        </w:numPr>
        <w:jc w:val="both"/>
        <w:rPr>
          <w:rFonts w:ascii="Times New Roman" w:eastAsia="Times New Roman" w:hAnsi="Times New Roman" w:cs="Times New Roman"/>
          <w:noProof/>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lastRenderedPageBreak/>
        <w:t xml:space="preserve">Las poblaciones indígenas y afrodescendientes, y en especial las mujeres, que viven en áreas de difícil acceso de Panamá, años tras años están expuesto a múltiples riesgos extremos debido a la discriminación etno-racial, institucional sistemática. Sus derechos sociales, económicos, culturales y colectivos son violados por la falta de atención de las autoridades responsables. No existen programas ni políticas sociales eficaces para combatir los riesgos. No existe la igualdad de oportunidades para indígenas y afrodescendientes. </w:t>
      </w:r>
    </w:p>
    <w:p w14:paraId="7BAF047B" w14:textId="77777777" w:rsidR="00CE3C2A" w:rsidRPr="00E93A15" w:rsidRDefault="00CE3C2A">
      <w:pPr>
        <w:jc w:val="both"/>
        <w:rPr>
          <w:rFonts w:ascii="Times New Roman" w:eastAsia="Times New Roman" w:hAnsi="Times New Roman" w:cs="Times New Roman"/>
          <w:noProof/>
          <w:color w:val="202124"/>
          <w:sz w:val="24"/>
          <w:szCs w:val="24"/>
          <w:highlight w:val="white"/>
          <w:lang w:val="es-ES"/>
        </w:rPr>
      </w:pPr>
    </w:p>
    <w:p w14:paraId="044BEA28" w14:textId="5F34A0F5" w:rsidR="00CE3C2A" w:rsidRPr="00E93A15" w:rsidRDefault="00000000">
      <w:pPr>
        <w:numPr>
          <w:ilvl w:val="0"/>
          <w:numId w:val="5"/>
        </w:numPr>
        <w:jc w:val="both"/>
        <w:rPr>
          <w:rFonts w:ascii="Times New Roman" w:eastAsia="Times New Roman" w:hAnsi="Times New Roman" w:cs="Times New Roman"/>
          <w:noProof/>
          <w:color w:val="202124"/>
          <w:sz w:val="24"/>
          <w:szCs w:val="24"/>
          <w:highlight w:val="white"/>
          <w:lang w:val="es-ES"/>
        </w:rPr>
      </w:pPr>
      <w:r w:rsidRPr="00E93A15">
        <w:rPr>
          <w:rFonts w:ascii="Times New Roman" w:eastAsia="Times New Roman" w:hAnsi="Times New Roman" w:cs="Times New Roman"/>
          <w:noProof/>
          <w:color w:val="202124"/>
          <w:sz w:val="24"/>
          <w:szCs w:val="24"/>
          <w:highlight w:val="white"/>
          <w:lang w:val="es-ES"/>
        </w:rPr>
        <w:t>Es conocida las condiciones hist</w:t>
      </w:r>
      <w:r w:rsidR="00E93A15" w:rsidRPr="00E93A15">
        <w:rPr>
          <w:rFonts w:ascii="Times New Roman" w:eastAsia="Times New Roman" w:hAnsi="Times New Roman" w:cs="Times New Roman"/>
          <w:noProof/>
          <w:color w:val="202124"/>
          <w:sz w:val="24"/>
          <w:szCs w:val="24"/>
          <w:highlight w:val="white"/>
          <w:lang w:val="es-ES"/>
        </w:rPr>
        <w:t>ó</w:t>
      </w:r>
      <w:r w:rsidRPr="00E93A15">
        <w:rPr>
          <w:rFonts w:ascii="Times New Roman" w:eastAsia="Times New Roman" w:hAnsi="Times New Roman" w:cs="Times New Roman"/>
          <w:noProof/>
          <w:color w:val="202124"/>
          <w:sz w:val="24"/>
          <w:szCs w:val="24"/>
          <w:highlight w:val="white"/>
          <w:lang w:val="es-ES"/>
        </w:rPr>
        <w:t>ricas que viven los pueblos originarios. El tema educativo, la desnutrición, las denuncias de castraciones quirúrgicas no consentidas</w:t>
      </w:r>
      <w:r w:rsidRPr="00E93A15">
        <w:rPr>
          <w:rFonts w:ascii="Times New Roman" w:eastAsia="Times New Roman" w:hAnsi="Times New Roman" w:cs="Times New Roman"/>
          <w:noProof/>
          <w:color w:val="202124"/>
          <w:sz w:val="24"/>
          <w:szCs w:val="24"/>
          <w:highlight w:val="white"/>
          <w:vertAlign w:val="superscript"/>
          <w:lang w:val="es-ES"/>
        </w:rPr>
        <w:footnoteReference w:id="9"/>
      </w:r>
      <w:r w:rsidRPr="00E93A15">
        <w:rPr>
          <w:rFonts w:ascii="Times New Roman" w:eastAsia="Times New Roman" w:hAnsi="Times New Roman" w:cs="Times New Roman"/>
          <w:noProof/>
          <w:color w:val="202124"/>
          <w:sz w:val="24"/>
          <w:szCs w:val="24"/>
          <w:highlight w:val="white"/>
          <w:lang w:val="es-ES"/>
        </w:rPr>
        <w:t>, la falta de un programa intercultural educativo sostenible para el desarrollo afectan a una población discriminada y pauperizada.</w:t>
      </w:r>
    </w:p>
    <w:p w14:paraId="6F62C397" w14:textId="77777777" w:rsidR="00CE3C2A" w:rsidRPr="00E93A15" w:rsidRDefault="00CE3C2A">
      <w:pPr>
        <w:jc w:val="both"/>
        <w:rPr>
          <w:rFonts w:ascii="Times New Roman" w:eastAsia="Times New Roman" w:hAnsi="Times New Roman" w:cs="Times New Roman"/>
          <w:noProof/>
          <w:color w:val="202124"/>
          <w:sz w:val="24"/>
          <w:szCs w:val="24"/>
          <w:highlight w:val="white"/>
          <w:lang w:val="es-ES"/>
        </w:rPr>
      </w:pPr>
    </w:p>
    <w:p w14:paraId="3AF66780" w14:textId="77777777" w:rsidR="00CE3C2A" w:rsidRPr="00E93A15" w:rsidRDefault="00000000">
      <w:pPr>
        <w:spacing w:line="360" w:lineRule="auto"/>
        <w:jc w:val="both"/>
        <w:rPr>
          <w:rFonts w:ascii="Times New Roman" w:eastAsia="Times New Roman" w:hAnsi="Times New Roman" w:cs="Times New Roman"/>
          <w:b/>
          <w:i/>
          <w:noProof/>
          <w:sz w:val="24"/>
          <w:szCs w:val="24"/>
          <w:lang w:val="es-ES"/>
        </w:rPr>
      </w:pPr>
      <w:r w:rsidRPr="00E93A15">
        <w:rPr>
          <w:rFonts w:ascii="Times New Roman" w:eastAsia="Times New Roman" w:hAnsi="Times New Roman" w:cs="Times New Roman"/>
          <w:b/>
          <w:i/>
          <w:noProof/>
          <w:sz w:val="24"/>
          <w:szCs w:val="24"/>
          <w:lang w:val="es-ES"/>
        </w:rPr>
        <w:t>Recomendaciones:</w:t>
      </w:r>
    </w:p>
    <w:p w14:paraId="19ED65DB" w14:textId="77777777" w:rsidR="00CE3C2A" w:rsidRPr="00E93A15" w:rsidRDefault="00CE3C2A">
      <w:pPr>
        <w:spacing w:line="360" w:lineRule="auto"/>
        <w:jc w:val="both"/>
        <w:rPr>
          <w:rFonts w:ascii="Times New Roman" w:eastAsia="Times New Roman" w:hAnsi="Times New Roman" w:cs="Times New Roman"/>
          <w:b/>
          <w:i/>
          <w:noProof/>
          <w:sz w:val="24"/>
          <w:szCs w:val="24"/>
          <w:lang w:val="es-ES"/>
        </w:rPr>
      </w:pPr>
    </w:p>
    <w:p w14:paraId="4369398E" w14:textId="266E0FEB" w:rsidR="00CE3C2A" w:rsidRPr="00E93A15" w:rsidRDefault="00000000">
      <w:pPr>
        <w:numPr>
          <w:ilvl w:val="0"/>
          <w:numId w:val="10"/>
        </w:numPr>
        <w:spacing w:line="360" w:lineRule="auto"/>
        <w:jc w:val="both"/>
        <w:rPr>
          <w:rFonts w:ascii="Times New Roman" w:eastAsia="Times New Roman" w:hAnsi="Times New Roman" w:cs="Times New Roman"/>
          <w:noProof/>
          <w:sz w:val="24"/>
          <w:szCs w:val="24"/>
          <w:lang w:val="es-ES"/>
        </w:rPr>
      </w:pPr>
      <w:r w:rsidRPr="00E93A15">
        <w:rPr>
          <w:rFonts w:ascii="Times New Roman" w:eastAsia="Times New Roman" w:hAnsi="Times New Roman" w:cs="Times New Roman"/>
          <w:noProof/>
          <w:sz w:val="24"/>
          <w:szCs w:val="24"/>
          <w:lang w:val="es-ES"/>
        </w:rPr>
        <w:t>Una investigación exhaustiva, independient</w:t>
      </w:r>
      <w:r w:rsidR="00E93A15">
        <w:rPr>
          <w:rFonts w:ascii="Times New Roman" w:eastAsia="Times New Roman" w:hAnsi="Times New Roman" w:cs="Times New Roman"/>
          <w:noProof/>
          <w:sz w:val="24"/>
          <w:szCs w:val="24"/>
          <w:lang w:val="es-ES"/>
        </w:rPr>
        <w:t>e</w:t>
      </w:r>
      <w:r w:rsidRPr="00E93A15">
        <w:rPr>
          <w:rFonts w:ascii="Times New Roman" w:eastAsia="Times New Roman" w:hAnsi="Times New Roman" w:cs="Times New Roman"/>
          <w:noProof/>
          <w:sz w:val="24"/>
          <w:szCs w:val="24"/>
          <w:lang w:val="es-ES"/>
        </w:rPr>
        <w:t xml:space="preserve"> y sensible de las acusaciones de c</w:t>
      </w:r>
      <w:r w:rsidRPr="00E93A15">
        <w:rPr>
          <w:rFonts w:ascii="Times New Roman" w:eastAsia="Times New Roman" w:hAnsi="Times New Roman" w:cs="Times New Roman"/>
          <w:noProof/>
          <w:color w:val="202124"/>
          <w:sz w:val="24"/>
          <w:szCs w:val="24"/>
          <w:highlight w:val="white"/>
          <w:lang w:val="es-ES"/>
        </w:rPr>
        <w:t xml:space="preserve">astraciones quirúrgicas no consentidas a mujeres indígenas. </w:t>
      </w:r>
    </w:p>
    <w:p w14:paraId="36D1E2DD" w14:textId="04ED22CA" w:rsidR="00CE3C2A" w:rsidRDefault="00CE3C2A">
      <w:pPr>
        <w:spacing w:line="360" w:lineRule="auto"/>
        <w:jc w:val="both"/>
        <w:rPr>
          <w:rFonts w:ascii="Times New Roman" w:eastAsia="Times New Roman" w:hAnsi="Times New Roman" w:cs="Times New Roman"/>
          <w:b/>
          <w:i/>
          <w:noProof/>
          <w:sz w:val="24"/>
          <w:szCs w:val="24"/>
          <w:lang w:val="es-ES"/>
        </w:rPr>
      </w:pPr>
    </w:p>
    <w:p w14:paraId="185C4274" w14:textId="77777777" w:rsidR="00E93A15" w:rsidRPr="00E93A15" w:rsidRDefault="00E93A15">
      <w:pPr>
        <w:spacing w:line="360" w:lineRule="auto"/>
        <w:jc w:val="both"/>
        <w:rPr>
          <w:rFonts w:ascii="Times New Roman" w:eastAsia="Times New Roman" w:hAnsi="Times New Roman" w:cs="Times New Roman"/>
          <w:b/>
          <w:i/>
          <w:sz w:val="24"/>
          <w:szCs w:val="24"/>
          <w:lang w:val="es-ES"/>
        </w:rPr>
      </w:pPr>
    </w:p>
    <w:sectPr w:rsidR="00E93A15" w:rsidRPr="00E93A15">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9FA4C" w14:textId="77777777" w:rsidR="007130CA" w:rsidRDefault="007130CA">
      <w:pPr>
        <w:spacing w:line="240" w:lineRule="auto"/>
      </w:pPr>
      <w:r>
        <w:separator/>
      </w:r>
    </w:p>
  </w:endnote>
  <w:endnote w:type="continuationSeparator" w:id="0">
    <w:p w14:paraId="337E815F" w14:textId="77777777" w:rsidR="007130CA" w:rsidRDefault="007130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ECA52" w14:textId="77777777" w:rsidR="00CE3C2A" w:rsidRDefault="00000000">
    <w:pPr>
      <w:jc w:val="right"/>
    </w:pPr>
    <w:r>
      <w:fldChar w:fldCharType="begin"/>
    </w:r>
    <w:r>
      <w:instrText>PAGE</w:instrText>
    </w:r>
    <w:r>
      <w:fldChar w:fldCharType="separate"/>
    </w:r>
    <w:r w:rsidR="000C425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49897" w14:textId="77777777" w:rsidR="007130CA" w:rsidRDefault="007130CA">
      <w:pPr>
        <w:spacing w:line="240" w:lineRule="auto"/>
      </w:pPr>
      <w:r>
        <w:separator/>
      </w:r>
    </w:p>
  </w:footnote>
  <w:footnote w:type="continuationSeparator" w:id="0">
    <w:p w14:paraId="0BE788C9" w14:textId="77777777" w:rsidR="007130CA" w:rsidRDefault="007130CA">
      <w:pPr>
        <w:spacing w:line="240" w:lineRule="auto"/>
      </w:pPr>
      <w:r>
        <w:continuationSeparator/>
      </w:r>
    </w:p>
  </w:footnote>
  <w:footnote w:id="1">
    <w:p w14:paraId="74C675F4" w14:textId="2C984992" w:rsidR="00CE3C2A" w:rsidRDefault="00000000">
      <w:pPr>
        <w:spacing w:line="240" w:lineRule="auto"/>
        <w:rPr>
          <w:sz w:val="20"/>
          <w:szCs w:val="20"/>
        </w:rPr>
      </w:pPr>
      <w:r>
        <w:rPr>
          <w:vertAlign w:val="superscript"/>
        </w:rPr>
        <w:footnoteRef/>
      </w:r>
      <w:r>
        <w:rPr>
          <w:rFonts w:ascii="Times New Roman" w:eastAsia="Times New Roman" w:hAnsi="Times New Roman" w:cs="Times New Roman"/>
          <w:color w:val="202124"/>
          <w:sz w:val="24"/>
          <w:szCs w:val="24"/>
          <w:highlight w:val="white"/>
        </w:rPr>
        <w:t>La Ley 7, de 14 de febrero de 2018, que adopta medidas para prevenir, prohibir y sancionar actos discriminatorios y dicta otras disposiciones</w:t>
      </w:r>
      <w:r>
        <w:rPr>
          <w:sz w:val="20"/>
          <w:szCs w:val="20"/>
        </w:rPr>
        <w:t xml:space="preserve"> </w:t>
      </w:r>
      <w:hyperlink r:id="rId1">
        <w:r>
          <w:rPr>
            <w:color w:val="1155CC"/>
            <w:sz w:val="20"/>
            <w:szCs w:val="20"/>
            <w:u w:val="single"/>
          </w:rPr>
          <w:t>https://www.gacetaoficial.gob.pa/pdfTemp/28465_A/66081.pdf</w:t>
        </w:r>
      </w:hyperlink>
    </w:p>
    <w:p w14:paraId="7CA81450" w14:textId="77777777" w:rsidR="00CE3C2A" w:rsidRDefault="00CE3C2A">
      <w:pPr>
        <w:spacing w:line="240" w:lineRule="auto"/>
        <w:rPr>
          <w:sz w:val="20"/>
          <w:szCs w:val="20"/>
        </w:rPr>
      </w:pPr>
    </w:p>
  </w:footnote>
  <w:footnote w:id="2">
    <w:p w14:paraId="572038DF" w14:textId="77777777" w:rsidR="00CE3C2A" w:rsidRDefault="00000000">
      <w:pPr>
        <w:spacing w:line="240" w:lineRule="auto"/>
        <w:rPr>
          <w:sz w:val="20"/>
          <w:szCs w:val="20"/>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rPr>
        <w:t xml:space="preserve">POR EL CUAL SE EXPIDE EL REGLAMENTO DE DISCIPLINA DE LA POLICIA NACIONAL </w:t>
      </w:r>
      <w:hyperlink r:id="rId2">
        <w:r>
          <w:rPr>
            <w:rFonts w:ascii="Times New Roman" w:eastAsia="Times New Roman" w:hAnsi="Times New Roman" w:cs="Times New Roman"/>
            <w:color w:val="1155CC"/>
            <w:highlight w:val="white"/>
            <w:u w:val="single"/>
          </w:rPr>
          <w:t>https://docs.panama.justia.com/federales/decretos-ejecutivos/204-de-1997-sep-5-1997.pd</w:t>
        </w:r>
      </w:hyperlink>
      <w:hyperlink r:id="rId3">
        <w:r>
          <w:rPr>
            <w:rFonts w:ascii="Times New Roman" w:eastAsia="Times New Roman" w:hAnsi="Times New Roman" w:cs="Times New Roman"/>
            <w:color w:val="1155CC"/>
            <w:sz w:val="24"/>
            <w:szCs w:val="24"/>
            <w:highlight w:val="white"/>
            <w:u w:val="single"/>
          </w:rPr>
          <w:t>f</w:t>
        </w:r>
      </w:hyperlink>
      <w:r>
        <w:rPr>
          <w:sz w:val="20"/>
          <w:szCs w:val="20"/>
        </w:rPr>
        <w:t xml:space="preserve"> </w:t>
      </w:r>
    </w:p>
    <w:p w14:paraId="0A32ADF0" w14:textId="77777777" w:rsidR="00CE3C2A" w:rsidRDefault="00000000">
      <w:pPr>
        <w:spacing w:line="240" w:lineRule="auto"/>
        <w:rPr>
          <w:sz w:val="20"/>
          <w:szCs w:val="20"/>
        </w:rPr>
      </w:pPr>
      <w:r>
        <w:rPr>
          <w:rFonts w:ascii="Times New Roman" w:eastAsia="Times New Roman" w:hAnsi="Times New Roman" w:cs="Times New Roman"/>
          <w:color w:val="202124"/>
          <w:sz w:val="24"/>
          <w:szCs w:val="24"/>
          <w:highlight w:val="white"/>
        </w:rPr>
        <w:t xml:space="preserve">Ley 16 que establece el Día Nacional de la Etnia Negra </w:t>
      </w:r>
    </w:p>
  </w:footnote>
  <w:footnote w:id="3">
    <w:p w14:paraId="55478B61" w14:textId="77777777" w:rsidR="00CE3C2A"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hyperlink r:id="rId4">
        <w:r>
          <w:rPr>
            <w:rFonts w:ascii="Times New Roman" w:eastAsia="Times New Roman" w:hAnsi="Times New Roman" w:cs="Times New Roman"/>
            <w:color w:val="1155CC"/>
            <w:u w:val="single"/>
          </w:rPr>
          <w:t>https://www.defensoria.gob.pa/wp-content/uploads/2021/08/ley16contraladiscriminacion.pdf</w:t>
        </w:r>
      </w:hyperlink>
    </w:p>
    <w:p w14:paraId="34BAF51C" w14:textId="77777777" w:rsidR="00CE3C2A" w:rsidRDefault="00CE3C2A">
      <w:pPr>
        <w:spacing w:line="240" w:lineRule="auto"/>
        <w:rPr>
          <w:sz w:val="20"/>
          <w:szCs w:val="20"/>
        </w:rPr>
      </w:pPr>
    </w:p>
  </w:footnote>
  <w:footnote w:id="4">
    <w:p w14:paraId="035A0A18" w14:textId="77777777" w:rsidR="00CE3C2A" w:rsidRDefault="00000000">
      <w:pPr>
        <w:spacing w:line="240" w:lineRule="auto"/>
        <w:rPr>
          <w:rFonts w:ascii="Times New Roman" w:eastAsia="Times New Roman" w:hAnsi="Times New Roman" w:cs="Times New Roman"/>
        </w:rPr>
      </w:pPr>
      <w:r>
        <w:rPr>
          <w:vertAlign w:val="superscript"/>
        </w:rPr>
        <w:footnoteRef/>
      </w:r>
      <w:hyperlink r:id="rId5">
        <w:r>
          <w:rPr>
            <w:rFonts w:ascii="Times New Roman" w:eastAsia="Times New Roman" w:hAnsi="Times New Roman" w:cs="Times New Roman"/>
            <w:color w:val="1155CC"/>
            <w:u w:val="single"/>
          </w:rPr>
          <w:t>https://www.diarioconstitucional.cl/2021/03/27/corte-suprema-de-justicia-de-panama-resolvio-que-la-maternidad-impide-colocar-en-situacion-de-igualdad-a-los-hombres-y-las-mujeres/</w:t>
        </w:r>
      </w:hyperlink>
    </w:p>
    <w:p w14:paraId="3041E2CF" w14:textId="77777777" w:rsidR="00CE3C2A" w:rsidRDefault="00CE3C2A">
      <w:pPr>
        <w:spacing w:line="240" w:lineRule="auto"/>
        <w:rPr>
          <w:sz w:val="20"/>
          <w:szCs w:val="20"/>
        </w:rPr>
      </w:pPr>
    </w:p>
  </w:footnote>
  <w:footnote w:id="5">
    <w:p w14:paraId="6AA6D97E" w14:textId="77777777" w:rsidR="00CE3C2A"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QUE ESTABLECE EL MARCO REGULATORIO PARA LA ESTERILIZACION FEMENINA </w:t>
      </w:r>
      <w:hyperlink r:id="rId6">
        <w:r>
          <w:rPr>
            <w:rFonts w:ascii="Times New Roman" w:eastAsia="Times New Roman" w:hAnsi="Times New Roman" w:cs="Times New Roman"/>
            <w:color w:val="1155CC"/>
            <w:u w:val="single"/>
          </w:rPr>
          <w:t>https://www.asamblea.gob.pa/APPS/LEGISPAN/PDF_NORMAS/2010/2013/2013_601_3127.pdf</w:t>
        </w:r>
      </w:hyperlink>
    </w:p>
    <w:p w14:paraId="1DF29CC1" w14:textId="77777777" w:rsidR="00CE3C2A" w:rsidRDefault="00CE3C2A">
      <w:pPr>
        <w:spacing w:line="240" w:lineRule="auto"/>
        <w:rPr>
          <w:sz w:val="20"/>
          <w:szCs w:val="20"/>
        </w:rPr>
      </w:pPr>
    </w:p>
  </w:footnote>
  <w:footnote w:id="6">
    <w:p w14:paraId="7F7453C1" w14:textId="77777777" w:rsidR="00CE3C2A" w:rsidRDefault="00000000">
      <w:pPr>
        <w:spacing w:line="240" w:lineRule="auto"/>
        <w:rPr>
          <w:rFonts w:ascii="Times New Roman" w:eastAsia="Times New Roman" w:hAnsi="Times New Roman" w:cs="Times New Roman"/>
          <w:sz w:val="24"/>
          <w:szCs w:val="24"/>
        </w:rPr>
      </w:pPr>
      <w:r>
        <w:rPr>
          <w:vertAlign w:val="superscript"/>
        </w:rPr>
        <w:footnoteRef/>
      </w:r>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color w:val="1155CC"/>
            <w:sz w:val="24"/>
            <w:szCs w:val="24"/>
            <w:highlight w:val="white"/>
            <w:u w:val="single"/>
          </w:rPr>
          <w:t>https://www.revistaconcolon.com/tag/colectivo-de-periodistas-concolon/</w:t>
        </w:r>
      </w:hyperlink>
      <w:r>
        <w:rPr>
          <w:rFonts w:ascii="Times New Roman" w:eastAsia="Times New Roman" w:hAnsi="Times New Roman" w:cs="Times New Roman"/>
          <w:color w:val="333333"/>
          <w:sz w:val="24"/>
          <w:szCs w:val="24"/>
          <w:highlight w:val="white"/>
        </w:rPr>
        <w:t xml:space="preserve"> </w:t>
      </w:r>
    </w:p>
  </w:footnote>
  <w:footnote w:id="7">
    <w:p w14:paraId="2CBE036F" w14:textId="77777777" w:rsidR="00CE3C2A"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hyperlink r:id="rId8">
        <w:r>
          <w:rPr>
            <w:rFonts w:ascii="Times New Roman" w:eastAsia="Times New Roman" w:hAnsi="Times New Roman" w:cs="Times New Roman"/>
            <w:color w:val="1155CC"/>
            <w:u w:val="single"/>
          </w:rPr>
          <w:t>https://vlex.com.pa/vid/denuncia-corte-suprema-justicia-854280732</w:t>
        </w:r>
      </w:hyperlink>
    </w:p>
    <w:p w14:paraId="10967798" w14:textId="77777777" w:rsidR="00CE3C2A" w:rsidRDefault="00CE3C2A">
      <w:pPr>
        <w:spacing w:line="240" w:lineRule="auto"/>
        <w:rPr>
          <w:sz w:val="20"/>
          <w:szCs w:val="20"/>
        </w:rPr>
      </w:pPr>
    </w:p>
  </w:footnote>
  <w:footnote w:id="8">
    <w:p w14:paraId="7776B385" w14:textId="77777777" w:rsidR="00CE3C2A" w:rsidRDefault="00000000">
      <w:pPr>
        <w:spacing w:line="240" w:lineRule="auto"/>
        <w:rPr>
          <w:sz w:val="20"/>
          <w:szCs w:val="20"/>
        </w:rPr>
      </w:pPr>
      <w:r>
        <w:rPr>
          <w:vertAlign w:val="superscript"/>
        </w:rPr>
        <w:footnoteRef/>
      </w:r>
      <w:r>
        <w:rPr>
          <w:sz w:val="20"/>
          <w:szCs w:val="20"/>
        </w:rPr>
        <w:t xml:space="preserve"> </w:t>
      </w:r>
      <w:hyperlink r:id="rId9">
        <w:r>
          <w:rPr>
            <w:color w:val="1155CC"/>
            <w:sz w:val="20"/>
            <w:szCs w:val="20"/>
            <w:u w:val="single"/>
          </w:rPr>
          <w:t>https://www.hrw.org/es/news/2022/02/14/la-lucha-por-el-matrimonio-igualitario-en-panama</w:t>
        </w:r>
      </w:hyperlink>
      <w:r>
        <w:rPr>
          <w:sz w:val="20"/>
          <w:szCs w:val="20"/>
        </w:rPr>
        <w:t xml:space="preserve"> </w:t>
      </w:r>
    </w:p>
  </w:footnote>
  <w:footnote w:id="9">
    <w:p w14:paraId="1FD1E317" w14:textId="77777777" w:rsidR="00CE3C2A" w:rsidRDefault="00000000">
      <w:pPr>
        <w:spacing w:line="240" w:lineRule="auto"/>
        <w:rPr>
          <w:sz w:val="20"/>
          <w:szCs w:val="20"/>
        </w:rPr>
      </w:pPr>
      <w:r>
        <w:rPr>
          <w:vertAlign w:val="superscript"/>
        </w:rPr>
        <w:footnoteRef/>
      </w:r>
      <w:hyperlink r:id="rId10">
        <w:r>
          <w:rPr>
            <w:color w:val="1155CC"/>
            <w:sz w:val="20"/>
            <w:szCs w:val="20"/>
            <w:u w:val="single"/>
          </w:rPr>
          <w:t>https://www.france24.com/es/minuto-a-minuto/20220217-panam%C3%A1-investiga-denuncias-sobre-esterilizaciones-a-ind%C3%ADgenas-sin-su-consentimiento</w:t>
        </w:r>
      </w:hyperlink>
      <w:r>
        <w:rPr>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52BE"/>
    <w:multiLevelType w:val="multilevel"/>
    <w:tmpl w:val="12BC15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5A3734"/>
    <w:multiLevelType w:val="multilevel"/>
    <w:tmpl w:val="F1A877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13A68BA"/>
    <w:multiLevelType w:val="multilevel"/>
    <w:tmpl w:val="E65266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88F103F"/>
    <w:multiLevelType w:val="multilevel"/>
    <w:tmpl w:val="DE5E4E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D1C1AAB"/>
    <w:multiLevelType w:val="multilevel"/>
    <w:tmpl w:val="720A5C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7363516"/>
    <w:multiLevelType w:val="multilevel"/>
    <w:tmpl w:val="A956BA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87D27AD"/>
    <w:multiLevelType w:val="multilevel"/>
    <w:tmpl w:val="C8CA69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89E0E97"/>
    <w:multiLevelType w:val="multilevel"/>
    <w:tmpl w:val="D62298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5B828BD"/>
    <w:multiLevelType w:val="multilevel"/>
    <w:tmpl w:val="3FC27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2BE5F90"/>
    <w:multiLevelType w:val="multilevel"/>
    <w:tmpl w:val="B802AF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E2D07EB"/>
    <w:multiLevelType w:val="multilevel"/>
    <w:tmpl w:val="D460E8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17C71C6"/>
    <w:multiLevelType w:val="multilevel"/>
    <w:tmpl w:val="030634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2364E1F"/>
    <w:multiLevelType w:val="multilevel"/>
    <w:tmpl w:val="983CD2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47624BB"/>
    <w:multiLevelType w:val="multilevel"/>
    <w:tmpl w:val="A73667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706727B"/>
    <w:multiLevelType w:val="multilevel"/>
    <w:tmpl w:val="5D12F2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85640C2"/>
    <w:multiLevelType w:val="multilevel"/>
    <w:tmpl w:val="2F72B8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AE446B3"/>
    <w:multiLevelType w:val="multilevel"/>
    <w:tmpl w:val="2C8660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DA03E40"/>
    <w:multiLevelType w:val="multilevel"/>
    <w:tmpl w:val="D04EEF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64231449">
    <w:abstractNumId w:val="5"/>
  </w:num>
  <w:num w:numId="2" w16cid:durableId="1550533344">
    <w:abstractNumId w:val="16"/>
  </w:num>
  <w:num w:numId="3" w16cid:durableId="898974376">
    <w:abstractNumId w:val="0"/>
  </w:num>
  <w:num w:numId="4" w16cid:durableId="1351375454">
    <w:abstractNumId w:val="9"/>
  </w:num>
  <w:num w:numId="5" w16cid:durableId="159393930">
    <w:abstractNumId w:val="12"/>
  </w:num>
  <w:num w:numId="6" w16cid:durableId="2003386573">
    <w:abstractNumId w:val="2"/>
  </w:num>
  <w:num w:numId="7" w16cid:durableId="1934892211">
    <w:abstractNumId w:val="3"/>
  </w:num>
  <w:num w:numId="8" w16cid:durableId="1336761888">
    <w:abstractNumId w:val="10"/>
  </w:num>
  <w:num w:numId="9" w16cid:durableId="1069573883">
    <w:abstractNumId w:val="1"/>
  </w:num>
  <w:num w:numId="10" w16cid:durableId="68158742">
    <w:abstractNumId w:val="8"/>
  </w:num>
  <w:num w:numId="11" w16cid:durableId="1082528496">
    <w:abstractNumId w:val="14"/>
  </w:num>
  <w:num w:numId="12" w16cid:durableId="145561727">
    <w:abstractNumId w:val="15"/>
  </w:num>
  <w:num w:numId="13" w16cid:durableId="1400711347">
    <w:abstractNumId w:val="13"/>
  </w:num>
  <w:num w:numId="14" w16cid:durableId="1493982882">
    <w:abstractNumId w:val="17"/>
  </w:num>
  <w:num w:numId="15" w16cid:durableId="1857964342">
    <w:abstractNumId w:val="11"/>
  </w:num>
  <w:num w:numId="16" w16cid:durableId="1904562933">
    <w:abstractNumId w:val="4"/>
  </w:num>
  <w:num w:numId="17" w16cid:durableId="126169531">
    <w:abstractNumId w:val="6"/>
  </w:num>
  <w:num w:numId="18" w16cid:durableId="13874907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C2A"/>
    <w:rsid w:val="000C425D"/>
    <w:rsid w:val="001F3345"/>
    <w:rsid w:val="00381CB0"/>
    <w:rsid w:val="004B5383"/>
    <w:rsid w:val="005B193D"/>
    <w:rsid w:val="007130CA"/>
    <w:rsid w:val="00CE3C2A"/>
    <w:rsid w:val="00E93A15"/>
  </w:rsids>
  <m:mathPr>
    <m:mathFont m:val="Cambria Math"/>
    <m:brkBin m:val="before"/>
    <m:brkBinSub m:val="--"/>
    <m:smallFrac m:val="0"/>
    <m:dispDef/>
    <m:lMargin m:val="0"/>
    <m:rMargin m:val="0"/>
    <m:defJc m:val="centerGroup"/>
    <m:wrapIndent m:val="1440"/>
    <m:intLim m:val="subSup"/>
    <m:naryLim m:val="undOvr"/>
  </m:mathPr>
  <w:themeFontLang w:val="en-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74735"/>
  <w15:docId w15:val="{26FD6EAD-058F-3F49-984A-C6CC92598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vlex.com.pa/vid/denuncia-corte-suprema-justicia-854280732" TargetMode="External"/><Relationship Id="rId3" Type="http://schemas.openxmlformats.org/officeDocument/2006/relationships/hyperlink" Target="https://docs.panama.justia.com/federales/decretos-ejecutivos/204-de-1997-sep-5-1997.pdf" TargetMode="External"/><Relationship Id="rId7" Type="http://schemas.openxmlformats.org/officeDocument/2006/relationships/hyperlink" Target="https://www.revistaconcolon.com/tag/colectivo-de-periodistas-concolon/" TargetMode="External"/><Relationship Id="rId2" Type="http://schemas.openxmlformats.org/officeDocument/2006/relationships/hyperlink" Target="https://docs.panama.justia.com/federales/decretos-ejecutivos/204-de-1997-sep-5-1997.pdf" TargetMode="External"/><Relationship Id="rId1" Type="http://schemas.openxmlformats.org/officeDocument/2006/relationships/hyperlink" Target="https://www.gacetaoficial.gob.pa/pdfTemp/28465_A/66081.pdf" TargetMode="External"/><Relationship Id="rId6" Type="http://schemas.openxmlformats.org/officeDocument/2006/relationships/hyperlink" Target="https://www.asamblea.gob.pa/APPS/LEGISPAN/PDF_NORMAS/2010/2013/2013_601_3127.pdf" TargetMode="External"/><Relationship Id="rId5" Type="http://schemas.openxmlformats.org/officeDocument/2006/relationships/hyperlink" Target="https://www.diarioconstitucional.cl/2021/03/27/corte-suprema-de-justicia-de-panama-resolvio-que-la-maternidad-impide-colocar-en-situacion-de-igualdad-a-los-hombres-y-las-mujeres/" TargetMode="External"/><Relationship Id="rId10" Type="http://schemas.openxmlformats.org/officeDocument/2006/relationships/hyperlink" Target="https://www.france24.com/es/minuto-a-minuto/20220217-panam%C3%A1-investiga-denuncias-sobre-esterilizaciones-a-ind%C3%ADgenas-sin-su-consentimiento" TargetMode="External"/><Relationship Id="rId4" Type="http://schemas.openxmlformats.org/officeDocument/2006/relationships/hyperlink" Target="https://www.defensoria.gob.pa/wp-content/uploads/2021/08/ley16contraladiscriminacion.pdf" TargetMode="External"/><Relationship Id="rId9" Type="http://schemas.openxmlformats.org/officeDocument/2006/relationships/hyperlink" Target="https://www.hrw.org/es/news/2022/02/14/la-lucha-por-el-matrimonio-igualitario-en-pana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4408</Words>
  <Characters>22837</Characters>
  <Application>Microsoft Office Word</Application>
  <DocSecurity>0</DocSecurity>
  <Lines>456</Lines>
  <Paragraphs>108</Paragraphs>
  <ScaleCrop>false</ScaleCrop>
  <Company/>
  <LinksUpToDate>false</LinksUpToDate>
  <CharactersWithSpaces>27137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Ivan Chanis B.</cp:lastModifiedBy>
  <cp:revision>7</cp:revision>
  <dcterms:created xsi:type="dcterms:W3CDTF">2023-01-30T20:41:00Z</dcterms:created>
  <dcterms:modified xsi:type="dcterms:W3CDTF">2023-01-30T20:54:00Z</dcterms:modified>
</cp:coreProperties>
</file>