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429B097C" w:rsidR="00533B51" w:rsidRDefault="00000000">
      <w:pPr>
        <w:spacing w:before="280" w:after="280"/>
        <w:rPr>
          <w:sz w:val="24"/>
          <w:szCs w:val="24"/>
        </w:rPr>
      </w:pPr>
      <w:r>
        <w:rPr>
          <w:sz w:val="40"/>
          <w:szCs w:val="40"/>
        </w:rPr>
        <w:t xml:space="preserve">COALITION TO END WOMEN’S HOMELESSNESS </w:t>
      </w:r>
      <w:r w:rsidR="00E27075">
        <w:rPr>
          <w:sz w:val="40"/>
          <w:szCs w:val="40"/>
        </w:rPr>
        <w:t>ALTERNATIVE</w:t>
      </w:r>
      <w:r>
        <w:rPr>
          <w:sz w:val="40"/>
          <w:szCs w:val="40"/>
        </w:rPr>
        <w:t xml:space="preserve"> REPORT TO THE CONVENTION ON THE ELIMINATION OF ALL FORMS OF DISCRIMINATION AGAINST WOMEN</w:t>
      </w:r>
    </w:p>
    <w:p w14:paraId="00000002" w14:textId="77777777" w:rsidR="00533B51" w:rsidRDefault="00533B51">
      <w:pPr>
        <w:spacing w:before="280" w:after="280"/>
        <w:rPr>
          <w:sz w:val="24"/>
          <w:szCs w:val="24"/>
        </w:rPr>
      </w:pPr>
    </w:p>
    <w:p w14:paraId="00000003" w14:textId="77777777" w:rsidR="00533B51" w:rsidRDefault="00000000">
      <w:pPr>
        <w:pStyle w:val="Heading1"/>
        <w:spacing w:line="360" w:lineRule="auto"/>
      </w:pPr>
      <w:bookmarkStart w:id="0" w:name="_mffqn8e9zjg5" w:colFirst="0" w:colLast="0"/>
      <w:bookmarkEnd w:id="0"/>
      <w:r>
        <w:t xml:space="preserve">INTRODUCTION </w:t>
      </w:r>
    </w:p>
    <w:p w14:paraId="00000004" w14:textId="77777777" w:rsidR="00533B51" w:rsidRDefault="00000000">
      <w:pPr>
        <w:spacing w:line="360" w:lineRule="auto"/>
      </w:pPr>
      <w:r>
        <w:rPr>
          <w:b/>
        </w:rPr>
        <w:t xml:space="preserve">Too many of our women are unhoused, unnoticed, and unsafe. </w:t>
      </w:r>
    </w:p>
    <w:p w14:paraId="00000005" w14:textId="77777777" w:rsidR="00533B51" w:rsidRDefault="00533B51">
      <w:pPr>
        <w:spacing w:line="360" w:lineRule="auto"/>
        <w:rPr>
          <w:highlight w:val="yellow"/>
        </w:rPr>
      </w:pPr>
    </w:p>
    <w:p w14:paraId="00000006" w14:textId="77777777" w:rsidR="00533B51" w:rsidRDefault="00000000">
      <w:r>
        <w:t>102,123 people were identified as being severely housing deprived in Aotearoa New Zealand’s Census 2018</w:t>
      </w:r>
      <w:r>
        <w:rPr>
          <w:vertAlign w:val="superscript"/>
        </w:rPr>
        <w:footnoteReference w:id="1"/>
      </w:r>
      <w:r>
        <w:t>, which is the current measure used by the Ministry of Housing and Urban Development to define homelessness. Of those people, approximately half identified as women</w:t>
      </w:r>
      <w:r>
        <w:rPr>
          <w:vertAlign w:val="superscript"/>
        </w:rPr>
        <w:footnoteReference w:id="2"/>
      </w:r>
      <w:r>
        <w:t>.</w:t>
      </w:r>
    </w:p>
    <w:p w14:paraId="00000007" w14:textId="77777777" w:rsidR="00533B51" w:rsidRDefault="00533B51"/>
    <w:p w14:paraId="00000008" w14:textId="77777777" w:rsidR="00533B51" w:rsidRDefault="00000000">
      <w:r>
        <w:t xml:space="preserve">In addition: </w:t>
      </w:r>
    </w:p>
    <w:p w14:paraId="00000009" w14:textId="77777777" w:rsidR="00533B51" w:rsidRDefault="00533B51"/>
    <w:p w14:paraId="0000000A" w14:textId="77777777" w:rsidR="00533B51" w:rsidRDefault="00000000">
      <w:pPr>
        <w:numPr>
          <w:ilvl w:val="0"/>
          <w:numId w:val="2"/>
        </w:numPr>
      </w:pPr>
      <w:r>
        <w:t xml:space="preserve">Many women experiencing homelessness have three or more children, meaning there is a ‘downstream’ impact on our internationally notable </w:t>
      </w:r>
      <w:proofErr w:type="spellStart"/>
      <w:r>
        <w:t>rangatahi</w:t>
      </w:r>
      <w:proofErr w:type="spellEnd"/>
      <w:r>
        <w:t>/youth homelessness numbers</w:t>
      </w:r>
      <w:r>
        <w:rPr>
          <w:vertAlign w:val="superscript"/>
        </w:rPr>
        <w:footnoteReference w:id="3"/>
      </w:r>
      <w:r>
        <w:t xml:space="preserve">; and </w:t>
      </w:r>
    </w:p>
    <w:p w14:paraId="0000000B" w14:textId="77777777" w:rsidR="00533B51" w:rsidRDefault="00000000">
      <w:pPr>
        <w:numPr>
          <w:ilvl w:val="0"/>
          <w:numId w:val="2"/>
        </w:numPr>
      </w:pPr>
      <w:r>
        <w:t>Older women are amongst the fastest-growing cohort of those experiencing homelessness in Aotearoa New Zealand with causal factors including the retirement pay gap</w:t>
      </w:r>
      <w:r>
        <w:rPr>
          <w:vertAlign w:val="superscript"/>
        </w:rPr>
        <w:footnoteReference w:id="4"/>
      </w:r>
      <w:r>
        <w:t xml:space="preserve"> and tenure insecurity</w:t>
      </w:r>
      <w:r>
        <w:rPr>
          <w:vertAlign w:val="superscript"/>
        </w:rPr>
        <w:footnoteReference w:id="5"/>
      </w:r>
      <w:r>
        <w:t xml:space="preserve">.  </w:t>
      </w:r>
    </w:p>
    <w:p w14:paraId="0000000C" w14:textId="77777777" w:rsidR="00533B51" w:rsidRDefault="00533B51"/>
    <w:p w14:paraId="0000000D" w14:textId="77777777" w:rsidR="00533B51" w:rsidRDefault="00000000">
      <w:r>
        <w:t>Yet there is no specific strategy to respond to the needs of women of any age group in Aotearoa New Zealand’s strategic housing policies or plans despite their distinctive needs as women and, more often than not, despite the fact they have children who are also at risk of homelessness.</w:t>
      </w:r>
    </w:p>
    <w:p w14:paraId="0000000E" w14:textId="77777777" w:rsidR="00533B51" w:rsidRDefault="00533B51"/>
    <w:p w14:paraId="0000000F" w14:textId="77777777" w:rsidR="00533B51" w:rsidRDefault="00000000">
      <w:r>
        <w:lastRenderedPageBreak/>
        <w:t>This means the few housing organisations providing women’s housing are forced to fundraise for basic needs and support services in a system that does not have a funding model that works for women.</w:t>
      </w:r>
    </w:p>
    <w:p w14:paraId="00000010" w14:textId="77777777" w:rsidR="00533B51" w:rsidRDefault="00533B51"/>
    <w:p w14:paraId="00000011" w14:textId="77777777" w:rsidR="00533B51" w:rsidRDefault="00000000">
      <w:r>
        <w:t>The Coalition to End Women’s Homelessness</w:t>
      </w:r>
      <w:r>
        <w:rPr>
          <w:vertAlign w:val="superscript"/>
        </w:rPr>
        <w:footnoteReference w:id="6"/>
      </w:r>
      <w:r>
        <w:t xml:space="preserve"> formed in early 2023 to highlight this issue and advocate for the changes needed to ensure that all women have a great place to call home. We work across research and evidence, policy and funding, and advocacy. This CEDAW shadow report is based on our response to </w:t>
      </w:r>
      <w:r>
        <w:rPr>
          <w:b/>
        </w:rPr>
        <w:t>Articles 1 and 12.1.</w:t>
      </w:r>
    </w:p>
    <w:p w14:paraId="00000012" w14:textId="77777777" w:rsidR="00533B51" w:rsidRDefault="00533B51">
      <w:pPr>
        <w:spacing w:line="360" w:lineRule="auto"/>
      </w:pPr>
    </w:p>
    <w:p w14:paraId="00000013" w14:textId="77777777" w:rsidR="00533B51" w:rsidRDefault="00000000">
      <w:pPr>
        <w:spacing w:line="360" w:lineRule="auto"/>
      </w:pPr>
      <w:r>
        <w:rPr>
          <w:sz w:val="40"/>
          <w:szCs w:val="40"/>
        </w:rPr>
        <w:t xml:space="preserve">ARTICLE 1 - eliminate discrimination against women in all measures </w:t>
      </w:r>
    </w:p>
    <w:p w14:paraId="00000014" w14:textId="77777777" w:rsidR="00533B51" w:rsidRDefault="00000000">
      <w:pPr>
        <w:rPr>
          <w:i/>
        </w:rPr>
      </w:pPr>
      <w:r>
        <w:rPr>
          <w:i/>
        </w:rPr>
        <w:t>“Any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14:paraId="00000015" w14:textId="77777777" w:rsidR="00533B51" w:rsidRDefault="00533B51">
      <w:pPr>
        <w:rPr>
          <w:i/>
        </w:rPr>
      </w:pPr>
    </w:p>
    <w:p w14:paraId="00000016" w14:textId="77777777" w:rsidR="00533B51" w:rsidRDefault="00000000">
      <w:pPr>
        <w:rPr>
          <w:b/>
        </w:rPr>
      </w:pPr>
      <w:r>
        <w:t xml:space="preserve">It is difficult to quantify something that is so often invisible, but as the introduction highlights - tens of thousands of women are not experiencing their socio-economic fundamental freedoms. Rather, they are experiencing severe housing deprivation and </w:t>
      </w:r>
      <w:r>
        <w:rPr>
          <w:b/>
        </w:rPr>
        <w:t xml:space="preserve">the New Zealand Government has no policies, no action plan, no-ring fenced funding, and no publicly available gendered data on homelessness to respond. </w:t>
      </w:r>
    </w:p>
    <w:p w14:paraId="00000017" w14:textId="77777777" w:rsidR="00533B51" w:rsidRDefault="00000000">
      <w:pPr>
        <w:shd w:val="clear" w:color="auto" w:fill="FFFFFF"/>
        <w:spacing w:before="240" w:after="240"/>
        <w:rPr>
          <w:sz w:val="24"/>
          <w:szCs w:val="24"/>
        </w:rPr>
      </w:pPr>
      <w:r>
        <w:t>Every person’s experience is unique, but some common factors mean women are more at risk of being invisible</w:t>
      </w:r>
      <w:r>
        <w:rPr>
          <w:vertAlign w:val="superscript"/>
        </w:rPr>
        <w:footnoteReference w:id="7"/>
      </w:r>
      <w:r>
        <w:t>.</w:t>
      </w:r>
    </w:p>
    <w:p w14:paraId="00000018" w14:textId="77777777" w:rsidR="00533B51" w:rsidRDefault="00000000">
      <w:pPr>
        <w:shd w:val="clear" w:color="auto" w:fill="FFFFFF"/>
        <w:spacing w:before="240" w:after="240"/>
        <w:rPr>
          <w:sz w:val="24"/>
          <w:szCs w:val="24"/>
        </w:rPr>
      </w:pPr>
      <w:r>
        <w:t>The housing system has been designed for the 'norm' - which is usually a single man sleeping rough. In practice, this means we are funding beds per unit. Women always lose out in this scenario. Why?</w:t>
      </w:r>
    </w:p>
    <w:p w14:paraId="00000019" w14:textId="77777777" w:rsidR="00533B51" w:rsidRDefault="00000000">
      <w:pPr>
        <w:numPr>
          <w:ilvl w:val="0"/>
          <w:numId w:val="3"/>
        </w:numPr>
        <w:shd w:val="clear" w:color="auto" w:fill="FFFFFF"/>
        <w:spacing w:before="240"/>
      </w:pPr>
      <w:r>
        <w:t xml:space="preserve">Because, as research by Dr. Brodie. Fraser from </w:t>
      </w:r>
      <w:proofErr w:type="spellStart"/>
      <w:r>
        <w:t>He</w:t>
      </w:r>
      <w:proofErr w:type="spellEnd"/>
      <w:r>
        <w:t xml:space="preserve"> </w:t>
      </w:r>
      <w:proofErr w:type="spellStart"/>
      <w:r>
        <w:t>Kāinga</w:t>
      </w:r>
      <w:proofErr w:type="spellEnd"/>
      <w:r>
        <w:t xml:space="preserve"> Oranga / University of Otago’s Health and Housing Research Centre shows</w:t>
      </w:r>
      <w:r>
        <w:rPr>
          <w:vertAlign w:val="superscript"/>
        </w:rPr>
        <w:footnoteReference w:id="8"/>
      </w:r>
      <w:r>
        <w:t xml:space="preserve">, they are </w:t>
      </w:r>
      <w:r>
        <w:rPr>
          <w:b/>
        </w:rPr>
        <w:t>more likely to have caregiving responsibilities</w:t>
      </w:r>
      <w:r>
        <w:t>, and so need a different type of flexibility, a different level of privacy, and a different approach to health and wellbeing support services than the single bed night approach to funding for emergency and transitional housing enables.</w:t>
      </w:r>
    </w:p>
    <w:p w14:paraId="0000001A" w14:textId="77777777" w:rsidR="00533B51" w:rsidRDefault="00000000">
      <w:pPr>
        <w:numPr>
          <w:ilvl w:val="0"/>
          <w:numId w:val="3"/>
        </w:numPr>
        <w:shd w:val="clear" w:color="auto" w:fill="FFFFFF"/>
        <w:rPr>
          <w:sz w:val="20"/>
          <w:szCs w:val="20"/>
        </w:rPr>
      </w:pPr>
      <w:r>
        <w:t xml:space="preserve">Without any funding ring-fenced for women-only housing and support services, there are </w:t>
      </w:r>
      <w:r>
        <w:rPr>
          <w:b/>
        </w:rPr>
        <w:t>not enough places for women to go where they feel safe</w:t>
      </w:r>
      <w:r>
        <w:t xml:space="preserve"> as most will avoid the street </w:t>
      </w:r>
      <w:r>
        <w:lastRenderedPageBreak/>
        <w:t>as much as possible. So, many women return to abusive relationships or couch surf in unsafe places as their only alternative. There are no systems in place to monitor and report on this type of homelessness, meaning it is hidden from decision-makers and people designing funding and intervention programs.</w:t>
      </w:r>
    </w:p>
    <w:p w14:paraId="0000001B" w14:textId="77777777" w:rsidR="00533B51" w:rsidRDefault="00000000">
      <w:pPr>
        <w:numPr>
          <w:ilvl w:val="0"/>
          <w:numId w:val="3"/>
        </w:numPr>
        <w:shd w:val="clear" w:color="auto" w:fill="FFFFFF"/>
        <w:spacing w:after="240"/>
        <w:rPr>
          <w:sz w:val="20"/>
          <w:szCs w:val="20"/>
        </w:rPr>
      </w:pPr>
      <w:r>
        <w:rPr>
          <w:b/>
        </w:rPr>
        <w:t>Insecure tenure - or the risk of getting kicked out of a rental - is a higher risk for women, especially older women</w:t>
      </w:r>
      <w:r>
        <w:t>. This is because older women are more likely to have financial insecurity</w:t>
      </w:r>
      <w:r>
        <w:rPr>
          <w:vertAlign w:val="superscript"/>
        </w:rPr>
        <w:footnoteReference w:id="9"/>
      </w:r>
      <w:r>
        <w:t xml:space="preserve"> at the end of their lives and cannot absorb the shock of a squeezed and expensive rental market</w:t>
      </w:r>
      <w:r>
        <w:rPr>
          <w:vertAlign w:val="superscript"/>
        </w:rPr>
        <w:footnoteReference w:id="10"/>
      </w:r>
      <w:r>
        <w:t xml:space="preserve"> (see more on this in the below analysis on Article 12.1). Aotearoa New Zealand is not alone in this - the disproportionate impact of insecure tenure on women is something that has been identified by the UN Special Rapporteur on Adequate Housing as being a worldwide phenomenon</w:t>
      </w:r>
      <w:r>
        <w:rPr>
          <w:vertAlign w:val="superscript"/>
        </w:rPr>
        <w:footnoteReference w:id="11"/>
      </w:r>
      <w:r>
        <w:t>.</w:t>
      </w:r>
    </w:p>
    <w:p w14:paraId="0000001C" w14:textId="77777777" w:rsidR="00533B51" w:rsidRDefault="00000000">
      <w:r>
        <w:t xml:space="preserve">Over and above all of this is our history of </w:t>
      </w:r>
      <w:proofErr w:type="spellStart"/>
      <w:r>
        <w:t>colonisation</w:t>
      </w:r>
      <w:proofErr w:type="spellEnd"/>
      <w:r>
        <w:t xml:space="preserve"> and the deep-rooted impact this has had on </w:t>
      </w:r>
      <w:proofErr w:type="spellStart"/>
      <w:r>
        <w:t>wāhine</w:t>
      </w:r>
      <w:proofErr w:type="spellEnd"/>
      <w:r>
        <w:t xml:space="preserve"> Māori / Māori women, whānau Māori / Māori families and </w:t>
      </w:r>
      <w:proofErr w:type="spellStart"/>
      <w:r>
        <w:t>hapori</w:t>
      </w:r>
      <w:proofErr w:type="spellEnd"/>
      <w:r>
        <w:t xml:space="preserve"> Māori / Māori communities. We share in common with many other countries the disproportionate impacts of housing deprivation on indigenous communities and </w:t>
      </w:r>
      <w:proofErr w:type="spellStart"/>
      <w:r>
        <w:t>wāhine</w:t>
      </w:r>
      <w:proofErr w:type="spellEnd"/>
      <w:r>
        <w:t xml:space="preserve"> Māori have been particularly impacted by our histories of </w:t>
      </w:r>
      <w:proofErr w:type="spellStart"/>
      <w:r>
        <w:t>colonisation</w:t>
      </w:r>
      <w:proofErr w:type="spellEnd"/>
      <w:r>
        <w:t xml:space="preserve">. </w:t>
      </w:r>
    </w:p>
    <w:p w14:paraId="0000001D" w14:textId="77777777" w:rsidR="00533B51" w:rsidRDefault="00533B51"/>
    <w:p w14:paraId="0000001E" w14:textId="77777777" w:rsidR="00533B51" w:rsidRDefault="00000000">
      <w:r>
        <w:t xml:space="preserve">For Māori, </w:t>
      </w:r>
      <w:r>
        <w:rPr>
          <w:b/>
        </w:rPr>
        <w:t xml:space="preserve">women are </w:t>
      </w:r>
      <w:proofErr w:type="spellStart"/>
      <w:r>
        <w:rPr>
          <w:b/>
        </w:rPr>
        <w:t>whare</w:t>
      </w:r>
      <w:proofErr w:type="spellEnd"/>
      <w:r>
        <w:rPr>
          <w:b/>
        </w:rPr>
        <w:t xml:space="preserve"> tangata - the house of the people or the house of humanity</w:t>
      </w:r>
      <w:r>
        <w:t xml:space="preserve">. They are sacred and central to life and the life force that connects us all. Yet, so many are identified as “homeless” on the whenua / land from which their culture took root and grew over thousands of years. </w:t>
      </w:r>
      <w:proofErr w:type="gramStart"/>
      <w:r>
        <w:t>Therefore,  while</w:t>
      </w:r>
      <w:proofErr w:type="gramEnd"/>
      <w:r>
        <w:t xml:space="preserve"> we use the commonly understood language, we want to </w:t>
      </w:r>
      <w:proofErr w:type="spellStart"/>
      <w:r>
        <w:t>emphasise</w:t>
      </w:r>
      <w:proofErr w:type="spellEnd"/>
      <w:r>
        <w:t xml:space="preserve"> that Aotearoa is home for Māori and for </w:t>
      </w:r>
      <w:proofErr w:type="spellStart"/>
      <w:r>
        <w:t>wāhine</w:t>
      </w:r>
      <w:proofErr w:type="spellEnd"/>
      <w:r>
        <w:t xml:space="preserve"> Māori the state of homelessness is in so many ways a failure of the state and its systems - they are therefore not without a home in Aotearoa but live unhoused by a state that has not protected their rights. </w:t>
      </w:r>
    </w:p>
    <w:p w14:paraId="0000001F" w14:textId="77777777" w:rsidR="00533B51" w:rsidRDefault="00533B51"/>
    <w:p w14:paraId="00000020" w14:textId="77777777" w:rsidR="00533B51" w:rsidRDefault="00000000">
      <w:r>
        <w:t>As noted in a recent article by Ani Mikaere</w:t>
      </w:r>
      <w:r>
        <w:rPr>
          <w:vertAlign w:val="superscript"/>
        </w:rPr>
        <w:footnoteReference w:id="12"/>
      </w:r>
      <w:r>
        <w:t xml:space="preserve"> on the ‘Mana Wāhine Kaupapa Inquiry’</w:t>
      </w:r>
      <w:r>
        <w:rPr>
          <w:vertAlign w:val="superscript"/>
        </w:rPr>
        <w:footnoteReference w:id="13"/>
      </w:r>
      <w:r>
        <w:t xml:space="preserve"> currently in front of the Waitangi Tribunal:</w:t>
      </w:r>
    </w:p>
    <w:p w14:paraId="00000021" w14:textId="77777777" w:rsidR="00533B51" w:rsidRDefault="00533B51"/>
    <w:p w14:paraId="00000022" w14:textId="77777777" w:rsidR="00533B51" w:rsidRDefault="00000000">
      <w:pPr>
        <w:ind w:left="720"/>
        <w:rPr>
          <w:i/>
        </w:rPr>
      </w:pPr>
      <w:r>
        <w:rPr>
          <w:i/>
        </w:rPr>
        <w:t xml:space="preserve">“Often isolated from the support of whānau, both physically and culturally, Māori women are particularly vulnerable to overwork, ill-health, and domestic violence. And public </w:t>
      </w:r>
      <w:proofErr w:type="spellStart"/>
      <w:r>
        <w:rPr>
          <w:i/>
        </w:rPr>
        <w:t>characterisation</w:t>
      </w:r>
      <w:proofErr w:type="spellEnd"/>
      <w:r>
        <w:rPr>
          <w:i/>
        </w:rPr>
        <w:t xml:space="preserve"> of these problems is frequently unhelpful, viewed through the simplistic, distorting lens of racism.”</w:t>
      </w:r>
      <w:r>
        <w:rPr>
          <w:i/>
          <w:vertAlign w:val="superscript"/>
        </w:rPr>
        <w:footnoteReference w:id="14"/>
      </w:r>
    </w:p>
    <w:p w14:paraId="00000023" w14:textId="77777777" w:rsidR="00533B51" w:rsidRDefault="00533B51"/>
    <w:p w14:paraId="00000024" w14:textId="77777777" w:rsidR="00533B51" w:rsidRDefault="00000000">
      <w:r>
        <w:t xml:space="preserve">The most damning example of this was the 24 July </w:t>
      </w:r>
      <w:proofErr w:type="gramStart"/>
      <w:r>
        <w:t>2024  publication</w:t>
      </w:r>
      <w:proofErr w:type="gramEnd"/>
      <w:r>
        <w:t xml:space="preserve"> of </w:t>
      </w:r>
      <w:proofErr w:type="spellStart"/>
      <w:r>
        <w:t>Whanaketia</w:t>
      </w:r>
      <w:proofErr w:type="spellEnd"/>
      <w:r>
        <w:t>, the Abuse in State Care Inquiry report</w:t>
      </w:r>
      <w:r>
        <w:rPr>
          <w:vertAlign w:val="superscript"/>
        </w:rPr>
        <w:footnoteReference w:id="15"/>
      </w:r>
      <w:r>
        <w:t xml:space="preserve">, which was presented to Parliament after five years of investigation by a Royal Commission. The headline numbers are large and distressing - of the </w:t>
      </w:r>
      <w:r>
        <w:lastRenderedPageBreak/>
        <w:t xml:space="preserve">approximately 655,000 children, young people and adults in care from 1950 to 2019, it is estimated that up to 256,000 were abused and neglected.  </w:t>
      </w:r>
    </w:p>
    <w:p w14:paraId="00000025" w14:textId="77777777" w:rsidR="00533B51" w:rsidRDefault="00533B51"/>
    <w:p w14:paraId="00000026" w14:textId="77777777" w:rsidR="00533B51" w:rsidRDefault="00000000">
      <w:r>
        <w:t xml:space="preserve">Many of these were Māori, with the summary of findings concluding: </w:t>
      </w:r>
    </w:p>
    <w:p w14:paraId="00000027" w14:textId="77777777" w:rsidR="00533B51" w:rsidRDefault="00533B51">
      <w:pPr>
        <w:rPr>
          <w:i/>
        </w:rPr>
      </w:pPr>
    </w:p>
    <w:p w14:paraId="00000028" w14:textId="77777777" w:rsidR="00533B51" w:rsidRDefault="00000000">
      <w:pPr>
        <w:ind w:left="720"/>
        <w:rPr>
          <w:i/>
        </w:rPr>
      </w:pPr>
      <w:r>
        <w:rPr>
          <w:i/>
        </w:rPr>
        <w:t>“</w:t>
      </w:r>
      <w:r>
        <w:rPr>
          <w:i/>
          <w:color w:val="001C2E"/>
          <w:highlight w:val="white"/>
        </w:rPr>
        <w:t xml:space="preserve">The effects of </w:t>
      </w:r>
      <w:proofErr w:type="spellStart"/>
      <w:r>
        <w:rPr>
          <w:i/>
          <w:color w:val="001C2E"/>
          <w:highlight w:val="white"/>
        </w:rPr>
        <w:t>colonisation</w:t>
      </w:r>
      <w:proofErr w:type="spellEnd"/>
      <w:r>
        <w:rPr>
          <w:i/>
          <w:color w:val="001C2E"/>
          <w:highlight w:val="white"/>
        </w:rPr>
        <w:t xml:space="preserve">, </w:t>
      </w:r>
      <w:proofErr w:type="spellStart"/>
      <w:r>
        <w:rPr>
          <w:i/>
          <w:color w:val="001C2E"/>
          <w:highlight w:val="white"/>
        </w:rPr>
        <w:t>urbanisation</w:t>
      </w:r>
      <w:proofErr w:type="spellEnd"/>
      <w:r>
        <w:rPr>
          <w:i/>
          <w:color w:val="001C2E"/>
          <w:highlight w:val="white"/>
        </w:rPr>
        <w:t>, the break-down of social structures, and racism saw Māori more likely to be placed in State care.”</w:t>
      </w:r>
      <w:r>
        <w:rPr>
          <w:i/>
          <w:color w:val="001C2E"/>
          <w:highlight w:val="white"/>
          <w:vertAlign w:val="superscript"/>
        </w:rPr>
        <w:footnoteReference w:id="16"/>
      </w:r>
    </w:p>
    <w:p w14:paraId="00000029" w14:textId="77777777" w:rsidR="00533B51" w:rsidRDefault="00533B51"/>
    <w:p w14:paraId="0000002A" w14:textId="77777777" w:rsidR="00533B51" w:rsidRDefault="00000000">
      <w:r>
        <w:t xml:space="preserve">And many were girls and women, as the summary report on women and </w:t>
      </w:r>
      <w:proofErr w:type="gramStart"/>
      <w:r>
        <w:t>girls</w:t>
      </w:r>
      <w:proofErr w:type="gramEnd"/>
      <w:r>
        <w:t xml:space="preserve"> notes: </w:t>
      </w:r>
    </w:p>
    <w:p w14:paraId="0000002B" w14:textId="77777777" w:rsidR="00533B51" w:rsidRDefault="00533B51"/>
    <w:p w14:paraId="0000002C" w14:textId="77777777" w:rsidR="00533B51" w:rsidRDefault="00000000">
      <w:pPr>
        <w:ind w:left="720"/>
        <w:rPr>
          <w:i/>
        </w:rPr>
      </w:pPr>
      <w:r>
        <w:rPr>
          <w:i/>
        </w:rPr>
        <w:t xml:space="preserve">“Women and girls who were living in poverty, were Māori, Pacific, </w:t>
      </w:r>
      <w:proofErr w:type="spellStart"/>
      <w:r>
        <w:rPr>
          <w:i/>
        </w:rPr>
        <w:t>Takatāpui</w:t>
      </w:r>
      <w:proofErr w:type="spellEnd"/>
      <w:r>
        <w:rPr>
          <w:i/>
        </w:rPr>
        <w:t xml:space="preserve">, Rainbow or MVPFAFF+, Deaf, disabled or experiencing mental distress, had experienced adverse childhood events, and / or had a deferential attitude to people in positions of authority, were more likely to be placed in care, and to be abused and neglected while in care. Women and girls who were, or experienced, multiple combinations of these factors were at higher risk.” </w:t>
      </w:r>
      <w:r>
        <w:rPr>
          <w:i/>
          <w:vertAlign w:val="superscript"/>
        </w:rPr>
        <w:footnoteReference w:id="17"/>
      </w:r>
    </w:p>
    <w:p w14:paraId="0000002D" w14:textId="77777777" w:rsidR="00533B51" w:rsidRDefault="00533B51">
      <w:pPr>
        <w:rPr>
          <w:i/>
        </w:rPr>
      </w:pPr>
    </w:p>
    <w:p w14:paraId="0000002E" w14:textId="77777777" w:rsidR="00533B51" w:rsidRDefault="00000000">
      <w:r>
        <w:t xml:space="preserve">A further example is research recently published by Te </w:t>
      </w:r>
      <w:proofErr w:type="spellStart"/>
      <w:r>
        <w:t>Whāriki</w:t>
      </w:r>
      <w:proofErr w:type="spellEnd"/>
      <w:r>
        <w:t xml:space="preserve"> </w:t>
      </w:r>
      <w:proofErr w:type="spellStart"/>
      <w:r>
        <w:t>Manawāhine</w:t>
      </w:r>
      <w:proofErr w:type="spellEnd"/>
      <w:r>
        <w:t xml:space="preserve"> o Hauraki - Hauraki Women's Refuge, He Whare, He Taonga</w:t>
      </w:r>
      <w:r>
        <w:rPr>
          <w:vertAlign w:val="superscript"/>
        </w:rPr>
        <w:footnoteReference w:id="18"/>
      </w:r>
      <w:r>
        <w:t xml:space="preserve">, that shows the intimate connection between domestic violence and housing poverty for Māori women in rural Hauraki, with the research finding multiple times that state intervention failed to uphold the rights of </w:t>
      </w:r>
      <w:proofErr w:type="spellStart"/>
      <w:r>
        <w:t>wāhine</w:t>
      </w:r>
      <w:proofErr w:type="spellEnd"/>
      <w:r>
        <w:t xml:space="preserve"> Māori:</w:t>
      </w:r>
    </w:p>
    <w:p w14:paraId="0000002F" w14:textId="77777777" w:rsidR="00533B51" w:rsidRDefault="00533B51">
      <w:pPr>
        <w:rPr>
          <w:i/>
        </w:rPr>
      </w:pPr>
    </w:p>
    <w:p w14:paraId="00000030" w14:textId="77777777" w:rsidR="00533B51" w:rsidRDefault="00000000">
      <w:pPr>
        <w:ind w:left="720"/>
        <w:rPr>
          <w:i/>
        </w:rPr>
      </w:pPr>
      <w:r>
        <w:rPr>
          <w:i/>
        </w:rPr>
        <w:t>“They told researchers they feared their tamariki would be uplifted by state agencies, recounted an increase of violence during the Covid-19 pandemic and Cyclone Gabrielle, and said they had to sleep in cars with multiple children.”</w:t>
      </w:r>
      <w:r>
        <w:rPr>
          <w:i/>
          <w:vertAlign w:val="superscript"/>
        </w:rPr>
        <w:footnoteReference w:id="19"/>
      </w:r>
    </w:p>
    <w:p w14:paraId="00000031" w14:textId="77777777" w:rsidR="00533B51" w:rsidRDefault="00533B51"/>
    <w:p w14:paraId="00000032" w14:textId="77777777" w:rsidR="00533B51" w:rsidRDefault="00000000">
      <w:r>
        <w:t xml:space="preserve">It is therefore the position of the Coalition to End Women’s Homelessness that our housing policies must therefore take an intersectional approach to the experiences of women - with a focus on redress for </w:t>
      </w:r>
      <w:proofErr w:type="spellStart"/>
      <w:r>
        <w:t>wāhine</w:t>
      </w:r>
      <w:proofErr w:type="spellEnd"/>
      <w:r>
        <w:t xml:space="preserve"> Māori. </w:t>
      </w:r>
    </w:p>
    <w:p w14:paraId="00000033" w14:textId="77777777" w:rsidR="00533B51" w:rsidRDefault="00533B51">
      <w:pPr>
        <w:spacing w:line="360" w:lineRule="auto"/>
        <w:rPr>
          <w:sz w:val="40"/>
          <w:szCs w:val="40"/>
        </w:rPr>
      </w:pPr>
    </w:p>
    <w:p w14:paraId="00000034" w14:textId="77777777" w:rsidR="00533B51" w:rsidRDefault="00000000">
      <w:pPr>
        <w:spacing w:line="360" w:lineRule="auto"/>
        <w:rPr>
          <w:sz w:val="40"/>
          <w:szCs w:val="40"/>
        </w:rPr>
      </w:pPr>
      <w:r>
        <w:rPr>
          <w:sz w:val="40"/>
          <w:szCs w:val="40"/>
        </w:rPr>
        <w:t xml:space="preserve">ARTICLE 12 - eliminate discrimination against women in their access to healthcare </w:t>
      </w:r>
    </w:p>
    <w:p w14:paraId="00000035" w14:textId="77777777" w:rsidR="00533B51" w:rsidRDefault="00000000">
      <w:pPr>
        <w:spacing w:before="280" w:after="280"/>
        <w:rPr>
          <w:i/>
        </w:rPr>
      </w:pPr>
      <w:r>
        <w:rPr>
          <w:i/>
        </w:rPr>
        <w:lastRenderedPageBreak/>
        <w:t xml:space="preserve">“1. States Parties shall take all appropriate measures to eliminate discrimination </w:t>
      </w:r>
      <w:r>
        <w:rPr>
          <w:b/>
          <w:i/>
        </w:rPr>
        <w:t xml:space="preserve">against women in the field of health care in order to ensure, on a basis of equality of men and women, </w:t>
      </w:r>
      <w:r>
        <w:rPr>
          <w:i/>
        </w:rPr>
        <w:t xml:space="preserve">access to health care services, including those related to family </w:t>
      </w:r>
      <w:proofErr w:type="gramStart"/>
      <w:r>
        <w:rPr>
          <w:i/>
        </w:rPr>
        <w:t>planning.“</w:t>
      </w:r>
      <w:proofErr w:type="gramEnd"/>
    </w:p>
    <w:p w14:paraId="00000036" w14:textId="77777777" w:rsidR="00533B51" w:rsidRDefault="00000000">
      <w:pPr>
        <w:spacing w:before="280" w:after="280"/>
      </w:pPr>
      <w:r>
        <w:t>A house is not just a home, it is also the basis of health and wellbeing. In Aotearoa-New Zealand, the most glaring failure of the government to take all appropriate measures to discriminate against women in the field of healthcare is becoming increasingly apparent in our retirement trajectory.</w:t>
      </w:r>
      <w:r>
        <w:rPr>
          <w:vertAlign w:val="superscript"/>
        </w:rPr>
        <w:footnoteReference w:id="20"/>
      </w:r>
      <w:r>
        <w:t xml:space="preserve"> </w:t>
      </w:r>
    </w:p>
    <w:p w14:paraId="00000037" w14:textId="77777777" w:rsidR="00533B51" w:rsidRDefault="00000000">
      <w:pPr>
        <w:shd w:val="clear" w:color="auto" w:fill="FFFFFF"/>
        <w:spacing w:after="240"/>
      </w:pPr>
      <w:r>
        <w:t>The growth in the social housing register, or the waitlist for state housing, has been well-documented in recent years and sits at around 222, 563 people</w:t>
      </w:r>
      <w:r>
        <w:rPr>
          <w:vertAlign w:val="superscript"/>
        </w:rPr>
        <w:footnoteReference w:id="21"/>
      </w:r>
      <w:r>
        <w:t xml:space="preserve"> as at the time of writing. </w:t>
      </w:r>
    </w:p>
    <w:p w14:paraId="00000038" w14:textId="77777777" w:rsidR="00533B51" w:rsidRDefault="00000000">
      <w:pPr>
        <w:shd w:val="clear" w:color="auto" w:fill="FFFFFF"/>
        <w:spacing w:before="240" w:after="240"/>
      </w:pPr>
      <w:r>
        <w:t xml:space="preserve">There are many things that stand out about the housing register aside from its rapid escalation, including that 48 percent of applicants are Māori and nearly 1/3rd of all applicants </w:t>
      </w:r>
      <w:proofErr w:type="gramStart"/>
      <w:r>
        <w:t>are</w:t>
      </w:r>
      <w:proofErr w:type="gramEnd"/>
      <w:r>
        <w:t xml:space="preserve"> in Tāmaki Makaurau-Auckland</w:t>
      </w:r>
      <w:r>
        <w:rPr>
          <w:vertAlign w:val="superscript"/>
        </w:rPr>
        <w:footnoteReference w:id="22"/>
      </w:r>
      <w:r>
        <w:t>.</w:t>
      </w:r>
    </w:p>
    <w:p w14:paraId="00000039" w14:textId="77777777" w:rsidR="00533B51" w:rsidRDefault="00000000">
      <w:pPr>
        <w:shd w:val="clear" w:color="auto" w:fill="FFFFFF"/>
        <w:spacing w:before="240" w:after="240"/>
      </w:pPr>
      <w:r>
        <w:t>What is not immediately apparent is the large number of seniors aged 65 years and over on the waitlist - nearly 3000 according to data from the Ministry of Social Development</w:t>
      </w:r>
      <w:r>
        <w:rPr>
          <w:vertAlign w:val="superscript"/>
        </w:rPr>
        <w:footnoteReference w:id="23"/>
      </w:r>
      <w:r>
        <w:t>. That’s up from 800 in 2018.</w:t>
      </w:r>
    </w:p>
    <w:p w14:paraId="0000003A" w14:textId="77777777" w:rsidR="00533B51" w:rsidRDefault="00000000">
      <w:pPr>
        <w:shd w:val="clear" w:color="auto" w:fill="FFFFFF"/>
        <w:spacing w:before="240" w:after="240"/>
      </w:pPr>
      <w:r>
        <w:t xml:space="preserve">What is not visible at all in the official statistics is the number of older </w:t>
      </w:r>
      <w:r>
        <w:rPr>
          <w:i/>
        </w:rPr>
        <w:t>women.</w:t>
      </w:r>
      <w:r>
        <w:t xml:space="preserve"> There is no official data on homelessness broken down by gender being tracked.</w:t>
      </w:r>
    </w:p>
    <w:p w14:paraId="0000003B" w14:textId="77777777" w:rsidR="00533B51" w:rsidRDefault="00000000">
      <w:pPr>
        <w:shd w:val="clear" w:color="auto" w:fill="FFFFFF"/>
        <w:spacing w:before="240"/>
      </w:pPr>
      <w:r>
        <w:t>Even so, we know that our older women are one of the most at-risk groups when it comes to homelessness.</w:t>
      </w:r>
    </w:p>
    <w:p w14:paraId="0000003C" w14:textId="77777777" w:rsidR="00533B51" w:rsidRDefault="00000000">
      <w:pPr>
        <w:shd w:val="clear" w:color="auto" w:fill="FFFFFF"/>
        <w:spacing w:before="240" w:after="240"/>
      </w:pPr>
      <w:r>
        <w:t>Ageing Well National Science Challenge</w:t>
      </w:r>
      <w:r>
        <w:rPr>
          <w:vertAlign w:val="superscript"/>
        </w:rPr>
        <w:footnoteReference w:id="24"/>
      </w:r>
      <w:r>
        <w:t xml:space="preserve"> research shows that homelessness amongst older people is increasing faster than in other age groups - with 1/6th of their research respondents having experienced homelessness in the last five years</w:t>
      </w:r>
      <w:r>
        <w:rPr>
          <w:vertAlign w:val="superscript"/>
        </w:rPr>
        <w:footnoteReference w:id="25"/>
      </w:r>
      <w:r>
        <w:t>, resorting to couch-surfing with friends and relatives or even living in their cars.</w:t>
      </w:r>
    </w:p>
    <w:p w14:paraId="0000003D" w14:textId="77777777" w:rsidR="00533B51" w:rsidRDefault="00000000">
      <w:pPr>
        <w:shd w:val="clear" w:color="auto" w:fill="FFFFFF"/>
        <w:spacing w:before="240" w:after="240"/>
      </w:pPr>
      <w:r>
        <w:t>Tenure insecurity, or the risk of being moved on from or being unable to afford a rental - is at the heart of this rapid growth. Other factors include relationship breakdowns, property sale after separation, and limited affordable and accessible housing options, especially for older, single people.</w:t>
      </w:r>
    </w:p>
    <w:p w14:paraId="0000003E" w14:textId="77777777" w:rsidR="00533B51" w:rsidRDefault="00000000">
      <w:pPr>
        <w:shd w:val="clear" w:color="auto" w:fill="FFFFFF"/>
        <w:spacing w:before="240" w:after="240"/>
      </w:pPr>
      <w:r>
        <w:lastRenderedPageBreak/>
        <w:t>When we put the gender lens on this, the pay gap that women experience throughout their lives means that they are even more at risk in precarious and unaffordable renting situations, or as the Retirement Commission puts it:</w:t>
      </w:r>
    </w:p>
    <w:p w14:paraId="0000003F" w14:textId="77777777" w:rsidR="00533B51" w:rsidRDefault="00000000">
      <w:pPr>
        <w:spacing w:before="240" w:after="240"/>
        <w:ind w:left="600" w:right="600"/>
        <w:rPr>
          <w:i/>
          <w:highlight w:val="white"/>
        </w:rPr>
      </w:pPr>
      <w:r>
        <w:rPr>
          <w:highlight w:val="white"/>
        </w:rPr>
        <w:t>“</w:t>
      </w:r>
      <w:r>
        <w:rPr>
          <w:i/>
          <w:highlight w:val="white"/>
        </w:rPr>
        <w:t>The impact of working part-time, gender bias and gender pay gaps disadvantage women and are reflected in KiwiSaver balances at 65 years old.”</w:t>
      </w:r>
      <w:r>
        <w:rPr>
          <w:i/>
          <w:highlight w:val="white"/>
          <w:vertAlign w:val="superscript"/>
        </w:rPr>
        <w:footnoteReference w:id="26"/>
      </w:r>
    </w:p>
    <w:p w14:paraId="00000040" w14:textId="77777777" w:rsidR="00533B51" w:rsidRDefault="00000000">
      <w:pPr>
        <w:shd w:val="clear" w:color="auto" w:fill="FFFFFF"/>
        <w:spacing w:before="240" w:after="240"/>
      </w:pPr>
      <w:r>
        <w:t xml:space="preserve">The gender pay gap becomes the retirement financial wellbeing gap becomes the gap in being assured of a safe, affordable, accessible home. When we overlay ethnicity on this, we see that Māori and Pacific women are at even more significant disadvantage when it comes to retirement - putting them at even greater risk of housing precarity and homelessness. </w:t>
      </w:r>
    </w:p>
    <w:p w14:paraId="00000041" w14:textId="77777777" w:rsidR="00533B51" w:rsidRDefault="00000000">
      <w:pPr>
        <w:shd w:val="clear" w:color="auto" w:fill="FFFFFF"/>
        <w:spacing w:before="240" w:after="240"/>
      </w:pPr>
      <w:r>
        <w:t>The Ministry for Women notes that at as at September 2023:</w:t>
      </w:r>
    </w:p>
    <w:p w14:paraId="00000042" w14:textId="77777777" w:rsidR="00533B51" w:rsidRDefault="00000000">
      <w:pPr>
        <w:shd w:val="clear" w:color="auto" w:fill="FFFFFF"/>
        <w:spacing w:before="240" w:after="240"/>
        <w:ind w:left="720"/>
        <w:rPr>
          <w:i/>
        </w:rPr>
      </w:pPr>
      <w:r>
        <w:rPr>
          <w:i/>
        </w:rPr>
        <w:t xml:space="preserve">“Median hourly earnings for all women in Aotearoa-New Zealand are currently $30.15 compared to $33.00 for all men. European/Pākehā women had median hourly earnings of $31.50, but by comparison, Asian women earned $29.00, </w:t>
      </w:r>
      <w:proofErr w:type="spellStart"/>
      <w:r>
        <w:rPr>
          <w:b/>
          <w:i/>
        </w:rPr>
        <w:t>wāhine</w:t>
      </w:r>
      <w:proofErr w:type="spellEnd"/>
      <w:r>
        <w:rPr>
          <w:b/>
          <w:i/>
        </w:rPr>
        <w:t xml:space="preserve"> Māori earned $28.29, and Pacific women earned $28.00.</w:t>
      </w:r>
      <w:r>
        <w:rPr>
          <w:i/>
        </w:rPr>
        <w:t>”</w:t>
      </w:r>
      <w:r>
        <w:rPr>
          <w:i/>
          <w:vertAlign w:val="superscript"/>
        </w:rPr>
        <w:footnoteReference w:id="27"/>
      </w:r>
    </w:p>
    <w:p w14:paraId="00000043" w14:textId="77777777" w:rsidR="00533B51" w:rsidRDefault="00000000">
      <w:pPr>
        <w:shd w:val="clear" w:color="auto" w:fill="FFFFFF"/>
        <w:spacing w:before="240" w:after="240"/>
      </w:pPr>
      <w:r>
        <w:t>Finally, women are also more likely to outlive male partners, meaning they are often on their own financially.</w:t>
      </w:r>
    </w:p>
    <w:p w14:paraId="00000044" w14:textId="77777777" w:rsidR="00533B51" w:rsidRDefault="00000000">
      <w:pPr>
        <w:shd w:val="clear" w:color="auto" w:fill="FFFFFF"/>
        <w:spacing w:before="240" w:after="240"/>
        <w:rPr>
          <w:i/>
        </w:rPr>
      </w:pPr>
      <w:r>
        <w:t>This financial situation compounds the difficulty of finding - or staying - in home that is up to scratch when it comes to accessibility</w:t>
      </w:r>
      <w:r>
        <w:rPr>
          <w:vertAlign w:val="superscript"/>
        </w:rPr>
        <w:footnoteReference w:id="28"/>
      </w:r>
      <w:r>
        <w:t xml:space="preserve"> and often robs older women of the option of ageing in place in their chosen community</w:t>
      </w:r>
      <w:r>
        <w:rPr>
          <w:vertAlign w:val="superscript"/>
        </w:rPr>
        <w:footnoteReference w:id="29"/>
      </w:r>
      <w:r>
        <w:t>.</w:t>
      </w:r>
    </w:p>
    <w:p w14:paraId="00000045" w14:textId="77777777" w:rsidR="00533B51" w:rsidRDefault="00000000">
      <w:pPr>
        <w:shd w:val="clear" w:color="auto" w:fill="FFFFFF"/>
        <w:spacing w:before="240" w:after="240"/>
      </w:pPr>
      <w:r>
        <w:t>As a recent article in the NZ Listener</w:t>
      </w:r>
      <w:r>
        <w:rPr>
          <w:vertAlign w:val="superscript"/>
        </w:rPr>
        <w:footnoteReference w:id="30"/>
      </w:r>
      <w:r>
        <w:t xml:space="preserve"> stated - </w:t>
      </w:r>
      <w:r>
        <w:rPr>
          <w:i/>
        </w:rPr>
        <w:t>“budget food and a cold rental</w:t>
      </w:r>
      <w:r>
        <w:t xml:space="preserve">” is now the retirement reality for many women in Aotearoa New Zealand. </w:t>
      </w:r>
    </w:p>
    <w:p w14:paraId="00000046" w14:textId="77777777" w:rsidR="00533B51" w:rsidRDefault="00000000">
      <w:pPr>
        <w:shd w:val="clear" w:color="auto" w:fill="FFFFFF"/>
        <w:spacing w:before="280"/>
      </w:pPr>
      <w:r>
        <w:rPr>
          <w:b/>
        </w:rPr>
        <w:t>Social isolation and health impacts</w:t>
      </w:r>
    </w:p>
    <w:p w14:paraId="00000047" w14:textId="77777777" w:rsidR="00533B51" w:rsidRDefault="00000000">
      <w:pPr>
        <w:shd w:val="clear" w:color="auto" w:fill="FFFFFF"/>
        <w:spacing w:before="240" w:after="240"/>
      </w:pPr>
      <w:r>
        <w:t xml:space="preserve">Social isolation, compounded by housing insecurity and homelessness, can lead to negative health impacts on older women. The absence of a stable and supportive social network further exacerbates mental health issues, leading to heightened stress, anxiety, and depression. The intersection of these challenges creates a precarious situation where individuals find themselves not only grappling with the physical hardships of poor housing or homelessness but also experiencing social isolation. </w:t>
      </w:r>
    </w:p>
    <w:p w14:paraId="00000048" w14:textId="77777777" w:rsidR="00533B51" w:rsidRDefault="00000000">
      <w:pPr>
        <w:shd w:val="clear" w:color="auto" w:fill="FFFFFF"/>
        <w:spacing w:before="240" w:after="240"/>
        <w:rPr>
          <w:b/>
        </w:rPr>
      </w:pPr>
      <w:r>
        <w:lastRenderedPageBreak/>
        <w:t>In addition, older women experiencing housing insecurity often lack the stability necessary for maintaining consistent healthcare. The lack of proper nutrition for those couch surfing, sleeping in their cars or sleeping rough also contributes to declining health. Overall, the confluence of social isolation and housing insecurity among older women not only jeopardizes their immediate well-being but also increases the risk of chronic health conditions, emphasizing the urgent need for comprehensive support systems and interventions.</w:t>
      </w:r>
    </w:p>
    <w:p w14:paraId="00000049" w14:textId="77777777" w:rsidR="00533B51" w:rsidRDefault="00000000">
      <w:pPr>
        <w:shd w:val="clear" w:color="auto" w:fill="FFFFFF"/>
        <w:spacing w:before="280"/>
        <w:rPr>
          <w:b/>
        </w:rPr>
      </w:pPr>
      <w:r>
        <w:rPr>
          <w:b/>
        </w:rPr>
        <w:t>How do we address this challenge?</w:t>
      </w:r>
    </w:p>
    <w:p w14:paraId="0000004A" w14:textId="77777777" w:rsidR="00533B51" w:rsidRDefault="00000000">
      <w:pPr>
        <w:shd w:val="clear" w:color="auto" w:fill="FFFFFF"/>
        <w:spacing w:before="240" w:after="240"/>
      </w:pPr>
      <w:r>
        <w:t xml:space="preserve">The Coalition to End Women’s Homelessness is calling for: </w:t>
      </w:r>
    </w:p>
    <w:p w14:paraId="0000004B" w14:textId="77777777" w:rsidR="00533B51" w:rsidRDefault="00000000">
      <w:pPr>
        <w:numPr>
          <w:ilvl w:val="0"/>
          <w:numId w:val="1"/>
        </w:numPr>
        <w:shd w:val="clear" w:color="auto" w:fill="FFFFFF"/>
        <w:spacing w:before="240"/>
        <w:rPr>
          <w:rFonts w:ascii="Roboto" w:eastAsia="Roboto" w:hAnsi="Roboto" w:cs="Roboto"/>
        </w:rPr>
      </w:pPr>
      <w:r>
        <w:rPr>
          <w:b/>
        </w:rPr>
        <w:t>Better data and evidence</w:t>
      </w:r>
      <w:r>
        <w:t xml:space="preserve"> on more “hidden” forms of women’s homelessness.</w:t>
      </w:r>
    </w:p>
    <w:p w14:paraId="0000004C" w14:textId="77777777" w:rsidR="00533B51" w:rsidRDefault="00000000">
      <w:pPr>
        <w:numPr>
          <w:ilvl w:val="0"/>
          <w:numId w:val="1"/>
        </w:numPr>
        <w:shd w:val="clear" w:color="auto" w:fill="FFFFFF"/>
        <w:rPr>
          <w:rFonts w:ascii="Roboto" w:eastAsia="Roboto" w:hAnsi="Roboto" w:cs="Roboto"/>
        </w:rPr>
      </w:pPr>
      <w:r>
        <w:rPr>
          <w:b/>
        </w:rPr>
        <w:t>Investment in affordable, accessible rentals</w:t>
      </w:r>
      <w:r>
        <w:t xml:space="preserve"> that are designed to cater to the social, cultural, and health needs of older women.</w:t>
      </w:r>
    </w:p>
    <w:p w14:paraId="0000004D" w14:textId="77777777" w:rsidR="00533B51" w:rsidRDefault="00000000">
      <w:pPr>
        <w:numPr>
          <w:ilvl w:val="0"/>
          <w:numId w:val="1"/>
        </w:numPr>
        <w:shd w:val="clear" w:color="auto" w:fill="FFFFFF"/>
        <w:spacing w:after="240"/>
        <w:rPr>
          <w:rFonts w:ascii="Roboto" w:eastAsia="Roboto" w:hAnsi="Roboto" w:cs="Roboto"/>
        </w:rPr>
      </w:pPr>
      <w:r>
        <w:rPr>
          <w:b/>
        </w:rPr>
        <w:t>Reporting and action on gender pay gaps</w:t>
      </w:r>
      <w:r>
        <w:t xml:space="preserve"> and per the Retirement Commission’s findings,</w:t>
      </w:r>
      <w:r>
        <w:rPr>
          <w:i/>
        </w:rPr>
        <w:t xml:space="preserve"> “ensuring the universal nature of NZ Superannuation protects women’s incomes in retirement</w:t>
      </w:r>
      <w:r>
        <w:t>”</w:t>
      </w:r>
      <w:r>
        <w:rPr>
          <w:vertAlign w:val="superscript"/>
        </w:rPr>
        <w:footnoteReference w:id="31"/>
      </w:r>
      <w:r>
        <w:t xml:space="preserve"> given they are currently less able to contribute to earnings-based schemes or build up other savings.</w:t>
      </w:r>
    </w:p>
    <w:p w14:paraId="0000004E" w14:textId="77777777" w:rsidR="00533B51" w:rsidRDefault="00533B51">
      <w:pPr>
        <w:spacing w:before="280" w:after="280"/>
        <w:rPr>
          <w:rFonts w:ascii="Roboto" w:eastAsia="Roboto" w:hAnsi="Roboto" w:cs="Roboto"/>
          <w:sz w:val="27"/>
          <w:szCs w:val="27"/>
        </w:rPr>
      </w:pPr>
    </w:p>
    <w:p w14:paraId="0000004F" w14:textId="77777777" w:rsidR="00533B51" w:rsidRDefault="00533B51"/>
    <w:sectPr w:rsidR="00533B5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E9C3BC" w14:textId="77777777" w:rsidR="00521B16" w:rsidRDefault="00521B16">
      <w:pPr>
        <w:spacing w:line="240" w:lineRule="auto"/>
      </w:pPr>
      <w:r>
        <w:separator/>
      </w:r>
    </w:p>
  </w:endnote>
  <w:endnote w:type="continuationSeparator" w:id="0">
    <w:p w14:paraId="1A8465C0" w14:textId="77777777" w:rsidR="00521B16" w:rsidRDefault="00521B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B781525F-AFF9-4E4D-BE13-A4A185DD171A}"/>
  </w:font>
  <w:font w:name="Calibri">
    <w:panose1 w:val="020F0502020204030204"/>
    <w:charset w:val="00"/>
    <w:family w:val="swiss"/>
    <w:pitch w:val="variable"/>
    <w:sig w:usb0="E4002EFF" w:usb1="C200247B" w:usb2="00000009" w:usb3="00000000" w:csb0="000001FF" w:csb1="00000000"/>
    <w:embedRegular r:id="rId2" w:fontKey="{D435F54A-2911-4A61-B3CA-AA9B0BFD5E96}"/>
  </w:font>
  <w:font w:name="Cambria">
    <w:panose1 w:val="02040503050406030204"/>
    <w:charset w:val="00"/>
    <w:family w:val="roman"/>
    <w:pitch w:val="variable"/>
    <w:sig w:usb0="E00006FF" w:usb1="420024FF" w:usb2="02000000" w:usb3="00000000" w:csb0="0000019F" w:csb1="00000000"/>
    <w:embedRegular r:id="rId3" w:fontKey="{47CF91A6-9960-458C-A2DD-92FF2B80BC2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6E39AB" w14:textId="77777777" w:rsidR="00521B16" w:rsidRDefault="00521B16">
      <w:pPr>
        <w:spacing w:line="240" w:lineRule="auto"/>
      </w:pPr>
      <w:r>
        <w:separator/>
      </w:r>
    </w:p>
  </w:footnote>
  <w:footnote w:type="continuationSeparator" w:id="0">
    <w:p w14:paraId="4DD5DB27" w14:textId="77777777" w:rsidR="00521B16" w:rsidRDefault="00521B16">
      <w:pPr>
        <w:spacing w:line="240" w:lineRule="auto"/>
      </w:pPr>
      <w:r>
        <w:continuationSeparator/>
      </w:r>
    </w:p>
  </w:footnote>
  <w:footnote w:id="1">
    <w:p w14:paraId="00000050" w14:textId="77777777" w:rsidR="00533B51" w:rsidRDefault="00000000">
      <w:pPr>
        <w:spacing w:line="240" w:lineRule="auto"/>
        <w:rPr>
          <w:sz w:val="20"/>
          <w:szCs w:val="20"/>
        </w:rPr>
      </w:pPr>
      <w:r>
        <w:rPr>
          <w:vertAlign w:val="superscript"/>
        </w:rPr>
        <w:footnoteRef/>
      </w:r>
      <w:hyperlink r:id="rId1">
        <w:r>
          <w:rPr>
            <w:color w:val="1155CC"/>
            <w:sz w:val="20"/>
            <w:szCs w:val="20"/>
            <w:u w:val="single"/>
          </w:rPr>
          <w:t>https://www.hud.govt.nz/assets/Uploads/Documents/Severe-Housing-Deprivation-2018-Estimate-Report.pdf</w:t>
        </w:r>
      </w:hyperlink>
      <w:r>
        <w:rPr>
          <w:sz w:val="20"/>
          <w:szCs w:val="20"/>
        </w:rPr>
        <w:t xml:space="preserve">. Note: This figure includes people living in ‘Uninhabitable housing’, which was measured for the first time in the 2018 Census. 2023 Census data is yet to be made publicly available at time of writing. </w:t>
      </w:r>
    </w:p>
  </w:footnote>
  <w:footnote w:id="2">
    <w:p w14:paraId="00000051" w14:textId="77777777" w:rsidR="00533B51" w:rsidRDefault="00000000">
      <w:pPr>
        <w:spacing w:line="240" w:lineRule="auto"/>
        <w:rPr>
          <w:sz w:val="20"/>
          <w:szCs w:val="20"/>
        </w:rPr>
      </w:pPr>
      <w:r>
        <w:rPr>
          <w:vertAlign w:val="superscript"/>
        </w:rPr>
        <w:footnoteRef/>
      </w:r>
      <w:r>
        <w:rPr>
          <w:sz w:val="20"/>
          <w:szCs w:val="20"/>
        </w:rPr>
        <w:t xml:space="preserve"> Ibid. See page 17 </w:t>
      </w:r>
    </w:p>
  </w:footnote>
  <w:footnote w:id="3">
    <w:p w14:paraId="00000052" w14:textId="77777777" w:rsidR="00533B51" w:rsidRDefault="00000000">
      <w:pPr>
        <w:spacing w:line="240" w:lineRule="auto"/>
        <w:rPr>
          <w:sz w:val="20"/>
          <w:szCs w:val="20"/>
        </w:rPr>
      </w:pPr>
      <w:r>
        <w:rPr>
          <w:vertAlign w:val="superscript"/>
        </w:rPr>
        <w:footnoteRef/>
      </w:r>
      <w:hyperlink r:id="rId2">
        <w:r>
          <w:rPr>
            <w:color w:val="1155CC"/>
            <w:sz w:val="20"/>
            <w:szCs w:val="20"/>
            <w:u w:val="single"/>
          </w:rPr>
          <w:t>https://www.growingup.co.nz/growing-up-report/housing-and-homelessness</w:t>
        </w:r>
      </w:hyperlink>
      <w:r>
        <w:rPr>
          <w:sz w:val="20"/>
          <w:szCs w:val="20"/>
        </w:rPr>
        <w:t xml:space="preserve"> </w:t>
      </w:r>
    </w:p>
  </w:footnote>
  <w:footnote w:id="4">
    <w:p w14:paraId="00000054" w14:textId="77777777" w:rsidR="00533B51" w:rsidRDefault="00000000">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https://retirement.govt.nz/news/latest-news/what-does-retirement-look-like-for-women</w:t>
        </w:r>
      </w:hyperlink>
      <w:r>
        <w:rPr>
          <w:sz w:val="20"/>
          <w:szCs w:val="20"/>
        </w:rPr>
        <w:t xml:space="preserve"> </w:t>
      </w:r>
    </w:p>
  </w:footnote>
  <w:footnote w:id="5">
    <w:p w14:paraId="00000053" w14:textId="77777777" w:rsidR="00533B51" w:rsidRDefault="00000000">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https://www.tandfonline.com/doi/abs/10.1080/02673037.2020.1813259</w:t>
        </w:r>
      </w:hyperlink>
      <w:r>
        <w:rPr>
          <w:sz w:val="20"/>
          <w:szCs w:val="20"/>
        </w:rPr>
        <w:t xml:space="preserve"> </w:t>
      </w:r>
    </w:p>
  </w:footnote>
  <w:footnote w:id="6">
    <w:p w14:paraId="0000006C" w14:textId="77777777" w:rsidR="00533B51" w:rsidRDefault="00000000">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https://www.coalitiontoendwomenshomelessness.org/</w:t>
        </w:r>
      </w:hyperlink>
      <w:r>
        <w:rPr>
          <w:sz w:val="20"/>
          <w:szCs w:val="20"/>
        </w:rPr>
        <w:t xml:space="preserve"> </w:t>
      </w:r>
    </w:p>
  </w:footnote>
  <w:footnote w:id="7">
    <w:p w14:paraId="00000061" w14:textId="77777777" w:rsidR="00533B51" w:rsidRDefault="00000000">
      <w:pPr>
        <w:spacing w:line="240" w:lineRule="auto"/>
        <w:rPr>
          <w:sz w:val="20"/>
          <w:szCs w:val="20"/>
        </w:rPr>
      </w:pPr>
      <w:r>
        <w:rPr>
          <w:vertAlign w:val="superscript"/>
        </w:rPr>
        <w:footnoteRef/>
      </w:r>
      <w:r>
        <w:rPr>
          <w:sz w:val="20"/>
          <w:szCs w:val="20"/>
        </w:rPr>
        <w:t xml:space="preserve"> Please note, </w:t>
      </w:r>
      <w:proofErr w:type="gramStart"/>
      <w:r>
        <w:rPr>
          <w:sz w:val="20"/>
          <w:szCs w:val="20"/>
        </w:rPr>
        <w:t>this sections</w:t>
      </w:r>
      <w:proofErr w:type="gramEnd"/>
      <w:r>
        <w:rPr>
          <w:sz w:val="20"/>
          <w:szCs w:val="20"/>
        </w:rPr>
        <w:t xml:space="preserve"> has been adapted from an article originally published on the Coalition to </w:t>
      </w:r>
      <w:proofErr w:type="spellStart"/>
      <w:r>
        <w:rPr>
          <w:sz w:val="20"/>
          <w:szCs w:val="20"/>
        </w:rPr>
        <w:t>Ebd</w:t>
      </w:r>
      <w:proofErr w:type="spellEnd"/>
      <w:r>
        <w:rPr>
          <w:sz w:val="20"/>
          <w:szCs w:val="20"/>
        </w:rPr>
        <w:t xml:space="preserve"> Women’s Homelessness website. The author is Victoria Crockford, who has authored this paper. You can find it here:</w:t>
      </w:r>
      <w:hyperlink r:id="rId6">
        <w:r>
          <w:rPr>
            <w:color w:val="1155CC"/>
            <w:sz w:val="20"/>
            <w:szCs w:val="20"/>
            <w:u w:val="single"/>
          </w:rPr>
          <w:t>https://www.coalitiontoendwomenshomelessness.org/womenshomelessnessinvisible/wahinedinner</w:t>
        </w:r>
      </w:hyperlink>
      <w:r>
        <w:rPr>
          <w:sz w:val="20"/>
          <w:szCs w:val="20"/>
        </w:rPr>
        <w:t xml:space="preserve"> </w:t>
      </w:r>
    </w:p>
  </w:footnote>
  <w:footnote w:id="8">
    <w:p w14:paraId="00000062" w14:textId="77777777" w:rsidR="00533B51" w:rsidRDefault="00000000">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https://www.sciencedirect.com/science/article/pii/S2352827321001178</w:t>
        </w:r>
      </w:hyperlink>
      <w:r>
        <w:rPr>
          <w:sz w:val="20"/>
          <w:szCs w:val="20"/>
        </w:rPr>
        <w:t xml:space="preserve"> </w:t>
      </w:r>
    </w:p>
  </w:footnote>
  <w:footnote w:id="9">
    <w:p w14:paraId="00000063" w14:textId="77777777" w:rsidR="00533B51" w:rsidRDefault="00000000">
      <w:pPr>
        <w:spacing w:line="240" w:lineRule="auto"/>
        <w:rPr>
          <w:sz w:val="20"/>
          <w:szCs w:val="20"/>
        </w:rPr>
      </w:pPr>
      <w:r>
        <w:rPr>
          <w:vertAlign w:val="superscript"/>
        </w:rPr>
        <w:footnoteRef/>
      </w:r>
      <w:r>
        <w:rPr>
          <w:sz w:val="20"/>
          <w:szCs w:val="20"/>
        </w:rPr>
        <w:t xml:space="preserve"> </w:t>
      </w:r>
      <w:hyperlink r:id="rId8">
        <w:r>
          <w:rPr>
            <w:color w:val="1155CC"/>
            <w:sz w:val="20"/>
            <w:szCs w:val="20"/>
            <w:u w:val="single"/>
          </w:rPr>
          <w:t>https://retirement.govt.nz/news/latest-news/what-does-retirement-look-like-for-women</w:t>
        </w:r>
      </w:hyperlink>
      <w:r>
        <w:rPr>
          <w:sz w:val="20"/>
          <w:szCs w:val="20"/>
        </w:rPr>
        <w:t xml:space="preserve"> </w:t>
      </w:r>
    </w:p>
  </w:footnote>
  <w:footnote w:id="10">
    <w:p w14:paraId="00000064" w14:textId="77777777" w:rsidR="00533B51" w:rsidRDefault="00000000">
      <w:pPr>
        <w:spacing w:line="240" w:lineRule="auto"/>
        <w:rPr>
          <w:sz w:val="20"/>
          <w:szCs w:val="20"/>
        </w:rPr>
      </w:pPr>
      <w:r>
        <w:rPr>
          <w:vertAlign w:val="superscript"/>
        </w:rPr>
        <w:footnoteRef/>
      </w:r>
      <w:r>
        <w:rPr>
          <w:sz w:val="20"/>
          <w:szCs w:val="20"/>
        </w:rPr>
        <w:t xml:space="preserve"> </w:t>
      </w:r>
      <w:hyperlink r:id="rId9">
        <w:r>
          <w:rPr>
            <w:color w:val="1155CC"/>
            <w:sz w:val="20"/>
            <w:szCs w:val="20"/>
            <w:u w:val="single"/>
          </w:rPr>
          <w:t>https://www.ageingwellchallenge.co.nz/research/independence-and-housing-tenure/</w:t>
        </w:r>
      </w:hyperlink>
      <w:r>
        <w:rPr>
          <w:sz w:val="20"/>
          <w:szCs w:val="20"/>
        </w:rPr>
        <w:t xml:space="preserve"> </w:t>
      </w:r>
    </w:p>
  </w:footnote>
  <w:footnote w:id="11">
    <w:p w14:paraId="00000065" w14:textId="77777777" w:rsidR="00533B51" w:rsidRDefault="00000000">
      <w:pPr>
        <w:spacing w:line="240" w:lineRule="auto"/>
        <w:rPr>
          <w:sz w:val="20"/>
          <w:szCs w:val="20"/>
        </w:rPr>
      </w:pPr>
      <w:r>
        <w:rPr>
          <w:vertAlign w:val="superscript"/>
        </w:rPr>
        <w:footnoteRef/>
      </w:r>
      <w:r>
        <w:rPr>
          <w:sz w:val="20"/>
          <w:szCs w:val="20"/>
        </w:rPr>
        <w:t xml:space="preserve"> </w:t>
      </w:r>
      <w:hyperlink r:id="rId10">
        <w:r>
          <w:rPr>
            <w:color w:val="1155CC"/>
            <w:sz w:val="20"/>
            <w:szCs w:val="20"/>
            <w:u w:val="single"/>
          </w:rPr>
          <w:t>https://www.ohchr.org/en/special-procedures/sr-housing/women-and-right-adequate-housing</w:t>
        </w:r>
      </w:hyperlink>
      <w:r>
        <w:rPr>
          <w:sz w:val="20"/>
          <w:szCs w:val="20"/>
        </w:rPr>
        <w:t xml:space="preserve"> </w:t>
      </w:r>
    </w:p>
  </w:footnote>
  <w:footnote w:id="12">
    <w:p w14:paraId="00000067" w14:textId="77777777" w:rsidR="00533B51" w:rsidRDefault="00000000">
      <w:pPr>
        <w:spacing w:line="240" w:lineRule="auto"/>
        <w:rPr>
          <w:sz w:val="18"/>
          <w:szCs w:val="18"/>
        </w:rPr>
      </w:pPr>
      <w:r>
        <w:rPr>
          <w:vertAlign w:val="superscript"/>
        </w:rPr>
        <w:footnoteRef/>
      </w:r>
      <w:r>
        <w:rPr>
          <w:sz w:val="18"/>
          <w:szCs w:val="18"/>
        </w:rPr>
        <w:t xml:space="preserve"> </w:t>
      </w:r>
      <w:r>
        <w:rPr>
          <w:b/>
          <w:color w:val="5F6368"/>
          <w:sz w:val="18"/>
          <w:szCs w:val="18"/>
          <w:highlight w:val="white"/>
        </w:rPr>
        <w:t>Ani Mikaere</w:t>
      </w:r>
      <w:r>
        <w:rPr>
          <w:color w:val="4D5156"/>
          <w:sz w:val="18"/>
          <w:szCs w:val="18"/>
          <w:highlight w:val="white"/>
        </w:rPr>
        <w:t xml:space="preserve"> (Ngāti Raukawa, Ngāti Porou) is a barrister and solicitor and teaches Māori law and philosophy at Te Wānanga-o-Raukawa.</w:t>
      </w:r>
    </w:p>
  </w:footnote>
  <w:footnote w:id="13">
    <w:p w14:paraId="00000068" w14:textId="77777777" w:rsidR="00533B51" w:rsidRDefault="00000000">
      <w:pPr>
        <w:spacing w:line="240" w:lineRule="auto"/>
        <w:rPr>
          <w:sz w:val="20"/>
          <w:szCs w:val="20"/>
        </w:rPr>
      </w:pPr>
      <w:r>
        <w:rPr>
          <w:vertAlign w:val="superscript"/>
        </w:rPr>
        <w:footnoteRef/>
      </w:r>
      <w:r>
        <w:rPr>
          <w:sz w:val="20"/>
          <w:szCs w:val="20"/>
        </w:rPr>
        <w:t xml:space="preserve"> </w:t>
      </w:r>
      <w:hyperlink r:id="rId11">
        <w:r>
          <w:rPr>
            <w:color w:val="1155CC"/>
            <w:sz w:val="20"/>
            <w:szCs w:val="20"/>
            <w:u w:val="single"/>
          </w:rPr>
          <w:t>https://www.waitangitribunal.govt.nz/inquiries/kaupapa-inquiries/mana-wahine-kaupapa-inquiry/</w:t>
        </w:r>
      </w:hyperlink>
      <w:r>
        <w:rPr>
          <w:sz w:val="20"/>
          <w:szCs w:val="20"/>
        </w:rPr>
        <w:t xml:space="preserve"> </w:t>
      </w:r>
    </w:p>
  </w:footnote>
  <w:footnote w:id="14">
    <w:p w14:paraId="00000066" w14:textId="77777777" w:rsidR="00533B51" w:rsidRDefault="00000000">
      <w:pPr>
        <w:spacing w:line="240" w:lineRule="auto"/>
        <w:rPr>
          <w:sz w:val="20"/>
          <w:szCs w:val="20"/>
        </w:rPr>
      </w:pPr>
      <w:r>
        <w:rPr>
          <w:vertAlign w:val="superscript"/>
        </w:rPr>
        <w:footnoteRef/>
      </w:r>
      <w:r>
        <w:rPr>
          <w:sz w:val="20"/>
          <w:szCs w:val="20"/>
        </w:rPr>
        <w:t xml:space="preserve"> </w:t>
      </w:r>
      <w:hyperlink r:id="rId12">
        <w:r>
          <w:rPr>
            <w:color w:val="1155CC"/>
            <w:sz w:val="20"/>
            <w:szCs w:val="20"/>
            <w:u w:val="single"/>
          </w:rPr>
          <w:t>https://e-tangata.co.nz/history/maori-women-caught-in-the-contradictions-of-a-colonised-reality/</w:t>
        </w:r>
      </w:hyperlink>
      <w:r>
        <w:rPr>
          <w:sz w:val="20"/>
          <w:szCs w:val="20"/>
        </w:rPr>
        <w:t xml:space="preserve"> </w:t>
      </w:r>
    </w:p>
  </w:footnote>
  <w:footnote w:id="15">
    <w:p w14:paraId="0000006B" w14:textId="77777777" w:rsidR="00533B51" w:rsidRDefault="00000000">
      <w:pPr>
        <w:spacing w:line="240" w:lineRule="auto"/>
        <w:rPr>
          <w:sz w:val="20"/>
          <w:szCs w:val="20"/>
        </w:rPr>
      </w:pPr>
      <w:r>
        <w:rPr>
          <w:vertAlign w:val="superscript"/>
        </w:rPr>
        <w:footnoteRef/>
      </w:r>
      <w:r>
        <w:rPr>
          <w:sz w:val="20"/>
          <w:szCs w:val="20"/>
        </w:rPr>
        <w:t xml:space="preserve"> </w:t>
      </w:r>
      <w:hyperlink r:id="rId13">
        <w:r>
          <w:rPr>
            <w:color w:val="1155CC"/>
            <w:u w:val="single"/>
          </w:rPr>
          <w:t>https://www.abuseincare.org.nz/reports/whanaketia</w:t>
        </w:r>
      </w:hyperlink>
      <w:r>
        <w:t xml:space="preserve"> </w:t>
      </w:r>
    </w:p>
  </w:footnote>
  <w:footnote w:id="16">
    <w:p w14:paraId="0000006A" w14:textId="77777777" w:rsidR="00533B51" w:rsidRDefault="00000000">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https://www.abuseincare.org.nz/reports/whanaketia/preliminaries/summary-of-key-findings/</w:t>
        </w:r>
      </w:hyperlink>
      <w:r>
        <w:rPr>
          <w:sz w:val="20"/>
          <w:szCs w:val="20"/>
        </w:rPr>
        <w:t xml:space="preserve"> </w:t>
      </w:r>
    </w:p>
  </w:footnote>
  <w:footnote w:id="17">
    <w:p w14:paraId="00000069" w14:textId="77777777" w:rsidR="00533B51" w:rsidRDefault="00000000">
      <w:pPr>
        <w:spacing w:line="240" w:lineRule="auto"/>
        <w:rPr>
          <w:sz w:val="20"/>
          <w:szCs w:val="20"/>
        </w:rPr>
      </w:pPr>
      <w:r>
        <w:rPr>
          <w:vertAlign w:val="superscript"/>
        </w:rPr>
        <w:footnoteRef/>
      </w:r>
      <w:hyperlink r:id="rId15">
        <w:r>
          <w:rPr>
            <w:color w:val="1155CC"/>
            <w:u w:val="single"/>
          </w:rPr>
          <w:t>https://www.abuseincare.org.nz/assets/Whanaketia/Summaries/Summary-Women-and-Girls.pdf</w:t>
        </w:r>
      </w:hyperlink>
      <w:r>
        <w:rPr>
          <w:sz w:val="20"/>
          <w:szCs w:val="20"/>
        </w:rPr>
        <w:t xml:space="preserve"> </w:t>
      </w:r>
    </w:p>
  </w:footnote>
  <w:footnote w:id="18">
    <w:p w14:paraId="0000006D" w14:textId="77777777" w:rsidR="00533B51" w:rsidRDefault="00000000">
      <w:pPr>
        <w:spacing w:line="240" w:lineRule="auto"/>
        <w:rPr>
          <w:sz w:val="20"/>
          <w:szCs w:val="20"/>
        </w:rPr>
      </w:pPr>
      <w:r>
        <w:rPr>
          <w:vertAlign w:val="superscript"/>
        </w:rPr>
        <w:footnoteRef/>
      </w:r>
      <w:r>
        <w:rPr>
          <w:sz w:val="20"/>
          <w:szCs w:val="20"/>
        </w:rPr>
        <w:t xml:space="preserve"> </w:t>
      </w:r>
      <w:hyperlink r:id="rId16">
        <w:r>
          <w:rPr>
            <w:color w:val="1155CC"/>
            <w:sz w:val="20"/>
            <w:szCs w:val="20"/>
            <w:u w:val="single"/>
          </w:rPr>
          <w:t>https://hauraki.refuge.co.nz/he-whare-he-taonga/</w:t>
        </w:r>
      </w:hyperlink>
      <w:r>
        <w:rPr>
          <w:sz w:val="20"/>
          <w:szCs w:val="20"/>
        </w:rPr>
        <w:t xml:space="preserve"> </w:t>
      </w:r>
    </w:p>
  </w:footnote>
  <w:footnote w:id="19">
    <w:p w14:paraId="0000006E" w14:textId="77777777" w:rsidR="00533B51" w:rsidRDefault="00000000">
      <w:pPr>
        <w:spacing w:line="240" w:lineRule="auto"/>
        <w:rPr>
          <w:sz w:val="20"/>
          <w:szCs w:val="20"/>
        </w:rPr>
      </w:pPr>
      <w:r>
        <w:rPr>
          <w:vertAlign w:val="superscript"/>
        </w:rPr>
        <w:footnoteRef/>
      </w:r>
      <w:hyperlink r:id="rId17">
        <w:r>
          <w:rPr>
            <w:color w:val="1155CC"/>
            <w:sz w:val="20"/>
            <w:szCs w:val="20"/>
            <w:u w:val="single"/>
          </w:rPr>
          <w:t>https://www.rnz.co.nz/news/national/523671/direct-link-between-domestic-violence-and-housing-poverty-research-finds</w:t>
        </w:r>
      </w:hyperlink>
      <w:r>
        <w:rPr>
          <w:sz w:val="20"/>
          <w:szCs w:val="20"/>
        </w:rPr>
        <w:t xml:space="preserve"> </w:t>
      </w:r>
    </w:p>
  </w:footnote>
  <w:footnote w:id="20">
    <w:p w14:paraId="0000005A" w14:textId="77777777" w:rsidR="00533B51" w:rsidRDefault="00000000">
      <w:pPr>
        <w:spacing w:line="240" w:lineRule="auto"/>
        <w:rPr>
          <w:sz w:val="20"/>
          <w:szCs w:val="20"/>
        </w:rPr>
      </w:pPr>
      <w:r>
        <w:rPr>
          <w:vertAlign w:val="superscript"/>
        </w:rPr>
        <w:footnoteRef/>
      </w:r>
      <w:r>
        <w:rPr>
          <w:sz w:val="20"/>
          <w:szCs w:val="20"/>
        </w:rPr>
        <w:t xml:space="preserve">  Please note, </w:t>
      </w:r>
      <w:proofErr w:type="gramStart"/>
      <w:r>
        <w:rPr>
          <w:sz w:val="20"/>
          <w:szCs w:val="20"/>
        </w:rPr>
        <w:t>this sections</w:t>
      </w:r>
      <w:proofErr w:type="gramEnd"/>
      <w:r>
        <w:rPr>
          <w:sz w:val="20"/>
          <w:szCs w:val="20"/>
        </w:rPr>
        <w:t xml:space="preserve"> has been adapted from an article originally published on the Coalition to </w:t>
      </w:r>
      <w:proofErr w:type="spellStart"/>
      <w:r>
        <w:rPr>
          <w:sz w:val="20"/>
          <w:szCs w:val="20"/>
        </w:rPr>
        <w:t>Ebd</w:t>
      </w:r>
      <w:proofErr w:type="spellEnd"/>
      <w:r>
        <w:rPr>
          <w:sz w:val="20"/>
          <w:szCs w:val="20"/>
        </w:rPr>
        <w:t xml:space="preserve"> Women’s Homelessness website. The author is Victoria Crockford, who has authored this paper. You can find it here </w:t>
      </w:r>
      <w:hyperlink r:id="rId18">
        <w:r>
          <w:rPr>
            <w:color w:val="1155CC"/>
            <w:sz w:val="20"/>
            <w:szCs w:val="20"/>
            <w:u w:val="single"/>
          </w:rPr>
          <w:t>https://www.coalitiontoendwomenshomelessness.org/womenshomelessnessinvisible/retired-renting-and-alone-the-housing-precarity-of-our-older-women</w:t>
        </w:r>
      </w:hyperlink>
      <w:r>
        <w:rPr>
          <w:sz w:val="20"/>
          <w:szCs w:val="20"/>
        </w:rPr>
        <w:t xml:space="preserve"> </w:t>
      </w:r>
    </w:p>
  </w:footnote>
  <w:footnote w:id="21">
    <w:p w14:paraId="00000055" w14:textId="77777777" w:rsidR="00533B51" w:rsidRDefault="00000000">
      <w:pPr>
        <w:spacing w:line="240" w:lineRule="auto"/>
        <w:rPr>
          <w:sz w:val="20"/>
          <w:szCs w:val="20"/>
        </w:rPr>
      </w:pPr>
      <w:r>
        <w:rPr>
          <w:vertAlign w:val="superscript"/>
        </w:rPr>
        <w:footnoteRef/>
      </w:r>
      <w:r>
        <w:rPr>
          <w:sz w:val="20"/>
          <w:szCs w:val="20"/>
        </w:rPr>
        <w:t xml:space="preserve"> </w:t>
      </w:r>
      <w:hyperlink r:id="rId19">
        <w:r>
          <w:rPr>
            <w:color w:val="1155CC"/>
            <w:sz w:val="20"/>
            <w:szCs w:val="20"/>
            <w:u w:val="single"/>
          </w:rPr>
          <w:t>https://www.hud.govt.nz/stats-and-insights/the-government-housing-dashboard/housing-register</w:t>
        </w:r>
      </w:hyperlink>
      <w:r>
        <w:rPr>
          <w:sz w:val="20"/>
          <w:szCs w:val="20"/>
        </w:rPr>
        <w:t xml:space="preserve"> </w:t>
      </w:r>
    </w:p>
  </w:footnote>
  <w:footnote w:id="22">
    <w:p w14:paraId="00000056" w14:textId="77777777" w:rsidR="00533B51" w:rsidRDefault="00000000">
      <w:pPr>
        <w:spacing w:line="240" w:lineRule="auto"/>
        <w:rPr>
          <w:sz w:val="20"/>
          <w:szCs w:val="20"/>
        </w:rPr>
      </w:pPr>
      <w:r>
        <w:rPr>
          <w:vertAlign w:val="superscript"/>
        </w:rPr>
        <w:footnoteRef/>
      </w:r>
      <w:r>
        <w:rPr>
          <w:sz w:val="20"/>
          <w:szCs w:val="20"/>
        </w:rPr>
        <w:t xml:space="preserve"> Ibid. </w:t>
      </w:r>
    </w:p>
  </w:footnote>
  <w:footnote w:id="23">
    <w:p w14:paraId="00000057" w14:textId="77777777" w:rsidR="00533B51" w:rsidRDefault="00000000">
      <w:pPr>
        <w:spacing w:line="240" w:lineRule="auto"/>
        <w:rPr>
          <w:sz w:val="20"/>
          <w:szCs w:val="20"/>
        </w:rPr>
      </w:pPr>
      <w:r>
        <w:rPr>
          <w:vertAlign w:val="superscript"/>
        </w:rPr>
        <w:footnoteRef/>
      </w:r>
      <w:hyperlink r:id="rId20">
        <w:r>
          <w:rPr>
            <w:color w:val="1155CC"/>
            <w:sz w:val="20"/>
            <w:szCs w:val="20"/>
            <w:u w:val="single"/>
          </w:rPr>
          <w:t>https://www.msd.govt.nz/about-msd-and-our-work/publications-resources/statistics/housing/housing-register.html</w:t>
        </w:r>
      </w:hyperlink>
      <w:r>
        <w:rPr>
          <w:sz w:val="20"/>
          <w:szCs w:val="20"/>
        </w:rPr>
        <w:t xml:space="preserve"> </w:t>
      </w:r>
    </w:p>
  </w:footnote>
  <w:footnote w:id="24">
    <w:p w14:paraId="00000058" w14:textId="77777777" w:rsidR="00533B51" w:rsidRDefault="00000000">
      <w:pPr>
        <w:spacing w:line="240" w:lineRule="auto"/>
        <w:rPr>
          <w:sz w:val="20"/>
          <w:szCs w:val="20"/>
        </w:rPr>
      </w:pPr>
      <w:r>
        <w:rPr>
          <w:vertAlign w:val="superscript"/>
        </w:rPr>
        <w:footnoteRef/>
      </w:r>
      <w:r>
        <w:rPr>
          <w:sz w:val="20"/>
          <w:szCs w:val="20"/>
        </w:rPr>
        <w:t xml:space="preserve"> </w:t>
      </w:r>
      <w:hyperlink r:id="rId21">
        <w:r>
          <w:rPr>
            <w:color w:val="1155CC"/>
            <w:sz w:val="20"/>
            <w:szCs w:val="20"/>
            <w:u w:val="single"/>
          </w:rPr>
          <w:t>https://www.ageingwellchallenge.co.nz/research/independence-and-housing-tenure/</w:t>
        </w:r>
      </w:hyperlink>
      <w:r>
        <w:rPr>
          <w:sz w:val="20"/>
          <w:szCs w:val="20"/>
        </w:rPr>
        <w:t xml:space="preserve"> </w:t>
      </w:r>
    </w:p>
  </w:footnote>
  <w:footnote w:id="25">
    <w:p w14:paraId="00000059" w14:textId="77777777" w:rsidR="00533B51" w:rsidRDefault="00000000">
      <w:pPr>
        <w:spacing w:line="240" w:lineRule="auto"/>
        <w:rPr>
          <w:sz w:val="20"/>
          <w:szCs w:val="20"/>
        </w:rPr>
      </w:pPr>
      <w:r>
        <w:rPr>
          <w:vertAlign w:val="superscript"/>
        </w:rPr>
        <w:footnoteRef/>
      </w:r>
      <w:r>
        <w:rPr>
          <w:sz w:val="20"/>
          <w:szCs w:val="20"/>
        </w:rPr>
        <w:t xml:space="preserve"> </w:t>
      </w:r>
      <w:hyperlink r:id="rId22">
        <w:r>
          <w:rPr>
            <w:color w:val="1155CC"/>
            <w:sz w:val="20"/>
            <w:szCs w:val="20"/>
            <w:u w:val="single"/>
          </w:rPr>
          <w:t>https://www.tandfonline.com/doi/abs/10.1080/02673037.2020.1813259</w:t>
        </w:r>
      </w:hyperlink>
      <w:r>
        <w:rPr>
          <w:sz w:val="20"/>
          <w:szCs w:val="20"/>
        </w:rPr>
        <w:t xml:space="preserve"> </w:t>
      </w:r>
    </w:p>
  </w:footnote>
  <w:footnote w:id="26">
    <w:p w14:paraId="0000005B" w14:textId="77777777" w:rsidR="00533B51" w:rsidRDefault="00000000">
      <w:pPr>
        <w:spacing w:line="240" w:lineRule="auto"/>
        <w:rPr>
          <w:sz w:val="20"/>
          <w:szCs w:val="20"/>
        </w:rPr>
      </w:pPr>
      <w:r>
        <w:rPr>
          <w:vertAlign w:val="superscript"/>
        </w:rPr>
        <w:footnoteRef/>
      </w:r>
      <w:r>
        <w:rPr>
          <w:sz w:val="20"/>
          <w:szCs w:val="20"/>
        </w:rPr>
        <w:t xml:space="preserve"> </w:t>
      </w:r>
      <w:hyperlink r:id="rId23">
        <w:r>
          <w:rPr>
            <w:color w:val="1155CC"/>
            <w:sz w:val="20"/>
            <w:szCs w:val="20"/>
            <w:u w:val="single"/>
          </w:rPr>
          <w:t>https://retirement.govt.nz/policy-and-research/2022-review-of-retirement-income-policies/women</w:t>
        </w:r>
      </w:hyperlink>
      <w:r>
        <w:rPr>
          <w:sz w:val="20"/>
          <w:szCs w:val="20"/>
        </w:rPr>
        <w:t xml:space="preserve"> </w:t>
      </w:r>
    </w:p>
  </w:footnote>
  <w:footnote w:id="27">
    <w:p w14:paraId="0000005D" w14:textId="77777777" w:rsidR="00533B51" w:rsidRDefault="00000000">
      <w:pPr>
        <w:spacing w:line="240" w:lineRule="auto"/>
        <w:rPr>
          <w:sz w:val="20"/>
          <w:szCs w:val="20"/>
        </w:rPr>
      </w:pPr>
      <w:r>
        <w:rPr>
          <w:vertAlign w:val="superscript"/>
        </w:rPr>
        <w:footnoteRef/>
      </w:r>
      <w:r>
        <w:rPr>
          <w:sz w:val="20"/>
          <w:szCs w:val="20"/>
        </w:rPr>
        <w:t xml:space="preserve"> </w:t>
      </w:r>
      <w:hyperlink r:id="rId24">
        <w:r>
          <w:rPr>
            <w:color w:val="1155CC"/>
            <w:sz w:val="20"/>
            <w:szCs w:val="20"/>
            <w:u w:val="single"/>
          </w:rPr>
          <w:t>https://www.women.govt.nz/women-and-work/gender-pay-gap</w:t>
        </w:r>
      </w:hyperlink>
      <w:r>
        <w:rPr>
          <w:sz w:val="20"/>
          <w:szCs w:val="20"/>
        </w:rPr>
        <w:t xml:space="preserve"> </w:t>
      </w:r>
    </w:p>
  </w:footnote>
  <w:footnote w:id="28">
    <w:p w14:paraId="0000005E" w14:textId="77777777" w:rsidR="00533B51" w:rsidRDefault="00000000">
      <w:pPr>
        <w:spacing w:line="240" w:lineRule="auto"/>
        <w:rPr>
          <w:sz w:val="20"/>
          <w:szCs w:val="20"/>
        </w:rPr>
      </w:pPr>
      <w:r>
        <w:rPr>
          <w:vertAlign w:val="superscript"/>
        </w:rPr>
        <w:footnoteRef/>
      </w:r>
      <w:hyperlink r:id="rId25">
        <w:r>
          <w:rPr>
            <w:color w:val="1155CC"/>
            <w:sz w:val="20"/>
            <w:szCs w:val="20"/>
            <w:u w:val="single"/>
          </w:rPr>
          <w:t>https://retirement.govt.nz/news/latest-news/how-ready-are-new-zealand-landlords-for-growing-numbers-of-ageing-tenants</w:t>
        </w:r>
      </w:hyperlink>
      <w:r>
        <w:rPr>
          <w:sz w:val="20"/>
          <w:szCs w:val="20"/>
        </w:rPr>
        <w:t xml:space="preserve"> </w:t>
      </w:r>
    </w:p>
  </w:footnote>
  <w:footnote w:id="29">
    <w:p w14:paraId="0000005F" w14:textId="77777777" w:rsidR="00533B51" w:rsidRDefault="00000000">
      <w:pPr>
        <w:spacing w:line="240" w:lineRule="auto"/>
        <w:rPr>
          <w:sz w:val="20"/>
          <w:szCs w:val="20"/>
        </w:rPr>
      </w:pPr>
      <w:r>
        <w:rPr>
          <w:vertAlign w:val="superscript"/>
        </w:rPr>
        <w:footnoteRef/>
      </w:r>
      <w:hyperlink r:id="rId26">
        <w:r>
          <w:rPr>
            <w:color w:val="1155CC"/>
            <w:sz w:val="20"/>
            <w:szCs w:val="20"/>
            <w:u w:val="single"/>
          </w:rPr>
          <w:t>https://www.thepress.co.nz/a/nz-news/350063686/housing-hardship-worsen-elderly-retirement-commission-warns</w:t>
        </w:r>
      </w:hyperlink>
      <w:r>
        <w:rPr>
          <w:sz w:val="20"/>
          <w:szCs w:val="20"/>
        </w:rPr>
        <w:t xml:space="preserve"> </w:t>
      </w:r>
    </w:p>
  </w:footnote>
  <w:footnote w:id="30">
    <w:p w14:paraId="0000005C" w14:textId="77777777" w:rsidR="00533B51" w:rsidRDefault="00000000">
      <w:pPr>
        <w:spacing w:line="240" w:lineRule="auto"/>
        <w:rPr>
          <w:sz w:val="20"/>
          <w:szCs w:val="20"/>
        </w:rPr>
      </w:pPr>
      <w:r>
        <w:rPr>
          <w:vertAlign w:val="superscript"/>
        </w:rPr>
        <w:footnoteRef/>
      </w:r>
      <w:hyperlink r:id="rId27">
        <w:r>
          <w:rPr>
            <w:color w:val="1155CC"/>
            <w:sz w:val="20"/>
            <w:szCs w:val="20"/>
            <w:u w:val="single"/>
          </w:rPr>
          <w:t>https://www.nzherald.co.nz/the-listener/new-zealand/budget-food-and-a-cold-rental-the-retirement-reality-for-many-women-in-nz/RKV6WYN2VNBLPHZQ2A4KJG745Y/</w:t>
        </w:r>
      </w:hyperlink>
      <w:r>
        <w:rPr>
          <w:sz w:val="20"/>
          <w:szCs w:val="20"/>
        </w:rPr>
        <w:t xml:space="preserve"> </w:t>
      </w:r>
    </w:p>
  </w:footnote>
  <w:footnote w:id="31">
    <w:p w14:paraId="00000060" w14:textId="77777777" w:rsidR="00533B51" w:rsidRDefault="00000000">
      <w:pPr>
        <w:spacing w:line="240" w:lineRule="auto"/>
        <w:rPr>
          <w:sz w:val="20"/>
          <w:szCs w:val="20"/>
        </w:rPr>
      </w:pPr>
      <w:r>
        <w:rPr>
          <w:vertAlign w:val="superscript"/>
        </w:rPr>
        <w:footnoteRef/>
      </w:r>
      <w:hyperlink r:id="rId28">
        <w:r>
          <w:rPr>
            <w:color w:val="1155CC"/>
            <w:sz w:val="20"/>
            <w:szCs w:val="20"/>
            <w:u w:val="single"/>
          </w:rPr>
          <w:t>https://assets.retirement.govt.nz/public/Uploads/Retirement-Income-Policy-Review/2022-RRIP/TAAO-_What-does-retirement-look-like-for-women_2022.pdf</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84F16"/>
    <w:multiLevelType w:val="multilevel"/>
    <w:tmpl w:val="8A86B4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5D59C1"/>
    <w:multiLevelType w:val="multilevel"/>
    <w:tmpl w:val="F6A6C5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8E202B"/>
    <w:multiLevelType w:val="multilevel"/>
    <w:tmpl w:val="AA866F2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335280">
    <w:abstractNumId w:val="2"/>
  </w:num>
  <w:num w:numId="2" w16cid:durableId="1804545280">
    <w:abstractNumId w:val="0"/>
  </w:num>
  <w:num w:numId="3" w16cid:durableId="635186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B51"/>
    <w:rsid w:val="003700B7"/>
    <w:rsid w:val="00521B16"/>
    <w:rsid w:val="00533B51"/>
    <w:rsid w:val="00E2707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EBBC"/>
  <w15:docId w15:val="{2FD853B3-3E0A-4D41-8D31-AF4DF084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N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retirement.govt.nz/news/latest-news/what-does-retirement-look-like-for-women" TargetMode="External"/><Relationship Id="rId13" Type="http://schemas.openxmlformats.org/officeDocument/2006/relationships/hyperlink" Target="https://www.abuseincare.org.nz/reports/whanaketia" TargetMode="External"/><Relationship Id="rId18" Type="http://schemas.openxmlformats.org/officeDocument/2006/relationships/hyperlink" Target="https://www.coalitiontoendwomenshomelessness.org/womenshomelessnessinvisible/retired-renting-and-alone-the-housing-precarity-of-our-older-women" TargetMode="External"/><Relationship Id="rId26" Type="http://schemas.openxmlformats.org/officeDocument/2006/relationships/hyperlink" Target="https://www.thepress.co.nz/a/nz-news/350063686/housing-hardship-worsen-elderly-retirement-commission-warns" TargetMode="External"/><Relationship Id="rId3" Type="http://schemas.openxmlformats.org/officeDocument/2006/relationships/hyperlink" Target="https://retirement.govt.nz/news/latest-news/what-does-retirement-look-like-for-women" TargetMode="External"/><Relationship Id="rId21" Type="http://schemas.openxmlformats.org/officeDocument/2006/relationships/hyperlink" Target="https://www.ageingwellchallenge.co.nz/research/independence-and-housing-tenure/" TargetMode="External"/><Relationship Id="rId7" Type="http://schemas.openxmlformats.org/officeDocument/2006/relationships/hyperlink" Target="https://www.sciencedirect.com/science/article/pii/S2352827321001178" TargetMode="External"/><Relationship Id="rId12" Type="http://schemas.openxmlformats.org/officeDocument/2006/relationships/hyperlink" Target="https://e-tangata.co.nz/history/maori-women-caught-in-the-contradictions-of-a-colonised-reality/" TargetMode="External"/><Relationship Id="rId17" Type="http://schemas.openxmlformats.org/officeDocument/2006/relationships/hyperlink" Target="https://www.rnz.co.nz/news/national/523671/direct-link-between-domestic-violence-and-housing-poverty-research-finds" TargetMode="External"/><Relationship Id="rId25" Type="http://schemas.openxmlformats.org/officeDocument/2006/relationships/hyperlink" Target="https://retirement.govt.nz/news/latest-news/how-ready-are-new-zealand-landlords-for-growing-numbers-of-ageing-tenants" TargetMode="External"/><Relationship Id="rId2" Type="http://schemas.openxmlformats.org/officeDocument/2006/relationships/hyperlink" Target="https://www.growingup.co.nz/growing-up-report/housing-and-homelessness" TargetMode="External"/><Relationship Id="rId16" Type="http://schemas.openxmlformats.org/officeDocument/2006/relationships/hyperlink" Target="https://hauraki.refuge.co.nz/he-whare-he-taonga/" TargetMode="External"/><Relationship Id="rId20" Type="http://schemas.openxmlformats.org/officeDocument/2006/relationships/hyperlink" Target="https://www.msd.govt.nz/about-msd-and-our-work/publications-resources/statistics/housing/housing-register.html" TargetMode="External"/><Relationship Id="rId1" Type="http://schemas.openxmlformats.org/officeDocument/2006/relationships/hyperlink" Target="https://www.hud.govt.nz/assets/Uploads/Documents/Severe-Housing-Deprivation-2018-Estimate-Report.pdf" TargetMode="External"/><Relationship Id="rId6" Type="http://schemas.openxmlformats.org/officeDocument/2006/relationships/hyperlink" Target="https://www.coalitiontoendwomenshomelessness.org/womenshomelessnessinvisible/wahinedinner" TargetMode="External"/><Relationship Id="rId11" Type="http://schemas.openxmlformats.org/officeDocument/2006/relationships/hyperlink" Target="https://www.waitangitribunal.govt.nz/inquiries/kaupapa-inquiries/mana-wahine-kaupapa-inquiry/" TargetMode="External"/><Relationship Id="rId24" Type="http://schemas.openxmlformats.org/officeDocument/2006/relationships/hyperlink" Target="https://www.women.govt.nz/women-and-work/gender-pay-gap" TargetMode="External"/><Relationship Id="rId5" Type="http://schemas.openxmlformats.org/officeDocument/2006/relationships/hyperlink" Target="https://www.coalitiontoendwomenshomelessness.org/" TargetMode="External"/><Relationship Id="rId15" Type="http://schemas.openxmlformats.org/officeDocument/2006/relationships/hyperlink" Target="https://www.abuseincare.org.nz/assets/Whanaketia/Summaries/Summary-Women-and-Girls.pdf" TargetMode="External"/><Relationship Id="rId23" Type="http://schemas.openxmlformats.org/officeDocument/2006/relationships/hyperlink" Target="https://retirement.govt.nz/policy-and-research/2022-review-of-retirement-income-policies/women" TargetMode="External"/><Relationship Id="rId28" Type="http://schemas.openxmlformats.org/officeDocument/2006/relationships/hyperlink" Target="https://assets.retirement.govt.nz/public/Uploads/Retirement-Income-Policy-Review/2022-RRIP/TAAO-_What-does-retirement-look-like-for-women_2022.pdf" TargetMode="External"/><Relationship Id="rId10" Type="http://schemas.openxmlformats.org/officeDocument/2006/relationships/hyperlink" Target="https://www.ohchr.org/en/special-procedures/sr-housing/women-and-right-adequate-housing" TargetMode="External"/><Relationship Id="rId19" Type="http://schemas.openxmlformats.org/officeDocument/2006/relationships/hyperlink" Target="https://www.hud.govt.nz/stats-and-insights/the-government-housing-dashboard/housing-register" TargetMode="External"/><Relationship Id="rId4" Type="http://schemas.openxmlformats.org/officeDocument/2006/relationships/hyperlink" Target="https://www.tandfonline.com/doi/abs/10.1080/02673037.2020.1813259" TargetMode="External"/><Relationship Id="rId9" Type="http://schemas.openxmlformats.org/officeDocument/2006/relationships/hyperlink" Target="https://www.ageingwellchallenge.co.nz/research/independence-and-housing-tenure/" TargetMode="External"/><Relationship Id="rId14" Type="http://schemas.openxmlformats.org/officeDocument/2006/relationships/hyperlink" Target="https://www.abuseincare.org.nz/reports/whanaketia/preliminaries/summary-of-key-findings/" TargetMode="External"/><Relationship Id="rId22" Type="http://schemas.openxmlformats.org/officeDocument/2006/relationships/hyperlink" Target="https://www.tandfonline.com/doi/abs/10.1080/02673037.2020.1813259" TargetMode="External"/><Relationship Id="rId27" Type="http://schemas.openxmlformats.org/officeDocument/2006/relationships/hyperlink" Target="https://www.nzherald.co.nz/the-listener/new-zealand/budget-food-and-a-cold-rental-the-retirement-reality-for-many-women-in-nz/RKV6WYN2VNBLPHZQ2A4KJG745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1C36EC-56A6-4B5B-A00A-F6AB5BF4451B}"/>
</file>

<file path=customXml/itemProps2.xml><?xml version="1.0" encoding="utf-8"?>
<ds:datastoreItem xmlns:ds="http://schemas.openxmlformats.org/officeDocument/2006/customXml" ds:itemID="{80787F37-7547-43B4-A7E1-31E98AEC89BB}"/>
</file>

<file path=docProps/app.xml><?xml version="1.0" encoding="utf-8"?>
<Properties xmlns="http://schemas.openxmlformats.org/officeDocument/2006/extended-properties" xmlns:vt="http://schemas.openxmlformats.org/officeDocument/2006/docPropsVTypes">
  <Template>Normal</Template>
  <TotalTime>1</TotalTime>
  <Pages>7</Pages>
  <Words>1954</Words>
  <Characters>11142</Characters>
  <Application>Microsoft Office Word</Application>
  <DocSecurity>0</DocSecurity>
  <Lines>92</Lines>
  <Paragraphs>26</Paragraphs>
  <ScaleCrop>false</ScaleCrop>
  <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 Chris King</dc:creator>
  <cp:lastModifiedBy>David and Chris King</cp:lastModifiedBy>
  <cp:revision>2</cp:revision>
  <dcterms:created xsi:type="dcterms:W3CDTF">2024-09-09T08:50:00Z</dcterms:created>
  <dcterms:modified xsi:type="dcterms:W3CDTF">2024-09-09T08:50:00Z</dcterms:modified>
</cp:coreProperties>
</file>