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header2.xml" ContentType="application/vnd.openxmlformats-officedocument.wordprocessingml.header+xml"/>
  <Override PartName="/word/footnotes.xml" ContentType="application/vnd.openxmlformats-officedocument.wordprocessingml.footnot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71724F" w:rsidRPr="007F7704" w:rsidTr="008D2930">
        <w:trPr>
          <w:trHeight w:val="851"/>
        </w:trPr>
        <w:tc>
          <w:tcPr>
            <w:tcW w:w="1259" w:type="dxa"/>
            <w:tcBorders>
              <w:top w:val="nil"/>
              <w:left w:val="nil"/>
              <w:bottom w:val="single" w:sz="4" w:space="0" w:color="auto"/>
              <w:right w:val="nil"/>
            </w:tcBorders>
            <w:shd w:val="clear" w:color="auto" w:fill="auto"/>
          </w:tcPr>
          <w:p w:rsidR="0071724F" w:rsidRPr="00CF74AC" w:rsidRDefault="0071724F" w:rsidP="00CF74AC">
            <w:pPr>
              <w:spacing w:line="20" w:lineRule="exact"/>
              <w:rPr>
                <w:sz w:val="2"/>
              </w:rPr>
            </w:pPr>
            <w:bookmarkStart w:id="0" w:name="_GoBack"/>
            <w:bookmarkEnd w:id="0"/>
          </w:p>
          <w:p w:rsidR="00CF74AC" w:rsidRDefault="00CF74AC" w:rsidP="008D2930">
            <w:pPr>
              <w:spacing w:after="80" w:line="340" w:lineRule="exact"/>
            </w:pPr>
          </w:p>
        </w:tc>
        <w:tc>
          <w:tcPr>
            <w:tcW w:w="2236" w:type="dxa"/>
            <w:tcBorders>
              <w:top w:val="nil"/>
              <w:left w:val="nil"/>
              <w:bottom w:val="single" w:sz="4" w:space="0" w:color="auto"/>
              <w:right w:val="nil"/>
            </w:tcBorders>
            <w:shd w:val="clear" w:color="auto" w:fill="auto"/>
            <w:vAlign w:val="bottom"/>
          </w:tcPr>
          <w:p w:rsidR="0071724F" w:rsidRPr="008D2930" w:rsidRDefault="0071724F" w:rsidP="008D2930">
            <w:pPr>
              <w:spacing w:after="80" w:line="340" w:lineRule="exact"/>
              <w:rPr>
                <w:sz w:val="28"/>
                <w:szCs w:val="28"/>
              </w:rPr>
            </w:pPr>
            <w:r w:rsidRPr="008D2930">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71724F" w:rsidRPr="007F7704" w:rsidRDefault="00125271" w:rsidP="008D2930">
            <w:pPr>
              <w:suppressAutoHyphens w:val="0"/>
              <w:jc w:val="right"/>
            </w:pPr>
            <w:r w:rsidRPr="007F7704">
              <w:rPr>
                <w:sz w:val="40"/>
              </w:rPr>
              <w:t>CRC</w:t>
            </w:r>
            <w:r w:rsidRPr="007F7704">
              <w:t>/C/OPAC/LVA/Q/1</w:t>
            </w:r>
            <w:r w:rsidR="00EE1BAE" w:rsidRPr="007F7704">
              <w:t>/Add.1</w:t>
            </w:r>
          </w:p>
        </w:tc>
      </w:tr>
      <w:tr w:rsidR="0071724F" w:rsidTr="008D2930">
        <w:trPr>
          <w:trHeight w:val="2835"/>
        </w:trPr>
        <w:tc>
          <w:tcPr>
            <w:tcW w:w="1259" w:type="dxa"/>
            <w:tcBorders>
              <w:top w:val="single" w:sz="4" w:space="0" w:color="auto"/>
              <w:left w:val="nil"/>
              <w:bottom w:val="single" w:sz="12" w:space="0" w:color="auto"/>
              <w:right w:val="nil"/>
            </w:tcBorders>
            <w:shd w:val="clear" w:color="auto" w:fill="auto"/>
          </w:tcPr>
          <w:p w:rsidR="0071724F" w:rsidRDefault="00CF74AC" w:rsidP="008D2930">
            <w:pPr>
              <w:spacing w:before="120"/>
              <w:jc w:val="center"/>
            </w:pPr>
            <w:r>
              <w:rPr>
                <w:noProof/>
                <w:lang w:eastAsia="en-GB"/>
              </w:rPr>
              <w:drawing>
                <wp:inline distT="0" distB="0" distL="0" distR="0">
                  <wp:extent cx="714375" cy="590550"/>
                  <wp:effectExtent l="0" t="0" r="9525" b="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shd w:val="clear" w:color="auto" w:fill="auto"/>
          </w:tcPr>
          <w:p w:rsidR="0071724F" w:rsidRPr="008D2930" w:rsidRDefault="0071724F" w:rsidP="008D2930">
            <w:pPr>
              <w:spacing w:before="120" w:line="420" w:lineRule="exact"/>
              <w:rPr>
                <w:b/>
                <w:sz w:val="40"/>
                <w:szCs w:val="40"/>
              </w:rPr>
            </w:pPr>
            <w:r w:rsidRPr="008D2930">
              <w:rPr>
                <w:b/>
                <w:sz w:val="40"/>
                <w:szCs w:val="40"/>
              </w:rPr>
              <w:t>Convention on the</w:t>
            </w:r>
            <w:r w:rsidRPr="008D2930">
              <w:rPr>
                <w:b/>
                <w:sz w:val="40"/>
                <w:szCs w:val="40"/>
              </w:rPr>
              <w:br/>
              <w:t>Rights of the Child</w:t>
            </w:r>
          </w:p>
        </w:tc>
        <w:tc>
          <w:tcPr>
            <w:tcW w:w="2930" w:type="dxa"/>
            <w:tcBorders>
              <w:top w:val="single" w:sz="4" w:space="0" w:color="auto"/>
              <w:left w:val="nil"/>
              <w:bottom w:val="single" w:sz="12" w:space="0" w:color="auto"/>
              <w:right w:val="nil"/>
            </w:tcBorders>
            <w:shd w:val="clear" w:color="auto" w:fill="auto"/>
          </w:tcPr>
          <w:p w:rsidR="0071724F" w:rsidRDefault="00125271" w:rsidP="008D2930">
            <w:pPr>
              <w:suppressAutoHyphens w:val="0"/>
              <w:spacing w:before="240" w:line="240" w:lineRule="exact"/>
            </w:pPr>
            <w:r>
              <w:t xml:space="preserve">Distr.: </w:t>
            </w:r>
            <w:r w:rsidR="002231E1">
              <w:t>General</w:t>
            </w:r>
          </w:p>
          <w:p w:rsidR="00125271" w:rsidRDefault="00DF021E" w:rsidP="00DF021E">
            <w:pPr>
              <w:suppressAutoHyphens w:val="0"/>
              <w:spacing w:line="240" w:lineRule="exact"/>
            </w:pPr>
            <w:r>
              <w:t xml:space="preserve">11 </w:t>
            </w:r>
            <w:r w:rsidR="00CF340D">
              <w:t>Novem</w:t>
            </w:r>
            <w:r w:rsidR="00EE1BAE">
              <w:t>ber</w:t>
            </w:r>
            <w:r w:rsidR="00A66F6A" w:rsidRPr="00E44777">
              <w:t xml:space="preserve"> </w:t>
            </w:r>
            <w:r w:rsidR="008260A1" w:rsidRPr="00E44777">
              <w:t>2015</w:t>
            </w:r>
          </w:p>
          <w:p w:rsidR="00125271" w:rsidRDefault="00125271" w:rsidP="008D2930">
            <w:pPr>
              <w:suppressAutoHyphens w:val="0"/>
              <w:spacing w:line="240" w:lineRule="exact"/>
            </w:pPr>
          </w:p>
          <w:p w:rsidR="008D1364" w:rsidRDefault="0034779C" w:rsidP="00EE1BAE">
            <w:pPr>
              <w:suppressAutoHyphens w:val="0"/>
              <w:spacing w:line="240" w:lineRule="exact"/>
            </w:pPr>
            <w:r>
              <w:t>Original: English</w:t>
            </w:r>
          </w:p>
          <w:p w:rsidR="007F7704" w:rsidRDefault="007F7704" w:rsidP="00EE1BAE">
            <w:pPr>
              <w:suppressAutoHyphens w:val="0"/>
              <w:spacing w:line="240" w:lineRule="exact"/>
            </w:pPr>
            <w:r>
              <w:t xml:space="preserve">English, French and Spanish only </w:t>
            </w:r>
          </w:p>
        </w:tc>
      </w:tr>
    </w:tbl>
    <w:p w:rsidR="008A1492" w:rsidRDefault="008A1492" w:rsidP="008A1492">
      <w:pPr>
        <w:spacing w:before="120"/>
        <w:rPr>
          <w:b/>
          <w:sz w:val="24"/>
          <w:szCs w:val="24"/>
        </w:rPr>
      </w:pPr>
      <w:r w:rsidRPr="008A1492">
        <w:rPr>
          <w:b/>
          <w:sz w:val="24"/>
          <w:szCs w:val="24"/>
        </w:rPr>
        <w:t>Committee on the Rights of the Child</w:t>
      </w:r>
    </w:p>
    <w:p w:rsidR="00AB1F09" w:rsidRPr="00D27F45" w:rsidRDefault="00AB1F09" w:rsidP="00AB1F09">
      <w:pPr>
        <w:rPr>
          <w:b/>
        </w:rPr>
      </w:pPr>
      <w:r w:rsidRPr="00D27F45">
        <w:rPr>
          <w:b/>
        </w:rPr>
        <w:t>Sevent</w:t>
      </w:r>
      <w:r>
        <w:rPr>
          <w:b/>
        </w:rPr>
        <w:t>y-first</w:t>
      </w:r>
      <w:r w:rsidRPr="00D27F45">
        <w:rPr>
          <w:b/>
        </w:rPr>
        <w:t xml:space="preserve"> </w:t>
      </w:r>
      <w:proofErr w:type="gramStart"/>
      <w:r w:rsidRPr="00D27F45">
        <w:rPr>
          <w:b/>
        </w:rPr>
        <w:t>session</w:t>
      </w:r>
      <w:proofErr w:type="gramEnd"/>
    </w:p>
    <w:p w:rsidR="00AB1F09" w:rsidRPr="00D27F45" w:rsidRDefault="00AB1F09" w:rsidP="00AB1F09">
      <w:r>
        <w:t>11</w:t>
      </w:r>
      <w:r w:rsidR="007F7704">
        <w:t>-</w:t>
      </w:r>
      <w:r>
        <w:t>29 January</w:t>
      </w:r>
      <w:r w:rsidRPr="00D27F45">
        <w:t xml:space="preserve"> 201</w:t>
      </w:r>
      <w:r>
        <w:t>6</w:t>
      </w:r>
    </w:p>
    <w:p w:rsidR="008260A1" w:rsidRDefault="008260A1" w:rsidP="008260A1">
      <w:r>
        <w:t>Item 4 of the provisional agenda</w:t>
      </w:r>
    </w:p>
    <w:p w:rsidR="005937A8" w:rsidRPr="008260A1" w:rsidRDefault="008260A1" w:rsidP="005937A8">
      <w:pPr>
        <w:rPr>
          <w:b/>
        </w:rPr>
      </w:pPr>
      <w:r>
        <w:rPr>
          <w:b/>
        </w:rPr>
        <w:t>Consideration of reports of States parties</w:t>
      </w:r>
    </w:p>
    <w:p w:rsidR="008260A1" w:rsidRDefault="008A1492" w:rsidP="008260A1">
      <w:pPr>
        <w:pStyle w:val="HChG"/>
      </w:pPr>
      <w:r w:rsidRPr="0000564E">
        <w:tab/>
      </w:r>
      <w:r w:rsidRPr="0000564E">
        <w:tab/>
      </w:r>
      <w:r w:rsidR="008260A1" w:rsidRPr="00FF26D2">
        <w:t xml:space="preserve">List of issues in relation to the report submitted by </w:t>
      </w:r>
      <w:r w:rsidR="008260A1">
        <w:t>Latvia</w:t>
      </w:r>
      <w:r w:rsidR="008260A1" w:rsidRPr="00FF26D2">
        <w:t xml:space="preserve"> under article 8, paragraph 1, of the Optional Protocol to the Convention on the Rights of the Child on the involvement of children in armed conflict</w:t>
      </w:r>
    </w:p>
    <w:p w:rsidR="00EE1BAE" w:rsidRDefault="00EE1BAE" w:rsidP="00EE1BAE">
      <w:pPr>
        <w:pStyle w:val="H23G"/>
      </w:pPr>
      <w:r>
        <w:tab/>
      </w:r>
      <w:r>
        <w:tab/>
        <w:t>Addendum</w:t>
      </w:r>
    </w:p>
    <w:p w:rsidR="00EE1BAE" w:rsidRPr="00EE1BAE" w:rsidRDefault="00EE1BAE" w:rsidP="00EE1BAE">
      <w:pPr>
        <w:pStyle w:val="HChG"/>
      </w:pPr>
      <w:r w:rsidRPr="00EE1BAE">
        <w:tab/>
      </w:r>
      <w:r w:rsidRPr="00EE1BAE">
        <w:tab/>
        <w:t>Replies of Latvia to the list of issues</w:t>
      </w:r>
      <w:r w:rsidRPr="00EE1BAE">
        <w:rPr>
          <w:rStyle w:val="FootnoteReference"/>
          <w:b w:val="0"/>
          <w:sz w:val="20"/>
          <w:vertAlign w:val="baseline"/>
        </w:rPr>
        <w:footnoteReference w:customMarkFollows="1" w:id="2"/>
        <w:t>*</w:t>
      </w:r>
    </w:p>
    <w:p w:rsidR="00EE1BAE" w:rsidRPr="00EE1BAE" w:rsidRDefault="00EE1BAE" w:rsidP="00EE1BAE">
      <w:pPr>
        <w:pStyle w:val="SingleTxtG"/>
        <w:jc w:val="right"/>
      </w:pPr>
      <w:r w:rsidRPr="00EE1BAE">
        <w:t>[Date received: 16 October 2015]</w:t>
      </w:r>
    </w:p>
    <w:p w:rsidR="00EE1BAE" w:rsidRPr="00EE1BAE" w:rsidRDefault="00EE1BAE" w:rsidP="006F4514">
      <w:pPr>
        <w:pStyle w:val="H23G"/>
      </w:pPr>
      <w:r>
        <w:rPr>
          <w:szCs w:val="24"/>
        </w:rPr>
        <w:tab/>
      </w:r>
      <w:r w:rsidR="006F4514">
        <w:rPr>
          <w:szCs w:val="24"/>
        </w:rPr>
        <w:tab/>
      </w:r>
      <w:r w:rsidR="006F4514" w:rsidRPr="0090095D">
        <w:rPr>
          <w:bCs/>
          <w:iCs/>
        </w:rPr>
        <w:t>Reply to the issues raised in paragraph 1 of the list of issues</w:t>
      </w:r>
      <w:r w:rsidR="00F56002">
        <w:rPr>
          <w:bCs/>
          <w:iCs/>
        </w:rPr>
        <w:t xml:space="preserve"> (</w:t>
      </w:r>
      <w:r w:rsidR="00F56002" w:rsidRPr="007F7704">
        <w:t>CRC/C/OPAC/LVA/Q/1</w:t>
      </w:r>
      <w:r w:rsidR="00F56002">
        <w:t>)</w:t>
      </w:r>
    </w:p>
    <w:p w:rsidR="00EE1BAE" w:rsidRPr="00EE1BAE" w:rsidRDefault="00F16F25" w:rsidP="00F16F25">
      <w:pPr>
        <w:pStyle w:val="SingleTxtG"/>
      </w:pPr>
      <w:r w:rsidRPr="00EE1BAE">
        <w:t>1.</w:t>
      </w:r>
      <w:r w:rsidRPr="00EE1BAE">
        <w:tab/>
      </w:r>
      <w:r w:rsidR="00EE1BAE" w:rsidRPr="00EE1BAE">
        <w:t xml:space="preserve">In accordance with </w:t>
      </w:r>
      <w:r w:rsidR="00BC5EBD">
        <w:t>s</w:t>
      </w:r>
      <w:r w:rsidR="00EE1BAE" w:rsidRPr="00EE1BAE">
        <w:t xml:space="preserve">ection 2 of the Law on </w:t>
      </w:r>
      <w:r w:rsidR="00BC5EBD">
        <w:t xml:space="preserve">the </w:t>
      </w:r>
      <w:r w:rsidR="00EE1BAE" w:rsidRPr="00EE1BAE">
        <w:t>Optional Protocol to the Convention on the Rights of the Child on the involvement of children in armed conflict</w:t>
      </w:r>
      <w:r w:rsidR="00BC5EBD">
        <w:t>,</w:t>
      </w:r>
      <w:r w:rsidR="00EE1BAE" w:rsidRPr="00EE1BAE">
        <w:t xml:space="preserve"> the Ministry of Welfare shall co-ordinate the fulfilment of the liabilities provided for in the Optional Protocol to the Convention on the Rights of the Child on the involvement of children in armed conflict (hereafter</w:t>
      </w:r>
      <w:r w:rsidR="00165D47">
        <w:t>,</w:t>
      </w:r>
      <w:r w:rsidR="00EE1BAE" w:rsidRPr="00EE1BAE">
        <w:t xml:space="preserve"> </w:t>
      </w:r>
      <w:r w:rsidR="00BC5EBD">
        <w:t>the Optional P</w:t>
      </w:r>
      <w:r w:rsidR="00EE1BAE" w:rsidRPr="00EE1BAE">
        <w:t>rotocol). This responsibility of coordination is solely delegated to the Ministry of Welfare.</w:t>
      </w:r>
    </w:p>
    <w:p w:rsidR="00EE1BAE" w:rsidRPr="00EE1BAE" w:rsidRDefault="00F16F25" w:rsidP="00F16F25">
      <w:pPr>
        <w:pStyle w:val="SingleTxtG"/>
      </w:pPr>
      <w:r w:rsidRPr="00EE1BAE">
        <w:t>2.</w:t>
      </w:r>
      <w:r w:rsidRPr="00EE1BAE">
        <w:tab/>
      </w:r>
      <w:r w:rsidR="00EE1BAE" w:rsidRPr="00EE1BAE">
        <w:t xml:space="preserve">It means that the Ministry of Welfare monitors whether the </w:t>
      </w:r>
      <w:r w:rsidR="00BC5EBD">
        <w:t>Optional P</w:t>
      </w:r>
      <w:r w:rsidR="00EE1BAE" w:rsidRPr="00EE1BAE">
        <w:t xml:space="preserve">rotocol is actually being implemented in the country by the competent institutions. The Ministry of Welfare is responsible for gathering information from the competent institutions (Ministry of Defence, Ministry of </w:t>
      </w:r>
      <w:r w:rsidR="00F8655A">
        <w:t xml:space="preserve">the </w:t>
      </w:r>
      <w:r w:rsidR="00EE1BAE" w:rsidRPr="00EE1BAE">
        <w:t xml:space="preserve">Interior and Ministry of Justice) and to prepare a national report about the fulfilment of the </w:t>
      </w:r>
      <w:r w:rsidR="00BC5EBD">
        <w:t>Optional P</w:t>
      </w:r>
      <w:r w:rsidR="00EE1BAE" w:rsidRPr="00EE1BAE">
        <w:t xml:space="preserve">rotocol according to article 8 of the </w:t>
      </w:r>
      <w:r w:rsidR="00BC5EBD">
        <w:t>Optional P</w:t>
      </w:r>
      <w:r w:rsidR="00EE1BAE" w:rsidRPr="00EE1BAE">
        <w:t xml:space="preserve">rotocol. </w:t>
      </w:r>
    </w:p>
    <w:p w:rsidR="00EE1BAE" w:rsidRPr="00EE1BAE" w:rsidRDefault="00F16F25" w:rsidP="00F16F25">
      <w:pPr>
        <w:pStyle w:val="SingleTxtG"/>
      </w:pPr>
      <w:r w:rsidRPr="00EE1BAE">
        <w:t>3.</w:t>
      </w:r>
      <w:r w:rsidRPr="00EE1BAE">
        <w:tab/>
      </w:r>
      <w:r w:rsidR="00EE1BAE" w:rsidRPr="00EE1BAE">
        <w:t xml:space="preserve">The other institutions that were mentioned in </w:t>
      </w:r>
      <w:r w:rsidR="00BC5EBD">
        <w:t>p</w:t>
      </w:r>
      <w:r w:rsidR="00EE1BAE" w:rsidRPr="00EE1BAE">
        <w:t xml:space="preserve">aragraph 4 of the national report (the Ministry of Defence and the Ministry of </w:t>
      </w:r>
      <w:r w:rsidR="00F8655A">
        <w:t xml:space="preserve">the </w:t>
      </w:r>
      <w:r w:rsidR="00EE1BAE" w:rsidRPr="00EE1BAE">
        <w:t xml:space="preserve">Interior) are responsible for the implementation of the liabilities provided for in the </w:t>
      </w:r>
      <w:r w:rsidR="00BC5EBD">
        <w:t>Optional P</w:t>
      </w:r>
      <w:r w:rsidR="00EE1BAE" w:rsidRPr="00EE1BAE">
        <w:t xml:space="preserve">rotocol. They are responsible for the implementation of the </w:t>
      </w:r>
      <w:r w:rsidR="00BC5EBD">
        <w:t>Optional P</w:t>
      </w:r>
      <w:r w:rsidR="00EE1BAE" w:rsidRPr="00EE1BAE">
        <w:t>rotocol in accordance to their competences defined in national regulations.</w:t>
      </w:r>
    </w:p>
    <w:p w:rsidR="00EE1BAE" w:rsidRPr="00EE1BAE" w:rsidRDefault="00F16F25" w:rsidP="00F16F25">
      <w:pPr>
        <w:pStyle w:val="SingleTxtG"/>
      </w:pPr>
      <w:r w:rsidRPr="00EE1BAE">
        <w:lastRenderedPageBreak/>
        <w:t>4.</w:t>
      </w:r>
      <w:r w:rsidRPr="00EE1BAE">
        <w:tab/>
      </w:r>
      <w:r w:rsidR="00EE1BAE" w:rsidRPr="00EE1BAE">
        <w:t xml:space="preserve">The Ministry of Defence is responsible for the implementation of the </w:t>
      </w:r>
      <w:r w:rsidR="00BC5EBD">
        <w:t>Optional P</w:t>
      </w:r>
      <w:r w:rsidR="00EE1BAE" w:rsidRPr="00EE1BAE">
        <w:t>rotocol in the field of state defence (including the field of military education and science, mid-term and long-term development of the capacity of National Armed Forces, including infrastructure, personnel, financing and provision with material and technical means). The Ministry of Defence is responsible for the prevention of children from involvement in National Armed Forces.</w:t>
      </w:r>
      <w:r w:rsidR="00EE1BAE" w:rsidRPr="00581AB6">
        <w:rPr>
          <w:rStyle w:val="FootnoteReference"/>
        </w:rPr>
        <w:footnoteReference w:id="3"/>
      </w:r>
      <w:r w:rsidR="00EE1BAE" w:rsidRPr="00EE1BAE">
        <w:t xml:space="preserve"> The management of the National Armed Forces shall be exercised by the Commander of the National Armed Forces who is subordinated to the Minister for Defence (</w:t>
      </w:r>
      <w:r w:rsidR="00BC5EBD">
        <w:t>s</w:t>
      </w:r>
      <w:r w:rsidR="00EE1BAE" w:rsidRPr="00EE1BAE">
        <w:t>ection 13</w:t>
      </w:r>
      <w:r w:rsidR="00BC5EBD">
        <w:t>,</w:t>
      </w:r>
      <w:r w:rsidR="00EE1BAE" w:rsidRPr="00EE1BAE">
        <w:t xml:space="preserve"> </w:t>
      </w:r>
      <w:r w:rsidR="00BC5EBD">
        <w:t>p</w:t>
      </w:r>
      <w:r w:rsidR="00EE1BAE" w:rsidRPr="00EE1BAE">
        <w:t xml:space="preserve">aragraph </w:t>
      </w:r>
      <w:r w:rsidR="00BC5EBD">
        <w:t xml:space="preserve">1, </w:t>
      </w:r>
      <w:r w:rsidR="00EE1BAE" w:rsidRPr="00EE1BAE">
        <w:t>of National Armed Forces Law).</w:t>
      </w:r>
    </w:p>
    <w:p w:rsidR="00EE1BAE" w:rsidRPr="00EE1BAE" w:rsidRDefault="00F16F25" w:rsidP="00F16F25">
      <w:pPr>
        <w:pStyle w:val="SingleTxtG"/>
      </w:pPr>
      <w:r w:rsidRPr="00EE1BAE">
        <w:t>5.</w:t>
      </w:r>
      <w:r w:rsidRPr="00EE1BAE">
        <w:tab/>
      </w:r>
      <w:r w:rsidR="00EE1BAE" w:rsidRPr="00EE1BAE">
        <w:t xml:space="preserve">The main institution that is working with young people (also under age of 18) is Recruiting and Youth Guard Centre. It is subordinated to the Ministry of Defence. The main functions of Recruitment and Youth Guard Centre: to carry out recruitment; to educate the youth in national defence; to promote the citizenship consciousness and patriotism; to provide the public with necessary information resources for national defence topics. </w:t>
      </w:r>
    </w:p>
    <w:p w:rsidR="00EE1BAE" w:rsidRPr="00EE1BAE" w:rsidRDefault="00F16F25" w:rsidP="00F16F25">
      <w:pPr>
        <w:pStyle w:val="SingleTxtG"/>
      </w:pPr>
      <w:r w:rsidRPr="00EE1BAE">
        <w:t>6.</w:t>
      </w:r>
      <w:r w:rsidRPr="00EE1BAE">
        <w:tab/>
      </w:r>
      <w:r w:rsidR="00EE1BAE" w:rsidRPr="00EE1BAE">
        <w:t>The Ministry of</w:t>
      </w:r>
      <w:r w:rsidR="00BC5EBD">
        <w:t xml:space="preserve"> the</w:t>
      </w:r>
      <w:r w:rsidR="00EE1BAE" w:rsidRPr="00EE1BAE">
        <w:t xml:space="preserve"> Interior is responsible for the implementation of the </w:t>
      </w:r>
      <w:r w:rsidR="00BC5EBD">
        <w:t>Optional P</w:t>
      </w:r>
      <w:r w:rsidR="00EE1BAE" w:rsidRPr="00EE1BAE">
        <w:t xml:space="preserve">rotocol in the internal affairs sector, which includes combating crime, protection of public order and safety and the protection of the rights and lawful interests of a person, State border security, fire-safety, fire-fighting, rescue, civil protection, record keeping and documentation of population, as well as the sub-sectors for migration and citizenship matters. The Ministry of </w:t>
      </w:r>
      <w:r w:rsidR="00BC5EBD">
        <w:t xml:space="preserve">the </w:t>
      </w:r>
      <w:r w:rsidR="00EE1BAE" w:rsidRPr="00EE1BAE">
        <w:t xml:space="preserve">Interior is responsible that young people (under age of 18) are not involved as employees or otherwise in armed, militarised government authorities subordinated to the Ministry of </w:t>
      </w:r>
      <w:r w:rsidR="00BC5EBD">
        <w:t xml:space="preserve">the </w:t>
      </w:r>
      <w:r w:rsidR="00EE1BAE" w:rsidRPr="00EE1BAE">
        <w:t xml:space="preserve">Interior: State Police, State Border Guard, and Security Police. </w:t>
      </w:r>
    </w:p>
    <w:p w:rsidR="00EE1BAE" w:rsidRPr="00EE1BAE" w:rsidRDefault="00F16F25" w:rsidP="00F16F25">
      <w:pPr>
        <w:pStyle w:val="SingleTxtG"/>
      </w:pPr>
      <w:r w:rsidRPr="00EE1BAE">
        <w:t>7.</w:t>
      </w:r>
      <w:r w:rsidRPr="00EE1BAE">
        <w:tab/>
      </w:r>
      <w:r w:rsidR="00EE1BAE" w:rsidRPr="00EE1BAE">
        <w:t>The police are an armed, militarised State or local government authority, whose duty is to protect from criminal and other illegal threats life, health, rights and freedoms, property, and the interests of society and the State (</w:t>
      </w:r>
      <w:r w:rsidR="00BC5EBD">
        <w:t>s</w:t>
      </w:r>
      <w:r w:rsidR="00EE1BAE" w:rsidRPr="00EE1BAE">
        <w:t>ection 1 of law “On the Police” of 4 June 1991).</w:t>
      </w:r>
    </w:p>
    <w:p w:rsidR="00EE1BAE" w:rsidRPr="00EE1BAE" w:rsidRDefault="00F16F25" w:rsidP="00F16F25">
      <w:pPr>
        <w:pStyle w:val="SingleTxtG"/>
      </w:pPr>
      <w:r w:rsidRPr="00EE1BAE">
        <w:t>8.</w:t>
      </w:r>
      <w:r w:rsidRPr="00EE1BAE">
        <w:tab/>
      </w:r>
      <w:r w:rsidR="00EE1BAE" w:rsidRPr="00EE1BAE">
        <w:t>The Border Guard is armed, and the functions thereof are to ensure the inviolability of the State border and the prevention of illegal migration (</w:t>
      </w:r>
      <w:r w:rsidR="00BC5EBD">
        <w:t>s</w:t>
      </w:r>
      <w:r w:rsidR="00EE1BAE" w:rsidRPr="00EE1BAE">
        <w:t>ection 2 of Border Guard Law of 16 December 1997).</w:t>
      </w:r>
    </w:p>
    <w:p w:rsidR="00EE1BAE" w:rsidRPr="00EE1BAE" w:rsidRDefault="00F16F25" w:rsidP="00F16F25">
      <w:pPr>
        <w:pStyle w:val="SingleTxtG"/>
      </w:pPr>
      <w:r w:rsidRPr="00EE1BAE">
        <w:t>9.</w:t>
      </w:r>
      <w:r w:rsidRPr="00EE1BAE">
        <w:tab/>
      </w:r>
      <w:r w:rsidR="00EE1BAE" w:rsidRPr="00EE1BAE">
        <w:t>The Security Police is a State security institution under the supervision of the Minister for the Interior which implements State policy in the field of State security and is a body for performing investigatory operations (</w:t>
      </w:r>
      <w:r w:rsidR="00BC5EBD">
        <w:t>c</w:t>
      </w:r>
      <w:r w:rsidR="00EE1BAE" w:rsidRPr="00EE1BAE">
        <w:t>lause one of Cabinet Regulation No.</w:t>
      </w:r>
      <w:r w:rsidR="00E339FC">
        <w:t xml:space="preserve"> </w:t>
      </w:r>
      <w:r w:rsidR="00EE1BAE" w:rsidRPr="00EE1BAE">
        <w:t>934 of 16 November 2004 “By-laws of the Security Police”).</w:t>
      </w:r>
    </w:p>
    <w:p w:rsidR="00EE1BAE" w:rsidRPr="00EE1BAE" w:rsidRDefault="00F16F25" w:rsidP="00F16F25">
      <w:pPr>
        <w:pStyle w:val="SingleTxtG"/>
      </w:pPr>
      <w:r w:rsidRPr="00EE1BAE">
        <w:t>10.</w:t>
      </w:r>
      <w:r w:rsidRPr="00EE1BAE">
        <w:tab/>
      </w:r>
      <w:r w:rsidR="00EE1BAE" w:rsidRPr="00EE1BAE">
        <w:t xml:space="preserve">The Ministry of Justice is responsible for the establishment of the legal system which ensures that persons who are violating the provisions established by the </w:t>
      </w:r>
      <w:r w:rsidR="00BC5EBD">
        <w:t>Optional P</w:t>
      </w:r>
      <w:r w:rsidR="00EE1BAE" w:rsidRPr="00EE1BAE">
        <w:t>rotocol shall be held responsible for that (adoption of legal measures necessary to prohibit and criminalize such practices as recruitment or use of persons under the age of 18 years in hostilities). The Ministry of Justice formulates and implements State policy in the field of state law, administrative law, civil law, commercial law, criminal law and religious law, as well as in the field of procedural rights (Cabinet Regulation No.</w:t>
      </w:r>
      <w:r w:rsidR="005511D1">
        <w:t xml:space="preserve"> </w:t>
      </w:r>
      <w:r w:rsidR="00EE1BAE" w:rsidRPr="00EE1BAE">
        <w:t>243 of 29 April 2003 “By-law of the Ministry of Justice”</w:t>
      </w:r>
      <w:r w:rsidR="00BC5EBD">
        <w:t>,</w:t>
      </w:r>
      <w:r w:rsidR="00EE1BAE" w:rsidRPr="00EE1BAE">
        <w:t xml:space="preserve"> </w:t>
      </w:r>
      <w:r w:rsidR="00BC5EBD">
        <w:t>p</w:t>
      </w:r>
      <w:r w:rsidR="00EE1BAE" w:rsidRPr="00EE1BAE">
        <w:t>aragraph 5.1.1.).</w:t>
      </w:r>
    </w:p>
    <w:p w:rsidR="00EE1BAE" w:rsidRPr="00EE1BAE" w:rsidRDefault="00EE1BAE" w:rsidP="00BC5EBD">
      <w:pPr>
        <w:pStyle w:val="H23G"/>
      </w:pPr>
      <w:r>
        <w:lastRenderedPageBreak/>
        <w:tab/>
      </w:r>
      <w:r>
        <w:tab/>
      </w:r>
      <w:r w:rsidRPr="00EE1BAE">
        <w:t>Additional background information</w:t>
      </w:r>
    </w:p>
    <w:p w:rsidR="00EE1BAE" w:rsidRPr="00EE1BAE" w:rsidRDefault="00F16F25" w:rsidP="00F16F25">
      <w:pPr>
        <w:pStyle w:val="SingleTxtG"/>
      </w:pPr>
      <w:r w:rsidRPr="00EE1BAE">
        <w:t>11.</w:t>
      </w:r>
      <w:r w:rsidRPr="00EE1BAE">
        <w:tab/>
      </w:r>
      <w:r w:rsidR="00EE1BAE" w:rsidRPr="00EE1BAE">
        <w:t>Taking into account that a child as a physically and mentally immature person has the need for special protection and care the Protection of the Rights of the Child Law (hereafter the Law) sets out the rights and freedoms of a child and the protection therefor (</w:t>
      </w:r>
      <w:r w:rsidR="00BC5EBD">
        <w:t>s</w:t>
      </w:r>
      <w:r w:rsidR="00EE1BAE" w:rsidRPr="00EE1BAE">
        <w:t>ection 2</w:t>
      </w:r>
      <w:r w:rsidR="00BC5EBD">
        <w:t>,</w:t>
      </w:r>
      <w:r w:rsidR="00EE1BAE" w:rsidRPr="00EE1BAE">
        <w:t xml:space="preserve"> </w:t>
      </w:r>
      <w:r w:rsidR="00BC5EBD">
        <w:t>p</w:t>
      </w:r>
      <w:r w:rsidR="00EE1BAE" w:rsidRPr="00EE1BAE">
        <w:t>ara</w:t>
      </w:r>
      <w:r w:rsidR="00BC5EBD">
        <w:t>.</w:t>
      </w:r>
      <w:r w:rsidR="00EE1BAE" w:rsidRPr="00EE1BAE">
        <w:t xml:space="preserve"> </w:t>
      </w:r>
      <w:r w:rsidR="00BC5EBD">
        <w:t>1,</w:t>
      </w:r>
      <w:r w:rsidR="00EE1BAE" w:rsidRPr="00EE1BAE">
        <w:t xml:space="preserve"> of the Law). </w:t>
      </w:r>
    </w:p>
    <w:p w:rsidR="00EE1BAE" w:rsidRPr="00EE1BAE" w:rsidRDefault="00F16F25" w:rsidP="00F16F25">
      <w:pPr>
        <w:pStyle w:val="SingleTxtG"/>
      </w:pPr>
      <w:r w:rsidRPr="00EE1BAE">
        <w:t>12.</w:t>
      </w:r>
      <w:r w:rsidRPr="00EE1BAE">
        <w:tab/>
      </w:r>
      <w:r w:rsidR="00EE1BAE" w:rsidRPr="00EE1BAE">
        <w:t xml:space="preserve">The law regulates the criteria by which the behaviour of a child shall be controlled and the liability of a child shall be determined, regulates the rights, obligations and liabilities of parents and other natural persons and legal persons and the State and local governments in regard to ensuring the rights of the child, and determines the system for the protection of the rights of the child and the legal principles regarding its operation. </w:t>
      </w:r>
    </w:p>
    <w:p w:rsidR="00EE1BAE" w:rsidRPr="00EE1BAE" w:rsidRDefault="00F16F25" w:rsidP="00F16F25">
      <w:pPr>
        <w:pStyle w:val="SingleTxtG"/>
      </w:pPr>
      <w:r w:rsidRPr="00EE1BAE">
        <w:t>13.</w:t>
      </w:r>
      <w:r w:rsidRPr="00EE1BAE">
        <w:tab/>
      </w:r>
      <w:r w:rsidR="00EE1BAE" w:rsidRPr="00EE1BAE">
        <w:t>Protection of the rights of the child is an integral part of State policy. The State and local governments shall organise and monitor the protection of the rights of the child throughout the territory of the State (</w:t>
      </w:r>
      <w:r w:rsidR="00BC5EBD">
        <w:t>s</w:t>
      </w:r>
      <w:r w:rsidR="00EE1BAE" w:rsidRPr="00EE1BAE">
        <w:t>ection 2 of the Law). The State shall ensure the rights and freedoms of all children without any discrimination (</w:t>
      </w:r>
      <w:r w:rsidR="00BC5EBD">
        <w:t>s</w:t>
      </w:r>
      <w:r w:rsidR="00EE1BAE" w:rsidRPr="00EE1BAE">
        <w:t>ection 3</w:t>
      </w:r>
      <w:r w:rsidR="00BC5EBD">
        <w:t>,</w:t>
      </w:r>
      <w:r w:rsidR="00EE1BAE" w:rsidRPr="00EE1BAE">
        <w:t xml:space="preserve"> </w:t>
      </w:r>
      <w:r w:rsidR="00BC5EBD">
        <w:t>p</w:t>
      </w:r>
      <w:r w:rsidR="00EE1BAE" w:rsidRPr="00EE1BAE">
        <w:t>ara</w:t>
      </w:r>
      <w:r w:rsidR="00BC5EBD">
        <w:t>.</w:t>
      </w:r>
      <w:r w:rsidR="00EE1BAE" w:rsidRPr="00EE1BAE">
        <w:t xml:space="preserve"> </w:t>
      </w:r>
      <w:r w:rsidR="00BC5EBD">
        <w:t>2,</w:t>
      </w:r>
      <w:r w:rsidR="00EE1BAE" w:rsidRPr="00EE1BAE">
        <w:t xml:space="preserve"> of the Law).</w:t>
      </w:r>
    </w:p>
    <w:p w:rsidR="00EE1BAE" w:rsidRPr="00EE1BAE" w:rsidRDefault="00F16F25" w:rsidP="00F16F25">
      <w:pPr>
        <w:pStyle w:val="SingleTxtG"/>
      </w:pPr>
      <w:r w:rsidRPr="00EE1BAE">
        <w:t>14.</w:t>
      </w:r>
      <w:r w:rsidRPr="00EE1BAE">
        <w:tab/>
      </w:r>
      <w:r w:rsidR="00EE1BAE" w:rsidRPr="00EE1BAE">
        <w:t>One of the objectives of protection of the rights of the child is the safety of the child, as well as maximum protection of the health and the life of the child, paying particular attention to such during public events or visits to a public recreation activity, sports or recreation location accessible to children, armed conflict, fires or other emergency situations (floods, storms, increased radiation levels and the like) (</w:t>
      </w:r>
      <w:r w:rsidR="00BC5EBD">
        <w:t>s</w:t>
      </w:r>
      <w:r w:rsidR="00EE1BAE" w:rsidRPr="00EE1BAE">
        <w:t>ection 4</w:t>
      </w:r>
      <w:r w:rsidR="00BC5EBD">
        <w:t>,</w:t>
      </w:r>
      <w:r w:rsidR="00EE1BAE" w:rsidRPr="00EE1BAE">
        <w:t xml:space="preserve"> </w:t>
      </w:r>
      <w:r w:rsidR="00BC5EBD">
        <w:t>c</w:t>
      </w:r>
      <w:r w:rsidR="00EE1BAE" w:rsidRPr="00EE1BAE">
        <w:t>lause 5</w:t>
      </w:r>
      <w:r w:rsidR="00BC5EBD">
        <w:t>,</w:t>
      </w:r>
      <w:r w:rsidR="00EE1BAE" w:rsidRPr="00EE1BAE">
        <w:t xml:space="preserve"> of the Law).</w:t>
      </w:r>
    </w:p>
    <w:p w:rsidR="00EE1BAE" w:rsidRPr="00EE1BAE" w:rsidRDefault="00F16F25" w:rsidP="00F16F25">
      <w:pPr>
        <w:pStyle w:val="SingleTxtG"/>
      </w:pPr>
      <w:r w:rsidRPr="00EE1BAE">
        <w:t>15.</w:t>
      </w:r>
      <w:r w:rsidRPr="00EE1BAE">
        <w:tab/>
      </w:r>
      <w:r w:rsidR="00EE1BAE" w:rsidRPr="00EE1BAE">
        <w:t>The protection of the rights of the child in the State shall be ensured by:</w:t>
      </w:r>
      <w:r w:rsidR="006F7AD5">
        <w:t xml:space="preserve"> t</w:t>
      </w:r>
      <w:r w:rsidR="006F7AD5" w:rsidRPr="00EE1BAE">
        <w:t>he parents (adopters), foster family and guardians of a child; educational, cultural, health care and child care institutions; State and local government institutions; public organisations and other natural or legal persons whose activities are related to the provision of support and assistance to children; employers (</w:t>
      </w:r>
      <w:r w:rsidR="00214C45">
        <w:t>s</w:t>
      </w:r>
      <w:r w:rsidR="006F7AD5" w:rsidRPr="00EE1BAE">
        <w:t>ection 5</w:t>
      </w:r>
      <w:r w:rsidR="00214C45">
        <w:t>,</w:t>
      </w:r>
      <w:r w:rsidR="006F7AD5" w:rsidRPr="00EE1BAE">
        <w:t xml:space="preserve"> </w:t>
      </w:r>
      <w:r w:rsidR="00214C45">
        <w:t>p</w:t>
      </w:r>
      <w:r w:rsidR="006F7AD5" w:rsidRPr="00EE1BAE">
        <w:t>ara</w:t>
      </w:r>
      <w:r w:rsidR="00214C45">
        <w:t>.</w:t>
      </w:r>
      <w:r w:rsidR="006F7AD5" w:rsidRPr="00EE1BAE">
        <w:t xml:space="preserve"> </w:t>
      </w:r>
      <w:r w:rsidR="00214C45">
        <w:t>1,</w:t>
      </w:r>
      <w:r w:rsidR="006F7AD5" w:rsidRPr="00EE1BAE">
        <w:t xml:space="preserve"> of the Law).</w:t>
      </w:r>
    </w:p>
    <w:p w:rsidR="00EE1BAE" w:rsidRPr="00EE1BAE" w:rsidRDefault="00EE1BAE" w:rsidP="00A7053A">
      <w:pPr>
        <w:pStyle w:val="H23G"/>
      </w:pPr>
      <w:r>
        <w:rPr>
          <w:szCs w:val="24"/>
        </w:rPr>
        <w:tab/>
      </w:r>
      <w:r w:rsidR="00A7053A">
        <w:rPr>
          <w:szCs w:val="24"/>
        </w:rPr>
        <w:tab/>
      </w:r>
      <w:r w:rsidR="006F4514" w:rsidRPr="0090095D">
        <w:rPr>
          <w:bCs/>
          <w:iCs/>
        </w:rPr>
        <w:t>Reply to the issues raised in paragraph </w:t>
      </w:r>
      <w:r w:rsidR="006F4514">
        <w:rPr>
          <w:bCs/>
          <w:iCs/>
        </w:rPr>
        <w:t>2</w:t>
      </w:r>
      <w:r w:rsidR="006F4514" w:rsidRPr="0090095D">
        <w:rPr>
          <w:bCs/>
          <w:iCs/>
        </w:rPr>
        <w:t xml:space="preserve"> of the list of issues</w:t>
      </w:r>
    </w:p>
    <w:p w:rsidR="00EE1BAE" w:rsidRPr="00EE1BAE" w:rsidRDefault="00F16F25" w:rsidP="00F16F25">
      <w:pPr>
        <w:pStyle w:val="SingleTxtG"/>
      </w:pPr>
      <w:r w:rsidRPr="00EE1BAE">
        <w:t>16.</w:t>
      </w:r>
      <w:r w:rsidRPr="00EE1BAE">
        <w:tab/>
      </w:r>
      <w:r w:rsidR="00EE1BAE" w:rsidRPr="00EE1BAE">
        <w:t xml:space="preserve">In order to disseminate information on the </w:t>
      </w:r>
      <w:r w:rsidR="00165D47">
        <w:t>Optional P</w:t>
      </w:r>
      <w:r w:rsidR="00EE1BAE" w:rsidRPr="00EE1BAE">
        <w:t>rotocol</w:t>
      </w:r>
      <w:r w:rsidR="00165D47">
        <w:t>,</w:t>
      </w:r>
      <w:r w:rsidR="00EE1BAE" w:rsidRPr="00EE1BAE">
        <w:t xml:space="preserve"> the Ministry of Welfare has published the </w:t>
      </w:r>
      <w:r w:rsidR="00165D47">
        <w:t>i</w:t>
      </w:r>
      <w:r w:rsidR="00EE1BAE" w:rsidRPr="00EE1BAE">
        <w:t xml:space="preserve">nitial </w:t>
      </w:r>
      <w:r w:rsidR="00165D47">
        <w:t>r</w:t>
      </w:r>
      <w:r w:rsidR="00EE1BAE" w:rsidRPr="00EE1BAE">
        <w:t xml:space="preserve">eport of the Republic of Latvia </w:t>
      </w:r>
      <w:r w:rsidR="00165D47">
        <w:t>o</w:t>
      </w:r>
      <w:r w:rsidR="00EE1BAE" w:rsidRPr="00EE1BAE">
        <w:t xml:space="preserve">n </w:t>
      </w:r>
      <w:r w:rsidR="00165D47">
        <w:t xml:space="preserve">the implementation </w:t>
      </w:r>
      <w:r w:rsidR="00EE1BAE" w:rsidRPr="00EE1BAE">
        <w:t xml:space="preserve">of the Optional Protocol to the Convention on the Rights of the Child on the </w:t>
      </w:r>
      <w:r w:rsidR="00165D47">
        <w:t>i</w:t>
      </w:r>
      <w:r w:rsidR="00EE1BAE" w:rsidRPr="00EE1BAE">
        <w:t xml:space="preserve">nvolvement of </w:t>
      </w:r>
      <w:r w:rsidR="00165D47">
        <w:t>c</w:t>
      </w:r>
      <w:r w:rsidR="00EE1BAE" w:rsidRPr="00EE1BAE">
        <w:t xml:space="preserve">hildren in </w:t>
      </w:r>
      <w:r w:rsidR="00165D47">
        <w:t>a</w:t>
      </w:r>
      <w:r w:rsidR="00EE1BAE" w:rsidRPr="00EE1BAE">
        <w:t xml:space="preserve">rmed </w:t>
      </w:r>
      <w:r w:rsidR="00165D47">
        <w:t>c</w:t>
      </w:r>
      <w:r w:rsidR="00EE1BAE" w:rsidRPr="00EE1BAE">
        <w:t xml:space="preserve">onflict in 2006-2011 on the ministry’s web page </w:t>
      </w:r>
      <w:r w:rsidR="00214C45">
        <w:t>(</w:t>
      </w:r>
      <w:hyperlink r:id="rId10" w:history="1">
        <w:r w:rsidR="00EE1BAE" w:rsidRPr="001413F1">
          <w:rPr>
            <w:rFonts w:eastAsia="Calibri"/>
          </w:rPr>
          <w:t>http://www.lm.gov.lv/text/2876</w:t>
        </w:r>
      </w:hyperlink>
      <w:r w:rsidR="00214C45">
        <w:rPr>
          <w:rFonts w:eastAsia="Calibri"/>
        </w:rPr>
        <w:t>)</w:t>
      </w:r>
      <w:r w:rsidR="00EE1BAE" w:rsidRPr="00EE1BAE">
        <w:t xml:space="preserve"> (both in Latvian and English). The </w:t>
      </w:r>
      <w:r w:rsidR="00165D47">
        <w:t>i</w:t>
      </w:r>
      <w:r w:rsidR="00EE1BAE" w:rsidRPr="00EE1BAE">
        <w:t xml:space="preserve">nitial </w:t>
      </w:r>
      <w:r w:rsidR="00165D47">
        <w:t>r</w:t>
      </w:r>
      <w:r w:rsidR="00EE1BAE" w:rsidRPr="00EE1BAE">
        <w:t xml:space="preserve">eport of the Republic of Latvia has also been published on the web page of the Cabinet of Ministers: </w:t>
      </w:r>
      <w:hyperlink r:id="rId11" w:history="1">
        <w:r w:rsidR="00214C45" w:rsidRPr="00F16F25">
          <w:rPr>
            <w:rStyle w:val="Hyperlink"/>
            <w:rFonts w:eastAsia="Calibri"/>
            <w:color w:val="auto"/>
            <w:u w:val="none"/>
          </w:rPr>
          <w:t>http://tap.mk.gov.lv/lv/mk/tap/?pid=40258141</w:t>
        </w:r>
      </w:hyperlink>
      <w:r w:rsidR="00EE1BAE" w:rsidRPr="00165D47">
        <w:t xml:space="preserve">. </w:t>
      </w:r>
      <w:r w:rsidR="00EE1BAE" w:rsidRPr="00EE1BAE">
        <w:t xml:space="preserve">The </w:t>
      </w:r>
      <w:r w:rsidR="00165D47">
        <w:t>Optional P</w:t>
      </w:r>
      <w:r w:rsidR="00EE1BAE" w:rsidRPr="00EE1BAE">
        <w:t xml:space="preserve">rotocol has also been translated into Latvian and is available on the internet: </w:t>
      </w:r>
      <w:hyperlink r:id="rId12" w:history="1">
        <w:r w:rsidR="00EE1BAE" w:rsidRPr="001413F1">
          <w:rPr>
            <w:rFonts w:eastAsia="Calibri"/>
          </w:rPr>
          <w:t>http://likumi.lv/doc.php?id=118415</w:t>
        </w:r>
      </w:hyperlink>
      <w:r w:rsidR="00EE1BAE" w:rsidRPr="00EE1BAE">
        <w:t>.</w:t>
      </w:r>
      <w:r w:rsidR="005511D1">
        <w:t xml:space="preserve"> </w:t>
      </w:r>
    </w:p>
    <w:p w:rsidR="00EE1BAE" w:rsidRPr="00EE1BAE" w:rsidRDefault="00F16F25" w:rsidP="00F16F25">
      <w:pPr>
        <w:pStyle w:val="SingleTxtG"/>
      </w:pPr>
      <w:r w:rsidRPr="00EE1BAE">
        <w:t>17.</w:t>
      </w:r>
      <w:r w:rsidRPr="00EE1BAE">
        <w:tab/>
      </w:r>
      <w:r w:rsidR="00EE1BAE" w:rsidRPr="00EE1BAE">
        <w:t xml:space="preserve">There have not been any awareness-raising campaigns specifically about the </w:t>
      </w:r>
      <w:r w:rsidR="00214C45" w:rsidRPr="00EE1BAE">
        <w:t>Optional P</w:t>
      </w:r>
      <w:r w:rsidR="00EE1BAE" w:rsidRPr="00EE1BAE">
        <w:t xml:space="preserve">rotocol targeting society at </w:t>
      </w:r>
      <w:proofErr w:type="gramStart"/>
      <w:r w:rsidR="00EE1BAE" w:rsidRPr="00EE1BAE">
        <w:t>large,</w:t>
      </w:r>
      <w:proofErr w:type="gramEnd"/>
      <w:r w:rsidR="00EE1BAE" w:rsidRPr="00EE1BAE">
        <w:t xml:space="preserve"> and in particular children and their parents.</w:t>
      </w:r>
    </w:p>
    <w:p w:rsidR="00EE1BAE" w:rsidRPr="00EE1BAE" w:rsidRDefault="00F16F25" w:rsidP="00F16F25">
      <w:pPr>
        <w:pStyle w:val="SingleTxtG"/>
      </w:pPr>
      <w:r w:rsidRPr="00EE1BAE">
        <w:t>18.</w:t>
      </w:r>
      <w:r w:rsidRPr="00EE1BAE">
        <w:tab/>
      </w:r>
      <w:r w:rsidR="00EE1BAE" w:rsidRPr="00EE1BAE">
        <w:t>Nevertheless the State Police organizes and supports different preventive measures on a regular basis, develops informative materials with the purpose of reducing drug and alcohol use and smoking, as well as pays attention to the issues of interrelations of children, road traffic safety, preparing children for dutiful life and teaching respect towards human rights and fundamental freedoms.</w:t>
      </w:r>
    </w:p>
    <w:p w:rsidR="00EE1BAE" w:rsidRPr="00EE1BAE" w:rsidRDefault="00F16F25" w:rsidP="00F16F25">
      <w:pPr>
        <w:pStyle w:val="SingleTxtG"/>
      </w:pPr>
      <w:r w:rsidRPr="00EE1BAE">
        <w:t>19.</w:t>
      </w:r>
      <w:r w:rsidRPr="00EE1BAE">
        <w:tab/>
      </w:r>
      <w:r w:rsidR="00EE1BAE" w:rsidRPr="00EE1BAE">
        <w:t>For example, in 2014, 3</w:t>
      </w:r>
      <w:r w:rsidR="00F7044C">
        <w:t>,</w:t>
      </w:r>
      <w:r w:rsidR="00EE1BAE" w:rsidRPr="00EE1BAE">
        <w:t>412 preventive measures took place in different educational institutions of Latvia about such topics as: violence at school; domestic violence; violence and the associated liability; emotional abuse; criminal and administrative liability; drug effects; the harmful effects of alcohol and smoking; road traffic safety; safety at home and on the street; safe internet, etc.</w:t>
      </w:r>
    </w:p>
    <w:p w:rsidR="00EE1BAE" w:rsidRPr="00EE1BAE" w:rsidRDefault="00EE1BAE" w:rsidP="00A7053A">
      <w:pPr>
        <w:pStyle w:val="H23G"/>
      </w:pPr>
      <w:r>
        <w:rPr>
          <w:szCs w:val="24"/>
        </w:rPr>
        <w:tab/>
      </w:r>
      <w:r w:rsidR="00A7053A">
        <w:rPr>
          <w:szCs w:val="24"/>
        </w:rPr>
        <w:tab/>
      </w:r>
      <w:r w:rsidR="00A7053A" w:rsidRPr="0090095D">
        <w:rPr>
          <w:bCs/>
          <w:iCs/>
        </w:rPr>
        <w:t>Reply to the issues raised in paragraph </w:t>
      </w:r>
      <w:r w:rsidR="00A7053A">
        <w:rPr>
          <w:bCs/>
          <w:iCs/>
        </w:rPr>
        <w:t>3</w:t>
      </w:r>
      <w:r w:rsidR="00A7053A" w:rsidRPr="0090095D">
        <w:rPr>
          <w:bCs/>
          <w:iCs/>
        </w:rPr>
        <w:t xml:space="preserve"> of the list of issues</w:t>
      </w:r>
    </w:p>
    <w:p w:rsidR="00EE1BAE" w:rsidRPr="00EE1BAE" w:rsidRDefault="00F16F25" w:rsidP="00F16F25">
      <w:pPr>
        <w:pStyle w:val="SingleTxtG"/>
      </w:pPr>
      <w:r w:rsidRPr="00EE1BAE">
        <w:t>20.</w:t>
      </w:r>
      <w:r w:rsidRPr="00EE1BAE">
        <w:tab/>
      </w:r>
      <w:r w:rsidR="00EE1BAE" w:rsidRPr="00B12C35">
        <w:t>Section 5</w:t>
      </w:r>
      <w:r w:rsidR="00EE1BAE" w:rsidRPr="00D9650B">
        <w:rPr>
          <w:vertAlign w:val="superscript"/>
        </w:rPr>
        <w:t>1</w:t>
      </w:r>
      <w:r w:rsidR="0024146C">
        <w:t>,</w:t>
      </w:r>
      <w:r w:rsidR="00EE1BAE" w:rsidRPr="00B12C35">
        <w:t xml:space="preserve"> </w:t>
      </w:r>
      <w:r w:rsidR="0024146C">
        <w:t>p</w:t>
      </w:r>
      <w:r w:rsidR="00EE1BAE" w:rsidRPr="00B12C35">
        <w:t xml:space="preserve">aragraph </w:t>
      </w:r>
      <w:r w:rsidR="0024146C">
        <w:t>1,</w:t>
      </w:r>
      <w:r w:rsidR="00EE1BAE" w:rsidRPr="00B12C35">
        <w:t xml:space="preserve"> of the </w:t>
      </w:r>
      <w:r w:rsidR="00EE1BAE" w:rsidRPr="00EE1BAE">
        <w:t xml:space="preserve">Protection of the Rights of the Child Law establishes persons who require special knowledge in the field of protection of the rights of the child: </w:t>
      </w:r>
    </w:p>
    <w:p w:rsidR="00EE1BAE" w:rsidRPr="00EE1BAE" w:rsidRDefault="0024146C" w:rsidP="00F16F25">
      <w:pPr>
        <w:spacing w:after="120"/>
        <w:ind w:left="1701" w:right="1134"/>
        <w:jc w:val="both"/>
      </w:pPr>
      <w:r>
        <w:t>(1)</w:t>
      </w:r>
      <w:r>
        <w:tab/>
      </w:r>
      <w:r w:rsidR="00581AB6" w:rsidRPr="00EE1BAE">
        <w:t xml:space="preserve">The </w:t>
      </w:r>
      <w:r w:rsidR="00EE1BAE" w:rsidRPr="00EE1BAE">
        <w:t>manager of out-of-family care institutions, social workers and social rehabilitator;</w:t>
      </w:r>
    </w:p>
    <w:p w:rsidR="00EE1BAE" w:rsidRPr="00EE1BAE" w:rsidRDefault="0024146C" w:rsidP="00F16F25">
      <w:pPr>
        <w:spacing w:after="120"/>
        <w:ind w:left="1701" w:right="1134"/>
        <w:jc w:val="both"/>
      </w:pPr>
      <w:r>
        <w:t>(2)</w:t>
      </w:r>
      <w:r>
        <w:tab/>
      </w:r>
      <w:r w:rsidR="00581AB6" w:rsidRPr="00EE1BAE">
        <w:t xml:space="preserve">The </w:t>
      </w:r>
      <w:r w:rsidR="00EE1BAE" w:rsidRPr="00EE1BAE">
        <w:t>chairperson of the Orphan’s court, the deputy chairperson of the Orphan’s court and a member of the Orphan’s court;</w:t>
      </w:r>
    </w:p>
    <w:p w:rsidR="00EE1BAE" w:rsidRPr="00EE1BAE" w:rsidRDefault="0024146C" w:rsidP="00F16F25">
      <w:pPr>
        <w:spacing w:after="120"/>
        <w:ind w:left="1701" w:right="1134"/>
        <w:jc w:val="both"/>
      </w:pPr>
      <w:r>
        <w:t>(3)</w:t>
      </w:r>
      <w:r>
        <w:tab/>
      </w:r>
      <w:r w:rsidR="00581AB6" w:rsidRPr="00EE1BAE">
        <w:t xml:space="preserve">The </w:t>
      </w:r>
      <w:r w:rsidR="00EE1BAE" w:rsidRPr="00EE1BAE">
        <w:t>head of an educational institution and the deputy head in educational work;</w:t>
      </w:r>
    </w:p>
    <w:p w:rsidR="00EE1BAE" w:rsidRPr="00EE1BAE" w:rsidRDefault="0024146C" w:rsidP="00F16F25">
      <w:pPr>
        <w:spacing w:after="120"/>
        <w:ind w:left="1701" w:right="1134"/>
        <w:jc w:val="both"/>
      </w:pPr>
      <w:r>
        <w:t>(4)</w:t>
      </w:r>
      <w:r>
        <w:tab/>
      </w:r>
      <w:r w:rsidR="00581AB6" w:rsidRPr="00EE1BAE">
        <w:t xml:space="preserve">A </w:t>
      </w:r>
      <w:r w:rsidR="00EE1BAE" w:rsidRPr="00EE1BAE">
        <w:t>specialist of the Education Quality State Service;</w:t>
      </w:r>
    </w:p>
    <w:p w:rsidR="00EE1BAE" w:rsidRPr="00EE1BAE" w:rsidRDefault="0024146C" w:rsidP="00F16F25">
      <w:pPr>
        <w:spacing w:after="120"/>
        <w:ind w:left="1701" w:right="1134"/>
        <w:jc w:val="both"/>
      </w:pPr>
      <w:r>
        <w:t>(5)</w:t>
      </w:r>
      <w:r>
        <w:tab/>
      </w:r>
      <w:r w:rsidR="00581AB6" w:rsidRPr="00EE1BAE">
        <w:t xml:space="preserve">A </w:t>
      </w:r>
      <w:r w:rsidR="00EE1BAE" w:rsidRPr="00EE1BAE">
        <w:t>specialist in youth matters;</w:t>
      </w:r>
    </w:p>
    <w:p w:rsidR="00EE1BAE" w:rsidRPr="00EE1BAE" w:rsidRDefault="0024146C" w:rsidP="00F16F25">
      <w:pPr>
        <w:spacing w:after="120"/>
        <w:ind w:left="1701" w:right="1134"/>
        <w:jc w:val="both"/>
      </w:pPr>
      <w:r>
        <w:t>(6)</w:t>
      </w:r>
      <w:r>
        <w:tab/>
      </w:r>
      <w:r w:rsidR="00581AB6" w:rsidRPr="00EE1BAE">
        <w:t xml:space="preserve">An </w:t>
      </w:r>
      <w:r w:rsidR="00EE1BAE" w:rsidRPr="00EE1BAE">
        <w:t>employee of a place of imprisonment who works with minors;</w:t>
      </w:r>
    </w:p>
    <w:p w:rsidR="00EE1BAE" w:rsidRPr="00EE1BAE" w:rsidRDefault="0024146C" w:rsidP="00F16F25">
      <w:pPr>
        <w:spacing w:after="120"/>
        <w:ind w:left="1701" w:right="1134"/>
        <w:jc w:val="both"/>
      </w:pPr>
      <w:r>
        <w:t>(7)</w:t>
      </w:r>
      <w:r>
        <w:tab/>
      </w:r>
      <w:r w:rsidR="00581AB6" w:rsidRPr="00EE1BAE">
        <w:t xml:space="preserve">The </w:t>
      </w:r>
      <w:r w:rsidR="00EE1BAE" w:rsidRPr="00EE1BAE">
        <w:t>head of the local government administrative committee or the head of the sub-committee in child matters of the local government administrative committee;</w:t>
      </w:r>
    </w:p>
    <w:p w:rsidR="00EE1BAE" w:rsidRPr="00EE1BAE" w:rsidRDefault="0024146C" w:rsidP="00F16F25">
      <w:pPr>
        <w:spacing w:after="120"/>
        <w:ind w:left="1701" w:right="1134"/>
        <w:jc w:val="both"/>
      </w:pPr>
      <w:r>
        <w:t>(8)</w:t>
      </w:r>
      <w:r>
        <w:tab/>
      </w:r>
      <w:r w:rsidR="00581AB6" w:rsidRPr="00EE1BAE">
        <w:t xml:space="preserve">The </w:t>
      </w:r>
      <w:r w:rsidR="00EE1BAE" w:rsidRPr="00EE1BAE">
        <w:t>head of the pedagogical medical commission of the local government;</w:t>
      </w:r>
    </w:p>
    <w:p w:rsidR="00EE1BAE" w:rsidRPr="00EE1BAE" w:rsidRDefault="0024146C" w:rsidP="00F16F25">
      <w:pPr>
        <w:spacing w:after="120"/>
        <w:ind w:left="1701" w:right="1134"/>
        <w:jc w:val="both"/>
      </w:pPr>
      <w:r>
        <w:t>(9)</w:t>
      </w:r>
      <w:r>
        <w:tab/>
      </w:r>
      <w:r w:rsidR="00581AB6" w:rsidRPr="00EE1BAE">
        <w:t xml:space="preserve">An </w:t>
      </w:r>
      <w:r w:rsidR="00EE1BAE" w:rsidRPr="00EE1BAE">
        <w:t>employee of the municipal police who works with children and families;</w:t>
      </w:r>
    </w:p>
    <w:p w:rsidR="00EE1BAE" w:rsidRPr="00EE1BAE" w:rsidRDefault="0024146C" w:rsidP="00F16F25">
      <w:pPr>
        <w:spacing w:after="120"/>
        <w:ind w:left="1701" w:right="1134"/>
        <w:jc w:val="both"/>
      </w:pPr>
      <w:r>
        <w:t>(10)</w:t>
      </w:r>
      <w:r>
        <w:tab/>
      </w:r>
      <w:r w:rsidR="00581AB6" w:rsidRPr="00EE1BAE">
        <w:t xml:space="preserve">A </w:t>
      </w:r>
      <w:r w:rsidR="00EE1BAE" w:rsidRPr="00EE1BAE">
        <w:t>social worker of the local government social service office who works with children and families;</w:t>
      </w:r>
    </w:p>
    <w:p w:rsidR="00EE1BAE" w:rsidRPr="00EE1BAE" w:rsidRDefault="0024146C" w:rsidP="00F16F25">
      <w:pPr>
        <w:spacing w:after="120"/>
        <w:ind w:left="1701" w:right="1134"/>
        <w:jc w:val="both"/>
      </w:pPr>
      <w:r>
        <w:t>(11)</w:t>
      </w:r>
      <w:r>
        <w:tab/>
      </w:r>
      <w:r w:rsidR="00581AB6" w:rsidRPr="00EE1BAE">
        <w:t xml:space="preserve">A </w:t>
      </w:r>
      <w:r w:rsidR="00EE1BAE" w:rsidRPr="00EE1BAE">
        <w:t>public prosecutor;</w:t>
      </w:r>
    </w:p>
    <w:p w:rsidR="00EE1BAE" w:rsidRPr="00EE1BAE" w:rsidRDefault="0024146C" w:rsidP="00F16F25">
      <w:pPr>
        <w:spacing w:after="120"/>
        <w:ind w:left="1701" w:right="1134"/>
        <w:jc w:val="both"/>
      </w:pPr>
      <w:r>
        <w:t>(12)</w:t>
      </w:r>
      <w:r>
        <w:tab/>
      </w:r>
      <w:r w:rsidR="00581AB6" w:rsidRPr="00EE1BAE">
        <w:t xml:space="preserve">A </w:t>
      </w:r>
      <w:r w:rsidR="00EE1BAE" w:rsidRPr="00EE1BAE">
        <w:t>social pedagogue and a psychologist who works with children;</w:t>
      </w:r>
    </w:p>
    <w:p w:rsidR="00EE1BAE" w:rsidRPr="00EE1BAE" w:rsidRDefault="0024146C" w:rsidP="00F16F25">
      <w:pPr>
        <w:spacing w:after="120"/>
        <w:ind w:left="1701" w:right="1134"/>
        <w:jc w:val="both"/>
      </w:pPr>
      <w:r>
        <w:t>(13)</w:t>
      </w:r>
      <w:r>
        <w:tab/>
      </w:r>
      <w:r w:rsidR="00581AB6" w:rsidRPr="00EE1BAE">
        <w:t xml:space="preserve">The </w:t>
      </w:r>
      <w:r w:rsidR="00EE1BAE" w:rsidRPr="00EE1BAE">
        <w:t>manager of the social service office;</w:t>
      </w:r>
    </w:p>
    <w:p w:rsidR="00EE1BAE" w:rsidRPr="00EE1BAE" w:rsidRDefault="0024146C" w:rsidP="00F16F25">
      <w:pPr>
        <w:spacing w:after="120"/>
        <w:ind w:left="1701" w:right="1134"/>
        <w:jc w:val="both"/>
      </w:pPr>
      <w:r>
        <w:t>(14)</w:t>
      </w:r>
      <w:r>
        <w:tab/>
      </w:r>
      <w:r w:rsidR="00581AB6" w:rsidRPr="00EE1BAE">
        <w:t xml:space="preserve">A </w:t>
      </w:r>
      <w:r w:rsidR="00EE1BAE" w:rsidRPr="00EE1BAE">
        <w:t>judge;</w:t>
      </w:r>
    </w:p>
    <w:p w:rsidR="00EE1BAE" w:rsidRPr="00EE1BAE" w:rsidRDefault="0024146C" w:rsidP="00F16F25">
      <w:pPr>
        <w:spacing w:after="120"/>
        <w:ind w:left="1701" w:right="1134"/>
        <w:jc w:val="both"/>
      </w:pPr>
      <w:r>
        <w:t>(15)</w:t>
      </w:r>
      <w:r>
        <w:tab/>
      </w:r>
      <w:r w:rsidR="00581AB6" w:rsidRPr="00EE1BAE">
        <w:t xml:space="preserve">An </w:t>
      </w:r>
      <w:r w:rsidR="00EE1BAE" w:rsidRPr="00EE1BAE">
        <w:t>inspector of the State protection of the children’s rights;</w:t>
      </w:r>
    </w:p>
    <w:p w:rsidR="00EE1BAE" w:rsidRPr="00EE1BAE" w:rsidRDefault="0024146C" w:rsidP="00F16F25">
      <w:pPr>
        <w:spacing w:after="120"/>
        <w:ind w:left="1701" w:right="1134"/>
        <w:jc w:val="both"/>
      </w:pPr>
      <w:r>
        <w:t>(16)</w:t>
      </w:r>
      <w:r>
        <w:tab/>
      </w:r>
      <w:r w:rsidR="00581AB6" w:rsidRPr="00EE1BAE">
        <w:t xml:space="preserve">The </w:t>
      </w:r>
      <w:r w:rsidR="00EE1BAE" w:rsidRPr="00EE1BAE">
        <w:t>head of the State Pedagogical and Medical Commission;</w:t>
      </w:r>
    </w:p>
    <w:p w:rsidR="00EE1BAE" w:rsidRPr="00EE1BAE" w:rsidRDefault="0024146C" w:rsidP="00F16F25">
      <w:pPr>
        <w:spacing w:after="120"/>
        <w:ind w:left="1701" w:right="1134"/>
        <w:jc w:val="both"/>
      </w:pPr>
      <w:r>
        <w:t>(17)</w:t>
      </w:r>
      <w:r>
        <w:tab/>
      </w:r>
      <w:r w:rsidR="00581AB6" w:rsidRPr="00EE1BAE">
        <w:t xml:space="preserve">An </w:t>
      </w:r>
      <w:r w:rsidR="00EE1BAE" w:rsidRPr="00EE1BAE">
        <w:t>official of the State Police who works with children;</w:t>
      </w:r>
    </w:p>
    <w:p w:rsidR="00EE1BAE" w:rsidRPr="00EE1BAE" w:rsidRDefault="0024146C" w:rsidP="00F16F25">
      <w:pPr>
        <w:spacing w:after="120"/>
        <w:ind w:left="1701" w:right="1134"/>
        <w:jc w:val="both"/>
      </w:pPr>
      <w:r>
        <w:t>(18)</w:t>
      </w:r>
      <w:r>
        <w:tab/>
      </w:r>
      <w:r w:rsidR="00581AB6" w:rsidRPr="00EE1BAE">
        <w:t xml:space="preserve">A </w:t>
      </w:r>
      <w:r w:rsidR="00EE1BAE" w:rsidRPr="00EE1BAE">
        <w:t>pedagogue of general education, vocational education and interest education;</w:t>
      </w:r>
    </w:p>
    <w:p w:rsidR="00EE1BAE" w:rsidRPr="00EE1BAE" w:rsidRDefault="0024146C" w:rsidP="00F16F25">
      <w:pPr>
        <w:spacing w:after="120"/>
        <w:ind w:left="1701" w:right="1134"/>
        <w:jc w:val="both"/>
      </w:pPr>
      <w:r>
        <w:t>(19)</w:t>
      </w:r>
      <w:r>
        <w:tab/>
      </w:r>
      <w:r w:rsidR="00581AB6" w:rsidRPr="00EE1BAE">
        <w:t xml:space="preserve">An </w:t>
      </w:r>
      <w:r w:rsidR="00EE1BAE" w:rsidRPr="00EE1BAE">
        <w:t>employee of the State Probation Service;</w:t>
      </w:r>
    </w:p>
    <w:p w:rsidR="00EE1BAE" w:rsidRPr="00EE1BAE" w:rsidRDefault="0024146C" w:rsidP="0024146C">
      <w:pPr>
        <w:spacing w:after="120"/>
        <w:ind w:left="1701" w:right="1134"/>
        <w:jc w:val="both"/>
      </w:pPr>
      <w:r>
        <w:t>(</w:t>
      </w:r>
      <w:r w:rsidR="00EE1BAE" w:rsidRPr="00EE1BAE">
        <w:t>19</w:t>
      </w:r>
      <w:r w:rsidR="00EE1BAE" w:rsidRPr="00EE1BAE">
        <w:rPr>
          <w:vertAlign w:val="superscript"/>
        </w:rPr>
        <w:t>1</w:t>
      </w:r>
      <w:r>
        <w:rPr>
          <w:vertAlign w:val="superscript"/>
        </w:rPr>
        <w:t>)</w:t>
      </w:r>
      <w:r w:rsidR="00581AB6">
        <w:rPr>
          <w:vertAlign w:val="superscript"/>
        </w:rPr>
        <w:tab/>
      </w:r>
      <w:r w:rsidR="00581AB6" w:rsidRPr="00EE1BAE">
        <w:t xml:space="preserve">A </w:t>
      </w:r>
      <w:r w:rsidR="00EE1BAE" w:rsidRPr="00EE1BAE">
        <w:t>lawyer;</w:t>
      </w:r>
    </w:p>
    <w:p w:rsidR="00EE1BAE" w:rsidRPr="00EE1BAE" w:rsidRDefault="0024146C" w:rsidP="00F16F25">
      <w:pPr>
        <w:spacing w:after="120"/>
        <w:ind w:left="1701" w:right="1134"/>
        <w:jc w:val="both"/>
      </w:pPr>
      <w:r>
        <w:t>(20)</w:t>
      </w:r>
      <w:r>
        <w:tab/>
      </w:r>
      <w:r w:rsidR="00581AB6" w:rsidRPr="00EE1BAE">
        <w:t xml:space="preserve">Any </w:t>
      </w:r>
      <w:r w:rsidR="00EE1BAE" w:rsidRPr="00EE1BAE">
        <w:t>other person if the rights and legal interests of a child are or may be affected by an administrative decision (particularly administrative act) taken thereby, actual action or performance of work or service duties of another kind.</w:t>
      </w:r>
    </w:p>
    <w:p w:rsidR="00EE1BAE" w:rsidRPr="00EE1BAE" w:rsidRDefault="00F16F25" w:rsidP="00F16F25">
      <w:pPr>
        <w:pStyle w:val="SingleTxtG"/>
      </w:pPr>
      <w:r w:rsidRPr="00EE1BAE">
        <w:t>21.</w:t>
      </w:r>
      <w:r w:rsidRPr="00EE1BAE">
        <w:tab/>
      </w:r>
      <w:r w:rsidR="00EE1BAE" w:rsidRPr="00EE1BAE">
        <w:t xml:space="preserve">In order for the persons referred to in </w:t>
      </w:r>
      <w:r w:rsidR="00214C45">
        <w:t>p</w:t>
      </w:r>
      <w:r w:rsidR="00EE1BAE" w:rsidRPr="00EE1BAE">
        <w:t xml:space="preserve">aragraph </w:t>
      </w:r>
      <w:r w:rsidR="00214C45">
        <w:t>1</w:t>
      </w:r>
      <w:r w:rsidR="00EE1BAE" w:rsidRPr="00EE1BAE">
        <w:t xml:space="preserve">, </w:t>
      </w:r>
      <w:r w:rsidR="00214C45">
        <w:t>c</w:t>
      </w:r>
      <w:r w:rsidR="00EE1BAE" w:rsidRPr="00EE1BAE">
        <w:t>lauses 6, 11, 14, 17 and 19</w:t>
      </w:r>
      <w:r w:rsidR="00EE1BAE" w:rsidRPr="00A7053A">
        <w:rPr>
          <w:vertAlign w:val="superscript"/>
        </w:rPr>
        <w:t>1</w:t>
      </w:r>
      <w:r w:rsidR="00EE1BAE" w:rsidRPr="00EE1BAE">
        <w:t xml:space="preserve"> of this </w:t>
      </w:r>
      <w:r w:rsidR="00214C45">
        <w:t>s</w:t>
      </w:r>
      <w:r w:rsidR="00EE1BAE" w:rsidRPr="00EE1BAE">
        <w:t>ection to acquire special knowledge in the field of the protection of the rights of the child, including regarding communication with a minor during criminal proceedings, the State Inspectorate for Protection of Children’s Rights shall organise training according to the funds assigned in the law on the State budget for the current year.</w:t>
      </w:r>
    </w:p>
    <w:p w:rsidR="00EE1BAE" w:rsidRPr="00EE1BAE" w:rsidRDefault="00F16F25" w:rsidP="00F16F25">
      <w:pPr>
        <w:pStyle w:val="SingleTxtG"/>
      </w:pPr>
      <w:r w:rsidRPr="00EE1BAE">
        <w:t>22.</w:t>
      </w:r>
      <w:r w:rsidRPr="00EE1BAE">
        <w:tab/>
      </w:r>
      <w:r w:rsidR="00EE1BAE" w:rsidRPr="00EE1BAE">
        <w:t>The procedures by which special knowledge in the field of the protection of the rights of the child shall be acquired, as well as the content and extent of such knowledge shall be stipulated by the Cabinet.</w:t>
      </w:r>
    </w:p>
    <w:p w:rsidR="00EE1BAE" w:rsidRPr="00EE1BAE" w:rsidRDefault="00F16F25" w:rsidP="00F16F25">
      <w:pPr>
        <w:pStyle w:val="SingleTxtG"/>
      </w:pPr>
      <w:r w:rsidRPr="00EE1BAE">
        <w:t>23.</w:t>
      </w:r>
      <w:r w:rsidRPr="00EE1BAE">
        <w:tab/>
      </w:r>
      <w:r w:rsidR="00EE1BAE" w:rsidRPr="00EE1BAE">
        <w:t xml:space="preserve">The themes and extent of the educational program is defined taking into account the profession and professional work specifics of the professionals to be trained. Such themes shall be included in the educational program: system on the protection of the rights of the child, regulations in the field; application of international law; rights of parents and children; violence against children, its types and indicators, violence against a child in the family; interdisciplinary cooperation; principles on how to communicate with children; a minor in criminal procedure, civil procedure, administrative procedure and administrative violation procedure. The models of the educational programs are approved by the Minister of Welfare. Educational programs developed </w:t>
      </w:r>
      <w:proofErr w:type="gramStart"/>
      <w:r w:rsidR="00EE1BAE" w:rsidRPr="00EE1BAE">
        <w:t>by an educational institutions</w:t>
      </w:r>
      <w:proofErr w:type="gramEnd"/>
      <w:r w:rsidR="00EE1BAE" w:rsidRPr="00EE1BAE">
        <w:t xml:space="preserve"> shall be brought into accord with the State Inspectorate for Protection of Children’s Rights.</w:t>
      </w:r>
    </w:p>
    <w:p w:rsidR="00EE1BAE" w:rsidRPr="00EE1BAE" w:rsidRDefault="00F16F25" w:rsidP="00F16F25">
      <w:pPr>
        <w:pStyle w:val="SingleTxtG"/>
      </w:pPr>
      <w:r w:rsidRPr="00EE1BAE">
        <w:t>24.</w:t>
      </w:r>
      <w:r w:rsidRPr="00EE1BAE">
        <w:tab/>
      </w:r>
      <w:r w:rsidR="00AA54DC">
        <w:t>O</w:t>
      </w:r>
      <w:r w:rsidR="00EE1BAE" w:rsidRPr="00EE1BAE">
        <w:t>n average at least 600 professionals are being trained according to the aforementioned educational programs annually. The training of these professionals is being funded by state budget and is organized by the State Inspectorate for Protection of Children’s Rights.</w:t>
      </w:r>
    </w:p>
    <w:p w:rsidR="00EE1BAE" w:rsidRPr="00EE1BAE" w:rsidRDefault="00F16F25" w:rsidP="00F16F25">
      <w:pPr>
        <w:pStyle w:val="SingleTxtG"/>
      </w:pPr>
      <w:r w:rsidRPr="00EE1BAE">
        <w:t>25.</w:t>
      </w:r>
      <w:r w:rsidRPr="00EE1BAE">
        <w:tab/>
      </w:r>
      <w:r w:rsidR="00EE1BAE" w:rsidRPr="00EE1BAE">
        <w:t xml:space="preserve">The State Police College has developed new informal education programs for adults “Protection of the Rights of the Child” </w:t>
      </w:r>
      <w:r w:rsidR="005511D1">
        <w:t>—</w:t>
      </w:r>
      <w:r w:rsidR="00EE1BAE" w:rsidRPr="00EE1BAE">
        <w:t xml:space="preserve"> in the volume of 40 hours and program “Protection of the Rights of the Child 2” </w:t>
      </w:r>
      <w:r w:rsidR="005511D1">
        <w:t>—</w:t>
      </w:r>
      <w:r w:rsidR="00EE1BAE" w:rsidRPr="00EE1BAE">
        <w:t xml:space="preserve"> in the volume of 24 hours in accordance with Cabinet Regulation No.</w:t>
      </w:r>
      <w:r w:rsidR="00E339FC">
        <w:t xml:space="preserve"> </w:t>
      </w:r>
      <w:r w:rsidR="00EE1BAE" w:rsidRPr="00EE1BAE">
        <w:t xml:space="preserve">173 of 1 April 2014 “Provisions on the procedure according to which special knowledge in the field of the protection of the rights of the child is being acquired, the substance of this knowledge and its volume”. Both of these educational programs were brought into accord with the State Inspectorate for Protection of the Rights of the Child on 16 January 2015. According to all the binding laws and other regulations the State Police College is implementing continuous education of the employees of State Police in the field of protection of the rights of the child. In addition it is worth mentioning that study course “Protection of the Rights of the Child” </w:t>
      </w:r>
      <w:r w:rsidR="005511D1">
        <w:t>—</w:t>
      </w:r>
      <w:r w:rsidR="00EE1BAE" w:rsidRPr="00EE1BAE">
        <w:t xml:space="preserve"> in the volume of 52 contact hours has been included in the list of compulsory study courses of the first level higher education program “Police Work”. Theme related to the involvement of children in armed conflict is being dealt with in the framework of the informal education programs for adults, in the study course programs “Human Rights in the Police Work”, “First Aid in the Police Work”, “the Rights of the Police” (about operation of the police in the field of humans rights and the rights if the child) as well as in the study course “Criminal Law” (about crimes against humanity, peace, war crimes and genocide).</w:t>
      </w:r>
      <w:r w:rsidR="005511D1">
        <w:t xml:space="preserve"> </w:t>
      </w:r>
    </w:p>
    <w:p w:rsidR="00EE1BAE" w:rsidRPr="00EE1BAE" w:rsidRDefault="00EE1BAE" w:rsidP="00A7053A">
      <w:pPr>
        <w:pStyle w:val="H23G"/>
      </w:pPr>
      <w:r>
        <w:rPr>
          <w:szCs w:val="24"/>
        </w:rPr>
        <w:tab/>
      </w:r>
      <w:r w:rsidR="00A7053A">
        <w:rPr>
          <w:szCs w:val="24"/>
        </w:rPr>
        <w:tab/>
      </w:r>
      <w:r w:rsidR="00A7053A" w:rsidRPr="0090095D">
        <w:rPr>
          <w:bCs/>
          <w:iCs/>
        </w:rPr>
        <w:t>Reply to the issues raised in paragraph </w:t>
      </w:r>
      <w:r w:rsidR="00A7053A">
        <w:rPr>
          <w:bCs/>
          <w:iCs/>
        </w:rPr>
        <w:t>4</w:t>
      </w:r>
      <w:r w:rsidR="00A7053A" w:rsidRPr="0090095D">
        <w:rPr>
          <w:bCs/>
          <w:iCs/>
        </w:rPr>
        <w:t xml:space="preserve"> of the list of issues</w:t>
      </w:r>
    </w:p>
    <w:p w:rsidR="00EE1BAE" w:rsidRPr="00EE1BAE" w:rsidRDefault="00F16F25" w:rsidP="00F16F25">
      <w:pPr>
        <w:pStyle w:val="SingleTxtG"/>
      </w:pPr>
      <w:r w:rsidRPr="00EE1BAE">
        <w:t>26.</w:t>
      </w:r>
      <w:r w:rsidRPr="00EE1BAE">
        <w:tab/>
      </w:r>
      <w:r w:rsidR="00EE1BAE" w:rsidRPr="00EE1BAE">
        <w:t xml:space="preserve">Section 74 of Criminal Law establishes criminal liability for war crimes. This legal norm provides for that for war crimes, that is </w:t>
      </w:r>
      <w:r w:rsidR="005511D1">
        <w:t>—</w:t>
      </w:r>
      <w:r w:rsidR="00EE1BAE" w:rsidRPr="00EE1BAE">
        <w:t xml:space="preserve"> for violation of provisions regarding conduct of war prohibited in international law binding upon the Republic of Latvia or of international humanitarian law, including murder, torture of a person protected by humanitarian law or inhuman treatment of such person, taking of hostages, illegal deportation, movement, limitation of liberty, unjustifiable destruction of cities and other entities, or other prohibited activity </w:t>
      </w:r>
      <w:r w:rsidR="005511D1">
        <w:t>—</w:t>
      </w:r>
      <w:r w:rsidR="00EE1BAE" w:rsidRPr="00EE1BAE">
        <w:t xml:space="preserve"> the applicable punishment is life imprisonment or deprivation of liberty for a term of three and up to twenty years. Criminal liability for war crimes provided for in </w:t>
      </w:r>
      <w:r w:rsidR="00AA54DC">
        <w:t>s</w:t>
      </w:r>
      <w:r w:rsidR="00EE1BAE" w:rsidRPr="00EE1BAE">
        <w:t xml:space="preserve">ection 8 of the Rome Statute of the International Criminal Court, which establishes that conscripting or enlisting children under the age of </w:t>
      </w:r>
      <w:r w:rsidR="00AA54DC">
        <w:t>15</w:t>
      </w:r>
      <w:r w:rsidR="00EE1BAE" w:rsidRPr="00EE1BAE">
        <w:t xml:space="preserve"> years into the national armed forces or using them to participate actively in hostilities both in internal armed conflicts and international armed conflicts is a crime (</w:t>
      </w:r>
      <w:r w:rsidR="00AA54DC">
        <w:t>c</w:t>
      </w:r>
      <w:r w:rsidR="00EE1BAE" w:rsidRPr="00EE1BAE">
        <w:t xml:space="preserve">lause (xxvi) of </w:t>
      </w:r>
      <w:r w:rsidR="00AA54DC">
        <w:t>s</w:t>
      </w:r>
      <w:r w:rsidR="00EE1BAE" w:rsidRPr="00EE1BAE">
        <w:t xml:space="preserve">ub-clause b) of </w:t>
      </w:r>
      <w:r w:rsidR="00AA54DC">
        <w:t>c</w:t>
      </w:r>
      <w:r w:rsidR="00EE1BAE" w:rsidRPr="00EE1BAE">
        <w:t xml:space="preserve">lause 2 of </w:t>
      </w:r>
      <w:r w:rsidR="00AA54DC">
        <w:t>s</w:t>
      </w:r>
      <w:r w:rsidR="00EE1BAE" w:rsidRPr="00EE1BAE">
        <w:t xml:space="preserve">ection 8 and </w:t>
      </w:r>
      <w:r w:rsidR="00AA54DC">
        <w:t>c</w:t>
      </w:r>
      <w:r w:rsidR="00EE1BAE" w:rsidRPr="00EE1BAE">
        <w:t xml:space="preserve">lause (vii) of </w:t>
      </w:r>
      <w:r w:rsidR="00AA54DC">
        <w:t>s</w:t>
      </w:r>
      <w:r w:rsidR="00EE1BAE" w:rsidRPr="00EE1BAE">
        <w:t xml:space="preserve">ub-clause e) of </w:t>
      </w:r>
      <w:r w:rsidR="00AA54DC">
        <w:t>c</w:t>
      </w:r>
      <w:r w:rsidR="00EE1BAE" w:rsidRPr="00EE1BAE">
        <w:t xml:space="preserve">lause 2 of </w:t>
      </w:r>
      <w:r w:rsidR="00AA54DC">
        <w:t>s</w:t>
      </w:r>
      <w:r w:rsidR="00EE1BAE" w:rsidRPr="00EE1BAE">
        <w:t xml:space="preserve">ection 8), has been included in </w:t>
      </w:r>
      <w:r w:rsidR="00AA54DC">
        <w:t>s</w:t>
      </w:r>
      <w:r w:rsidR="00EE1BAE" w:rsidRPr="00EE1BAE">
        <w:t xml:space="preserve">ection 74 of the Criminal Law. The aforementioned </w:t>
      </w:r>
      <w:r w:rsidR="00AA54DC">
        <w:t>s</w:t>
      </w:r>
      <w:r w:rsidR="00EE1BAE" w:rsidRPr="00EE1BAE">
        <w:t xml:space="preserve">ection 8 of Rome Statute of the International Criminal Court and respectively also </w:t>
      </w:r>
      <w:r w:rsidR="00AA54DC">
        <w:t>s</w:t>
      </w:r>
      <w:r w:rsidR="00EE1BAE" w:rsidRPr="00EE1BAE">
        <w:t>ection 74 of the Criminal Law are attributed not only to State (national) armed forces but also to non-State armed groups.</w:t>
      </w:r>
    </w:p>
    <w:p w:rsidR="00EE1BAE" w:rsidRPr="00EE1BAE" w:rsidRDefault="00F16F25" w:rsidP="00F16F25">
      <w:pPr>
        <w:pStyle w:val="SingleTxtG"/>
      </w:pPr>
      <w:r w:rsidRPr="00EE1BAE">
        <w:t>27.</w:t>
      </w:r>
      <w:r w:rsidRPr="00EE1BAE">
        <w:tab/>
      </w:r>
      <w:r w:rsidR="00EE1BAE" w:rsidRPr="00EE1BAE">
        <w:t>Section 77</w:t>
      </w:r>
      <w:r w:rsidR="00EE1BAE" w:rsidRPr="00A7053A">
        <w:rPr>
          <w:vertAlign w:val="superscript"/>
        </w:rPr>
        <w:t>3</w:t>
      </w:r>
      <w:r w:rsidR="00EE1BAE" w:rsidRPr="00EE1BAE">
        <w:t xml:space="preserve"> provide</w:t>
      </w:r>
      <w:r w:rsidR="00AA54DC">
        <w:t>s</w:t>
      </w:r>
      <w:r w:rsidR="00EE1BAE" w:rsidRPr="00EE1BAE">
        <w:t xml:space="preserve"> for criminal liability for a person who commits recruitment, training or sending of a person for him or her to unlawfully participate in an armed conflict taking place outside the territory of the Republic of Latvia. The applicable punishment is deprivation of liberty for a term up to eight years, with probationary supervision for a term up to three years. Section 77</w:t>
      </w:r>
      <w:r w:rsidR="00EE1BAE" w:rsidRPr="00A7053A">
        <w:rPr>
          <w:vertAlign w:val="superscript"/>
        </w:rPr>
        <w:t>3</w:t>
      </w:r>
      <w:r w:rsidR="00EE1BAE" w:rsidRPr="00EE1BAE">
        <w:t xml:space="preserve"> of the Criminal Law encompasses also liability for recruiting, training or sending of children to participate in an armed conflict abroad (even though children are not specifically mentioned in the norm). </w:t>
      </w:r>
    </w:p>
    <w:p w:rsidR="00EE1BAE" w:rsidRPr="00EE1BAE" w:rsidRDefault="00F16F25" w:rsidP="00F16F25">
      <w:pPr>
        <w:pStyle w:val="SingleTxtG"/>
      </w:pPr>
      <w:r w:rsidRPr="00EE1BAE">
        <w:t>28.</w:t>
      </w:r>
      <w:r w:rsidRPr="00EE1BAE">
        <w:tab/>
      </w:r>
      <w:r w:rsidR="00EE1BAE" w:rsidRPr="00EE1BAE">
        <w:t>Section 77</w:t>
      </w:r>
      <w:r w:rsidR="00EE1BAE" w:rsidRPr="00A7053A">
        <w:rPr>
          <w:vertAlign w:val="superscript"/>
        </w:rPr>
        <w:t>3</w:t>
      </w:r>
      <w:r w:rsidR="00EE1BAE" w:rsidRPr="00EE1BAE">
        <w:t xml:space="preserve"> of the Criminal Law as well as </w:t>
      </w:r>
      <w:r w:rsidR="00AA54DC">
        <w:t>s</w:t>
      </w:r>
      <w:r w:rsidR="00EE1BAE" w:rsidRPr="00EE1BAE">
        <w:t>ection 77</w:t>
      </w:r>
      <w:r w:rsidR="00EE1BAE" w:rsidRPr="00A7053A">
        <w:rPr>
          <w:vertAlign w:val="superscript"/>
        </w:rPr>
        <w:t>1</w:t>
      </w:r>
      <w:r w:rsidR="00EE1BAE" w:rsidRPr="00EE1BAE">
        <w:t xml:space="preserve"> (unlawful participation in an armed conflict) and </w:t>
      </w:r>
      <w:r w:rsidR="00AA54DC">
        <w:t>s</w:t>
      </w:r>
      <w:r w:rsidR="00EE1BAE" w:rsidRPr="00EE1BAE">
        <w:t>ection 77</w:t>
      </w:r>
      <w:r w:rsidR="00EE1BAE" w:rsidRPr="00A7053A">
        <w:rPr>
          <w:vertAlign w:val="superscript"/>
        </w:rPr>
        <w:t>2</w:t>
      </w:r>
      <w:r w:rsidR="00EE1BAE" w:rsidRPr="00EE1BAE">
        <w:t xml:space="preserve"> (financing of an armed conflict) of Criminal Law have been recently included in the Criminal Law </w:t>
      </w:r>
      <w:r w:rsidR="005511D1">
        <w:t>—</w:t>
      </w:r>
      <w:r w:rsidR="00EE1BAE" w:rsidRPr="00EE1BAE">
        <w:t xml:space="preserve"> according to the amendments of the Criminal Law adopted by the Parliament on 12 February 2015 (came into force on 19 February 2015). The amendments were made in order to prevent that Latvian nationals illegally involve or be illegally involved in armed conflicts taking place outside the territory of Latvia which are aimed against a state’s territorial integrity or political independence or are otherwise contrary to international legal norms and agreements binding to Latvia. The aforementioned amendments were also made in order to limit financing of armed conflicts, informative campaigns and other kind of support for persons who take part in the armed conflict abroad.</w:t>
      </w:r>
      <w:r w:rsidR="005511D1">
        <w:t xml:space="preserve"> </w:t>
      </w:r>
    </w:p>
    <w:p w:rsidR="00EE1BAE" w:rsidRPr="00EE1BAE" w:rsidRDefault="00EE1BAE" w:rsidP="00A7053A">
      <w:pPr>
        <w:pStyle w:val="H23G"/>
      </w:pPr>
      <w:r>
        <w:rPr>
          <w:szCs w:val="24"/>
        </w:rPr>
        <w:tab/>
      </w:r>
      <w:r w:rsidRPr="00EE1BAE">
        <w:rPr>
          <w:szCs w:val="24"/>
        </w:rPr>
        <w:tab/>
      </w:r>
      <w:r w:rsidR="00A7053A" w:rsidRPr="0090095D">
        <w:rPr>
          <w:bCs/>
          <w:iCs/>
        </w:rPr>
        <w:t>Reply to the issues raised in paragraph </w:t>
      </w:r>
      <w:r w:rsidR="00A7053A">
        <w:rPr>
          <w:bCs/>
          <w:iCs/>
        </w:rPr>
        <w:t>5</w:t>
      </w:r>
      <w:r w:rsidR="00A7053A" w:rsidRPr="0090095D">
        <w:rPr>
          <w:bCs/>
          <w:iCs/>
        </w:rPr>
        <w:t xml:space="preserve"> of the list of issues</w:t>
      </w:r>
    </w:p>
    <w:p w:rsidR="00EE1BAE" w:rsidRPr="00EE1BAE" w:rsidRDefault="00F16F25" w:rsidP="00F16F25">
      <w:pPr>
        <w:pStyle w:val="SingleTxtG"/>
      </w:pPr>
      <w:r w:rsidRPr="00EE1BAE">
        <w:t>29.</w:t>
      </w:r>
      <w:r w:rsidRPr="00EE1BAE">
        <w:tab/>
      </w:r>
      <w:r w:rsidR="00EE1BAE" w:rsidRPr="00EE1BAE">
        <w:t>The Youth Guard has been operating since 1992. “Youth Guard” is a form of youth interest-related education</w:t>
      </w:r>
      <w:r w:rsidR="00EE1BAE" w:rsidRPr="00581AB6">
        <w:rPr>
          <w:rStyle w:val="FootnoteReference"/>
        </w:rPr>
        <w:footnoteReference w:id="4"/>
      </w:r>
      <w:r w:rsidR="00EE1BAE" w:rsidRPr="00EE1BAE">
        <w:t xml:space="preserve"> which is organized and managed by the Ministry of Defence. Its objective is education of youth in the field of national defence, patriotism, civic consciousness, companionship, courage, promotion of physical abilities and discipline. At the same time the task of Youth Guard is to interest youth about military service thus widening the selection possibilities of personnel for motivated professional service. Participation in Youth Guard is voluntary. No disciplinary punishments of any kind are being applied in Youth Guard. Basic principles and norms of ethics of Youth Guard that have to been recognized by members of Youth Guard are established by the Code of Ethics of Youth Guards (available at: </w:t>
      </w:r>
      <w:hyperlink r:id="rId13" w:history="1">
        <w:r w:rsidR="00EE11A9" w:rsidRPr="00F8655A">
          <w:rPr>
            <w:rStyle w:val="Hyperlink"/>
            <w:rFonts w:eastAsia="Calibri"/>
            <w:color w:val="auto"/>
            <w:u w:val="none"/>
          </w:rPr>
          <w:t>http://www.rjc.gov.lv/~/media/RJC/Jaunsardze/Kodek</w:t>
        </w:r>
        <w:r w:rsidR="00EE11A9" w:rsidRPr="001D3C50">
          <w:rPr>
            <w:rStyle w:val="Hyperlink"/>
            <w:rFonts w:eastAsia="Calibri"/>
            <w:color w:val="auto"/>
            <w:u w:val="none"/>
          </w:rPr>
          <w:t>ss_</w:t>
        </w:r>
        <w:r w:rsidR="00EE11A9" w:rsidRPr="001D3C50">
          <w:rPr>
            <w:rStyle w:val="Hyperlink"/>
            <w:rFonts w:eastAsia="Calibri"/>
            <w:color w:val="auto"/>
            <w:u w:val="none"/>
          </w:rPr>
          <w:br/>
          <w:t>apstiprinashanai.ashx</w:t>
        </w:r>
      </w:hyperlink>
      <w:r w:rsidR="00EE1BAE" w:rsidRPr="00EE1BAE">
        <w:t xml:space="preserve">). </w:t>
      </w:r>
    </w:p>
    <w:p w:rsidR="00EE1BAE" w:rsidRPr="00EE1BAE" w:rsidRDefault="00F16F25" w:rsidP="00F16F25">
      <w:pPr>
        <w:pStyle w:val="SingleTxtG"/>
      </w:pPr>
      <w:r w:rsidRPr="00EE1BAE">
        <w:t>30.</w:t>
      </w:r>
      <w:r w:rsidRPr="00EE1BAE">
        <w:tab/>
      </w:r>
      <w:r w:rsidR="00EE1BAE" w:rsidRPr="00EE1BAE">
        <w:t>In the education process at Youth Guard only small-bore and pneumatic guns are being used. Procedures for purchase and use of weapons by Recruiting and Youth Guard Centre are established by the Cabinet of Ministers.</w:t>
      </w:r>
    </w:p>
    <w:p w:rsidR="00EE1BAE" w:rsidRPr="00EE1BAE" w:rsidRDefault="00F16F25" w:rsidP="00F16F25">
      <w:pPr>
        <w:pStyle w:val="SingleTxtG"/>
      </w:pPr>
      <w:r w:rsidRPr="00EE1BAE">
        <w:t>31.</w:t>
      </w:r>
      <w:r w:rsidRPr="00EE1BAE">
        <w:tab/>
      </w:r>
      <w:r w:rsidR="00EE1BAE" w:rsidRPr="00EE1BAE">
        <w:t xml:space="preserve">According to </w:t>
      </w:r>
      <w:r w:rsidR="00AA54DC">
        <w:t>s</w:t>
      </w:r>
      <w:r w:rsidR="00EE1BAE" w:rsidRPr="00EE1BAE">
        <w:t>ection 50</w:t>
      </w:r>
      <w:r w:rsidR="00EE1BAE" w:rsidRPr="00A7053A">
        <w:rPr>
          <w:vertAlign w:val="superscript"/>
        </w:rPr>
        <w:t>1</w:t>
      </w:r>
      <w:r w:rsidR="00AA54DC" w:rsidRPr="00F16F25">
        <w:t>,</w:t>
      </w:r>
      <w:r w:rsidR="00EE1BAE" w:rsidRPr="00EE1BAE">
        <w:t xml:space="preserve"> </w:t>
      </w:r>
      <w:r w:rsidR="00AA54DC">
        <w:t>p</w:t>
      </w:r>
      <w:r w:rsidR="00EE1BAE" w:rsidRPr="00EE1BAE">
        <w:t xml:space="preserve">aragraph </w:t>
      </w:r>
      <w:r w:rsidR="00AA54DC">
        <w:t>1,</w:t>
      </w:r>
      <w:r w:rsidR="00EE1BAE" w:rsidRPr="00EE1BAE">
        <w:t xml:space="preserve"> of the Protection of the Rights of the Child Law a child may participate in different activities (events) if it does not hinder his or her acquisition of education, as well as does not threaten his or her safety, health, morality or other substantial interests. According to </w:t>
      </w:r>
      <w:r w:rsidR="00AA54DC">
        <w:t>s</w:t>
      </w:r>
      <w:r w:rsidR="00EE1BAE" w:rsidRPr="00EE1BAE">
        <w:t>ection 72</w:t>
      </w:r>
      <w:r w:rsidR="00AA54DC">
        <w:t>,</w:t>
      </w:r>
      <w:r w:rsidR="00EE1BAE" w:rsidRPr="00EE1BAE">
        <w:t xml:space="preserve"> </w:t>
      </w:r>
      <w:r w:rsidR="00AA54DC">
        <w:t>p</w:t>
      </w:r>
      <w:r w:rsidR="00EE1BAE" w:rsidRPr="00EE1BAE">
        <w:t xml:space="preserve">aragraph </w:t>
      </w:r>
      <w:r w:rsidR="00AA54DC">
        <w:t>1,</w:t>
      </w:r>
      <w:r w:rsidR="00EE1BAE" w:rsidRPr="00EE1BAE">
        <w:t xml:space="preserve"> of the Protection of the Rights of the Child Law managers and employees of institutions where children are staying, organisers of events for children and such events in which children take part, persons who perform voluntary work in the abovementioned institutions and events or provide a service according to an agreement entered into with such institutions, shall be liable for the protection of the health and life of the child, that the child be safe, that he or she is provided with qualified services and that his or her other rights are observed.</w:t>
      </w:r>
    </w:p>
    <w:p w:rsidR="00EE1BAE" w:rsidRPr="00EE1BAE" w:rsidRDefault="00F16F25" w:rsidP="00F16F25">
      <w:pPr>
        <w:pStyle w:val="SingleTxtG"/>
      </w:pPr>
      <w:r w:rsidRPr="00EE1BAE">
        <w:t>32.</w:t>
      </w:r>
      <w:r w:rsidRPr="00EE1BAE">
        <w:tab/>
      </w:r>
      <w:r w:rsidR="00EE1BAE" w:rsidRPr="00EE1BAE">
        <w:t>Section 34</w:t>
      </w:r>
      <w:r w:rsidR="00AA54DC">
        <w:t>,</w:t>
      </w:r>
      <w:r w:rsidR="00EE1BAE" w:rsidRPr="00EE1BAE">
        <w:t xml:space="preserve"> </w:t>
      </w:r>
      <w:r w:rsidR="00AA54DC">
        <w:t>p</w:t>
      </w:r>
      <w:r w:rsidR="00EE1BAE" w:rsidRPr="00EE1BAE">
        <w:t xml:space="preserve">aragraph </w:t>
      </w:r>
      <w:r w:rsidR="00AA54DC">
        <w:t>6,</w:t>
      </w:r>
      <w:r w:rsidR="00EE1BAE" w:rsidRPr="00EE1BAE">
        <w:t xml:space="preserve"> of the Law On the Handling of Weapons and Special Means provides for the following minimum age of participants of practice shooting or shooting </w:t>
      </w:r>
      <w:r w:rsidR="00EE1BAE" w:rsidRPr="00165D47">
        <w:t>sports competitions in shooting galleries (shooting stands): for shooting with high energy pneumatic weapons or Category B and C small-calibre rifled hunting</w:t>
      </w:r>
      <w:r w:rsidR="00EE1BAE" w:rsidRPr="00EE1BAE">
        <w:t xml:space="preserve"> and sport firearms the ammunition of which have a </w:t>
      </w:r>
      <w:proofErr w:type="spellStart"/>
      <w:r w:rsidR="00EE1BAE" w:rsidRPr="00EE1BAE">
        <w:t>rimfire</w:t>
      </w:r>
      <w:proofErr w:type="spellEnd"/>
      <w:r w:rsidR="00EE1BAE" w:rsidRPr="00EE1BAE">
        <w:t xml:space="preserve"> cartridge – 12 years; for shooting with Category D firearms – 12 years; for shooting with Category B and C firearms – 16 years; for shooting with Category </w:t>
      </w:r>
      <w:proofErr w:type="spellStart"/>
      <w:r w:rsidR="00EE1BAE" w:rsidRPr="00EE1BAE">
        <w:t>A</w:t>
      </w:r>
      <w:proofErr w:type="spellEnd"/>
      <w:r w:rsidR="00EE1BAE" w:rsidRPr="00EE1BAE">
        <w:t xml:space="preserve"> automatic firearms – 18 years.</w:t>
      </w:r>
    </w:p>
    <w:p w:rsidR="00EE1BAE" w:rsidRPr="00EE1BAE" w:rsidRDefault="00F16F25" w:rsidP="00F16F25">
      <w:pPr>
        <w:pStyle w:val="SingleTxtG"/>
      </w:pPr>
      <w:r w:rsidRPr="00EE1BAE">
        <w:t>33.</w:t>
      </w:r>
      <w:r w:rsidRPr="00EE1BAE">
        <w:tab/>
      </w:r>
      <w:r w:rsidR="00EE1BAE" w:rsidRPr="00EE1BAE">
        <w:t xml:space="preserve">Additional in relation to the members of Youth Guard it is worth mentioning that according to </w:t>
      </w:r>
      <w:r w:rsidR="00165D47">
        <w:t>s</w:t>
      </w:r>
      <w:r w:rsidR="00EE1BAE" w:rsidRPr="00EE1BAE">
        <w:t>ection 17</w:t>
      </w:r>
      <w:r w:rsidR="00EE1BAE" w:rsidRPr="00A7053A">
        <w:rPr>
          <w:vertAlign w:val="superscript"/>
        </w:rPr>
        <w:t>1</w:t>
      </w:r>
      <w:r w:rsidR="00165D47" w:rsidRPr="00F16F25">
        <w:t>,</w:t>
      </w:r>
      <w:r w:rsidR="00EE1BAE" w:rsidRPr="00165D47">
        <w:t xml:space="preserve"> </w:t>
      </w:r>
      <w:r w:rsidR="00165D47">
        <w:t>p</w:t>
      </w:r>
      <w:r w:rsidR="00EE1BAE" w:rsidRPr="00EE1BAE">
        <w:t xml:space="preserve">aragraph </w:t>
      </w:r>
      <w:r w:rsidR="00165D47">
        <w:t>3,</w:t>
      </w:r>
      <w:r w:rsidR="00EE1BAE" w:rsidRPr="00EE1BAE">
        <w:t xml:space="preserve"> of the Military Service Law Recruiting and Youth Guard Centre at the beginning of school year signs a contract with the child’s legal representative about the child’s participation in the Youth Guard. If the young person has attained the age of 18, the contract is signed with the young person. </w:t>
      </w:r>
    </w:p>
    <w:p w:rsidR="00EE1BAE" w:rsidRPr="00EE1BAE" w:rsidRDefault="00F16F25" w:rsidP="00F16F25">
      <w:pPr>
        <w:pStyle w:val="SingleTxtG"/>
      </w:pPr>
      <w:r w:rsidRPr="00EE1BAE">
        <w:t>34.</w:t>
      </w:r>
      <w:r w:rsidRPr="00EE1BAE">
        <w:tab/>
      </w:r>
      <w:r w:rsidR="00EE1BAE" w:rsidRPr="00EE1BAE">
        <w:t xml:space="preserve">From 1 January 2016 members of the Youth Guard will be eligible to receive state funded health care (according to </w:t>
      </w:r>
      <w:r w:rsidR="00165D47">
        <w:t>s</w:t>
      </w:r>
      <w:r w:rsidR="00EE1BAE" w:rsidRPr="00EE1BAE">
        <w:t>ection 17</w:t>
      </w:r>
      <w:r w:rsidR="00EE1BAE" w:rsidRPr="00A7053A">
        <w:rPr>
          <w:vertAlign w:val="superscript"/>
        </w:rPr>
        <w:t>1</w:t>
      </w:r>
      <w:r w:rsidR="00165D47">
        <w:t>,</w:t>
      </w:r>
      <w:r w:rsidR="00EE1BAE" w:rsidRPr="00EE1BAE">
        <w:t xml:space="preserve"> </w:t>
      </w:r>
      <w:r w:rsidR="00165D47">
        <w:t>p</w:t>
      </w:r>
      <w:r w:rsidR="00EE1BAE" w:rsidRPr="00EE1BAE">
        <w:t xml:space="preserve">aragraph </w:t>
      </w:r>
      <w:r w:rsidR="00165D47">
        <w:t>5,</w:t>
      </w:r>
      <w:r w:rsidR="00EE1BAE" w:rsidRPr="00EE1BAE">
        <w:t xml:space="preserve"> of the Military Service Law). </w:t>
      </w:r>
    </w:p>
    <w:p w:rsidR="00EE1BAE" w:rsidRPr="00EE1BAE" w:rsidRDefault="00F16F25" w:rsidP="00F16F25">
      <w:pPr>
        <w:pStyle w:val="SingleTxtG"/>
      </w:pPr>
      <w:r w:rsidRPr="00EE1BAE">
        <w:t>35.</w:t>
      </w:r>
      <w:r w:rsidRPr="00EE1BAE">
        <w:tab/>
      </w:r>
      <w:r w:rsidR="00EE1BAE" w:rsidRPr="00EE1BAE">
        <w:t xml:space="preserve">Training process of the Youth Guard is provided by Recruiting and Youth Guard Centre (a state institution). Procedures on the contesting of administrative acts and actual conduct of Recruiting and Youth Guard Centre are established in Unit IV of Cabinet regulations </w:t>
      </w:r>
      <w:r w:rsidR="00E339FC">
        <w:t>N</w:t>
      </w:r>
      <w:r w:rsidR="00EE1BAE" w:rsidRPr="00EE1BAE">
        <w:t>o</w:t>
      </w:r>
      <w:r w:rsidR="00E339FC">
        <w:t>.</w:t>
      </w:r>
      <w:r w:rsidR="00EE1BAE" w:rsidRPr="00EE1BAE">
        <w:t xml:space="preserve"> 1419 of 15 December 2009 “Bylaw of Recruiting and Youth Guard Centre”. At the same time it is important to emphasize that </w:t>
      </w:r>
      <w:r w:rsidR="00165D47">
        <w:t>s</w:t>
      </w:r>
      <w:r w:rsidR="00EE1BAE" w:rsidRPr="00EE1BAE">
        <w:t>ection 71</w:t>
      </w:r>
      <w:r w:rsidR="00165D47">
        <w:t>,</w:t>
      </w:r>
      <w:r w:rsidR="00EE1BAE" w:rsidRPr="00EE1BAE">
        <w:t xml:space="preserve"> </w:t>
      </w:r>
      <w:r w:rsidR="00165D47">
        <w:t>p</w:t>
      </w:r>
      <w:r w:rsidR="00EE1BAE" w:rsidRPr="00EE1BAE">
        <w:t xml:space="preserve">aragraph </w:t>
      </w:r>
      <w:r w:rsidR="00165D47">
        <w:t>1,</w:t>
      </w:r>
      <w:r w:rsidR="00EE1BAE" w:rsidRPr="00EE1BAE">
        <w:t xml:space="preserve"> of the Protection of the Rights of the Child Law provides for that information regarding a child obtained by an employee of a child care, educational, social assistance or other institution or by an employee of a State or local government institution, in fulfilling the duties of their office, shall be confidential, and information, which could in any way harm the future development of the child or the maintenance of the psychological balance of the child may not be divulged.</w:t>
      </w:r>
    </w:p>
    <w:p w:rsidR="00EE1BAE" w:rsidRPr="00EE1BAE" w:rsidRDefault="00F16F25" w:rsidP="00F16F25">
      <w:pPr>
        <w:pStyle w:val="SingleTxtG"/>
      </w:pPr>
      <w:r w:rsidRPr="00EE1BAE">
        <w:t>36.</w:t>
      </w:r>
      <w:r w:rsidRPr="00EE1BAE">
        <w:tab/>
      </w:r>
      <w:r w:rsidR="00EE1BAE" w:rsidRPr="00EE1BAE">
        <w:t>In addition children and adolescents may acquire confidential psychological support at the Children and Adolescents Hotline 116111. The hotline is providing psychological support for children in all kinds of difficult circumstances the child is experiencing. If it is necessary the information about a child rights violation is forwarded to the State Inspector for Protection of Children’s Rights and other competent professionals depending on the respective case. The hotline is managed by the State Inspectorate for Protection of Children’s Rights. The hotline is free of charge both from landlines and mobile phones. The hotline is operating 24/7. Children may also receive consultations via e-mail (</w:t>
      </w:r>
      <w:hyperlink r:id="rId14" w:history="1">
        <w:r w:rsidR="00EE1BAE" w:rsidRPr="001413F1">
          <w:rPr>
            <w:rFonts w:eastAsia="Calibri"/>
          </w:rPr>
          <w:t>http://www.bti.gov.lv/lat/lietotaju_ertibam/uzdod_jautajumu</w:t>
        </w:r>
      </w:hyperlink>
      <w:r w:rsidR="00EE1BAE" w:rsidRPr="00EE1BAE">
        <w:t>) or face-to-face. Response to the child’s enquiry via e-mail will be provided in three working days after receiving the child’s e-mail.</w:t>
      </w:r>
    </w:p>
    <w:p w:rsidR="00EE1BAE" w:rsidRPr="00EE1BAE" w:rsidRDefault="00B12C35" w:rsidP="00A7053A">
      <w:pPr>
        <w:pStyle w:val="H23G"/>
      </w:pPr>
      <w:r>
        <w:rPr>
          <w:szCs w:val="24"/>
        </w:rPr>
        <w:tab/>
      </w:r>
      <w:r w:rsidR="00EE1BAE" w:rsidRPr="00EE1BAE">
        <w:rPr>
          <w:szCs w:val="24"/>
        </w:rPr>
        <w:tab/>
      </w:r>
      <w:r w:rsidR="00A7053A" w:rsidRPr="0090095D">
        <w:rPr>
          <w:bCs/>
          <w:iCs/>
        </w:rPr>
        <w:t>Reply to the issues raised in paragraph </w:t>
      </w:r>
      <w:r w:rsidR="00A7053A">
        <w:rPr>
          <w:bCs/>
          <w:iCs/>
        </w:rPr>
        <w:t>6</w:t>
      </w:r>
      <w:r w:rsidR="00A7053A" w:rsidRPr="0090095D">
        <w:rPr>
          <w:bCs/>
          <w:iCs/>
        </w:rPr>
        <w:t xml:space="preserve"> of the list of issues</w:t>
      </w:r>
    </w:p>
    <w:p w:rsidR="00EE1BAE" w:rsidRPr="00EE1BAE" w:rsidRDefault="00F16F25" w:rsidP="00F16F25">
      <w:pPr>
        <w:pStyle w:val="SingleTxtG"/>
      </w:pPr>
      <w:r w:rsidRPr="00EE1BAE">
        <w:t>37.</w:t>
      </w:r>
      <w:r w:rsidRPr="00EE1BAE">
        <w:tab/>
      </w:r>
      <w:r w:rsidR="00EE1BAE" w:rsidRPr="00EE1BAE">
        <w:t xml:space="preserve">According to the competence of </w:t>
      </w:r>
      <w:r w:rsidR="00165D47">
        <w:t>t</w:t>
      </w:r>
      <w:r w:rsidR="00EE1BAE" w:rsidRPr="00EE1BAE">
        <w:t>he Office of Citizenship and Migration Affairs (hereafter</w:t>
      </w:r>
      <w:r w:rsidR="00165D47">
        <w:t>,</w:t>
      </w:r>
      <w:r w:rsidR="00EE1BAE" w:rsidRPr="00EE1BAE">
        <w:t xml:space="preserve"> </w:t>
      </w:r>
      <w:r w:rsidR="00165D47">
        <w:t>the</w:t>
      </w:r>
      <w:r w:rsidR="00EE1BAE" w:rsidRPr="00EE1BAE">
        <w:t xml:space="preserve"> Office) until now in the context of matters on asylum and migration the Office has not identified such cases that might indicate that children have been recruited or used in hostilities abroad. Therefore no specific arrangements or procedures have been developed in Latvia for identification of such children.</w:t>
      </w:r>
    </w:p>
    <w:p w:rsidR="00EE1BAE" w:rsidRPr="00EE1BAE" w:rsidRDefault="00F16F25" w:rsidP="00F16F25">
      <w:pPr>
        <w:pStyle w:val="SingleTxtG"/>
      </w:pPr>
      <w:r w:rsidRPr="00EE1BAE">
        <w:t>38.</w:t>
      </w:r>
      <w:r w:rsidRPr="00EE1BAE">
        <w:tab/>
      </w:r>
      <w:r w:rsidR="00EE1BAE" w:rsidRPr="00EE1BAE">
        <w:t>The State ensures the social rehabilitation of victims of the trafficking in human beings. The Cabinet shall determine the procedures for the receipt of social rehabilitation and the criteria for the recognition of a person as a victim of the trafficking in human beings (</w:t>
      </w:r>
      <w:r w:rsidR="00165D47">
        <w:t>s</w:t>
      </w:r>
      <w:r w:rsidR="00EE1BAE" w:rsidRPr="00EE1BAE">
        <w:t>ection 13</w:t>
      </w:r>
      <w:r w:rsidR="00165D47">
        <w:t>,</w:t>
      </w:r>
      <w:r w:rsidR="00EE1BAE" w:rsidRPr="00EE1BAE">
        <w:t xml:space="preserve"> </w:t>
      </w:r>
      <w:r w:rsidR="00165D47">
        <w:t>p</w:t>
      </w:r>
      <w:r w:rsidR="00EE1BAE" w:rsidRPr="00EE1BAE">
        <w:t xml:space="preserve">aragraph </w:t>
      </w:r>
      <w:r w:rsidR="00165D47">
        <w:t>1,</w:t>
      </w:r>
      <w:r w:rsidR="00EE1BAE" w:rsidRPr="00EE1BAE">
        <w:t xml:space="preserve"> </w:t>
      </w:r>
      <w:r w:rsidR="00165D47">
        <w:t>c</w:t>
      </w:r>
      <w:r w:rsidR="00EE1BAE" w:rsidRPr="00EE1BAE">
        <w:t>lause 7</w:t>
      </w:r>
      <w:r w:rsidR="00165D47">
        <w:t>,</w:t>
      </w:r>
      <w:r w:rsidR="00EE1BAE" w:rsidRPr="00EE1BAE">
        <w:t xml:space="preserve"> of Law </w:t>
      </w:r>
      <w:proofErr w:type="gramStart"/>
      <w:r w:rsidR="00EE1BAE" w:rsidRPr="00EE1BAE">
        <w:t>On</w:t>
      </w:r>
      <w:proofErr w:type="gramEnd"/>
      <w:r w:rsidR="00EE1BAE" w:rsidRPr="00EE1BAE">
        <w:t xml:space="preserve"> Social Services and Social Assistance). </w:t>
      </w:r>
    </w:p>
    <w:p w:rsidR="00EE1BAE" w:rsidRPr="00EE1BAE" w:rsidRDefault="00F16F25" w:rsidP="00F16F25">
      <w:pPr>
        <w:pStyle w:val="SingleTxtG"/>
      </w:pPr>
      <w:r w:rsidRPr="00EE1BAE">
        <w:t>39.</w:t>
      </w:r>
      <w:r w:rsidRPr="00EE1BAE">
        <w:tab/>
      </w:r>
      <w:r w:rsidR="00EE1BAE" w:rsidRPr="00EE1BAE">
        <w:t>The state ensures the social rehabilitation of children who have become victims of violence. Until determining the child’s age social rehabilitation services are being provided also to those persons who have become victims of violence about whose infancy there are doubts (</w:t>
      </w:r>
      <w:r w:rsidR="00165D47">
        <w:t>s</w:t>
      </w:r>
      <w:r w:rsidR="00EE1BAE" w:rsidRPr="00EE1BAE">
        <w:t>ection 13</w:t>
      </w:r>
      <w:r w:rsidR="00165D47">
        <w:t>,</w:t>
      </w:r>
      <w:r w:rsidR="00EE1BAE" w:rsidRPr="00EE1BAE">
        <w:t xml:space="preserve"> </w:t>
      </w:r>
      <w:r w:rsidR="00165D47">
        <w:t>p</w:t>
      </w:r>
      <w:r w:rsidR="00EE1BAE" w:rsidRPr="00EE1BAE">
        <w:t>aragraph (1</w:t>
      </w:r>
      <w:r w:rsidR="00EE1BAE" w:rsidRPr="00A7053A">
        <w:rPr>
          <w:vertAlign w:val="superscript"/>
        </w:rPr>
        <w:t>2</w:t>
      </w:r>
      <w:r w:rsidR="00EE1BAE" w:rsidRPr="00EE1BAE">
        <w:t xml:space="preserve">) of Law </w:t>
      </w:r>
      <w:proofErr w:type="gramStart"/>
      <w:r w:rsidR="00EE1BAE" w:rsidRPr="00EE1BAE">
        <w:t>On</w:t>
      </w:r>
      <w:proofErr w:type="gramEnd"/>
      <w:r w:rsidR="00EE1BAE" w:rsidRPr="00EE1BAE">
        <w:t xml:space="preserve"> Social Services and Social Assistance).</w:t>
      </w:r>
    </w:p>
    <w:p w:rsidR="00EE1BAE" w:rsidRPr="00EE1BAE" w:rsidRDefault="00F16F25" w:rsidP="00F16F25">
      <w:pPr>
        <w:pStyle w:val="SingleTxtG"/>
      </w:pPr>
      <w:r w:rsidRPr="00EE1BAE">
        <w:t>40.</w:t>
      </w:r>
      <w:r w:rsidRPr="00EE1BAE">
        <w:tab/>
      </w:r>
      <w:r w:rsidR="00EE1BAE" w:rsidRPr="00EE1BAE">
        <w:t>In relation to provision of the aforementioned social services until now there have not been identified any refugee, asylum-seeking and migrant children who have been or are at risk of being recruited or used in hostilities abroad.</w:t>
      </w:r>
    </w:p>
    <w:p w:rsidR="00EE1BAE" w:rsidRPr="00EE1BAE" w:rsidRDefault="00EE1BAE" w:rsidP="00A7053A">
      <w:pPr>
        <w:pStyle w:val="H23G"/>
      </w:pPr>
      <w:r>
        <w:rPr>
          <w:szCs w:val="24"/>
        </w:rPr>
        <w:tab/>
      </w:r>
      <w:r w:rsidRPr="00EE1BAE">
        <w:rPr>
          <w:szCs w:val="24"/>
        </w:rPr>
        <w:tab/>
      </w:r>
      <w:r w:rsidR="00A7053A" w:rsidRPr="0090095D">
        <w:rPr>
          <w:bCs/>
          <w:iCs/>
        </w:rPr>
        <w:t>Reply to the issues raised in paragraph </w:t>
      </w:r>
      <w:r w:rsidR="00A7053A">
        <w:rPr>
          <w:bCs/>
          <w:iCs/>
        </w:rPr>
        <w:t>7</w:t>
      </w:r>
      <w:r w:rsidR="00A7053A" w:rsidRPr="0090095D">
        <w:rPr>
          <w:bCs/>
          <w:iCs/>
        </w:rPr>
        <w:t xml:space="preserve"> of the list of issues</w:t>
      </w:r>
    </w:p>
    <w:p w:rsidR="00EE1BAE" w:rsidRPr="00165D47" w:rsidRDefault="00F16F25" w:rsidP="00F16F25">
      <w:pPr>
        <w:pStyle w:val="SingleTxtG"/>
      </w:pPr>
      <w:r w:rsidRPr="00165D47">
        <w:t>41.</w:t>
      </w:r>
      <w:r w:rsidRPr="00165D47">
        <w:tab/>
      </w:r>
      <w:r w:rsidR="00EE1BAE" w:rsidRPr="00EE1BAE">
        <w:t xml:space="preserve">There is explicit legislation on trade and export of weapons and military assistance: Law </w:t>
      </w:r>
      <w:proofErr w:type="gramStart"/>
      <w:r w:rsidR="00EE1BAE" w:rsidRPr="00EE1BAE">
        <w:t>On</w:t>
      </w:r>
      <w:proofErr w:type="gramEnd"/>
      <w:r w:rsidR="00EE1BAE" w:rsidRPr="00EE1BAE">
        <w:t xml:space="preserve"> the Circulation of Goods of Strategic Significance and Law On the Handling of Weapons and Special Means. One of the most important elements of foreign policy and security policy of Latvia is responsible action in the field of control of weapons and prevention of dissemination of mass destruction weapons. Therefore Latvia has become party of the most important international conventions and agreements that regulate control of conventional (ordinary) weapons:</w:t>
      </w:r>
      <w:r w:rsidR="00BC4D87">
        <w:t xml:space="preserve"> </w:t>
      </w:r>
      <w:hyperlink r:id="rId15" w:history="1">
        <w:r w:rsidR="00E339FC" w:rsidRPr="00F8655A">
          <w:rPr>
            <w:rStyle w:val="Hyperlink"/>
            <w:rFonts w:eastAsia="Calibri"/>
            <w:color w:val="auto"/>
            <w:u w:val="none"/>
          </w:rPr>
          <w:t>http://www.mfa.gov.lv/arp</w:t>
        </w:r>
        <w:r w:rsidR="00E339FC" w:rsidRPr="001D3C50">
          <w:rPr>
            <w:rStyle w:val="Hyperlink"/>
            <w:rFonts w:eastAsia="Calibri"/>
            <w:color w:val="auto"/>
            <w:u w:val="none"/>
          </w:rPr>
          <w:t>olitika/drosibas-politika/</w:t>
        </w:r>
        <w:r w:rsidR="00E339FC" w:rsidRPr="001D3C50">
          <w:rPr>
            <w:rStyle w:val="Hyperlink"/>
            <w:rFonts w:eastAsia="Calibri"/>
            <w:color w:val="auto"/>
            <w:u w:val="none"/>
          </w:rPr>
          <w:br/>
          <w:t>drosibas-politikas-virzieni/brunojuma-kontrole-un-masu-iznicinasanas-ierocu-izplatisanas-ierobezosana</w:t>
        </w:r>
      </w:hyperlink>
      <w:r w:rsidR="00972866" w:rsidRPr="00165D47">
        <w:rPr>
          <w:rFonts w:eastAsia="Calibri"/>
        </w:rPr>
        <w:t>.</w:t>
      </w:r>
    </w:p>
    <w:p w:rsidR="008260A1" w:rsidRPr="0034779C" w:rsidRDefault="0034779C" w:rsidP="0034779C">
      <w:pPr>
        <w:pStyle w:val="SingleTxtG"/>
        <w:spacing w:before="240" w:after="0"/>
        <w:jc w:val="center"/>
        <w:rPr>
          <w:u w:val="single"/>
        </w:rPr>
      </w:pPr>
      <w:r>
        <w:rPr>
          <w:u w:val="single"/>
        </w:rPr>
        <w:tab/>
      </w:r>
      <w:r>
        <w:rPr>
          <w:u w:val="single"/>
        </w:rPr>
        <w:tab/>
      </w:r>
      <w:r>
        <w:rPr>
          <w:u w:val="single"/>
        </w:rPr>
        <w:tab/>
      </w:r>
    </w:p>
    <w:sectPr w:rsidR="008260A1" w:rsidRPr="0034779C" w:rsidSect="00CF74AC">
      <w:headerReference w:type="even" r:id="rId16"/>
      <w:headerReference w:type="default" r:id="rId17"/>
      <w:footerReference w:type="even" r:id="rId18"/>
      <w:footerReference w:type="default" r:id="rId19"/>
      <w:footerReference w:type="first" r:id="rId20"/>
      <w:endnotePr>
        <w:numFmt w:val="decimal"/>
      </w:endnotePr>
      <w:pgSz w:w="11907" w:h="16840" w:code="9"/>
      <w:pgMar w:top="1701" w:right="1134" w:bottom="2268" w:left="1134" w:header="1134" w:footer="141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13F1" w:rsidRDefault="001413F1"/>
  </w:endnote>
  <w:endnote w:type="continuationSeparator" w:id="0">
    <w:p w:rsidR="001413F1" w:rsidRDefault="001413F1"/>
  </w:endnote>
  <w:endnote w:type="continuationNotice" w:id="1">
    <w:p w:rsidR="001413F1" w:rsidRDefault="001413F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Barcode 3 of 9 by request">
    <w:altName w:val="Tw Cen MT Condensed Extra Bold"/>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2C35" w:rsidRPr="00A7053A" w:rsidRDefault="00B12C35" w:rsidP="00125271">
    <w:pPr>
      <w:pStyle w:val="Footer"/>
      <w:tabs>
        <w:tab w:val="right" w:pos="9598"/>
        <w:tab w:val="right" w:pos="9638"/>
      </w:tabs>
      <w:rPr>
        <w:b/>
        <w:bCs/>
      </w:rPr>
    </w:pPr>
    <w:r w:rsidRPr="00A7053A">
      <w:rPr>
        <w:b/>
        <w:bCs/>
        <w:sz w:val="18"/>
      </w:rPr>
      <w:fldChar w:fldCharType="begin"/>
    </w:r>
    <w:r w:rsidRPr="00A7053A">
      <w:rPr>
        <w:b/>
        <w:bCs/>
        <w:sz w:val="18"/>
      </w:rPr>
      <w:instrText xml:space="preserve"> PAGE  \* MERGEFORMAT </w:instrText>
    </w:r>
    <w:r w:rsidRPr="00A7053A">
      <w:rPr>
        <w:b/>
        <w:bCs/>
        <w:sz w:val="18"/>
      </w:rPr>
      <w:fldChar w:fldCharType="separate"/>
    </w:r>
    <w:r w:rsidR="00402352">
      <w:rPr>
        <w:b/>
        <w:bCs/>
        <w:noProof/>
        <w:sz w:val="18"/>
      </w:rPr>
      <w:t>8</w:t>
    </w:r>
    <w:r w:rsidRPr="00A7053A">
      <w:rPr>
        <w:b/>
        <w:bCs/>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2C35" w:rsidRPr="00125271" w:rsidRDefault="00B12C35" w:rsidP="006F7AD5">
    <w:pPr>
      <w:pStyle w:val="Footer"/>
      <w:tabs>
        <w:tab w:val="right" w:pos="9598"/>
        <w:tab w:val="right" w:pos="9638"/>
      </w:tabs>
      <w:rPr>
        <w:sz w:val="18"/>
      </w:rPr>
    </w:pPr>
    <w:r>
      <w:tab/>
    </w:r>
    <w:r w:rsidRPr="008A1492">
      <w:rPr>
        <w:b/>
        <w:sz w:val="18"/>
      </w:rPr>
      <w:fldChar w:fldCharType="begin"/>
    </w:r>
    <w:r w:rsidRPr="008A1492">
      <w:rPr>
        <w:b/>
        <w:sz w:val="18"/>
      </w:rPr>
      <w:instrText xml:space="preserve"> PAGE  \* MERGEFORMAT </w:instrText>
    </w:r>
    <w:r w:rsidRPr="008A1492">
      <w:rPr>
        <w:b/>
        <w:sz w:val="18"/>
      </w:rPr>
      <w:fldChar w:fldCharType="separate"/>
    </w:r>
    <w:r w:rsidR="00402352">
      <w:rPr>
        <w:b/>
        <w:noProof/>
        <w:sz w:val="18"/>
      </w:rPr>
      <w:t>7</w:t>
    </w:r>
    <w:r w:rsidRPr="008A149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CF74AC" w:rsidTr="00CF74AC">
      <w:tc>
        <w:tcPr>
          <w:tcW w:w="3614" w:type="dxa"/>
          <w:shd w:val="clear" w:color="auto" w:fill="auto"/>
        </w:tcPr>
        <w:p w:rsidR="00CF74AC" w:rsidRDefault="00CF74AC" w:rsidP="00CF74AC">
          <w:pPr>
            <w:pStyle w:val="Footer"/>
            <w:rPr>
              <w:sz w:val="20"/>
            </w:rPr>
          </w:pPr>
          <w:r>
            <w:rPr>
              <w:noProof/>
              <w:lang w:eastAsia="en-GB"/>
            </w:rPr>
            <w:drawing>
              <wp:anchor distT="0" distB="0" distL="114300" distR="114300" simplePos="0" relativeHeight="251659264" behindDoc="0" locked="0" layoutInCell="1" allowOverlap="1">
                <wp:simplePos x="0" y="0"/>
                <wp:positionH relativeFrom="page">
                  <wp:posOffset>5339715</wp:posOffset>
                </wp:positionH>
                <wp:positionV relativeFrom="page">
                  <wp:posOffset>-365760</wp:posOffset>
                </wp:positionV>
                <wp:extent cx="694690" cy="694690"/>
                <wp:effectExtent l="0" t="0" r="0" b="0"/>
                <wp:wrapNone/>
                <wp:docPr id="1" name="Picture 1" descr="http://undocs.org/m2/QRCode2.ashx?DS=CRC/C/OPAC/LVA/Q/1/ADD.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OPAC/LVA/Q/1/ADD.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sz w:val="20"/>
            </w:rPr>
            <w:t>GE.15-19722(E)</w:t>
          </w:r>
        </w:p>
        <w:p w:rsidR="00CF74AC" w:rsidRPr="00CF74AC" w:rsidRDefault="00CF74AC" w:rsidP="00CF74AC">
          <w:pPr>
            <w:pStyle w:val="Footer"/>
            <w:rPr>
              <w:rFonts w:ascii="Barcode 3 of 9 by request" w:hAnsi="Barcode 3 of 9 by request"/>
              <w:sz w:val="24"/>
            </w:rPr>
          </w:pPr>
          <w:r>
            <w:rPr>
              <w:rFonts w:ascii="Barcode 3 of 9 by request" w:hAnsi="Barcode 3 of 9 by request"/>
              <w:sz w:val="24"/>
            </w:rPr>
            <w:t>*1519722*</w:t>
          </w:r>
        </w:p>
      </w:tc>
      <w:tc>
        <w:tcPr>
          <w:tcW w:w="4752" w:type="dxa"/>
          <w:shd w:val="clear" w:color="auto" w:fill="auto"/>
        </w:tcPr>
        <w:p w:rsidR="00CF74AC" w:rsidRDefault="00CF74AC" w:rsidP="00CF74AC">
          <w:pPr>
            <w:pStyle w:val="Footer"/>
            <w:spacing w:line="240" w:lineRule="atLeast"/>
            <w:jc w:val="right"/>
            <w:rPr>
              <w:sz w:val="20"/>
            </w:rPr>
          </w:pPr>
          <w:r>
            <w:rPr>
              <w:noProof/>
              <w:sz w:val="20"/>
              <w:lang w:eastAsia="en-GB"/>
            </w:rPr>
            <w:drawing>
              <wp:inline distT="0" distB="0" distL="0" distR="0">
                <wp:extent cx="933450" cy="228600"/>
                <wp:effectExtent l="0" t="0" r="0" b="0"/>
                <wp:docPr id="2" name="Picture 2" descr="C:\Word2010\WordMacros\recycle_Englis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Word2010\WordMacros\recycle_English.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inline>
            </w:drawing>
          </w:r>
        </w:p>
      </w:tc>
    </w:tr>
  </w:tbl>
  <w:p w:rsidR="00CF74AC" w:rsidRPr="00CF74AC" w:rsidRDefault="00CF74AC" w:rsidP="00CF74AC">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13F1" w:rsidRDefault="001413F1">
      <w:pPr>
        <w:tabs>
          <w:tab w:val="right" w:pos="2155"/>
        </w:tabs>
        <w:spacing w:after="80"/>
        <w:ind w:left="680"/>
        <w:rPr>
          <w:u w:val="single"/>
        </w:rPr>
      </w:pPr>
      <w:r>
        <w:rPr>
          <w:u w:val="single"/>
        </w:rPr>
        <w:tab/>
      </w:r>
    </w:p>
  </w:footnote>
  <w:footnote w:type="continuationSeparator" w:id="0">
    <w:p w:rsidR="001413F1" w:rsidRDefault="001413F1">
      <w:pPr>
        <w:tabs>
          <w:tab w:val="left" w:pos="2155"/>
        </w:tabs>
        <w:spacing w:after="80"/>
        <w:ind w:left="680"/>
        <w:rPr>
          <w:u w:val="single"/>
        </w:rPr>
      </w:pPr>
      <w:r>
        <w:rPr>
          <w:u w:val="single"/>
        </w:rPr>
        <w:tab/>
      </w:r>
    </w:p>
  </w:footnote>
  <w:footnote w:type="continuationNotice" w:id="1">
    <w:p w:rsidR="001413F1" w:rsidRDefault="001413F1"/>
  </w:footnote>
  <w:footnote w:id="2">
    <w:p w:rsidR="00B12C35" w:rsidRPr="00581AB6" w:rsidRDefault="00B12C35" w:rsidP="00581AB6">
      <w:pPr>
        <w:pStyle w:val="FootnoteText"/>
      </w:pPr>
      <w:r w:rsidRPr="00581AB6">
        <w:tab/>
      </w:r>
      <w:r w:rsidRPr="00A7053A">
        <w:rPr>
          <w:rStyle w:val="FootnoteReference"/>
          <w:sz w:val="20"/>
          <w:vertAlign w:val="baseline"/>
        </w:rPr>
        <w:t>*</w:t>
      </w:r>
      <w:r w:rsidRPr="00581AB6">
        <w:tab/>
        <w:t>The present document is being issued without formal editing.</w:t>
      </w:r>
    </w:p>
  </w:footnote>
  <w:footnote w:id="3">
    <w:p w:rsidR="00B12C35" w:rsidRPr="00581AB6" w:rsidRDefault="003B29A3" w:rsidP="00BC5EBD">
      <w:pPr>
        <w:pStyle w:val="FootnoteText"/>
      </w:pPr>
      <w:r>
        <w:tab/>
      </w:r>
      <w:r w:rsidR="00B12C35" w:rsidRPr="00581AB6">
        <w:rPr>
          <w:rStyle w:val="FootnoteReference"/>
        </w:rPr>
        <w:footnoteRef/>
      </w:r>
      <w:r w:rsidR="00B12C35" w:rsidRPr="00581AB6">
        <w:t xml:space="preserve"> </w:t>
      </w:r>
      <w:r>
        <w:tab/>
      </w:r>
      <w:proofErr w:type="gramStart"/>
      <w:r w:rsidR="00B12C35" w:rsidRPr="00581AB6">
        <w:t xml:space="preserve">According to </w:t>
      </w:r>
      <w:r w:rsidR="00BC5EBD">
        <w:t>s</w:t>
      </w:r>
      <w:r w:rsidR="00B12C35" w:rsidRPr="00581AB6">
        <w:t xml:space="preserve">ection 19, </w:t>
      </w:r>
      <w:r w:rsidR="00BC5EBD">
        <w:t>p</w:t>
      </w:r>
      <w:r w:rsidR="00B12C35" w:rsidRPr="00581AB6">
        <w:t>ara</w:t>
      </w:r>
      <w:r w:rsidR="00BC5EBD">
        <w:t>.</w:t>
      </w:r>
      <w:proofErr w:type="gramEnd"/>
      <w:r w:rsidR="00B12C35" w:rsidRPr="00581AB6">
        <w:t xml:space="preserve"> </w:t>
      </w:r>
      <w:r w:rsidR="00BC5EBD">
        <w:t>1,</w:t>
      </w:r>
      <w:r w:rsidR="00B12C35" w:rsidRPr="00581AB6">
        <w:t xml:space="preserve"> of Military Service Law</w:t>
      </w:r>
      <w:r w:rsidR="00BC5EBD">
        <w:t>,</w:t>
      </w:r>
      <w:r w:rsidR="00B12C35" w:rsidRPr="00581AB6">
        <w:t xml:space="preserve"> Latvian citizens from 18 years of age shall be accepted into professional service. </w:t>
      </w:r>
      <w:proofErr w:type="gramStart"/>
      <w:r w:rsidR="00B12C35" w:rsidRPr="00581AB6">
        <w:t>Para</w:t>
      </w:r>
      <w:r w:rsidR="00BC5EBD">
        <w:t>.</w:t>
      </w:r>
      <w:proofErr w:type="gramEnd"/>
      <w:r w:rsidR="00B12C35" w:rsidRPr="00581AB6">
        <w:t xml:space="preserve"> </w:t>
      </w:r>
      <w:r w:rsidR="00BC5EBD">
        <w:t>7</w:t>
      </w:r>
      <w:r w:rsidR="00B12C35" w:rsidRPr="00581AB6">
        <w:t xml:space="preserve"> of this </w:t>
      </w:r>
      <w:r w:rsidR="00BC5EBD">
        <w:t>s</w:t>
      </w:r>
      <w:r w:rsidR="00B12C35" w:rsidRPr="00581AB6">
        <w:t>ection provides that a person who has not been previously trained for military service, after acceptance into professional service</w:t>
      </w:r>
      <w:r w:rsidR="00BC5EBD">
        <w:t>,</w:t>
      </w:r>
      <w:r w:rsidR="00B12C35" w:rsidRPr="00581AB6">
        <w:t xml:space="preserve"> shall complete a military training course specified for the position in accordance with procedures determined by the Minister for Defence.</w:t>
      </w:r>
    </w:p>
  </w:footnote>
  <w:footnote w:id="4">
    <w:p w:rsidR="00B12C35" w:rsidRPr="00581AB6" w:rsidRDefault="00581AB6" w:rsidP="00165D47">
      <w:pPr>
        <w:pStyle w:val="FootnoteText"/>
      </w:pPr>
      <w:r>
        <w:tab/>
      </w:r>
      <w:r w:rsidR="00B12C35" w:rsidRPr="00581AB6">
        <w:rPr>
          <w:rStyle w:val="FootnoteReference"/>
        </w:rPr>
        <w:footnoteRef/>
      </w:r>
      <w:r>
        <w:tab/>
      </w:r>
      <w:r w:rsidR="00B12C35" w:rsidRPr="00581AB6">
        <w:t xml:space="preserve">Interest-related education </w:t>
      </w:r>
      <w:r w:rsidR="005511D1">
        <w:t>—</w:t>
      </w:r>
      <w:r w:rsidR="00B12C35" w:rsidRPr="00581AB6">
        <w:t xml:space="preserve"> realisation of the individual educational needs and desires of a person regardless of age and previously acquired education (</w:t>
      </w:r>
      <w:r w:rsidR="00AA54DC">
        <w:t>s</w:t>
      </w:r>
      <w:r w:rsidR="00B12C35" w:rsidRPr="00581AB6">
        <w:t>ection 1</w:t>
      </w:r>
      <w:r w:rsidR="00AA54DC">
        <w:t>,</w:t>
      </w:r>
      <w:r w:rsidR="00B12C35" w:rsidRPr="00581AB6">
        <w:t xml:space="preserve"> </w:t>
      </w:r>
      <w:r w:rsidR="00AA54DC">
        <w:t>c</w:t>
      </w:r>
      <w:r w:rsidR="00B12C35" w:rsidRPr="00581AB6">
        <w:t>lause 3</w:t>
      </w:r>
      <w:r w:rsidR="00AA54DC">
        <w:t>,</w:t>
      </w:r>
      <w:r w:rsidR="00B12C35" w:rsidRPr="00581AB6">
        <w:t xml:space="preserve"> of Education Law).</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2C35" w:rsidRPr="007F7704" w:rsidRDefault="00B12C35" w:rsidP="008A1492">
    <w:pPr>
      <w:pStyle w:val="Header"/>
    </w:pPr>
    <w:r w:rsidRPr="007F7704">
      <w:t>CRC/C/OPAC/LVA/Q/1/Add.1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2C35" w:rsidRPr="007F7704" w:rsidRDefault="00B12C35" w:rsidP="00125271">
    <w:pPr>
      <w:pStyle w:val="Header"/>
      <w:jc w:val="right"/>
    </w:pPr>
    <w:r w:rsidRPr="007F7704">
      <w:t>CRC/C/OPAC/LVA/Q/1/Add.1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17B4657"/>
    <w:multiLevelType w:val="hybridMultilevel"/>
    <w:tmpl w:val="FC68C0F0"/>
    <w:lvl w:ilvl="0" w:tplc="6FFA49E4">
      <w:start w:val="1"/>
      <w:numFmt w:val="decimal"/>
      <w:lvlText w:val="%1."/>
      <w:lvlJc w:val="left"/>
      <w:pPr>
        <w:ind w:left="720" w:hanging="360"/>
      </w:pPr>
      <w:rPr>
        <w:rFonts w:ascii="Times New Roman" w:hAnsi="Times New Roman" w:hint="default"/>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nsid w:val="743037F0"/>
    <w:multiLevelType w:val="hybridMultilevel"/>
    <w:tmpl w:val="7034FE0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79046A46"/>
    <w:multiLevelType w:val="hybridMultilevel"/>
    <w:tmpl w:val="1FB83434"/>
    <w:lvl w:ilvl="0" w:tplc="1E50636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7A0266D8"/>
    <w:multiLevelType w:val="hybridMultilevel"/>
    <w:tmpl w:val="8F065F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6"/>
  </w:num>
  <w:num w:numId="15">
    <w:abstractNumId w:val="12"/>
  </w:num>
  <w:num w:numId="16">
    <w:abstractNumId w:val="11"/>
  </w:num>
  <w:num w:numId="17">
    <w:abstractNumId w:val="15"/>
  </w:num>
  <w:num w:numId="18">
    <w:abstractNumId w:val="17"/>
  </w:num>
  <w:num w:numId="19">
    <w:abstractNumId w:val="19"/>
  </w:num>
  <w:num w:numId="20">
    <w:abstractNumId w:val="1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comments="0" w:insDel="0" w:formatting="0" w:inkAnnotation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23553"/>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59CB"/>
    <w:rsid w:val="000A65FE"/>
    <w:rsid w:val="00125271"/>
    <w:rsid w:val="00134AE7"/>
    <w:rsid w:val="001413F1"/>
    <w:rsid w:val="00142204"/>
    <w:rsid w:val="00150940"/>
    <w:rsid w:val="001604A6"/>
    <w:rsid w:val="001618A4"/>
    <w:rsid w:val="00165D47"/>
    <w:rsid w:val="001A2826"/>
    <w:rsid w:val="001D2B89"/>
    <w:rsid w:val="001D3C50"/>
    <w:rsid w:val="001E74E3"/>
    <w:rsid w:val="00214C45"/>
    <w:rsid w:val="002231E1"/>
    <w:rsid w:val="0024146C"/>
    <w:rsid w:val="00245665"/>
    <w:rsid w:val="0025180A"/>
    <w:rsid w:val="00295B25"/>
    <w:rsid w:val="002F198A"/>
    <w:rsid w:val="003115AE"/>
    <w:rsid w:val="003144CF"/>
    <w:rsid w:val="0033200C"/>
    <w:rsid w:val="0034779C"/>
    <w:rsid w:val="003B29A3"/>
    <w:rsid w:val="003B6FC6"/>
    <w:rsid w:val="004016AC"/>
    <w:rsid w:val="00402352"/>
    <w:rsid w:val="00414B51"/>
    <w:rsid w:val="004459CB"/>
    <w:rsid w:val="004744B2"/>
    <w:rsid w:val="004D7A1D"/>
    <w:rsid w:val="00517D8F"/>
    <w:rsid w:val="005511D1"/>
    <w:rsid w:val="00575618"/>
    <w:rsid w:val="00581AB6"/>
    <w:rsid w:val="005937A8"/>
    <w:rsid w:val="005B517B"/>
    <w:rsid w:val="00661845"/>
    <w:rsid w:val="006E638F"/>
    <w:rsid w:val="006E6F75"/>
    <w:rsid w:val="006F4514"/>
    <w:rsid w:val="006F7AD5"/>
    <w:rsid w:val="0071724F"/>
    <w:rsid w:val="0073107A"/>
    <w:rsid w:val="007653F9"/>
    <w:rsid w:val="007A6298"/>
    <w:rsid w:val="007F7704"/>
    <w:rsid w:val="008260A1"/>
    <w:rsid w:val="00827604"/>
    <w:rsid w:val="008551FD"/>
    <w:rsid w:val="00871C14"/>
    <w:rsid w:val="008A1492"/>
    <w:rsid w:val="008A59AC"/>
    <w:rsid w:val="008B74C6"/>
    <w:rsid w:val="008C4D8B"/>
    <w:rsid w:val="008D1364"/>
    <w:rsid w:val="008D2930"/>
    <w:rsid w:val="008D728E"/>
    <w:rsid w:val="008E49BF"/>
    <w:rsid w:val="00903182"/>
    <w:rsid w:val="00904684"/>
    <w:rsid w:val="009046A2"/>
    <w:rsid w:val="00946897"/>
    <w:rsid w:val="00972866"/>
    <w:rsid w:val="009E601C"/>
    <w:rsid w:val="00A2506C"/>
    <w:rsid w:val="00A66F6A"/>
    <w:rsid w:val="00A7053A"/>
    <w:rsid w:val="00AA54DC"/>
    <w:rsid w:val="00AB1F09"/>
    <w:rsid w:val="00B12C35"/>
    <w:rsid w:val="00BC4D87"/>
    <w:rsid w:val="00BC5EBD"/>
    <w:rsid w:val="00C25129"/>
    <w:rsid w:val="00C64C90"/>
    <w:rsid w:val="00C728B2"/>
    <w:rsid w:val="00C820B0"/>
    <w:rsid w:val="00C970F5"/>
    <w:rsid w:val="00CB718E"/>
    <w:rsid w:val="00CC6A5D"/>
    <w:rsid w:val="00CF340D"/>
    <w:rsid w:val="00CF74AC"/>
    <w:rsid w:val="00D9650B"/>
    <w:rsid w:val="00D96CD0"/>
    <w:rsid w:val="00DF021E"/>
    <w:rsid w:val="00DF6C9C"/>
    <w:rsid w:val="00E27A4D"/>
    <w:rsid w:val="00E339FC"/>
    <w:rsid w:val="00E44777"/>
    <w:rsid w:val="00EE11A9"/>
    <w:rsid w:val="00EE1BAE"/>
    <w:rsid w:val="00EE32C1"/>
    <w:rsid w:val="00F00707"/>
    <w:rsid w:val="00F078FA"/>
    <w:rsid w:val="00F16F25"/>
    <w:rsid w:val="00F56002"/>
    <w:rsid w:val="00F7044C"/>
    <w:rsid w:val="00F8655A"/>
    <w:rsid w:val="00FA6DC4"/>
    <w:rsid w:val="00FB3B3D"/>
    <w:rsid w:val="00FD6D67"/>
    <w:rsid w:val="00FE2A77"/>
    <w:rsid w:val="00FF523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35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link w:val="FootnoteTextChar"/>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character" w:customStyle="1" w:styleId="SingleTxtGChar">
    <w:name w:val="_ Single Txt_G Char"/>
    <w:link w:val="SingleTxtG"/>
    <w:rsid w:val="008260A1"/>
    <w:rPr>
      <w:lang w:eastAsia="en-US"/>
    </w:rPr>
  </w:style>
  <w:style w:type="character" w:customStyle="1" w:styleId="FootnoteTextChar">
    <w:name w:val="Footnote Text Char"/>
    <w:aliases w:val="5_G Char"/>
    <w:link w:val="FootnoteText"/>
    <w:locked/>
    <w:rsid w:val="00EE1BAE"/>
    <w:rPr>
      <w:sz w:val="18"/>
      <w:lang w:eastAsia="en-US"/>
    </w:rPr>
  </w:style>
  <w:style w:type="paragraph" w:styleId="BalloonText">
    <w:name w:val="Balloon Text"/>
    <w:basedOn w:val="Normal"/>
    <w:link w:val="BalloonTextChar"/>
    <w:rsid w:val="00BC4D87"/>
    <w:pPr>
      <w:spacing w:line="240" w:lineRule="auto"/>
    </w:pPr>
    <w:rPr>
      <w:rFonts w:ascii="Tahoma" w:hAnsi="Tahoma" w:cs="Tahoma"/>
      <w:sz w:val="16"/>
      <w:szCs w:val="16"/>
    </w:rPr>
  </w:style>
  <w:style w:type="character" w:customStyle="1" w:styleId="BalloonTextChar">
    <w:name w:val="Balloon Text Char"/>
    <w:link w:val="BalloonText"/>
    <w:rsid w:val="00BC4D87"/>
    <w:rPr>
      <w:rFonts w:ascii="Tahoma" w:hAnsi="Tahoma" w:cs="Tahoma"/>
      <w:sz w:val="16"/>
      <w:szCs w:val="16"/>
      <w:lang w:eastAsia="en-US"/>
    </w:rPr>
  </w:style>
  <w:style w:type="paragraph" w:styleId="CommentSubject">
    <w:name w:val="annotation subject"/>
    <w:basedOn w:val="CommentText"/>
    <w:next w:val="CommentText"/>
    <w:link w:val="CommentSubjectChar"/>
    <w:semiHidden/>
    <w:unhideWhenUsed/>
    <w:rsid w:val="00CF74AC"/>
    <w:rPr>
      <w:b/>
      <w:bCs/>
    </w:rPr>
  </w:style>
  <w:style w:type="character" w:customStyle="1" w:styleId="CommentTextChar">
    <w:name w:val="Comment Text Char"/>
    <w:basedOn w:val="DefaultParagraphFont"/>
    <w:link w:val="CommentText"/>
    <w:semiHidden/>
    <w:rsid w:val="00CF74AC"/>
    <w:rPr>
      <w:lang w:eastAsia="en-US"/>
    </w:rPr>
  </w:style>
  <w:style w:type="character" w:customStyle="1" w:styleId="CommentSubjectChar">
    <w:name w:val="Comment Subject Char"/>
    <w:basedOn w:val="CommentTextChar"/>
    <w:link w:val="CommentSubject"/>
    <w:semiHidden/>
    <w:rsid w:val="00CF74AC"/>
    <w:rPr>
      <w:b/>
      <w:bCs/>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link w:val="FootnoteTextChar"/>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character" w:customStyle="1" w:styleId="SingleTxtGChar">
    <w:name w:val="_ Single Txt_G Char"/>
    <w:link w:val="SingleTxtG"/>
    <w:rsid w:val="008260A1"/>
    <w:rPr>
      <w:lang w:eastAsia="en-US"/>
    </w:rPr>
  </w:style>
  <w:style w:type="character" w:customStyle="1" w:styleId="FootnoteTextChar">
    <w:name w:val="Footnote Text Char"/>
    <w:aliases w:val="5_G Char"/>
    <w:link w:val="FootnoteText"/>
    <w:locked/>
    <w:rsid w:val="00EE1BAE"/>
    <w:rPr>
      <w:sz w:val="18"/>
      <w:lang w:eastAsia="en-US"/>
    </w:rPr>
  </w:style>
  <w:style w:type="paragraph" w:styleId="BalloonText">
    <w:name w:val="Balloon Text"/>
    <w:basedOn w:val="Normal"/>
    <w:link w:val="BalloonTextChar"/>
    <w:rsid w:val="00BC4D87"/>
    <w:pPr>
      <w:spacing w:line="240" w:lineRule="auto"/>
    </w:pPr>
    <w:rPr>
      <w:rFonts w:ascii="Tahoma" w:hAnsi="Tahoma" w:cs="Tahoma"/>
      <w:sz w:val="16"/>
      <w:szCs w:val="16"/>
    </w:rPr>
  </w:style>
  <w:style w:type="character" w:customStyle="1" w:styleId="BalloonTextChar">
    <w:name w:val="Balloon Text Char"/>
    <w:link w:val="BalloonText"/>
    <w:rsid w:val="00BC4D87"/>
    <w:rPr>
      <w:rFonts w:ascii="Tahoma" w:hAnsi="Tahoma" w:cs="Tahoma"/>
      <w:sz w:val="16"/>
      <w:szCs w:val="16"/>
      <w:lang w:eastAsia="en-US"/>
    </w:rPr>
  </w:style>
  <w:style w:type="paragraph" w:styleId="CommentSubject">
    <w:name w:val="annotation subject"/>
    <w:basedOn w:val="CommentText"/>
    <w:next w:val="CommentText"/>
    <w:link w:val="CommentSubjectChar"/>
    <w:semiHidden/>
    <w:unhideWhenUsed/>
    <w:rsid w:val="00CF74AC"/>
    <w:rPr>
      <w:b/>
      <w:bCs/>
    </w:rPr>
  </w:style>
  <w:style w:type="character" w:customStyle="1" w:styleId="CommentTextChar">
    <w:name w:val="Comment Text Char"/>
    <w:basedOn w:val="DefaultParagraphFont"/>
    <w:link w:val="CommentText"/>
    <w:semiHidden/>
    <w:rsid w:val="00CF74AC"/>
    <w:rPr>
      <w:lang w:eastAsia="en-US"/>
    </w:rPr>
  </w:style>
  <w:style w:type="character" w:customStyle="1" w:styleId="CommentSubjectChar">
    <w:name w:val="Comment Subject Char"/>
    <w:basedOn w:val="CommentTextChar"/>
    <w:link w:val="CommentSubject"/>
    <w:semiHidden/>
    <w:rsid w:val="00CF74AC"/>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0676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rjc.gov.lv/~/media/RJC/Jaunsardze/Kodekss_apstiprinashanai.ashx"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likumi.lv/doc.php?id=118415" TargetMode="External"/><Relationship Id="rId17" Type="http://schemas.openxmlformats.org/officeDocument/2006/relationships/header" Target="header2.xml"/><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tap.mk.gov.lv/lv/mk/tap/?pid=40258141" TargetMode="External"/><Relationship Id="rId24" Type="http://schemas.openxmlformats.org/officeDocument/2006/relationships/customXml" Target="../customXml/item3.xml"/><Relationship Id="rId5" Type="http://schemas.openxmlformats.org/officeDocument/2006/relationships/settings" Target="settings.xml"/><Relationship Id="rId15" Type="http://schemas.openxmlformats.org/officeDocument/2006/relationships/hyperlink" Target="http://www.mfa.gov.lv/arpolitika/drosibas-politika/drosibas-politikas-virzieni/brunojuma-kontrole-un-masu-iznicinasanas-ierocu-izplatisanas-ierobezosana" TargetMode="External"/><Relationship Id="rId23" Type="http://schemas.openxmlformats.org/officeDocument/2006/relationships/customXml" Target="../customXml/item2.xml"/><Relationship Id="rId10" Type="http://schemas.openxmlformats.org/officeDocument/2006/relationships/hyperlink" Target="http://www.lm.gov.lv/text/2876" TargetMode="External"/><Relationship Id="rId19"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http://www.bti.gov.lv/lat/lietotaju_ertibam/uzdod_jautajumu"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18922F1BC617348B61FCCCA89710F1F" ma:contentTypeVersion="0" ma:contentTypeDescription="Create a new document." ma:contentTypeScope="" ma:versionID="f642096ac724d531a8e58667adac04a7">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15A3958-B269-480B-846C-70C5419C9C6C}"/>
</file>

<file path=customXml/itemProps2.xml><?xml version="1.0" encoding="utf-8"?>
<ds:datastoreItem xmlns:ds="http://schemas.openxmlformats.org/officeDocument/2006/customXml" ds:itemID="{40DDFC6C-3C50-47F0-896B-1DA2BD27C631}"/>
</file>

<file path=customXml/itemProps3.xml><?xml version="1.0" encoding="utf-8"?>
<ds:datastoreItem xmlns:ds="http://schemas.openxmlformats.org/officeDocument/2006/customXml" ds:itemID="{72507B8B-9957-4581-8185-1658890EA248}"/>
</file>

<file path=customXml/itemProps4.xml><?xml version="1.0" encoding="utf-8"?>
<ds:datastoreItem xmlns:ds="http://schemas.openxmlformats.org/officeDocument/2006/customXml" ds:itemID="{D6371AF1-6B3F-4082-8AA3-973944A09CCA}"/>
</file>

<file path=docProps/app.xml><?xml version="1.0" encoding="utf-8"?>
<Properties xmlns="http://schemas.openxmlformats.org/officeDocument/2006/extended-properties" xmlns:vt="http://schemas.openxmlformats.org/officeDocument/2006/docPropsVTypes">
  <Template>Normal</Template>
  <TotalTime>1</TotalTime>
  <Pages>8</Pages>
  <Words>3752</Words>
  <Characters>21388</Characters>
  <Application>Microsoft Office Word</Application>
  <DocSecurity>4</DocSecurity>
  <Lines>178</Lines>
  <Paragraphs>50</Paragraphs>
  <ScaleCrop>false</ScaleCrop>
  <HeadingPairs>
    <vt:vector size="2" baseType="variant">
      <vt:variant>
        <vt:lpstr>Title</vt:lpstr>
      </vt:variant>
      <vt:variant>
        <vt:i4>1</vt:i4>
      </vt:variant>
    </vt:vector>
  </HeadingPairs>
  <TitlesOfParts>
    <vt:vector size="1" baseType="lpstr">
      <vt:lpstr>1363940</vt:lpstr>
    </vt:vector>
  </TitlesOfParts>
  <Company>CSD</Company>
  <LinksUpToDate>false</LinksUpToDate>
  <CharactersWithSpaces>25090</CharactersWithSpaces>
  <SharedDoc>false</SharedDoc>
  <HLinks>
    <vt:vector size="36" baseType="variant">
      <vt:variant>
        <vt:i4>4784218</vt:i4>
      </vt:variant>
      <vt:variant>
        <vt:i4>15</vt:i4>
      </vt:variant>
      <vt:variant>
        <vt:i4>0</vt:i4>
      </vt:variant>
      <vt:variant>
        <vt:i4>5</vt:i4>
      </vt:variant>
      <vt:variant>
        <vt:lpwstr>http://www.mfa.gov.lv/arpolitika/drosibas-politika/drosibas-politikas-virzieni/brunojuma-kontrole-un-masu-iznicinasanas-ierocu-izplatisanas-ierobezosana</vt:lpwstr>
      </vt:variant>
      <vt:variant>
        <vt:lpwstr/>
      </vt:variant>
      <vt:variant>
        <vt:i4>7143479</vt:i4>
      </vt:variant>
      <vt:variant>
        <vt:i4>12</vt:i4>
      </vt:variant>
      <vt:variant>
        <vt:i4>0</vt:i4>
      </vt:variant>
      <vt:variant>
        <vt:i4>5</vt:i4>
      </vt:variant>
      <vt:variant>
        <vt:lpwstr>http://www.bti.gov.lv/lat/lietotaju_ertibam/uzdod_jautajumu</vt:lpwstr>
      </vt:variant>
      <vt:variant>
        <vt:lpwstr/>
      </vt:variant>
      <vt:variant>
        <vt:i4>6815827</vt:i4>
      </vt:variant>
      <vt:variant>
        <vt:i4>9</vt:i4>
      </vt:variant>
      <vt:variant>
        <vt:i4>0</vt:i4>
      </vt:variant>
      <vt:variant>
        <vt:i4>5</vt:i4>
      </vt:variant>
      <vt:variant>
        <vt:lpwstr>http://www.rjc.gov.lv/~/media/RJC/Jaunsardze/Kodekss_apstiprinashanai.ashx</vt:lpwstr>
      </vt:variant>
      <vt:variant>
        <vt:lpwstr/>
      </vt:variant>
      <vt:variant>
        <vt:i4>7995509</vt:i4>
      </vt:variant>
      <vt:variant>
        <vt:i4>6</vt:i4>
      </vt:variant>
      <vt:variant>
        <vt:i4>0</vt:i4>
      </vt:variant>
      <vt:variant>
        <vt:i4>5</vt:i4>
      </vt:variant>
      <vt:variant>
        <vt:lpwstr>http://likumi.lv/doc.php?id=118415</vt:lpwstr>
      </vt:variant>
      <vt:variant>
        <vt:lpwstr/>
      </vt:variant>
      <vt:variant>
        <vt:i4>1638427</vt:i4>
      </vt:variant>
      <vt:variant>
        <vt:i4>3</vt:i4>
      </vt:variant>
      <vt:variant>
        <vt:i4>0</vt:i4>
      </vt:variant>
      <vt:variant>
        <vt:i4>5</vt:i4>
      </vt:variant>
      <vt:variant>
        <vt:lpwstr>http://tap.mk.gov.lv/lv/mk/tap/?pid=40258141</vt:lpwstr>
      </vt:variant>
      <vt:variant>
        <vt:lpwstr/>
      </vt:variant>
      <vt:variant>
        <vt:i4>7536763</vt:i4>
      </vt:variant>
      <vt:variant>
        <vt:i4>0</vt:i4>
      </vt:variant>
      <vt:variant>
        <vt:i4>0</vt:i4>
      </vt:variant>
      <vt:variant>
        <vt:i4>5</vt:i4>
      </vt:variant>
      <vt:variant>
        <vt:lpwstr>http://www.lm.gov.lv/text/2876</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1363940</dc:title>
  <dc:creator>PAE</dc:creator>
  <cp:keywords>CRC/C/OPAC/XXX/Q/1</cp:keywords>
  <dc:description>final</dc:description>
  <cp:lastModifiedBy>Boit James</cp:lastModifiedBy>
  <cp:revision>2</cp:revision>
  <cp:lastPrinted>2015-03-10T10:32:00Z</cp:lastPrinted>
  <dcterms:created xsi:type="dcterms:W3CDTF">2015-11-25T17:01:00Z</dcterms:created>
  <dcterms:modified xsi:type="dcterms:W3CDTF">2015-11-25T17:01:00Z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0x010100918922F1BC617348B61FCCCA89710F1F</vt:lpwstr>
  </property>
</Properties>
</file>