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538B05" w14:textId="5341E5CD" w:rsidR="005379AA" w:rsidRPr="009231D7" w:rsidRDefault="00BE4695" w:rsidP="0001010A">
      <w:pPr>
        <w:spacing w:line="259" w:lineRule="auto"/>
        <w:jc w:val="center"/>
        <w:rPr>
          <w:rFonts w:ascii="ABC Ginto Nord" w:hAnsi="ABC Ginto Nord" w:cs="Tahoma"/>
          <w:b/>
        </w:rPr>
      </w:pPr>
      <w:r w:rsidRPr="009231D7">
        <w:rPr>
          <w:noProof/>
        </w:rPr>
        <w:drawing>
          <wp:inline distT="0" distB="0" distL="0" distR="0" wp14:anchorId="287BF373" wp14:editId="3E73A207">
            <wp:extent cx="2321781" cy="829207"/>
            <wp:effectExtent l="0" t="0" r="2540" b="9525"/>
            <wp:docPr id="1276323478" name="Kép 1" descr="A képen fekete, sötétség látható&#10;&#10;Előfordulhat, hogy az AI által létrehozott tartalom helytel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323478" name="Kép 1" descr="A képen fekete, sötétség látható&#10;&#10;Előfordulhat, hogy az AI által létrehozott tartalom helytele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21781" cy="829207"/>
                    </a:xfrm>
                    <a:prstGeom prst="rect">
                      <a:avLst/>
                    </a:prstGeom>
                    <a:noFill/>
                    <a:ln>
                      <a:noFill/>
                    </a:ln>
                  </pic:spPr>
                </pic:pic>
              </a:graphicData>
            </a:graphic>
          </wp:inline>
        </w:drawing>
      </w:r>
    </w:p>
    <w:p w14:paraId="21913E69" w14:textId="77777777" w:rsidR="005379AA" w:rsidRPr="009231D7" w:rsidRDefault="005379AA" w:rsidP="0001010A">
      <w:pPr>
        <w:spacing w:line="259" w:lineRule="auto"/>
        <w:jc w:val="center"/>
        <w:rPr>
          <w:rFonts w:ascii="ABC Ginto Nord" w:hAnsi="ABC Ginto Nord" w:cs="Tahoma"/>
          <w:b/>
        </w:rPr>
      </w:pPr>
    </w:p>
    <w:p w14:paraId="1E8DBC0B" w14:textId="77777777" w:rsidR="00BE4695" w:rsidRPr="009231D7" w:rsidRDefault="00BE4695" w:rsidP="0001010A">
      <w:pPr>
        <w:spacing w:line="259" w:lineRule="auto"/>
        <w:jc w:val="center"/>
        <w:rPr>
          <w:rFonts w:ascii="ABC Ginto Nord" w:hAnsi="ABC Ginto Nord" w:cs="Tahoma"/>
          <w:b/>
        </w:rPr>
      </w:pPr>
    </w:p>
    <w:p w14:paraId="09F1A220" w14:textId="1CC3CC9F" w:rsidR="0001010A" w:rsidRPr="009231D7" w:rsidRDefault="0001010A" w:rsidP="0001010A">
      <w:pPr>
        <w:spacing w:line="259" w:lineRule="auto"/>
        <w:jc w:val="center"/>
        <w:rPr>
          <w:rFonts w:asciiTheme="minorHAnsi" w:hAnsiTheme="minorHAnsi" w:cstheme="minorHAnsi"/>
          <w:b/>
          <w:sz w:val="34"/>
          <w:szCs w:val="34"/>
        </w:rPr>
      </w:pPr>
      <w:r w:rsidRPr="009231D7">
        <w:rPr>
          <w:rFonts w:asciiTheme="minorHAnsi" w:hAnsiTheme="minorHAnsi" w:cstheme="minorHAnsi"/>
          <w:b/>
          <w:sz w:val="34"/>
          <w:szCs w:val="34"/>
        </w:rPr>
        <w:t xml:space="preserve">Suggestions for questions </w:t>
      </w:r>
    </w:p>
    <w:p w14:paraId="3CF63D49" w14:textId="09322AFF" w:rsidR="005379AA" w:rsidRPr="009231D7" w:rsidRDefault="0001010A" w:rsidP="00B666D6">
      <w:pPr>
        <w:spacing w:after="160" w:line="259" w:lineRule="auto"/>
        <w:jc w:val="center"/>
        <w:rPr>
          <w:rFonts w:asciiTheme="minorHAnsi" w:hAnsiTheme="minorHAnsi" w:cstheme="minorHAnsi"/>
          <w:b/>
          <w:sz w:val="34"/>
          <w:szCs w:val="34"/>
        </w:rPr>
      </w:pPr>
      <w:r w:rsidRPr="009231D7">
        <w:rPr>
          <w:rFonts w:asciiTheme="minorHAnsi" w:hAnsiTheme="minorHAnsi" w:cstheme="minorHAnsi"/>
          <w:b/>
          <w:sz w:val="34"/>
          <w:szCs w:val="34"/>
        </w:rPr>
        <w:t>to be included in the List of Issues Prior to Reporting on Hungary</w:t>
      </w:r>
    </w:p>
    <w:p w14:paraId="16DB7E68" w14:textId="77777777" w:rsidR="0001010A" w:rsidRPr="009231D7" w:rsidRDefault="0001010A" w:rsidP="0001010A">
      <w:pPr>
        <w:spacing w:line="259" w:lineRule="auto"/>
        <w:jc w:val="center"/>
        <w:rPr>
          <w:rFonts w:asciiTheme="minorHAnsi" w:hAnsiTheme="minorHAnsi" w:cstheme="minorHAnsi"/>
          <w:b/>
          <w:sz w:val="34"/>
          <w:szCs w:val="34"/>
        </w:rPr>
      </w:pPr>
      <w:r w:rsidRPr="009231D7">
        <w:rPr>
          <w:rFonts w:asciiTheme="minorHAnsi" w:hAnsiTheme="minorHAnsi" w:cstheme="minorHAnsi"/>
          <w:b/>
          <w:sz w:val="34"/>
          <w:szCs w:val="34"/>
        </w:rPr>
        <w:t>for consideration by</w:t>
      </w:r>
    </w:p>
    <w:p w14:paraId="7D8D23AC" w14:textId="77777777" w:rsidR="0001010A" w:rsidRPr="009231D7" w:rsidRDefault="0001010A" w:rsidP="0001010A">
      <w:pPr>
        <w:spacing w:line="259" w:lineRule="auto"/>
        <w:jc w:val="center"/>
        <w:rPr>
          <w:rFonts w:asciiTheme="minorHAnsi" w:hAnsiTheme="minorHAnsi" w:cstheme="minorHAnsi"/>
          <w:b/>
          <w:sz w:val="34"/>
          <w:szCs w:val="34"/>
        </w:rPr>
      </w:pPr>
      <w:r w:rsidRPr="009231D7">
        <w:rPr>
          <w:rFonts w:asciiTheme="minorHAnsi" w:hAnsiTheme="minorHAnsi" w:cstheme="minorHAnsi"/>
          <w:b/>
          <w:sz w:val="34"/>
          <w:szCs w:val="34"/>
        </w:rPr>
        <w:t>the Human Rights Committee</w:t>
      </w:r>
    </w:p>
    <w:p w14:paraId="2A9E7569" w14:textId="5A61AF61" w:rsidR="0001010A" w:rsidRPr="009231D7" w:rsidRDefault="0001010A" w:rsidP="0001010A">
      <w:pPr>
        <w:spacing w:line="259" w:lineRule="auto"/>
        <w:jc w:val="center"/>
        <w:rPr>
          <w:rFonts w:asciiTheme="minorHAnsi" w:hAnsiTheme="minorHAnsi" w:cstheme="minorHAnsi"/>
          <w:b/>
          <w:sz w:val="34"/>
          <w:szCs w:val="34"/>
        </w:rPr>
      </w:pPr>
      <w:r w:rsidRPr="009231D7">
        <w:rPr>
          <w:rFonts w:asciiTheme="minorHAnsi" w:hAnsiTheme="minorHAnsi" w:cstheme="minorHAnsi"/>
          <w:b/>
          <w:sz w:val="34"/>
          <w:szCs w:val="34"/>
        </w:rPr>
        <w:t>at its 145</w:t>
      </w:r>
      <w:r w:rsidRPr="009231D7">
        <w:rPr>
          <w:rFonts w:asciiTheme="minorHAnsi" w:hAnsiTheme="minorHAnsi" w:cstheme="minorHAnsi"/>
          <w:b/>
          <w:sz w:val="34"/>
          <w:szCs w:val="34"/>
          <w:vertAlign w:val="superscript"/>
        </w:rPr>
        <w:t>th</w:t>
      </w:r>
      <w:r w:rsidRPr="009231D7">
        <w:rPr>
          <w:rFonts w:asciiTheme="minorHAnsi" w:hAnsiTheme="minorHAnsi" w:cstheme="minorHAnsi"/>
          <w:b/>
          <w:sz w:val="34"/>
          <w:szCs w:val="34"/>
        </w:rPr>
        <w:t xml:space="preserve"> session in March 2026</w:t>
      </w:r>
    </w:p>
    <w:p w14:paraId="0C16E688" w14:textId="77777777" w:rsidR="007062E1" w:rsidRPr="009231D7" w:rsidRDefault="007062E1" w:rsidP="00D65C29">
      <w:pPr>
        <w:spacing w:after="160" w:line="259" w:lineRule="auto"/>
        <w:rPr>
          <w:rFonts w:asciiTheme="minorHAnsi" w:hAnsiTheme="minorHAnsi" w:cstheme="minorHAnsi"/>
          <w:sz w:val="22"/>
          <w:szCs w:val="22"/>
        </w:rPr>
      </w:pPr>
    </w:p>
    <w:p w14:paraId="211890A9" w14:textId="77777777" w:rsidR="00B03A14" w:rsidRPr="009231D7" w:rsidRDefault="00B03A14" w:rsidP="005379AA">
      <w:pPr>
        <w:spacing w:after="160" w:line="259" w:lineRule="auto"/>
        <w:rPr>
          <w:rFonts w:asciiTheme="minorHAnsi" w:hAnsiTheme="minorHAnsi" w:cstheme="minorHAnsi"/>
          <w:sz w:val="22"/>
          <w:szCs w:val="22"/>
        </w:rPr>
      </w:pPr>
    </w:p>
    <w:p w14:paraId="1A4BBEB5" w14:textId="77777777" w:rsidR="005379AA" w:rsidRPr="009231D7" w:rsidRDefault="005379AA" w:rsidP="005379AA">
      <w:pPr>
        <w:spacing w:after="160" w:line="259" w:lineRule="auto"/>
        <w:rPr>
          <w:rFonts w:asciiTheme="minorHAnsi" w:hAnsiTheme="minorHAnsi" w:cstheme="minorHAnsi"/>
          <w:sz w:val="22"/>
          <w:szCs w:val="22"/>
        </w:rPr>
      </w:pPr>
    </w:p>
    <w:p w14:paraId="208C195D" w14:textId="44B62786" w:rsidR="005379AA" w:rsidRPr="009231D7" w:rsidRDefault="005379AA" w:rsidP="005379AA">
      <w:pPr>
        <w:spacing w:after="160" w:line="259" w:lineRule="auto"/>
        <w:jc w:val="both"/>
        <w:rPr>
          <w:rFonts w:asciiTheme="minorHAnsi" w:hAnsiTheme="minorHAnsi" w:cstheme="minorHAnsi"/>
          <w:bCs/>
          <w:sz w:val="22"/>
          <w:szCs w:val="22"/>
        </w:rPr>
      </w:pPr>
      <w:r w:rsidRPr="009231D7">
        <w:rPr>
          <w:rFonts w:asciiTheme="minorHAnsi" w:hAnsiTheme="minorHAnsi" w:cstheme="minorHAnsi"/>
          <w:bCs/>
          <w:sz w:val="22"/>
          <w:szCs w:val="22"/>
        </w:rPr>
        <w:t>When compiling the List of Issues Prior to Reporting on Hungary, the Hungarian Helsinki Committee respectfully suggests that the Human Rights Committee consider posing the questions included in this submission to the Government of Hungary.</w:t>
      </w:r>
    </w:p>
    <w:p w14:paraId="156CB7CE" w14:textId="737FBBA3" w:rsidR="00B03A14" w:rsidRPr="009231D7" w:rsidRDefault="00372DBA" w:rsidP="005379AA">
      <w:pPr>
        <w:spacing w:after="160" w:line="259" w:lineRule="auto"/>
        <w:jc w:val="both"/>
        <w:rPr>
          <w:rFonts w:asciiTheme="minorHAnsi" w:hAnsiTheme="minorHAnsi" w:cstheme="minorHAnsi"/>
          <w:bCs/>
          <w:color w:val="000000"/>
          <w:sz w:val="22"/>
          <w:szCs w:val="22"/>
        </w:rPr>
      </w:pPr>
      <w:r w:rsidRPr="009231D7">
        <w:rPr>
          <w:rFonts w:asciiTheme="minorHAnsi" w:hAnsiTheme="minorHAnsi" w:cstheme="minorHAnsi"/>
          <w:bCs/>
          <w:color w:val="000000"/>
          <w:sz w:val="22"/>
          <w:szCs w:val="22"/>
        </w:rPr>
        <w:t xml:space="preserve">The structure of the </w:t>
      </w:r>
      <w:r w:rsidR="005379AA" w:rsidRPr="009231D7">
        <w:rPr>
          <w:rFonts w:asciiTheme="minorHAnsi" w:hAnsiTheme="minorHAnsi" w:cstheme="minorHAnsi"/>
          <w:bCs/>
          <w:color w:val="000000"/>
          <w:sz w:val="22"/>
          <w:szCs w:val="22"/>
        </w:rPr>
        <w:t xml:space="preserve">submission </w:t>
      </w:r>
      <w:r w:rsidRPr="009231D7">
        <w:rPr>
          <w:rFonts w:asciiTheme="minorHAnsi" w:hAnsiTheme="minorHAnsi" w:cstheme="minorHAnsi"/>
          <w:bCs/>
          <w:color w:val="000000"/>
          <w:sz w:val="22"/>
          <w:szCs w:val="22"/>
        </w:rPr>
        <w:t>follows the articles of the International Covenant on Civil and Political Rights and includes references to the Human Rights Committee’s “</w:t>
      </w:r>
      <w:r w:rsidRPr="009231D7">
        <w:rPr>
          <w:rFonts w:asciiTheme="minorHAnsi" w:hAnsiTheme="minorHAnsi" w:cstheme="minorHAnsi"/>
          <w:bCs/>
          <w:i/>
          <w:iCs/>
          <w:sz w:val="22"/>
          <w:szCs w:val="22"/>
        </w:rPr>
        <w:t>Concluding observations on the sixth periodic report of Hungary</w:t>
      </w:r>
      <w:r w:rsidRPr="009231D7">
        <w:rPr>
          <w:rFonts w:asciiTheme="minorHAnsi" w:hAnsiTheme="minorHAnsi" w:cstheme="minorHAnsi"/>
          <w:bCs/>
          <w:sz w:val="22"/>
          <w:szCs w:val="22"/>
        </w:rPr>
        <w:t>”</w:t>
      </w:r>
      <w:r w:rsidR="00A00818" w:rsidRPr="009231D7">
        <w:rPr>
          <w:rFonts w:asciiTheme="minorHAnsi" w:hAnsiTheme="minorHAnsi" w:cstheme="minorHAnsi"/>
          <w:bCs/>
          <w:sz w:val="22"/>
          <w:szCs w:val="22"/>
        </w:rPr>
        <w:t xml:space="preserve"> </w:t>
      </w:r>
      <w:r w:rsidRPr="009231D7">
        <w:rPr>
          <w:rFonts w:asciiTheme="minorHAnsi" w:hAnsiTheme="minorHAnsi" w:cstheme="minorHAnsi"/>
          <w:bCs/>
          <w:sz w:val="22"/>
          <w:szCs w:val="22"/>
        </w:rPr>
        <w:t>(</w:t>
      </w:r>
      <w:r w:rsidR="00A00818" w:rsidRPr="009231D7">
        <w:rPr>
          <w:rFonts w:asciiTheme="minorHAnsi" w:hAnsiTheme="minorHAnsi" w:cstheme="minorHAnsi"/>
          <w:bCs/>
          <w:sz w:val="22"/>
          <w:szCs w:val="22"/>
        </w:rPr>
        <w:t xml:space="preserve">9 May 2018, </w:t>
      </w:r>
      <w:r w:rsidR="00410A93" w:rsidRPr="009231D7">
        <w:rPr>
          <w:rFonts w:asciiTheme="minorHAnsi" w:eastAsia="Times New Roman" w:hAnsiTheme="minorHAnsi" w:cstheme="minorHAnsi"/>
          <w:sz w:val="22"/>
          <w:szCs w:val="22"/>
          <w:lang w:eastAsia="en-GB"/>
        </w:rPr>
        <w:t>CCPR/C/HUN/CO/6</w:t>
      </w:r>
      <w:r w:rsidRPr="009231D7">
        <w:rPr>
          <w:rFonts w:asciiTheme="minorHAnsi" w:hAnsiTheme="minorHAnsi" w:cstheme="minorHAnsi"/>
          <w:bCs/>
          <w:color w:val="000000"/>
          <w:sz w:val="22"/>
          <w:szCs w:val="22"/>
        </w:rPr>
        <w:t>).</w:t>
      </w:r>
    </w:p>
    <w:p w14:paraId="72859E2B" w14:textId="77777777" w:rsidR="005379AA" w:rsidRPr="009231D7" w:rsidRDefault="005379AA" w:rsidP="005379AA">
      <w:pPr>
        <w:spacing w:after="160" w:line="259" w:lineRule="auto"/>
        <w:jc w:val="both"/>
        <w:rPr>
          <w:rFonts w:asciiTheme="minorHAnsi" w:hAnsiTheme="minorHAnsi" w:cstheme="minorHAnsi"/>
          <w:bCs/>
          <w:color w:val="000000"/>
          <w:sz w:val="22"/>
          <w:szCs w:val="22"/>
        </w:rPr>
      </w:pPr>
    </w:p>
    <w:p w14:paraId="46D6884C" w14:textId="77777777" w:rsidR="005379AA" w:rsidRPr="009231D7" w:rsidRDefault="005379AA" w:rsidP="005379AA">
      <w:pPr>
        <w:spacing w:after="160" w:line="259" w:lineRule="auto"/>
        <w:jc w:val="both"/>
        <w:rPr>
          <w:rFonts w:asciiTheme="minorHAnsi" w:hAnsiTheme="minorHAnsi" w:cstheme="minorHAnsi"/>
          <w:bCs/>
          <w:color w:val="000000"/>
          <w:sz w:val="22"/>
          <w:szCs w:val="22"/>
        </w:rPr>
      </w:pPr>
    </w:p>
    <w:p w14:paraId="027A397B" w14:textId="77777777" w:rsidR="005379AA" w:rsidRPr="009231D7" w:rsidRDefault="005379AA" w:rsidP="005379AA">
      <w:pPr>
        <w:spacing w:after="160" w:line="259" w:lineRule="auto"/>
        <w:jc w:val="both"/>
        <w:rPr>
          <w:rFonts w:asciiTheme="minorHAnsi" w:hAnsiTheme="minorHAnsi" w:cstheme="minorHAnsi"/>
          <w:bCs/>
          <w:color w:val="000000"/>
          <w:sz w:val="22"/>
          <w:szCs w:val="22"/>
        </w:rPr>
      </w:pPr>
    </w:p>
    <w:p w14:paraId="238A29F2" w14:textId="77777777" w:rsidR="005379AA" w:rsidRDefault="005379AA" w:rsidP="005379AA">
      <w:pPr>
        <w:spacing w:after="160" w:line="259" w:lineRule="auto"/>
        <w:jc w:val="both"/>
        <w:rPr>
          <w:rFonts w:asciiTheme="minorHAnsi" w:hAnsiTheme="minorHAnsi" w:cstheme="minorHAnsi"/>
          <w:bCs/>
          <w:color w:val="000000"/>
          <w:sz w:val="22"/>
          <w:szCs w:val="22"/>
        </w:rPr>
      </w:pPr>
    </w:p>
    <w:p w14:paraId="5AB072AB" w14:textId="77777777" w:rsidR="00B21042" w:rsidRPr="009231D7" w:rsidRDefault="00B21042" w:rsidP="005379AA">
      <w:pPr>
        <w:spacing w:after="160" w:line="259" w:lineRule="auto"/>
        <w:jc w:val="both"/>
        <w:rPr>
          <w:rFonts w:asciiTheme="minorHAnsi" w:hAnsiTheme="minorHAnsi" w:cstheme="minorHAnsi"/>
          <w:bCs/>
          <w:color w:val="000000"/>
          <w:sz w:val="22"/>
          <w:szCs w:val="22"/>
        </w:rPr>
      </w:pPr>
    </w:p>
    <w:p w14:paraId="64CFC142" w14:textId="77777777" w:rsidR="00410A93" w:rsidRPr="009231D7" w:rsidRDefault="00410A93" w:rsidP="005379AA">
      <w:pPr>
        <w:spacing w:after="160" w:line="259" w:lineRule="auto"/>
        <w:jc w:val="both"/>
        <w:rPr>
          <w:rFonts w:asciiTheme="minorHAnsi" w:hAnsiTheme="minorHAnsi" w:cstheme="minorHAnsi"/>
          <w:bCs/>
          <w:color w:val="000000"/>
          <w:sz w:val="22"/>
          <w:szCs w:val="22"/>
        </w:rPr>
      </w:pPr>
    </w:p>
    <w:tbl>
      <w:tblPr>
        <w:tblStyle w:val="Rcsostblzat"/>
        <w:tblW w:w="0" w:type="auto"/>
        <w:tblLook w:val="04A0" w:firstRow="1" w:lastRow="0" w:firstColumn="1" w:lastColumn="0" w:noHBand="0" w:noVBand="1"/>
      </w:tblPr>
      <w:tblGrid>
        <w:gridCol w:w="9062"/>
      </w:tblGrid>
      <w:tr w:rsidR="005379AA" w:rsidRPr="009231D7" w14:paraId="595A5F74" w14:textId="77777777" w:rsidTr="005379AA">
        <w:tc>
          <w:tcPr>
            <w:tcW w:w="9062" w:type="dxa"/>
          </w:tcPr>
          <w:p w14:paraId="5CB8FB43" w14:textId="77874E82" w:rsidR="005379AA" w:rsidRPr="009231D7" w:rsidRDefault="005379AA" w:rsidP="005379AA">
            <w:pPr>
              <w:spacing w:before="80" w:after="160" w:line="259" w:lineRule="auto"/>
              <w:jc w:val="both"/>
              <w:rPr>
                <w:rFonts w:asciiTheme="minorHAnsi" w:hAnsiTheme="minorHAnsi" w:cstheme="minorHAnsi"/>
                <w:sz w:val="22"/>
                <w:szCs w:val="22"/>
                <w:highlight w:val="yellow"/>
              </w:rPr>
            </w:pPr>
            <w:r w:rsidRPr="009231D7">
              <w:rPr>
                <w:rFonts w:asciiTheme="minorHAnsi" w:hAnsiTheme="minorHAnsi" w:cstheme="minorHAnsi"/>
                <w:sz w:val="22"/>
                <w:szCs w:val="22"/>
              </w:rPr>
              <w:t xml:space="preserve">The Hungarian Helsinki Committee (HHC) </w:t>
            </w:r>
            <w:r w:rsidR="009B1EB7" w:rsidRPr="009231D7">
              <w:rPr>
                <w:rFonts w:asciiTheme="minorHAnsi" w:hAnsiTheme="minorHAnsi" w:cstheme="minorHAnsi"/>
                <w:sz w:val="22"/>
                <w:szCs w:val="22"/>
              </w:rPr>
              <w:t>is</w:t>
            </w:r>
            <w:r w:rsidR="00214187" w:rsidRPr="009231D7">
              <w:rPr>
                <w:rFonts w:asciiTheme="minorHAnsi" w:hAnsiTheme="minorHAnsi" w:cstheme="minorHAnsi"/>
                <w:sz w:val="22"/>
                <w:szCs w:val="22"/>
              </w:rPr>
              <w:t xml:space="preserve"> an independent human rights watchdog based in</w:t>
            </w:r>
            <w:r w:rsidR="00FC0182" w:rsidRPr="009231D7">
              <w:rPr>
                <w:rFonts w:asciiTheme="minorHAnsi" w:hAnsiTheme="minorHAnsi" w:cstheme="minorHAnsi"/>
                <w:sz w:val="22"/>
                <w:szCs w:val="22"/>
              </w:rPr>
              <w:t xml:space="preserve"> Hungary</w:t>
            </w:r>
            <w:r w:rsidR="00214187" w:rsidRPr="009231D7">
              <w:rPr>
                <w:rFonts w:asciiTheme="minorHAnsi" w:hAnsiTheme="minorHAnsi" w:cstheme="minorHAnsi"/>
                <w:sz w:val="22"/>
                <w:szCs w:val="22"/>
              </w:rPr>
              <w:t xml:space="preserve">. </w:t>
            </w:r>
            <w:r w:rsidR="00FC0182" w:rsidRPr="009231D7">
              <w:rPr>
                <w:rFonts w:asciiTheme="minorHAnsi" w:hAnsiTheme="minorHAnsi" w:cstheme="minorHAnsi"/>
                <w:sz w:val="22"/>
                <w:szCs w:val="22"/>
              </w:rPr>
              <w:t xml:space="preserve">The HHC </w:t>
            </w:r>
            <w:r w:rsidR="00214187" w:rsidRPr="009231D7">
              <w:rPr>
                <w:rFonts w:asciiTheme="minorHAnsi" w:hAnsiTheme="minorHAnsi" w:cstheme="minorHAnsi"/>
                <w:sz w:val="22"/>
                <w:szCs w:val="22"/>
              </w:rPr>
              <w:t>focus</w:t>
            </w:r>
            <w:r w:rsidR="00FC0182" w:rsidRPr="009231D7">
              <w:rPr>
                <w:rFonts w:asciiTheme="minorHAnsi" w:hAnsiTheme="minorHAnsi" w:cstheme="minorHAnsi"/>
                <w:sz w:val="22"/>
                <w:szCs w:val="22"/>
              </w:rPr>
              <w:t>es</w:t>
            </w:r>
            <w:r w:rsidR="00214187" w:rsidRPr="009231D7">
              <w:rPr>
                <w:rFonts w:asciiTheme="minorHAnsi" w:hAnsiTheme="minorHAnsi" w:cstheme="minorHAnsi"/>
                <w:sz w:val="22"/>
                <w:szCs w:val="22"/>
              </w:rPr>
              <w:t xml:space="preserve"> on defending and promoting democratic values, the rule of law and a strong civil society; the right to asylum and international protection; and the right to be free from torture or inhuman treatment and fairness in the criminal justice system.</w:t>
            </w:r>
          </w:p>
          <w:p w14:paraId="51418363" w14:textId="10775358" w:rsidR="005379AA" w:rsidRPr="009231D7" w:rsidRDefault="004275A6" w:rsidP="00C355B5">
            <w:pPr>
              <w:spacing w:before="80" w:after="160" w:line="259" w:lineRule="auto"/>
              <w:jc w:val="center"/>
              <w:rPr>
                <w:rFonts w:asciiTheme="minorHAnsi" w:hAnsiTheme="minorHAnsi" w:cstheme="minorHAnsi"/>
                <w:sz w:val="22"/>
                <w:szCs w:val="22"/>
              </w:rPr>
            </w:pPr>
            <w:hyperlink r:id="rId12" w:history="1">
              <w:r w:rsidRPr="009231D7">
                <w:rPr>
                  <w:rStyle w:val="Hiperhivatkozs"/>
                  <w:rFonts w:asciiTheme="minorHAnsi" w:hAnsiTheme="minorHAnsi" w:cstheme="minorHAnsi"/>
                  <w:szCs w:val="22"/>
                </w:rPr>
                <w:t>www.helsinki.hu</w:t>
              </w:r>
            </w:hyperlink>
            <w:r w:rsidRPr="009231D7">
              <w:rPr>
                <w:rFonts w:asciiTheme="minorHAnsi" w:hAnsiTheme="minorHAnsi" w:cstheme="minorHAnsi"/>
                <w:sz w:val="22"/>
                <w:szCs w:val="22"/>
              </w:rPr>
              <w:t xml:space="preserve">, </w:t>
            </w:r>
            <w:hyperlink r:id="rId13" w:history="1">
              <w:r w:rsidR="00C355B5" w:rsidRPr="009231D7">
                <w:rPr>
                  <w:rStyle w:val="Hiperhivatkozs"/>
                  <w:rFonts w:asciiTheme="minorHAnsi" w:hAnsiTheme="minorHAnsi" w:cstheme="minorHAnsi"/>
                  <w:szCs w:val="22"/>
                </w:rPr>
                <w:t>helsinki@helsinki.hu</w:t>
              </w:r>
            </w:hyperlink>
          </w:p>
        </w:tc>
      </w:tr>
    </w:tbl>
    <w:p w14:paraId="3D0C6746" w14:textId="77777777" w:rsidR="005379AA" w:rsidRPr="009231D7" w:rsidRDefault="005379AA" w:rsidP="005379AA">
      <w:pPr>
        <w:spacing w:after="160" w:line="259" w:lineRule="auto"/>
        <w:jc w:val="both"/>
        <w:rPr>
          <w:rFonts w:asciiTheme="minorHAnsi" w:hAnsiTheme="minorHAnsi" w:cstheme="minorHAnsi"/>
          <w:bCs/>
          <w:color w:val="000000"/>
          <w:sz w:val="22"/>
          <w:szCs w:val="22"/>
        </w:rPr>
      </w:pPr>
    </w:p>
    <w:p w14:paraId="78386142" w14:textId="473D073F" w:rsidR="005379AA" w:rsidRPr="00B21042" w:rsidRDefault="005379AA" w:rsidP="00B21042">
      <w:pPr>
        <w:spacing w:after="160" w:line="259" w:lineRule="auto"/>
        <w:jc w:val="center"/>
        <w:rPr>
          <w:rFonts w:asciiTheme="minorHAnsi" w:hAnsiTheme="minorHAnsi" w:cstheme="minorHAnsi"/>
          <w:bCs/>
          <w:color w:val="000000"/>
          <w:sz w:val="22"/>
          <w:szCs w:val="22"/>
        </w:rPr>
      </w:pPr>
      <w:r w:rsidRPr="009231D7">
        <w:rPr>
          <w:rFonts w:asciiTheme="minorHAnsi" w:hAnsiTheme="minorHAnsi" w:cstheme="minorHAnsi"/>
          <w:bCs/>
          <w:color w:val="000000"/>
          <w:sz w:val="22"/>
          <w:szCs w:val="22"/>
        </w:rPr>
        <w:t>5 January 2026</w:t>
      </w:r>
      <w:r w:rsidRPr="009231D7">
        <w:rPr>
          <w:rFonts w:asciiTheme="minorHAnsi" w:hAnsiTheme="minorHAnsi" w:cstheme="minorHAnsi"/>
          <w:color w:val="000000"/>
          <w:sz w:val="22"/>
          <w:szCs w:val="22"/>
        </w:rPr>
        <w:br w:type="page"/>
      </w:r>
    </w:p>
    <w:p w14:paraId="3004450A" w14:textId="706CC5A6" w:rsidR="00761EB6" w:rsidRPr="009231D7" w:rsidRDefault="00761EB6" w:rsidP="00761EB6">
      <w:pPr>
        <w:spacing w:after="160" w:line="259" w:lineRule="auto"/>
        <w:jc w:val="both"/>
        <w:rPr>
          <w:rFonts w:asciiTheme="minorHAnsi" w:hAnsiTheme="minorHAnsi" w:cstheme="minorHAnsi"/>
          <w:color w:val="000000"/>
          <w:sz w:val="22"/>
          <w:szCs w:val="22"/>
        </w:rPr>
      </w:pPr>
      <w:r w:rsidRPr="009231D7">
        <w:rPr>
          <w:rFonts w:asciiTheme="minorHAnsi" w:hAnsiTheme="minorHAnsi" w:cstheme="minorHAnsi"/>
          <w:color w:val="000000"/>
          <w:sz w:val="22"/>
          <w:szCs w:val="22"/>
        </w:rPr>
        <w:lastRenderedPageBreak/>
        <w:t xml:space="preserve">Since the adoption of the previous Concluding Observations on Hungary, the </w:t>
      </w:r>
      <w:r w:rsidR="004C2ADC" w:rsidRPr="009231D7">
        <w:rPr>
          <w:rFonts w:asciiTheme="minorHAnsi" w:hAnsiTheme="minorHAnsi" w:cstheme="minorHAnsi"/>
          <w:color w:val="000000"/>
          <w:sz w:val="22"/>
          <w:szCs w:val="22"/>
        </w:rPr>
        <w:t xml:space="preserve">Hungarian </w:t>
      </w:r>
      <w:r w:rsidRPr="009231D7">
        <w:rPr>
          <w:rFonts w:asciiTheme="minorHAnsi" w:hAnsiTheme="minorHAnsi" w:cstheme="minorHAnsi"/>
          <w:color w:val="000000"/>
          <w:sz w:val="22"/>
          <w:szCs w:val="22"/>
        </w:rPr>
        <w:t>government and governing majority have continued to dismantle checks and balances, undermine the rule of law, and violate a wide range of fundamental rights. Measures aimed at eroding the independence of key institutions have significantly weakened the system of human rights protection, resulting in a situation in which various vulnerable groups face rights violations without independent bodies being able or willing to provide effective protection.</w:t>
      </w:r>
    </w:p>
    <w:p w14:paraId="2ED95498" w14:textId="702EC271" w:rsidR="00761EB6" w:rsidRPr="009231D7" w:rsidRDefault="00761EB6" w:rsidP="00761EB6">
      <w:pPr>
        <w:spacing w:after="160" w:line="259" w:lineRule="auto"/>
        <w:jc w:val="both"/>
        <w:rPr>
          <w:rFonts w:asciiTheme="minorHAnsi" w:hAnsiTheme="minorHAnsi" w:cstheme="minorHAnsi"/>
          <w:color w:val="000000"/>
          <w:sz w:val="22"/>
          <w:szCs w:val="22"/>
        </w:rPr>
      </w:pPr>
      <w:r w:rsidRPr="009231D7">
        <w:rPr>
          <w:rFonts w:asciiTheme="minorHAnsi" w:hAnsiTheme="minorHAnsi" w:cstheme="minorHAnsi"/>
          <w:color w:val="000000"/>
          <w:sz w:val="22"/>
          <w:szCs w:val="22"/>
        </w:rPr>
        <w:t xml:space="preserve">These developments take place in a broader context characterised by the capture of the media landscape, increasing restrictions on </w:t>
      </w:r>
      <w:r w:rsidR="008C7A8C" w:rsidRPr="009231D7">
        <w:rPr>
          <w:rFonts w:asciiTheme="minorHAnsi" w:hAnsiTheme="minorHAnsi" w:cstheme="minorHAnsi"/>
          <w:color w:val="000000"/>
          <w:sz w:val="22"/>
          <w:szCs w:val="22"/>
        </w:rPr>
        <w:t xml:space="preserve">remaining </w:t>
      </w:r>
      <w:r w:rsidRPr="009231D7">
        <w:rPr>
          <w:rFonts w:asciiTheme="minorHAnsi" w:hAnsiTheme="minorHAnsi" w:cstheme="minorHAnsi"/>
          <w:color w:val="000000"/>
          <w:sz w:val="22"/>
          <w:szCs w:val="22"/>
        </w:rPr>
        <w:t>independent media and civil society, and the erosion of academic freedom. Legal certainty</w:t>
      </w:r>
      <w:r w:rsidR="007C2E5D" w:rsidRPr="009231D7">
        <w:rPr>
          <w:rFonts w:asciiTheme="minorHAnsi" w:hAnsiTheme="minorHAnsi" w:cstheme="minorHAnsi"/>
          <w:color w:val="000000"/>
          <w:sz w:val="22"/>
          <w:szCs w:val="22"/>
        </w:rPr>
        <w:t xml:space="preserve"> is lacking</w:t>
      </w:r>
      <w:r w:rsidRPr="009231D7">
        <w:rPr>
          <w:rFonts w:asciiTheme="minorHAnsi" w:hAnsiTheme="minorHAnsi" w:cstheme="minorHAnsi"/>
          <w:color w:val="000000"/>
          <w:sz w:val="22"/>
          <w:szCs w:val="22"/>
        </w:rPr>
        <w:t>, while the Government’s ex</w:t>
      </w:r>
      <w:r w:rsidR="007C2E5D" w:rsidRPr="009231D7">
        <w:rPr>
          <w:rFonts w:asciiTheme="minorHAnsi" w:hAnsiTheme="minorHAnsi" w:cstheme="minorHAnsi"/>
          <w:color w:val="000000"/>
          <w:sz w:val="22"/>
          <w:szCs w:val="22"/>
        </w:rPr>
        <w:t>cessive</w:t>
      </w:r>
      <w:r w:rsidRPr="009231D7">
        <w:rPr>
          <w:rFonts w:asciiTheme="minorHAnsi" w:hAnsiTheme="minorHAnsi" w:cstheme="minorHAnsi"/>
          <w:color w:val="000000"/>
          <w:sz w:val="22"/>
          <w:szCs w:val="22"/>
        </w:rPr>
        <w:t xml:space="preserve"> regulatory powers further weaken democratic oversight. </w:t>
      </w:r>
      <w:r w:rsidR="007C2E5D" w:rsidRPr="009231D7">
        <w:rPr>
          <w:rFonts w:asciiTheme="minorHAnsi" w:hAnsiTheme="minorHAnsi" w:cstheme="minorHAnsi"/>
          <w:color w:val="000000"/>
          <w:sz w:val="22"/>
          <w:szCs w:val="22"/>
        </w:rPr>
        <w:t>T</w:t>
      </w:r>
      <w:r w:rsidRPr="009231D7">
        <w:rPr>
          <w:rFonts w:asciiTheme="minorHAnsi" w:hAnsiTheme="minorHAnsi" w:cstheme="minorHAnsi"/>
          <w:color w:val="000000"/>
          <w:sz w:val="22"/>
          <w:szCs w:val="22"/>
        </w:rPr>
        <w:t>he law-making process is marked by systemic shortcomings.</w:t>
      </w:r>
    </w:p>
    <w:p w14:paraId="5A27060D" w14:textId="7B9D7B2F" w:rsidR="00761EB6" w:rsidRPr="009231D7" w:rsidRDefault="00761EB6" w:rsidP="00372DBA">
      <w:pPr>
        <w:spacing w:after="160" w:line="259" w:lineRule="auto"/>
        <w:jc w:val="both"/>
        <w:rPr>
          <w:rFonts w:asciiTheme="minorHAnsi" w:hAnsiTheme="minorHAnsi" w:cstheme="minorHAnsi"/>
          <w:color w:val="000000"/>
          <w:sz w:val="22"/>
          <w:szCs w:val="22"/>
        </w:rPr>
      </w:pPr>
      <w:r w:rsidRPr="009231D7">
        <w:rPr>
          <w:rFonts w:asciiTheme="minorHAnsi" w:hAnsiTheme="minorHAnsi" w:cstheme="minorHAnsi"/>
          <w:color w:val="000000"/>
          <w:sz w:val="22"/>
          <w:szCs w:val="22"/>
        </w:rPr>
        <w:t>Taken together, these factors negatively affect the legal and institutional framework for the promotion and protection of human rights. Hungary’s recent track record demonstrates a growing disregard for international human rights standards, a</w:t>
      </w:r>
      <w:r w:rsidR="007C2E5D" w:rsidRPr="009231D7">
        <w:rPr>
          <w:rFonts w:asciiTheme="minorHAnsi" w:hAnsiTheme="minorHAnsi" w:cstheme="minorHAnsi"/>
          <w:color w:val="000000"/>
          <w:sz w:val="22"/>
          <w:szCs w:val="22"/>
        </w:rPr>
        <w:t>nd</w:t>
      </w:r>
      <w:r w:rsidRPr="009231D7">
        <w:rPr>
          <w:rFonts w:asciiTheme="minorHAnsi" w:hAnsiTheme="minorHAnsi" w:cstheme="minorHAnsi"/>
          <w:color w:val="000000"/>
          <w:sz w:val="22"/>
          <w:szCs w:val="22"/>
        </w:rPr>
        <w:t xml:space="preserve"> judgments of international courts concerning human rights are increasingly ignored.</w:t>
      </w:r>
    </w:p>
    <w:p w14:paraId="7F0C620F" w14:textId="0C596D93" w:rsidR="00DC781C" w:rsidRPr="009231D7" w:rsidRDefault="00DC781C" w:rsidP="00830BB0">
      <w:pPr>
        <w:spacing w:after="160" w:line="259" w:lineRule="auto"/>
        <w:jc w:val="both"/>
        <w:rPr>
          <w:rFonts w:asciiTheme="minorHAnsi" w:hAnsiTheme="minorHAnsi" w:cstheme="minorHAnsi"/>
          <w:sz w:val="22"/>
          <w:szCs w:val="22"/>
        </w:rPr>
      </w:pPr>
    </w:p>
    <w:p w14:paraId="3B9BEBB1" w14:textId="69C006E9" w:rsidR="00D65C29" w:rsidRPr="009231D7" w:rsidRDefault="00D65C29" w:rsidP="00AC5857">
      <w:pPr>
        <w:spacing w:before="160" w:line="259" w:lineRule="auto"/>
        <w:jc w:val="center"/>
        <w:rPr>
          <w:rFonts w:asciiTheme="minorHAnsi" w:hAnsiTheme="minorHAnsi" w:cstheme="minorHAnsi"/>
          <w:b/>
          <w:bCs/>
          <w:sz w:val="30"/>
          <w:szCs w:val="30"/>
        </w:rPr>
      </w:pPr>
      <w:r w:rsidRPr="009231D7">
        <w:rPr>
          <w:rFonts w:asciiTheme="minorHAnsi" w:hAnsiTheme="minorHAnsi" w:cstheme="minorHAnsi"/>
          <w:b/>
          <w:bCs/>
          <w:sz w:val="30"/>
          <w:szCs w:val="30"/>
        </w:rPr>
        <w:t xml:space="preserve">Article 2 of the </w:t>
      </w:r>
      <w:r w:rsidR="009D5548" w:rsidRPr="009231D7">
        <w:rPr>
          <w:rFonts w:asciiTheme="minorHAnsi" w:hAnsiTheme="minorHAnsi" w:cstheme="minorHAnsi"/>
          <w:b/>
          <w:bCs/>
          <w:sz w:val="30"/>
          <w:szCs w:val="30"/>
        </w:rPr>
        <w:t>Covenant</w:t>
      </w:r>
    </w:p>
    <w:p w14:paraId="0CDE7888" w14:textId="77777777" w:rsidR="00D65C29" w:rsidRPr="009231D7" w:rsidRDefault="00D65C29" w:rsidP="008D6529">
      <w:pPr>
        <w:spacing w:line="259" w:lineRule="auto"/>
        <w:rPr>
          <w:rFonts w:asciiTheme="minorHAnsi" w:hAnsiTheme="minorHAnsi" w:cstheme="minorHAnsi"/>
          <w:b/>
          <w:bCs/>
          <w:sz w:val="22"/>
          <w:szCs w:val="22"/>
        </w:rPr>
      </w:pPr>
    </w:p>
    <w:p w14:paraId="0E2C2437" w14:textId="09575B8B" w:rsidR="00D65C29" w:rsidRPr="009231D7" w:rsidRDefault="00D65C29" w:rsidP="00D65C29">
      <w:pPr>
        <w:spacing w:after="160" w:line="259" w:lineRule="auto"/>
        <w:rPr>
          <w:rFonts w:asciiTheme="minorHAnsi" w:hAnsiTheme="minorHAnsi" w:cstheme="minorHAnsi"/>
          <w:b/>
          <w:bCs/>
          <w:sz w:val="26"/>
          <w:szCs w:val="26"/>
        </w:rPr>
      </w:pPr>
      <w:r w:rsidRPr="009231D7">
        <w:rPr>
          <w:rFonts w:asciiTheme="minorHAnsi" w:hAnsiTheme="minorHAnsi" w:cstheme="minorHAnsi"/>
          <w:b/>
          <w:bCs/>
          <w:sz w:val="26"/>
          <w:szCs w:val="26"/>
        </w:rPr>
        <w:t>Deteriorating constitutional framework</w:t>
      </w:r>
    </w:p>
    <w:p w14:paraId="1AA72233" w14:textId="662ED55F" w:rsidR="00E1307F" w:rsidRPr="009231D7" w:rsidRDefault="007C2E5D" w:rsidP="009A1A70">
      <w:pPr>
        <w:spacing w:after="160" w:line="259" w:lineRule="auto"/>
        <w:jc w:val="both"/>
        <w:rPr>
          <w:rFonts w:asciiTheme="minorHAnsi" w:hAnsiTheme="minorHAnsi" w:cstheme="minorBidi"/>
          <w:sz w:val="22"/>
          <w:szCs w:val="22"/>
        </w:rPr>
      </w:pPr>
      <w:r w:rsidRPr="009231D7">
        <w:rPr>
          <w:rFonts w:asciiTheme="minorHAnsi" w:hAnsiTheme="minorHAnsi" w:cstheme="minorBidi"/>
          <w:sz w:val="22"/>
          <w:szCs w:val="22"/>
        </w:rPr>
        <w:t xml:space="preserve">Frequent amendments to the Fundamental Law and the effect of this on the </w:t>
      </w:r>
      <w:r w:rsidR="000F7141" w:rsidRPr="009231D7">
        <w:rPr>
          <w:rFonts w:asciiTheme="minorHAnsi" w:hAnsiTheme="minorHAnsi" w:cstheme="minorBidi"/>
          <w:sz w:val="22"/>
          <w:szCs w:val="22"/>
        </w:rPr>
        <w:t xml:space="preserve">level of protection afforded to fundamental rights as </w:t>
      </w:r>
      <w:r w:rsidRPr="009231D7">
        <w:rPr>
          <w:rFonts w:asciiTheme="minorHAnsi" w:hAnsiTheme="minorHAnsi" w:cstheme="minorBidi"/>
          <w:sz w:val="22"/>
          <w:szCs w:val="22"/>
        </w:rPr>
        <w:t>raised by the Concluding Observations</w:t>
      </w:r>
      <w:r w:rsidRPr="009231D7">
        <w:rPr>
          <w:rStyle w:val="Lbjegyzet-hivatkozs"/>
          <w:rFonts w:asciiTheme="minorHAnsi" w:hAnsiTheme="minorHAnsi" w:cstheme="minorBidi"/>
          <w:sz w:val="22"/>
          <w:szCs w:val="22"/>
        </w:rPr>
        <w:footnoteReference w:id="1"/>
      </w:r>
      <w:r w:rsidRPr="009231D7">
        <w:rPr>
          <w:rFonts w:asciiTheme="minorHAnsi" w:hAnsiTheme="minorHAnsi" w:cstheme="minorBidi"/>
          <w:sz w:val="22"/>
          <w:szCs w:val="22"/>
        </w:rPr>
        <w:t xml:space="preserve"> remain a serious source of concern.</w:t>
      </w:r>
      <w:r w:rsidR="00B01F98" w:rsidRPr="009231D7">
        <w:rPr>
          <w:rFonts w:asciiTheme="minorHAnsi" w:hAnsiTheme="minorHAnsi" w:cstheme="minorBidi"/>
          <w:sz w:val="22"/>
          <w:szCs w:val="22"/>
        </w:rPr>
        <w:t xml:space="preserve"> The Fundamental Law has been amended 15 times since its adoption in 2011 – nine times since the last Concluding Observations</w:t>
      </w:r>
      <w:r w:rsidR="00192A9B" w:rsidRPr="009231D7">
        <w:rPr>
          <w:rFonts w:asciiTheme="minorHAnsi" w:hAnsiTheme="minorHAnsi" w:cstheme="minorBidi"/>
          <w:sz w:val="22"/>
          <w:szCs w:val="22"/>
        </w:rPr>
        <w:t>.</w:t>
      </w:r>
      <w:r w:rsidR="00B01F98" w:rsidRPr="009231D7">
        <w:rPr>
          <w:rStyle w:val="Lbjegyzet-hivatkozs"/>
          <w:rFonts w:asciiTheme="minorHAnsi" w:hAnsiTheme="minorHAnsi" w:cstheme="minorBidi"/>
          <w:sz w:val="22"/>
          <w:szCs w:val="22"/>
        </w:rPr>
        <w:footnoteReference w:id="2"/>
      </w:r>
      <w:r w:rsidR="00192A9B" w:rsidRPr="009231D7">
        <w:rPr>
          <w:rFonts w:asciiTheme="minorHAnsi" w:hAnsiTheme="minorHAnsi" w:cstheme="minorBidi"/>
          <w:sz w:val="22"/>
          <w:szCs w:val="22"/>
        </w:rPr>
        <w:t xml:space="preserve"> The</w:t>
      </w:r>
      <w:r w:rsidR="00B01F98" w:rsidRPr="009231D7">
        <w:rPr>
          <w:rFonts w:asciiTheme="minorHAnsi" w:hAnsiTheme="minorHAnsi" w:cstheme="minorBidi"/>
          <w:sz w:val="22"/>
          <w:szCs w:val="22"/>
        </w:rPr>
        <w:t xml:space="preserve"> frequency and content of these amendments show that the</w:t>
      </w:r>
      <w:r w:rsidR="00192A9B" w:rsidRPr="009231D7">
        <w:rPr>
          <w:rFonts w:asciiTheme="minorHAnsi" w:hAnsiTheme="minorHAnsi" w:cstheme="minorBidi"/>
          <w:sz w:val="22"/>
          <w:szCs w:val="22"/>
        </w:rPr>
        <w:t xml:space="preserve"> governing majority takes an instrumental attitude towards the Fundamental Law, treating it as a political tool of the Government. </w:t>
      </w:r>
      <w:r w:rsidR="007764BE" w:rsidRPr="009231D7">
        <w:rPr>
          <w:rFonts w:asciiTheme="minorHAnsi" w:hAnsiTheme="minorHAnsi" w:cstheme="minorBidi"/>
          <w:sz w:val="22"/>
          <w:szCs w:val="22"/>
        </w:rPr>
        <w:t>Moreover, t</w:t>
      </w:r>
      <w:r w:rsidR="00192A9B" w:rsidRPr="009231D7">
        <w:rPr>
          <w:rFonts w:asciiTheme="minorHAnsi" w:hAnsiTheme="minorHAnsi" w:cstheme="minorBidi"/>
          <w:sz w:val="22"/>
          <w:szCs w:val="22"/>
        </w:rPr>
        <w:t>he</w:t>
      </w:r>
      <w:r w:rsidR="007764BE" w:rsidRPr="009231D7">
        <w:rPr>
          <w:rFonts w:asciiTheme="minorHAnsi" w:hAnsiTheme="minorHAnsi" w:cstheme="minorBidi"/>
          <w:sz w:val="22"/>
          <w:szCs w:val="22"/>
        </w:rPr>
        <w:t xml:space="preserve"> </w:t>
      </w:r>
      <w:r w:rsidR="00192A9B" w:rsidRPr="009231D7">
        <w:rPr>
          <w:rFonts w:asciiTheme="minorHAnsi" w:hAnsiTheme="minorHAnsi" w:cstheme="minorBidi"/>
          <w:sz w:val="22"/>
          <w:szCs w:val="22"/>
        </w:rPr>
        <w:t>amendments</w:t>
      </w:r>
      <w:r w:rsidR="006E4C90" w:rsidRPr="009231D7">
        <w:rPr>
          <w:rFonts w:asciiTheme="minorHAnsi" w:hAnsiTheme="minorHAnsi" w:cstheme="minorBidi"/>
          <w:sz w:val="22"/>
          <w:szCs w:val="22"/>
        </w:rPr>
        <w:t xml:space="preserve"> regularly </w:t>
      </w:r>
      <w:r w:rsidR="004D1031" w:rsidRPr="009231D7">
        <w:rPr>
          <w:rFonts w:asciiTheme="minorHAnsi" w:hAnsiTheme="minorHAnsi" w:cstheme="minorBidi"/>
          <w:sz w:val="22"/>
          <w:szCs w:val="22"/>
        </w:rPr>
        <w:t>w</w:t>
      </w:r>
      <w:r w:rsidR="00536CCF" w:rsidRPr="009231D7">
        <w:rPr>
          <w:rFonts w:asciiTheme="minorHAnsi" w:hAnsiTheme="minorHAnsi" w:cstheme="minorBidi"/>
          <w:sz w:val="22"/>
          <w:szCs w:val="22"/>
        </w:rPr>
        <w:t>e</w:t>
      </w:r>
      <w:r w:rsidR="004D1031" w:rsidRPr="009231D7">
        <w:rPr>
          <w:rFonts w:asciiTheme="minorHAnsi" w:hAnsiTheme="minorHAnsi" w:cstheme="minorBidi"/>
          <w:sz w:val="22"/>
          <w:szCs w:val="22"/>
        </w:rPr>
        <w:t xml:space="preserve">nt against </w:t>
      </w:r>
      <w:r w:rsidR="00B01F98" w:rsidRPr="009231D7">
        <w:rPr>
          <w:rFonts w:asciiTheme="minorHAnsi" w:hAnsiTheme="minorHAnsi" w:cstheme="minorBidi"/>
          <w:sz w:val="22"/>
          <w:szCs w:val="22"/>
        </w:rPr>
        <w:t xml:space="preserve">international human rights </w:t>
      </w:r>
      <w:r w:rsidR="004D1031" w:rsidRPr="009231D7">
        <w:rPr>
          <w:rFonts w:asciiTheme="minorHAnsi" w:hAnsiTheme="minorHAnsi" w:cstheme="minorBidi"/>
          <w:sz w:val="22"/>
          <w:szCs w:val="22"/>
        </w:rPr>
        <w:t xml:space="preserve">and rule of law </w:t>
      </w:r>
      <w:r w:rsidR="00B01F98" w:rsidRPr="009231D7">
        <w:rPr>
          <w:rFonts w:asciiTheme="minorHAnsi" w:hAnsiTheme="minorHAnsi" w:cstheme="minorBidi"/>
          <w:sz w:val="22"/>
          <w:szCs w:val="22"/>
        </w:rPr>
        <w:t>standards</w:t>
      </w:r>
      <w:r w:rsidR="007764BE" w:rsidRPr="009231D7">
        <w:rPr>
          <w:rFonts w:asciiTheme="minorHAnsi" w:hAnsiTheme="minorHAnsi" w:cstheme="minorBidi"/>
          <w:sz w:val="22"/>
          <w:szCs w:val="22"/>
        </w:rPr>
        <w:t>. For</w:t>
      </w:r>
      <w:r w:rsidR="00DF0154" w:rsidRPr="009231D7">
        <w:rPr>
          <w:rFonts w:asciiTheme="minorHAnsi" w:hAnsiTheme="minorHAnsi" w:cstheme="minorBidi"/>
          <w:sz w:val="22"/>
          <w:szCs w:val="22"/>
        </w:rPr>
        <w:t xml:space="preserve"> </w:t>
      </w:r>
      <w:r w:rsidR="00CF6BC5" w:rsidRPr="009231D7">
        <w:rPr>
          <w:rFonts w:asciiTheme="minorHAnsi" w:hAnsiTheme="minorHAnsi" w:cstheme="minorBidi"/>
          <w:sz w:val="22"/>
          <w:szCs w:val="22"/>
        </w:rPr>
        <w:t>example:</w:t>
      </w:r>
    </w:p>
    <w:p w14:paraId="34C19860" w14:textId="332C0E92" w:rsidR="00E1307F" w:rsidRPr="009231D7" w:rsidRDefault="4683D834" w:rsidP="03AE4585">
      <w:pPr>
        <w:pStyle w:val="Listaszerbekezds"/>
        <w:numPr>
          <w:ilvl w:val="0"/>
          <w:numId w:val="19"/>
        </w:numPr>
        <w:spacing w:after="160" w:line="259" w:lineRule="auto"/>
        <w:ind w:left="714" w:hanging="357"/>
        <w:contextualSpacing w:val="0"/>
        <w:jc w:val="both"/>
        <w:rPr>
          <w:rFonts w:asciiTheme="minorHAnsi" w:hAnsiTheme="minorHAnsi" w:cstheme="minorBidi"/>
          <w:sz w:val="22"/>
          <w:szCs w:val="22"/>
        </w:rPr>
      </w:pPr>
      <w:r w:rsidRPr="03AE4585">
        <w:rPr>
          <w:rFonts w:asciiTheme="minorHAnsi" w:hAnsiTheme="minorHAnsi" w:cstheme="minorBidi"/>
          <w:sz w:val="22"/>
          <w:szCs w:val="22"/>
        </w:rPr>
        <w:t>T</w:t>
      </w:r>
      <w:r w:rsidR="7C833795" w:rsidRPr="03AE4585">
        <w:rPr>
          <w:rFonts w:asciiTheme="minorHAnsi" w:hAnsiTheme="minorHAnsi" w:cstheme="minorBidi"/>
          <w:sz w:val="22"/>
          <w:szCs w:val="22"/>
        </w:rPr>
        <w:t>he 9</w:t>
      </w:r>
      <w:r w:rsidR="7C833795" w:rsidRPr="03AE4585">
        <w:rPr>
          <w:rFonts w:asciiTheme="minorHAnsi" w:hAnsiTheme="minorHAnsi" w:cstheme="minorBidi"/>
          <w:sz w:val="22"/>
          <w:szCs w:val="22"/>
          <w:vertAlign w:val="superscript"/>
        </w:rPr>
        <w:t>th</w:t>
      </w:r>
      <w:r w:rsidR="7C833795" w:rsidRPr="03AE4585">
        <w:rPr>
          <w:rFonts w:asciiTheme="minorHAnsi" w:hAnsiTheme="minorHAnsi" w:cstheme="minorBidi"/>
          <w:sz w:val="22"/>
          <w:szCs w:val="22"/>
        </w:rPr>
        <w:t xml:space="preserve"> Amendment (2020)</w:t>
      </w:r>
      <w:r w:rsidR="6818F853" w:rsidRPr="03AE4585">
        <w:rPr>
          <w:rFonts w:asciiTheme="minorHAnsi" w:hAnsiTheme="minorHAnsi" w:cstheme="minorBidi"/>
          <w:sz w:val="22"/>
          <w:szCs w:val="22"/>
        </w:rPr>
        <w:t>, critici</w:t>
      </w:r>
      <w:r w:rsidR="72E60778" w:rsidRPr="03AE4585">
        <w:rPr>
          <w:rFonts w:asciiTheme="minorHAnsi" w:hAnsiTheme="minorHAnsi" w:cstheme="minorBidi"/>
          <w:sz w:val="22"/>
          <w:szCs w:val="22"/>
        </w:rPr>
        <w:t>s</w:t>
      </w:r>
      <w:r w:rsidR="6818F853" w:rsidRPr="03AE4585">
        <w:rPr>
          <w:rFonts w:asciiTheme="minorHAnsi" w:hAnsiTheme="minorHAnsi" w:cstheme="minorBidi"/>
          <w:sz w:val="22"/>
          <w:szCs w:val="22"/>
        </w:rPr>
        <w:t>ed by the Venice Commission,</w:t>
      </w:r>
      <w:r w:rsidR="7C833795" w:rsidRPr="03AE4585">
        <w:rPr>
          <w:rFonts w:asciiTheme="minorHAnsi" w:hAnsiTheme="minorHAnsi" w:cstheme="minorBidi"/>
          <w:sz w:val="22"/>
          <w:szCs w:val="22"/>
        </w:rPr>
        <w:t xml:space="preserve"> </w:t>
      </w:r>
      <w:r w:rsidR="0A405636" w:rsidRPr="03AE4585">
        <w:rPr>
          <w:rFonts w:asciiTheme="minorHAnsi" w:hAnsiTheme="minorHAnsi" w:cstheme="minorBidi"/>
          <w:sz w:val="22"/>
          <w:szCs w:val="22"/>
        </w:rPr>
        <w:t>further institutionali</w:t>
      </w:r>
      <w:r w:rsidR="09E9F07E" w:rsidRPr="03AE4585">
        <w:rPr>
          <w:rFonts w:asciiTheme="minorHAnsi" w:hAnsiTheme="minorHAnsi" w:cstheme="minorBidi"/>
          <w:sz w:val="22"/>
          <w:szCs w:val="22"/>
        </w:rPr>
        <w:t>s</w:t>
      </w:r>
      <w:r w:rsidR="0A405636" w:rsidRPr="03AE4585">
        <w:rPr>
          <w:rFonts w:asciiTheme="minorHAnsi" w:hAnsiTheme="minorHAnsi" w:cstheme="minorBidi"/>
          <w:sz w:val="22"/>
          <w:szCs w:val="22"/>
        </w:rPr>
        <w:t xml:space="preserve">ed the discrimination of </w:t>
      </w:r>
      <w:r w:rsidRPr="03AE4585">
        <w:rPr>
          <w:rFonts w:asciiTheme="minorHAnsi" w:hAnsiTheme="minorHAnsi" w:cstheme="minorBidi"/>
          <w:sz w:val="22"/>
          <w:szCs w:val="22"/>
        </w:rPr>
        <w:t>LGBTQI</w:t>
      </w:r>
      <w:r w:rsidR="5CE82366" w:rsidRPr="03AE4585">
        <w:rPr>
          <w:rFonts w:asciiTheme="minorHAnsi" w:hAnsiTheme="minorHAnsi" w:cstheme="minorBidi"/>
          <w:sz w:val="22"/>
          <w:szCs w:val="22"/>
        </w:rPr>
        <w:t>+</w:t>
      </w:r>
      <w:r w:rsidRPr="03AE4585">
        <w:rPr>
          <w:rFonts w:asciiTheme="minorHAnsi" w:hAnsiTheme="minorHAnsi" w:cstheme="minorBidi"/>
          <w:sz w:val="22"/>
          <w:szCs w:val="22"/>
        </w:rPr>
        <w:t xml:space="preserve"> pe</w:t>
      </w:r>
      <w:r w:rsidR="2C0BB07A" w:rsidRPr="03AE4585">
        <w:rPr>
          <w:rFonts w:asciiTheme="minorHAnsi" w:hAnsiTheme="minorHAnsi" w:cstheme="minorBidi"/>
          <w:sz w:val="22"/>
          <w:szCs w:val="22"/>
        </w:rPr>
        <w:t>rsons</w:t>
      </w:r>
      <w:r w:rsidR="169E9796" w:rsidRPr="03AE4585">
        <w:rPr>
          <w:rFonts w:asciiTheme="minorHAnsi" w:hAnsiTheme="minorHAnsi" w:cstheme="minorBidi"/>
          <w:sz w:val="22"/>
          <w:szCs w:val="22"/>
        </w:rPr>
        <w:t xml:space="preserve">; </w:t>
      </w:r>
      <w:r w:rsidR="7C833795" w:rsidRPr="03AE4585">
        <w:rPr>
          <w:rFonts w:asciiTheme="minorHAnsi" w:hAnsiTheme="minorHAnsi" w:cstheme="minorBidi"/>
          <w:sz w:val="22"/>
          <w:szCs w:val="22"/>
        </w:rPr>
        <w:t>restrict</w:t>
      </w:r>
      <w:r w:rsidRPr="03AE4585">
        <w:rPr>
          <w:rFonts w:asciiTheme="minorHAnsi" w:hAnsiTheme="minorHAnsi" w:cstheme="minorBidi"/>
          <w:sz w:val="22"/>
          <w:szCs w:val="22"/>
        </w:rPr>
        <w:t>ed</w:t>
      </w:r>
      <w:r w:rsidR="7C833795" w:rsidRPr="03AE4585">
        <w:rPr>
          <w:rFonts w:asciiTheme="minorHAnsi" w:hAnsiTheme="minorHAnsi" w:cstheme="minorBidi"/>
          <w:sz w:val="22"/>
          <w:szCs w:val="22"/>
        </w:rPr>
        <w:t xml:space="preserve"> the notion of public funds, undermining </w:t>
      </w:r>
      <w:r w:rsidR="26DE7C13" w:rsidRPr="03AE4585">
        <w:rPr>
          <w:rFonts w:asciiTheme="minorHAnsi" w:hAnsiTheme="minorHAnsi" w:cstheme="minorBidi"/>
          <w:sz w:val="22"/>
          <w:szCs w:val="22"/>
        </w:rPr>
        <w:t xml:space="preserve">the </w:t>
      </w:r>
      <w:r w:rsidR="7C833795" w:rsidRPr="03AE4585">
        <w:rPr>
          <w:rFonts w:asciiTheme="minorHAnsi" w:hAnsiTheme="minorHAnsi" w:cstheme="minorBidi"/>
          <w:sz w:val="22"/>
          <w:szCs w:val="22"/>
        </w:rPr>
        <w:t>freedom of information;</w:t>
      </w:r>
      <w:r w:rsidRPr="03AE4585">
        <w:rPr>
          <w:rFonts w:asciiTheme="minorHAnsi" w:hAnsiTheme="minorHAnsi" w:cstheme="minorBidi"/>
          <w:sz w:val="22"/>
          <w:szCs w:val="22"/>
        </w:rPr>
        <w:t xml:space="preserve"> </w:t>
      </w:r>
      <w:r w:rsidR="7C833795" w:rsidRPr="03AE4585">
        <w:rPr>
          <w:rFonts w:asciiTheme="minorHAnsi" w:hAnsiTheme="minorHAnsi" w:cstheme="minorBidi"/>
          <w:sz w:val="22"/>
          <w:szCs w:val="22"/>
        </w:rPr>
        <w:t>ensure</w:t>
      </w:r>
      <w:r w:rsidRPr="03AE4585">
        <w:rPr>
          <w:rFonts w:asciiTheme="minorHAnsi" w:hAnsiTheme="minorHAnsi" w:cstheme="minorBidi"/>
          <w:sz w:val="22"/>
          <w:szCs w:val="22"/>
        </w:rPr>
        <w:t>d</w:t>
      </w:r>
      <w:r w:rsidR="7C833795" w:rsidRPr="03AE4585">
        <w:rPr>
          <w:rFonts w:asciiTheme="minorHAnsi" w:hAnsiTheme="minorHAnsi" w:cstheme="minorBidi"/>
          <w:sz w:val="22"/>
          <w:szCs w:val="22"/>
        </w:rPr>
        <w:t xml:space="preserve"> that public funds channelled into public </w:t>
      </w:r>
      <w:r w:rsidR="042CED12" w:rsidRPr="03AE4585">
        <w:rPr>
          <w:rFonts w:asciiTheme="minorHAnsi" w:hAnsiTheme="minorHAnsi" w:cstheme="minorBidi"/>
          <w:sz w:val="22"/>
          <w:szCs w:val="22"/>
        </w:rPr>
        <w:t>interest asset management</w:t>
      </w:r>
      <w:r w:rsidR="7C833795" w:rsidRPr="03AE4585">
        <w:rPr>
          <w:rFonts w:asciiTheme="minorHAnsi" w:hAnsiTheme="minorHAnsi" w:cstheme="minorBidi"/>
          <w:sz w:val="22"/>
          <w:szCs w:val="22"/>
        </w:rPr>
        <w:t xml:space="preserve"> f</w:t>
      </w:r>
      <w:r w:rsidR="042CED12" w:rsidRPr="03AE4585">
        <w:rPr>
          <w:rFonts w:asciiTheme="minorHAnsi" w:hAnsiTheme="minorHAnsi" w:cstheme="minorBidi"/>
          <w:sz w:val="22"/>
          <w:szCs w:val="22"/>
        </w:rPr>
        <w:t>oundations</w:t>
      </w:r>
      <w:r w:rsidR="7C833795" w:rsidRPr="03AE4585">
        <w:rPr>
          <w:rFonts w:asciiTheme="minorHAnsi" w:hAnsiTheme="minorHAnsi" w:cstheme="minorBidi"/>
          <w:sz w:val="22"/>
          <w:szCs w:val="22"/>
        </w:rPr>
        <w:t xml:space="preserve"> are untouchable for future governments</w:t>
      </w:r>
      <w:r w:rsidR="489FFD69" w:rsidRPr="03AE4585">
        <w:rPr>
          <w:rFonts w:asciiTheme="minorHAnsi" w:hAnsiTheme="minorHAnsi" w:cstheme="minorBidi"/>
          <w:sz w:val="22"/>
          <w:szCs w:val="22"/>
        </w:rPr>
        <w:t xml:space="preserve">; and </w:t>
      </w:r>
      <w:r w:rsidR="1EC2FD79" w:rsidRPr="03AE4585">
        <w:rPr>
          <w:rFonts w:asciiTheme="minorHAnsi" w:hAnsiTheme="minorHAnsi" w:cstheme="minorBidi"/>
          <w:sz w:val="22"/>
          <w:szCs w:val="22"/>
        </w:rPr>
        <w:t xml:space="preserve">concentrated power in the hands of the executive in </w:t>
      </w:r>
      <w:r w:rsidR="489FFD69" w:rsidRPr="03AE4585">
        <w:rPr>
          <w:rFonts w:asciiTheme="minorHAnsi" w:hAnsiTheme="minorHAnsi" w:cstheme="minorBidi"/>
          <w:sz w:val="22"/>
          <w:szCs w:val="22"/>
        </w:rPr>
        <w:t>special legal order regimes</w:t>
      </w:r>
      <w:r w:rsidRPr="03AE4585">
        <w:rPr>
          <w:rFonts w:asciiTheme="minorHAnsi" w:hAnsiTheme="minorHAnsi" w:cstheme="minorBidi"/>
          <w:sz w:val="22"/>
          <w:szCs w:val="22"/>
        </w:rPr>
        <w:t>.</w:t>
      </w:r>
      <w:r w:rsidR="005F1CC4" w:rsidRPr="03AE4585">
        <w:rPr>
          <w:rStyle w:val="Lbjegyzet-hivatkozs"/>
          <w:rFonts w:asciiTheme="minorHAnsi" w:hAnsiTheme="minorHAnsi" w:cstheme="minorBidi"/>
          <w:sz w:val="22"/>
          <w:szCs w:val="22"/>
        </w:rPr>
        <w:footnoteReference w:id="3"/>
      </w:r>
    </w:p>
    <w:p w14:paraId="499DD4CD" w14:textId="52EFCCEA" w:rsidR="00E1307F" w:rsidRPr="009231D7" w:rsidRDefault="004D1031" w:rsidP="009A1A70">
      <w:pPr>
        <w:pStyle w:val="Listaszerbekezds"/>
        <w:numPr>
          <w:ilvl w:val="0"/>
          <w:numId w:val="19"/>
        </w:numPr>
        <w:spacing w:after="160" w:line="259" w:lineRule="auto"/>
        <w:ind w:left="714" w:hanging="357"/>
        <w:contextualSpacing w:val="0"/>
        <w:jc w:val="both"/>
        <w:rPr>
          <w:rFonts w:asciiTheme="minorHAnsi" w:hAnsiTheme="minorHAnsi" w:cstheme="minorHAnsi"/>
          <w:sz w:val="22"/>
          <w:szCs w:val="22"/>
        </w:rPr>
      </w:pPr>
      <w:r w:rsidRPr="009231D7">
        <w:rPr>
          <w:rFonts w:asciiTheme="minorHAnsi" w:hAnsiTheme="minorHAnsi" w:cstheme="minorHAnsi"/>
          <w:sz w:val="22"/>
          <w:szCs w:val="22"/>
        </w:rPr>
        <w:lastRenderedPageBreak/>
        <w:t>The 10</w:t>
      </w:r>
      <w:r w:rsidRPr="009231D7">
        <w:rPr>
          <w:rFonts w:asciiTheme="minorHAnsi" w:hAnsiTheme="minorHAnsi" w:cstheme="minorHAnsi"/>
          <w:sz w:val="22"/>
          <w:szCs w:val="22"/>
          <w:vertAlign w:val="superscript"/>
        </w:rPr>
        <w:t>th</w:t>
      </w:r>
      <w:r w:rsidRPr="009231D7">
        <w:rPr>
          <w:rFonts w:asciiTheme="minorHAnsi" w:hAnsiTheme="minorHAnsi" w:cstheme="minorHAnsi"/>
          <w:sz w:val="22"/>
          <w:szCs w:val="22"/>
        </w:rPr>
        <w:t xml:space="preserve"> Amendment (</w:t>
      </w:r>
      <w:r w:rsidR="003C31D5" w:rsidRPr="009231D7">
        <w:rPr>
          <w:rFonts w:asciiTheme="minorHAnsi" w:hAnsiTheme="minorHAnsi" w:cstheme="minorHAnsi"/>
          <w:sz w:val="22"/>
          <w:szCs w:val="22"/>
        </w:rPr>
        <w:t>2022</w:t>
      </w:r>
      <w:r w:rsidRPr="009231D7">
        <w:rPr>
          <w:rFonts w:asciiTheme="minorHAnsi" w:hAnsiTheme="minorHAnsi" w:cstheme="minorHAnsi"/>
          <w:sz w:val="22"/>
          <w:szCs w:val="22"/>
        </w:rPr>
        <w:t>)</w:t>
      </w:r>
      <w:r w:rsidR="00184F75" w:rsidRPr="009231D7">
        <w:rPr>
          <w:rFonts w:asciiTheme="minorHAnsi" w:hAnsiTheme="minorHAnsi" w:cstheme="minorHAnsi"/>
          <w:sz w:val="22"/>
          <w:szCs w:val="22"/>
        </w:rPr>
        <w:t xml:space="preserve"> </w:t>
      </w:r>
      <w:r w:rsidR="00834B83" w:rsidRPr="009231D7">
        <w:rPr>
          <w:rFonts w:asciiTheme="minorHAnsi" w:hAnsiTheme="minorHAnsi" w:cstheme="minorHAnsi"/>
          <w:sz w:val="22"/>
          <w:szCs w:val="22"/>
        </w:rPr>
        <w:t xml:space="preserve">expanded the “state of danger” </w:t>
      </w:r>
      <w:r w:rsidR="00F9300E" w:rsidRPr="009231D7">
        <w:rPr>
          <w:rFonts w:asciiTheme="minorHAnsi" w:hAnsiTheme="minorHAnsi" w:cstheme="minorHAnsi"/>
          <w:sz w:val="22"/>
          <w:szCs w:val="22"/>
        </w:rPr>
        <w:t xml:space="preserve">regime </w:t>
      </w:r>
      <w:r w:rsidR="00834B83" w:rsidRPr="009231D7">
        <w:rPr>
          <w:rFonts w:asciiTheme="minorHAnsi" w:hAnsiTheme="minorHAnsi" w:cstheme="minorHAnsi"/>
          <w:sz w:val="22"/>
          <w:szCs w:val="22"/>
        </w:rPr>
        <w:t xml:space="preserve">in a way that </w:t>
      </w:r>
      <w:r w:rsidR="00184F75" w:rsidRPr="009231D7">
        <w:rPr>
          <w:rFonts w:asciiTheme="minorHAnsi" w:hAnsiTheme="minorHAnsi" w:cstheme="minorHAnsi"/>
          <w:sz w:val="22"/>
          <w:szCs w:val="22"/>
        </w:rPr>
        <w:t>ma</w:t>
      </w:r>
      <w:r w:rsidR="006962CA" w:rsidRPr="009231D7">
        <w:rPr>
          <w:rFonts w:asciiTheme="minorHAnsi" w:hAnsiTheme="minorHAnsi" w:cstheme="minorHAnsi"/>
          <w:sz w:val="22"/>
          <w:szCs w:val="22"/>
        </w:rPr>
        <w:t>de</w:t>
      </w:r>
      <w:r w:rsidR="00184F75" w:rsidRPr="009231D7">
        <w:rPr>
          <w:rFonts w:asciiTheme="minorHAnsi" w:hAnsiTheme="minorHAnsi" w:cstheme="minorHAnsi"/>
          <w:sz w:val="22"/>
          <w:szCs w:val="22"/>
        </w:rPr>
        <w:t xml:space="preserve"> it possible for the Government to </w:t>
      </w:r>
      <w:r w:rsidR="003C31D5" w:rsidRPr="009231D7">
        <w:rPr>
          <w:rFonts w:asciiTheme="minorHAnsi" w:hAnsiTheme="minorHAnsi" w:cstheme="minorHAnsi"/>
          <w:sz w:val="22"/>
          <w:szCs w:val="22"/>
        </w:rPr>
        <w:t xml:space="preserve">use the war in Ukraine as a pretext to keep its excessive emergency regulatory powers gained under the </w:t>
      </w:r>
      <w:r w:rsidR="00550D2C" w:rsidRPr="009231D7">
        <w:rPr>
          <w:rFonts w:asciiTheme="minorHAnsi" w:hAnsiTheme="minorHAnsi" w:cstheme="minorHAnsi"/>
          <w:sz w:val="22"/>
          <w:szCs w:val="22"/>
        </w:rPr>
        <w:t xml:space="preserve">COVID-19 </w:t>
      </w:r>
      <w:r w:rsidR="003C31D5" w:rsidRPr="009231D7">
        <w:rPr>
          <w:rFonts w:asciiTheme="minorHAnsi" w:hAnsiTheme="minorHAnsi" w:cstheme="minorHAnsi"/>
          <w:sz w:val="22"/>
          <w:szCs w:val="22"/>
        </w:rPr>
        <w:t>pandemic.</w:t>
      </w:r>
      <w:r w:rsidR="003C31D5" w:rsidRPr="009231D7">
        <w:rPr>
          <w:rStyle w:val="Lbjegyzet-hivatkozs"/>
          <w:rFonts w:asciiTheme="minorHAnsi" w:hAnsiTheme="minorHAnsi" w:cstheme="minorHAnsi"/>
          <w:sz w:val="22"/>
          <w:szCs w:val="22"/>
        </w:rPr>
        <w:footnoteReference w:id="4"/>
      </w:r>
    </w:p>
    <w:p w14:paraId="2223F90F" w14:textId="719FAE2A" w:rsidR="005F1CC4" w:rsidRPr="009231D7" w:rsidRDefault="042CED12" w:rsidP="03AE4585">
      <w:pPr>
        <w:pStyle w:val="Listaszerbekezds"/>
        <w:numPr>
          <w:ilvl w:val="0"/>
          <w:numId w:val="19"/>
        </w:numPr>
        <w:spacing w:after="160" w:line="259" w:lineRule="auto"/>
        <w:ind w:left="714" w:hanging="357"/>
        <w:contextualSpacing w:val="0"/>
        <w:jc w:val="both"/>
        <w:rPr>
          <w:rFonts w:asciiTheme="minorHAnsi" w:hAnsiTheme="minorHAnsi" w:cstheme="minorBidi"/>
          <w:sz w:val="22"/>
          <w:szCs w:val="22"/>
        </w:rPr>
      </w:pPr>
      <w:r w:rsidRPr="03AE4585">
        <w:rPr>
          <w:rFonts w:asciiTheme="minorHAnsi" w:hAnsiTheme="minorHAnsi" w:cstheme="minorBidi"/>
          <w:sz w:val="22"/>
          <w:szCs w:val="22"/>
        </w:rPr>
        <w:t>The 12</w:t>
      </w:r>
      <w:r w:rsidRPr="03AE4585">
        <w:rPr>
          <w:rFonts w:asciiTheme="minorHAnsi" w:hAnsiTheme="minorHAnsi" w:cstheme="minorBidi"/>
          <w:sz w:val="22"/>
          <w:szCs w:val="22"/>
          <w:vertAlign w:val="superscript"/>
        </w:rPr>
        <w:t>th</w:t>
      </w:r>
      <w:r w:rsidR="2FCC5F80" w:rsidRPr="03AE4585">
        <w:rPr>
          <w:rFonts w:asciiTheme="minorHAnsi" w:hAnsiTheme="minorHAnsi" w:cstheme="minorBidi"/>
          <w:sz w:val="22"/>
          <w:szCs w:val="22"/>
        </w:rPr>
        <w:t xml:space="preserve"> </w:t>
      </w:r>
      <w:r w:rsidRPr="03AE4585">
        <w:rPr>
          <w:rFonts w:asciiTheme="minorHAnsi" w:hAnsiTheme="minorHAnsi" w:cstheme="minorBidi"/>
          <w:sz w:val="22"/>
          <w:szCs w:val="22"/>
        </w:rPr>
        <w:t>Amendment (202</w:t>
      </w:r>
      <w:r w:rsidR="2FCC5F80" w:rsidRPr="03AE4585">
        <w:rPr>
          <w:rFonts w:asciiTheme="minorHAnsi" w:hAnsiTheme="minorHAnsi" w:cstheme="minorBidi"/>
          <w:sz w:val="22"/>
          <w:szCs w:val="22"/>
        </w:rPr>
        <w:t>3</w:t>
      </w:r>
      <w:r w:rsidRPr="03AE4585">
        <w:rPr>
          <w:rFonts w:asciiTheme="minorHAnsi" w:hAnsiTheme="minorHAnsi" w:cstheme="minorBidi"/>
          <w:sz w:val="22"/>
          <w:szCs w:val="22"/>
        </w:rPr>
        <w:t>)</w:t>
      </w:r>
      <w:r w:rsidR="2FCC5F80" w:rsidRPr="03AE4585">
        <w:rPr>
          <w:rFonts w:asciiTheme="minorHAnsi" w:hAnsiTheme="minorHAnsi" w:cstheme="minorBidi"/>
          <w:sz w:val="22"/>
          <w:szCs w:val="22"/>
        </w:rPr>
        <w:t xml:space="preserve"> </w:t>
      </w:r>
      <w:r w:rsidR="0D0324D9" w:rsidRPr="03AE4585">
        <w:rPr>
          <w:rFonts w:asciiTheme="minorHAnsi" w:hAnsiTheme="minorHAnsi" w:cstheme="minorBidi"/>
          <w:sz w:val="22"/>
          <w:szCs w:val="22"/>
        </w:rPr>
        <w:t>established</w:t>
      </w:r>
      <w:r w:rsidR="2FCC5F80" w:rsidRPr="03AE4585">
        <w:rPr>
          <w:rFonts w:asciiTheme="minorHAnsi" w:hAnsiTheme="minorHAnsi" w:cstheme="minorBidi"/>
          <w:sz w:val="22"/>
          <w:szCs w:val="22"/>
        </w:rPr>
        <w:t xml:space="preserve"> the constitutional basis for the </w:t>
      </w:r>
      <w:r w:rsidR="0D0324D9" w:rsidRPr="03AE4585">
        <w:rPr>
          <w:rFonts w:asciiTheme="minorHAnsi" w:hAnsiTheme="minorHAnsi" w:cstheme="minorBidi"/>
          <w:sz w:val="22"/>
          <w:szCs w:val="22"/>
        </w:rPr>
        <w:t>creation of the Sovereignty Protection Office</w:t>
      </w:r>
      <w:r w:rsidR="0A405636" w:rsidRPr="03AE4585">
        <w:rPr>
          <w:rFonts w:asciiTheme="minorHAnsi" w:hAnsiTheme="minorHAnsi" w:cstheme="minorBidi"/>
          <w:sz w:val="22"/>
          <w:szCs w:val="22"/>
        </w:rPr>
        <w:t>, designed to stigmati</w:t>
      </w:r>
      <w:r w:rsidR="0BD8EF99" w:rsidRPr="03AE4585">
        <w:rPr>
          <w:rFonts w:asciiTheme="minorHAnsi" w:hAnsiTheme="minorHAnsi" w:cstheme="minorBidi"/>
          <w:sz w:val="22"/>
          <w:szCs w:val="22"/>
        </w:rPr>
        <w:t>s</w:t>
      </w:r>
      <w:r w:rsidR="0A405636" w:rsidRPr="03AE4585">
        <w:rPr>
          <w:rFonts w:asciiTheme="minorHAnsi" w:hAnsiTheme="minorHAnsi" w:cstheme="minorBidi"/>
          <w:sz w:val="22"/>
          <w:szCs w:val="22"/>
        </w:rPr>
        <w:t>e and intimidate civil society and independent media</w:t>
      </w:r>
      <w:r w:rsidR="0D0324D9" w:rsidRPr="03AE4585">
        <w:rPr>
          <w:rFonts w:asciiTheme="minorHAnsi" w:hAnsiTheme="minorHAnsi" w:cstheme="minorBidi"/>
          <w:sz w:val="22"/>
          <w:szCs w:val="22"/>
        </w:rPr>
        <w:t xml:space="preserve"> (see below)</w:t>
      </w:r>
      <w:r w:rsidR="0A405636" w:rsidRPr="03AE4585">
        <w:rPr>
          <w:rFonts w:asciiTheme="minorHAnsi" w:hAnsiTheme="minorHAnsi" w:cstheme="minorBidi"/>
          <w:sz w:val="22"/>
          <w:szCs w:val="22"/>
        </w:rPr>
        <w:t>.</w:t>
      </w:r>
    </w:p>
    <w:p w14:paraId="7F0C3D30" w14:textId="3E9E41CC" w:rsidR="00834B83" w:rsidRPr="009231D7" w:rsidRDefault="4683D834" w:rsidP="03AE4585">
      <w:pPr>
        <w:pStyle w:val="Listaszerbekezds"/>
        <w:numPr>
          <w:ilvl w:val="0"/>
          <w:numId w:val="19"/>
        </w:numPr>
        <w:spacing w:after="160" w:line="259" w:lineRule="auto"/>
        <w:ind w:left="714" w:hanging="357"/>
        <w:contextualSpacing w:val="0"/>
        <w:jc w:val="both"/>
        <w:rPr>
          <w:rFonts w:asciiTheme="minorHAnsi" w:hAnsiTheme="minorHAnsi" w:cstheme="minorBidi"/>
          <w:sz w:val="22"/>
          <w:szCs w:val="22"/>
        </w:rPr>
      </w:pPr>
      <w:r w:rsidRPr="03AE4585">
        <w:rPr>
          <w:rFonts w:asciiTheme="minorHAnsi" w:hAnsiTheme="minorHAnsi" w:cstheme="minorBidi"/>
          <w:sz w:val="22"/>
          <w:szCs w:val="22"/>
        </w:rPr>
        <w:t>T</w:t>
      </w:r>
      <w:r w:rsidR="619010E5" w:rsidRPr="03AE4585">
        <w:rPr>
          <w:rFonts w:asciiTheme="minorHAnsi" w:hAnsiTheme="minorHAnsi" w:cstheme="minorBidi"/>
          <w:sz w:val="22"/>
          <w:szCs w:val="22"/>
        </w:rPr>
        <w:t xml:space="preserve">he </w:t>
      </w:r>
      <w:r w:rsidR="7C833795" w:rsidRPr="03AE4585">
        <w:rPr>
          <w:rFonts w:asciiTheme="minorHAnsi" w:hAnsiTheme="minorHAnsi" w:cstheme="minorBidi"/>
          <w:sz w:val="22"/>
          <w:szCs w:val="22"/>
        </w:rPr>
        <w:t>15</w:t>
      </w:r>
      <w:r w:rsidR="7C833795" w:rsidRPr="03AE4585">
        <w:rPr>
          <w:rFonts w:asciiTheme="minorHAnsi" w:hAnsiTheme="minorHAnsi" w:cstheme="minorBidi"/>
          <w:sz w:val="22"/>
          <w:szCs w:val="22"/>
          <w:vertAlign w:val="superscript"/>
        </w:rPr>
        <w:t>th</w:t>
      </w:r>
      <w:r w:rsidR="7C833795" w:rsidRPr="03AE4585">
        <w:rPr>
          <w:rFonts w:asciiTheme="minorHAnsi" w:hAnsiTheme="minorHAnsi" w:cstheme="minorBidi"/>
          <w:sz w:val="22"/>
          <w:szCs w:val="22"/>
        </w:rPr>
        <w:t xml:space="preserve"> Amendment</w:t>
      </w:r>
      <w:r w:rsidRPr="03AE4585">
        <w:rPr>
          <w:rFonts w:asciiTheme="minorHAnsi" w:hAnsiTheme="minorHAnsi" w:cstheme="minorBidi"/>
          <w:sz w:val="22"/>
          <w:szCs w:val="22"/>
        </w:rPr>
        <w:t xml:space="preserve"> (2025)</w:t>
      </w:r>
      <w:r w:rsidR="77AE077E" w:rsidRPr="03AE4585">
        <w:rPr>
          <w:rFonts w:asciiTheme="minorHAnsi" w:hAnsiTheme="minorHAnsi" w:cstheme="minorBidi"/>
          <w:sz w:val="22"/>
          <w:szCs w:val="22"/>
        </w:rPr>
        <w:t>, critici</w:t>
      </w:r>
      <w:r w:rsidR="46CD8276" w:rsidRPr="03AE4585">
        <w:rPr>
          <w:rFonts w:asciiTheme="minorHAnsi" w:hAnsiTheme="minorHAnsi" w:cstheme="minorBidi"/>
          <w:sz w:val="22"/>
          <w:szCs w:val="22"/>
        </w:rPr>
        <w:t>s</w:t>
      </w:r>
      <w:r w:rsidR="77AE077E" w:rsidRPr="03AE4585">
        <w:rPr>
          <w:rFonts w:asciiTheme="minorHAnsi" w:hAnsiTheme="minorHAnsi" w:cstheme="minorBidi"/>
          <w:sz w:val="22"/>
          <w:szCs w:val="22"/>
        </w:rPr>
        <w:t>ed by the Venice Commission,</w:t>
      </w:r>
      <w:r w:rsidR="082741C2" w:rsidRPr="03AE4585">
        <w:rPr>
          <w:rFonts w:asciiTheme="minorHAnsi" w:hAnsiTheme="minorHAnsi" w:cstheme="minorBidi"/>
          <w:sz w:val="22"/>
          <w:szCs w:val="22"/>
        </w:rPr>
        <w:t xml:space="preserve"> </w:t>
      </w:r>
      <w:r w:rsidR="082741C2" w:rsidRPr="03AE4585">
        <w:rPr>
          <w:rFonts w:asciiTheme="minorHAnsi" w:eastAsia="Corbel" w:hAnsiTheme="minorHAnsi" w:cstheme="minorBidi"/>
          <w:sz w:val="22"/>
          <w:szCs w:val="22"/>
        </w:rPr>
        <w:t>constituted another attack on the rights of LGBTQI</w:t>
      </w:r>
      <w:r w:rsidR="2C0BB07A" w:rsidRPr="03AE4585">
        <w:rPr>
          <w:rFonts w:asciiTheme="minorHAnsi" w:eastAsia="Corbel" w:hAnsiTheme="minorHAnsi" w:cstheme="minorBidi"/>
          <w:sz w:val="22"/>
          <w:szCs w:val="22"/>
        </w:rPr>
        <w:t>+</w:t>
      </w:r>
      <w:r w:rsidR="082741C2" w:rsidRPr="03AE4585">
        <w:rPr>
          <w:rFonts w:asciiTheme="minorHAnsi" w:eastAsia="Corbel" w:hAnsiTheme="minorHAnsi" w:cstheme="minorBidi"/>
          <w:sz w:val="22"/>
          <w:szCs w:val="22"/>
        </w:rPr>
        <w:t xml:space="preserve"> persons</w:t>
      </w:r>
      <w:r w:rsidR="5CE82366" w:rsidRPr="03AE4585">
        <w:rPr>
          <w:rFonts w:asciiTheme="minorHAnsi" w:eastAsia="Corbel" w:hAnsiTheme="minorHAnsi" w:cstheme="minorBidi"/>
          <w:sz w:val="22"/>
          <w:szCs w:val="22"/>
        </w:rPr>
        <w:t>;</w:t>
      </w:r>
      <w:r w:rsidR="082741C2" w:rsidRPr="03AE4585">
        <w:rPr>
          <w:rFonts w:asciiTheme="minorHAnsi" w:eastAsia="Corbel" w:hAnsiTheme="minorHAnsi" w:cstheme="minorBidi"/>
          <w:sz w:val="22"/>
          <w:szCs w:val="22"/>
        </w:rPr>
        <w:t xml:space="preserve"> provided a basis for banning LGBTQI-themed demonstrations in violation of </w:t>
      </w:r>
      <w:r w:rsidR="208CD44E" w:rsidRPr="03AE4585">
        <w:rPr>
          <w:rFonts w:asciiTheme="minorHAnsi" w:eastAsia="Corbel" w:hAnsiTheme="minorHAnsi" w:cstheme="minorBidi"/>
          <w:sz w:val="22"/>
          <w:szCs w:val="22"/>
        </w:rPr>
        <w:t xml:space="preserve">the </w:t>
      </w:r>
      <w:r w:rsidR="082741C2" w:rsidRPr="03AE4585">
        <w:rPr>
          <w:rFonts w:asciiTheme="minorHAnsi" w:eastAsia="Corbel" w:hAnsiTheme="minorHAnsi" w:cstheme="minorBidi"/>
          <w:sz w:val="22"/>
          <w:szCs w:val="22"/>
        </w:rPr>
        <w:t>freedom of assembly</w:t>
      </w:r>
      <w:r w:rsidR="5CE82366" w:rsidRPr="03AE4585">
        <w:rPr>
          <w:rFonts w:asciiTheme="minorHAnsi" w:eastAsia="Corbel" w:hAnsiTheme="minorHAnsi" w:cstheme="minorBidi"/>
          <w:sz w:val="22"/>
          <w:szCs w:val="22"/>
        </w:rPr>
        <w:t>;</w:t>
      </w:r>
      <w:r w:rsidR="082741C2" w:rsidRPr="03AE4585">
        <w:rPr>
          <w:rFonts w:asciiTheme="minorHAnsi" w:eastAsia="Corbel" w:hAnsiTheme="minorHAnsi" w:cstheme="minorBidi"/>
          <w:sz w:val="22"/>
          <w:szCs w:val="22"/>
        </w:rPr>
        <w:t xml:space="preserve"> allowed for the </w:t>
      </w:r>
      <w:r w:rsidR="52CA3112" w:rsidRPr="03AE4585">
        <w:rPr>
          <w:rFonts w:asciiTheme="minorHAnsi" w:eastAsia="Corbel" w:hAnsiTheme="minorHAnsi" w:cstheme="minorBidi"/>
          <w:sz w:val="22"/>
          <w:szCs w:val="22"/>
        </w:rPr>
        <w:t xml:space="preserve">arbitrary </w:t>
      </w:r>
      <w:r w:rsidR="082741C2" w:rsidRPr="03AE4585">
        <w:rPr>
          <w:rFonts w:asciiTheme="minorHAnsi" w:eastAsia="Corbel" w:hAnsiTheme="minorHAnsi" w:cstheme="minorBidi"/>
          <w:sz w:val="22"/>
          <w:szCs w:val="22"/>
        </w:rPr>
        <w:t>“suspension” of Hungarian citizenship</w:t>
      </w:r>
      <w:r w:rsidR="5CE82366" w:rsidRPr="03AE4585">
        <w:rPr>
          <w:rFonts w:asciiTheme="minorHAnsi" w:eastAsia="Corbel" w:hAnsiTheme="minorHAnsi" w:cstheme="minorBidi"/>
          <w:sz w:val="22"/>
          <w:szCs w:val="22"/>
        </w:rPr>
        <w:t>; and created the constitutional basis for an exclusionary “local identity law”</w:t>
      </w:r>
      <w:r w:rsidR="3EE6F1D7" w:rsidRPr="03AE4585">
        <w:rPr>
          <w:rFonts w:asciiTheme="minorHAnsi" w:eastAsia="Corbel" w:hAnsiTheme="minorHAnsi" w:cstheme="minorBidi"/>
          <w:sz w:val="22"/>
          <w:szCs w:val="22"/>
        </w:rPr>
        <w:t xml:space="preserve"> allowing municipal</w:t>
      </w:r>
      <w:r w:rsidR="27D538E6" w:rsidRPr="03AE4585">
        <w:rPr>
          <w:rFonts w:asciiTheme="minorHAnsi" w:eastAsia="Corbel" w:hAnsiTheme="minorHAnsi" w:cstheme="minorBidi"/>
          <w:sz w:val="22"/>
          <w:szCs w:val="22"/>
        </w:rPr>
        <w:t>ities</w:t>
      </w:r>
      <w:r w:rsidR="3EE6F1D7" w:rsidRPr="03AE4585">
        <w:rPr>
          <w:rFonts w:asciiTheme="minorHAnsi" w:eastAsia="Corbel" w:hAnsiTheme="minorHAnsi" w:cstheme="minorBidi"/>
          <w:sz w:val="22"/>
          <w:szCs w:val="22"/>
        </w:rPr>
        <w:t xml:space="preserve"> to adopt </w:t>
      </w:r>
      <w:r w:rsidR="3D559414" w:rsidRPr="03AE4585">
        <w:rPr>
          <w:rFonts w:asciiTheme="minorHAnsi" w:eastAsia="Corbel" w:hAnsiTheme="minorHAnsi" w:cstheme="minorBidi"/>
          <w:sz w:val="22"/>
          <w:szCs w:val="22"/>
        </w:rPr>
        <w:t xml:space="preserve">decrees </w:t>
      </w:r>
      <w:r w:rsidR="52A7CB0F" w:rsidRPr="03AE4585">
        <w:rPr>
          <w:rFonts w:asciiTheme="minorHAnsi" w:eastAsia="Corbel" w:hAnsiTheme="minorHAnsi" w:cstheme="minorBidi"/>
          <w:sz w:val="22"/>
          <w:szCs w:val="22"/>
        </w:rPr>
        <w:t>indirectly discriminating</w:t>
      </w:r>
      <w:r w:rsidR="4BBA8F70" w:rsidRPr="03AE4585">
        <w:rPr>
          <w:rFonts w:asciiTheme="minorHAnsi" w:eastAsia="Corbel" w:hAnsiTheme="minorHAnsi" w:cstheme="minorBidi"/>
          <w:sz w:val="22"/>
          <w:szCs w:val="22"/>
        </w:rPr>
        <w:t xml:space="preserve"> the Roma community</w:t>
      </w:r>
      <w:r w:rsidR="52A7CB0F" w:rsidRPr="03AE4585">
        <w:rPr>
          <w:rFonts w:asciiTheme="minorHAnsi" w:eastAsia="Corbel" w:hAnsiTheme="minorHAnsi" w:cstheme="minorBidi"/>
          <w:sz w:val="22"/>
          <w:szCs w:val="22"/>
        </w:rPr>
        <w:t xml:space="preserve"> in housing</w:t>
      </w:r>
      <w:r w:rsidR="082741C2" w:rsidRPr="03AE4585">
        <w:rPr>
          <w:rFonts w:asciiTheme="minorHAnsi" w:eastAsia="Corbel" w:hAnsiTheme="minorHAnsi" w:cstheme="minorBidi"/>
          <w:sz w:val="22"/>
          <w:szCs w:val="22"/>
        </w:rPr>
        <w:t>.</w:t>
      </w:r>
      <w:r w:rsidR="00925EAB" w:rsidRPr="03AE4585">
        <w:rPr>
          <w:rFonts w:asciiTheme="minorHAnsi" w:hAnsiTheme="minorHAnsi" w:cstheme="minorBidi"/>
          <w:sz w:val="22"/>
          <w:szCs w:val="22"/>
          <w:vertAlign w:val="superscript"/>
        </w:rPr>
        <w:footnoteReference w:id="5"/>
      </w:r>
    </w:p>
    <w:p w14:paraId="3367A8E8" w14:textId="0580FD04" w:rsidR="00410A93" w:rsidRPr="009231D7" w:rsidRDefault="6DAF889A" w:rsidP="03AE4585">
      <w:pPr>
        <w:spacing w:after="160" w:line="259" w:lineRule="auto"/>
        <w:jc w:val="both"/>
        <w:rPr>
          <w:rFonts w:asciiTheme="minorHAnsi" w:hAnsiTheme="minorHAnsi" w:cstheme="minorBidi"/>
          <w:sz w:val="22"/>
          <w:szCs w:val="22"/>
        </w:rPr>
      </w:pPr>
      <w:r w:rsidRPr="03AE4585">
        <w:rPr>
          <w:rFonts w:asciiTheme="minorHAnsi" w:hAnsiTheme="minorHAnsi" w:cstheme="minorBidi"/>
          <w:sz w:val="22"/>
          <w:szCs w:val="22"/>
        </w:rPr>
        <w:t>The problems regarding the composition and powers of the Constitutional Court</w:t>
      </w:r>
      <w:r w:rsidR="63E3FA4D" w:rsidRPr="03AE4585">
        <w:rPr>
          <w:rFonts w:asciiTheme="minorHAnsi" w:hAnsiTheme="minorHAnsi" w:cstheme="minorBidi"/>
          <w:sz w:val="22"/>
          <w:szCs w:val="22"/>
        </w:rPr>
        <w:t xml:space="preserve"> (CC)</w:t>
      </w:r>
      <w:r w:rsidRPr="03AE4585">
        <w:rPr>
          <w:rFonts w:asciiTheme="minorHAnsi" w:hAnsiTheme="minorHAnsi" w:cstheme="minorBidi"/>
          <w:sz w:val="22"/>
          <w:szCs w:val="22"/>
        </w:rPr>
        <w:t xml:space="preserve"> as raised by the previous Concluding Observations</w:t>
      </w:r>
      <w:r w:rsidR="00B01F98" w:rsidRPr="03AE4585">
        <w:rPr>
          <w:rStyle w:val="Lbjegyzet-hivatkozs"/>
          <w:rFonts w:asciiTheme="minorHAnsi" w:hAnsiTheme="minorHAnsi" w:cstheme="minorBidi"/>
          <w:sz w:val="22"/>
          <w:szCs w:val="22"/>
        </w:rPr>
        <w:footnoteReference w:id="6"/>
      </w:r>
      <w:r w:rsidRPr="03AE4585">
        <w:rPr>
          <w:rFonts w:asciiTheme="minorHAnsi" w:hAnsiTheme="minorHAnsi" w:cstheme="minorBidi"/>
          <w:sz w:val="22"/>
          <w:szCs w:val="22"/>
        </w:rPr>
        <w:t xml:space="preserve"> continue to exist. </w:t>
      </w:r>
      <w:r w:rsidR="63E3FA4D" w:rsidRPr="03AE4585">
        <w:rPr>
          <w:rFonts w:asciiTheme="minorHAnsi" w:hAnsiTheme="minorHAnsi" w:cstheme="minorBidi"/>
          <w:sz w:val="22"/>
          <w:szCs w:val="22"/>
        </w:rPr>
        <w:t xml:space="preserve">As a result of the steps referred to in the Concluding Observations, the governing majority can </w:t>
      </w:r>
      <w:r w:rsidR="63E3FA4D" w:rsidRPr="03AE4585">
        <w:rPr>
          <w:rFonts w:asciiTheme="minorHAnsi" w:eastAsia="Corbel" w:hAnsiTheme="minorHAnsi" w:cstheme="minorBidi"/>
          <w:sz w:val="22"/>
          <w:szCs w:val="22"/>
        </w:rPr>
        <w:t xml:space="preserve">fill vacancies </w:t>
      </w:r>
      <w:r w:rsidR="56933BEB" w:rsidRPr="03AE4585">
        <w:rPr>
          <w:rFonts w:asciiTheme="minorHAnsi" w:eastAsia="Corbel" w:hAnsiTheme="minorHAnsi" w:cstheme="minorBidi"/>
          <w:sz w:val="22"/>
          <w:szCs w:val="22"/>
        </w:rPr>
        <w:t xml:space="preserve">in </w:t>
      </w:r>
      <w:r w:rsidR="63E3FA4D" w:rsidRPr="03AE4585">
        <w:rPr>
          <w:rFonts w:asciiTheme="minorHAnsi" w:eastAsia="Corbel" w:hAnsiTheme="minorHAnsi" w:cstheme="minorBidi"/>
          <w:sz w:val="22"/>
          <w:szCs w:val="22"/>
        </w:rPr>
        <w:t>the CC on its own, without support from the opposition parties, and was able to</w:t>
      </w:r>
      <w:hyperlink r:id="rId14">
        <w:r w:rsidR="63E3FA4D" w:rsidRPr="03AE4585">
          <w:rPr>
            <w:rFonts w:asciiTheme="minorHAnsi" w:eastAsia="Corbel" w:hAnsiTheme="minorHAnsi" w:cstheme="minorBidi"/>
            <w:color w:val="1155CC"/>
            <w:sz w:val="22"/>
            <w:szCs w:val="22"/>
          </w:rPr>
          <w:t xml:space="preserve"> </w:t>
        </w:r>
      </w:hyperlink>
      <w:r w:rsidR="63E3FA4D" w:rsidRPr="03AE4585">
        <w:rPr>
          <w:rFonts w:asciiTheme="minorHAnsi" w:hAnsiTheme="minorHAnsi" w:cstheme="minorBidi"/>
          <w:sz w:val="22"/>
          <w:szCs w:val="22"/>
        </w:rPr>
        <w:t>pack the CC with loyal justices</w:t>
      </w:r>
      <w:r w:rsidR="63E3FA4D" w:rsidRPr="03AE4585">
        <w:rPr>
          <w:rFonts w:asciiTheme="minorHAnsi" w:eastAsia="Corbel" w:hAnsiTheme="minorHAnsi" w:cstheme="minorBidi"/>
          <w:sz w:val="22"/>
          <w:szCs w:val="22"/>
        </w:rPr>
        <w:t>. The CC ha</w:t>
      </w:r>
      <w:r w:rsidR="56933BEB" w:rsidRPr="03AE4585">
        <w:rPr>
          <w:rFonts w:asciiTheme="minorHAnsi" w:eastAsia="Corbel" w:hAnsiTheme="minorHAnsi" w:cstheme="minorBidi"/>
          <w:sz w:val="22"/>
          <w:szCs w:val="22"/>
        </w:rPr>
        <w:t>s</w:t>
      </w:r>
      <w:r w:rsidR="63E3FA4D" w:rsidRPr="03AE4585">
        <w:rPr>
          <w:rFonts w:asciiTheme="minorHAnsi" w:eastAsia="Corbel" w:hAnsiTheme="minorHAnsi" w:cstheme="minorBidi"/>
          <w:sz w:val="22"/>
          <w:szCs w:val="22"/>
        </w:rPr>
        <w:t xml:space="preserve"> been transformed into a body that is supportive of the Government’s agenda, repeatedly ruling in favour of the incumbent parties in politically sensitive cases.</w:t>
      </w:r>
      <w:r w:rsidR="00410A93" w:rsidRPr="03AE4585">
        <w:rPr>
          <w:rStyle w:val="Lbjegyzet-hivatkozs"/>
          <w:rFonts w:asciiTheme="minorHAnsi" w:eastAsia="Corbel" w:hAnsiTheme="minorHAnsi" w:cstheme="minorBidi"/>
          <w:sz w:val="22"/>
          <w:szCs w:val="22"/>
        </w:rPr>
        <w:footnoteReference w:id="7"/>
      </w:r>
      <w:r w:rsidR="63E3FA4D" w:rsidRPr="03AE4585">
        <w:rPr>
          <w:rFonts w:asciiTheme="minorHAnsi" w:eastAsia="Corbel" w:hAnsiTheme="minorHAnsi" w:cstheme="minorBidi"/>
          <w:sz w:val="22"/>
          <w:szCs w:val="22"/>
        </w:rPr>
        <w:t xml:space="preserve"> In 2024, </w:t>
      </w:r>
      <w:r w:rsidR="1657DA58" w:rsidRPr="03AE4585">
        <w:rPr>
          <w:rFonts w:asciiTheme="minorHAnsi" w:eastAsia="Corbel" w:hAnsiTheme="minorHAnsi" w:cstheme="minorBidi"/>
          <w:sz w:val="22"/>
          <w:szCs w:val="22"/>
        </w:rPr>
        <w:t xml:space="preserve">the </w:t>
      </w:r>
      <w:r w:rsidR="63E3FA4D" w:rsidRPr="03AE4585">
        <w:rPr>
          <w:rFonts w:asciiTheme="minorHAnsi" w:hAnsiTheme="minorHAnsi" w:cstheme="minorBidi"/>
          <w:sz w:val="22"/>
          <w:szCs w:val="22"/>
        </w:rPr>
        <w:t>eligibility criteria for CC justices</w:t>
      </w:r>
      <w:r w:rsidR="1657DA58" w:rsidRPr="03AE4585">
        <w:rPr>
          <w:rFonts w:asciiTheme="minorHAnsi" w:hAnsiTheme="minorHAnsi" w:cstheme="minorBidi"/>
          <w:sz w:val="22"/>
          <w:szCs w:val="22"/>
        </w:rPr>
        <w:t xml:space="preserve"> were amended</w:t>
      </w:r>
      <w:r w:rsidR="63E3FA4D" w:rsidRPr="03AE4585">
        <w:rPr>
          <w:rFonts w:asciiTheme="minorHAnsi" w:eastAsia="Corbel" w:hAnsiTheme="minorHAnsi" w:cstheme="minorBidi"/>
          <w:sz w:val="22"/>
          <w:szCs w:val="22"/>
        </w:rPr>
        <w:t>.</w:t>
      </w:r>
      <w:r w:rsidR="00410A93" w:rsidRPr="03AE4585">
        <w:rPr>
          <w:rStyle w:val="Lbjegyzet-hivatkozs"/>
          <w:rFonts w:asciiTheme="minorHAnsi" w:eastAsia="Corbel" w:hAnsiTheme="minorHAnsi" w:cstheme="minorBidi"/>
          <w:sz w:val="22"/>
          <w:szCs w:val="22"/>
        </w:rPr>
        <w:footnoteReference w:id="8"/>
      </w:r>
    </w:p>
    <w:p w14:paraId="1877C90E" w14:textId="77777777" w:rsidR="00B01F98" w:rsidRPr="009231D7" w:rsidRDefault="00B01F98" w:rsidP="009A1A70">
      <w:pPr>
        <w:spacing w:after="160" w:line="259" w:lineRule="auto"/>
        <w:jc w:val="both"/>
        <w:rPr>
          <w:rFonts w:asciiTheme="minorHAnsi" w:hAnsiTheme="minorHAnsi" w:cstheme="minorHAnsi"/>
          <w:i/>
          <w:iCs/>
          <w:sz w:val="22"/>
          <w:szCs w:val="22"/>
          <w:u w:val="single"/>
        </w:rPr>
      </w:pPr>
      <w:r w:rsidRPr="009231D7">
        <w:rPr>
          <w:rFonts w:asciiTheme="minorHAnsi" w:hAnsiTheme="minorHAnsi" w:cstheme="minorHAnsi"/>
          <w:i/>
          <w:iCs/>
          <w:sz w:val="22"/>
          <w:szCs w:val="22"/>
          <w:u w:val="single"/>
        </w:rPr>
        <w:t>Suggested questions to the State party:</w:t>
      </w:r>
    </w:p>
    <w:p w14:paraId="7CBA2331" w14:textId="0AD9D3D7" w:rsidR="00291366" w:rsidRPr="009231D7" w:rsidRDefault="00CF6BC5" w:rsidP="00633542">
      <w:pPr>
        <w:pStyle w:val="Listaszerbekezds"/>
        <w:numPr>
          <w:ilvl w:val="0"/>
          <w:numId w:val="21"/>
        </w:numPr>
        <w:spacing w:after="80" w:line="259" w:lineRule="auto"/>
        <w:ind w:left="714" w:hanging="357"/>
        <w:contextualSpacing w:val="0"/>
        <w:jc w:val="both"/>
        <w:rPr>
          <w:rFonts w:asciiTheme="minorHAnsi" w:hAnsiTheme="minorHAnsi" w:cstheme="minorHAnsi"/>
          <w:sz w:val="22"/>
          <w:szCs w:val="22"/>
        </w:rPr>
      </w:pPr>
      <w:r w:rsidRPr="009231D7">
        <w:rPr>
          <w:rFonts w:asciiTheme="minorHAnsi" w:hAnsiTheme="minorHAnsi" w:cstheme="minorHAnsi"/>
          <w:sz w:val="22"/>
          <w:szCs w:val="22"/>
        </w:rPr>
        <w:t>When will amendments to the Fundamental Law</w:t>
      </w:r>
      <w:r w:rsidR="00DC15C8" w:rsidRPr="009231D7">
        <w:rPr>
          <w:rFonts w:asciiTheme="minorHAnsi" w:hAnsiTheme="minorHAnsi" w:cstheme="minorHAnsi"/>
          <w:sz w:val="22"/>
          <w:szCs w:val="22"/>
        </w:rPr>
        <w:t xml:space="preserve"> be</w:t>
      </w:r>
      <w:r w:rsidRPr="009231D7">
        <w:rPr>
          <w:rFonts w:asciiTheme="minorHAnsi" w:hAnsiTheme="minorHAnsi" w:cstheme="minorHAnsi"/>
          <w:sz w:val="22"/>
          <w:szCs w:val="22"/>
        </w:rPr>
        <w:t xml:space="preserve"> reviewed to address the concerns raised by the </w:t>
      </w:r>
      <w:r w:rsidR="00291366" w:rsidRPr="009231D7">
        <w:rPr>
          <w:rFonts w:asciiTheme="minorHAnsi" w:hAnsiTheme="minorHAnsi" w:cstheme="minorHAnsi"/>
          <w:sz w:val="22"/>
          <w:szCs w:val="22"/>
        </w:rPr>
        <w:t>V</w:t>
      </w:r>
      <w:r w:rsidRPr="009231D7">
        <w:rPr>
          <w:rFonts w:asciiTheme="minorHAnsi" w:hAnsiTheme="minorHAnsi" w:cstheme="minorHAnsi"/>
          <w:sz w:val="22"/>
          <w:szCs w:val="22"/>
        </w:rPr>
        <w:t xml:space="preserve">enice </w:t>
      </w:r>
      <w:r w:rsidR="00291366" w:rsidRPr="009231D7">
        <w:rPr>
          <w:rFonts w:asciiTheme="minorHAnsi" w:hAnsiTheme="minorHAnsi" w:cstheme="minorHAnsi"/>
          <w:sz w:val="22"/>
          <w:szCs w:val="22"/>
        </w:rPr>
        <w:t>C</w:t>
      </w:r>
      <w:r w:rsidRPr="009231D7">
        <w:rPr>
          <w:rFonts w:asciiTheme="minorHAnsi" w:hAnsiTheme="minorHAnsi" w:cstheme="minorHAnsi"/>
          <w:sz w:val="22"/>
          <w:szCs w:val="22"/>
        </w:rPr>
        <w:t>ommission?</w:t>
      </w:r>
    </w:p>
    <w:p w14:paraId="4C9F5AE5" w14:textId="7296DA9D" w:rsidR="00633542" w:rsidRPr="009231D7" w:rsidRDefault="00633542" w:rsidP="00633542">
      <w:pPr>
        <w:pStyle w:val="Listaszerbekezds"/>
        <w:numPr>
          <w:ilvl w:val="0"/>
          <w:numId w:val="21"/>
        </w:numPr>
        <w:spacing w:after="80" w:line="259" w:lineRule="auto"/>
        <w:ind w:left="714" w:hanging="357"/>
        <w:contextualSpacing w:val="0"/>
        <w:jc w:val="both"/>
        <w:rPr>
          <w:rFonts w:asciiTheme="minorHAnsi" w:hAnsiTheme="minorHAnsi" w:cstheme="minorHAnsi"/>
          <w:sz w:val="22"/>
          <w:szCs w:val="22"/>
        </w:rPr>
      </w:pPr>
      <w:r w:rsidRPr="009231D7">
        <w:rPr>
          <w:rFonts w:asciiTheme="minorHAnsi" w:hAnsiTheme="minorHAnsi" w:cstheme="minorHAnsi"/>
          <w:sz w:val="22"/>
          <w:szCs w:val="22"/>
        </w:rPr>
        <w:t>What safeguards remain in place to ensure</w:t>
      </w:r>
      <w:r w:rsidR="005566C4" w:rsidRPr="009231D7">
        <w:rPr>
          <w:rFonts w:asciiTheme="minorHAnsi" w:hAnsiTheme="minorHAnsi" w:cstheme="minorHAnsi"/>
          <w:sz w:val="22"/>
          <w:szCs w:val="22"/>
        </w:rPr>
        <w:t xml:space="preserve"> the</w:t>
      </w:r>
      <w:r w:rsidRPr="009231D7">
        <w:rPr>
          <w:rFonts w:asciiTheme="minorHAnsi" w:hAnsiTheme="minorHAnsi" w:cstheme="minorHAnsi"/>
          <w:sz w:val="22"/>
          <w:szCs w:val="22"/>
        </w:rPr>
        <w:t xml:space="preserve"> independence of the CC when the governing majority can fill vacancies</w:t>
      </w:r>
      <w:r w:rsidR="005566C4" w:rsidRPr="009231D7">
        <w:rPr>
          <w:rFonts w:asciiTheme="minorHAnsi" w:hAnsiTheme="minorHAnsi" w:cstheme="minorHAnsi"/>
          <w:sz w:val="22"/>
          <w:szCs w:val="22"/>
        </w:rPr>
        <w:t xml:space="preserve"> unilaterally,</w:t>
      </w:r>
      <w:r w:rsidRPr="009231D7">
        <w:rPr>
          <w:rFonts w:asciiTheme="minorHAnsi" w:hAnsiTheme="minorHAnsi" w:cstheme="minorHAnsi"/>
          <w:sz w:val="22"/>
          <w:szCs w:val="22"/>
        </w:rPr>
        <w:t xml:space="preserve"> without opposition support?</w:t>
      </w:r>
    </w:p>
    <w:p w14:paraId="5088BB16" w14:textId="510B47AC" w:rsidR="00633542" w:rsidRPr="009231D7" w:rsidRDefault="00ED34A0" w:rsidP="00633542">
      <w:pPr>
        <w:pStyle w:val="Listaszerbekezds"/>
        <w:numPr>
          <w:ilvl w:val="0"/>
          <w:numId w:val="21"/>
        </w:numPr>
        <w:spacing w:after="80" w:line="259" w:lineRule="auto"/>
        <w:ind w:left="714" w:hanging="357"/>
        <w:contextualSpacing w:val="0"/>
        <w:jc w:val="both"/>
        <w:rPr>
          <w:rFonts w:asciiTheme="minorHAnsi" w:hAnsiTheme="minorHAnsi" w:cstheme="minorHAnsi"/>
          <w:sz w:val="22"/>
          <w:szCs w:val="22"/>
        </w:rPr>
      </w:pPr>
      <w:r w:rsidRPr="009231D7">
        <w:rPr>
          <w:rFonts w:asciiTheme="minorHAnsi" w:hAnsiTheme="minorHAnsi" w:cstheme="minorHAnsi"/>
          <w:sz w:val="22"/>
          <w:szCs w:val="22"/>
        </w:rPr>
        <w:t xml:space="preserve">When will Hungary comply with this Committee’s recommendations to “review the legislative framework governing the powers of the </w:t>
      </w:r>
      <w:r w:rsidR="00AE794B" w:rsidRPr="009231D7">
        <w:rPr>
          <w:rFonts w:asciiTheme="minorHAnsi" w:hAnsiTheme="minorHAnsi" w:cstheme="minorHAnsi"/>
          <w:sz w:val="22"/>
          <w:szCs w:val="22"/>
        </w:rPr>
        <w:t xml:space="preserve">[CC] </w:t>
      </w:r>
      <w:r w:rsidRPr="009231D7">
        <w:rPr>
          <w:rFonts w:asciiTheme="minorHAnsi" w:hAnsiTheme="minorHAnsi" w:cstheme="minorHAnsi"/>
          <w:sz w:val="22"/>
          <w:szCs w:val="22"/>
        </w:rPr>
        <w:t>with a view to reinstating its formal competencies”</w:t>
      </w:r>
      <w:r w:rsidRPr="009231D7">
        <w:rPr>
          <w:rStyle w:val="Lbjegyzet-hivatkozs"/>
          <w:rFonts w:asciiTheme="minorHAnsi" w:hAnsiTheme="minorHAnsi" w:cstheme="minorHAnsi"/>
          <w:sz w:val="22"/>
          <w:szCs w:val="22"/>
        </w:rPr>
        <w:footnoteReference w:id="9"/>
      </w:r>
      <w:r w:rsidRPr="009231D7">
        <w:rPr>
          <w:rFonts w:asciiTheme="minorHAnsi" w:hAnsiTheme="minorHAnsi" w:cstheme="minorHAnsi"/>
          <w:sz w:val="22"/>
          <w:szCs w:val="22"/>
        </w:rPr>
        <w:t xml:space="preserve"> and to “ensure that the constitutional review process is effective and provides, </w:t>
      </w:r>
      <w:r w:rsidRPr="009231D7">
        <w:rPr>
          <w:rFonts w:asciiTheme="minorHAnsi" w:hAnsiTheme="minorHAnsi" w:cstheme="minorHAnsi"/>
          <w:sz w:val="22"/>
          <w:szCs w:val="22"/>
        </w:rPr>
        <w:lastRenderedPageBreak/>
        <w:t>in law and in practice, adequate legal safeguards to ensure full protection for Covenant rights”?</w:t>
      </w:r>
      <w:r w:rsidRPr="009231D7">
        <w:rPr>
          <w:rStyle w:val="Lbjegyzet-hivatkozs"/>
          <w:rFonts w:asciiTheme="minorHAnsi" w:hAnsiTheme="minorHAnsi" w:cstheme="minorHAnsi"/>
          <w:sz w:val="22"/>
          <w:szCs w:val="22"/>
        </w:rPr>
        <w:footnoteReference w:id="10"/>
      </w:r>
    </w:p>
    <w:p w14:paraId="046B03A7" w14:textId="77777777" w:rsidR="00B01F98" w:rsidRPr="009231D7" w:rsidRDefault="00B01F98" w:rsidP="00D65C29">
      <w:pPr>
        <w:spacing w:after="160" w:line="259" w:lineRule="auto"/>
        <w:rPr>
          <w:rFonts w:asciiTheme="minorHAnsi" w:hAnsiTheme="minorHAnsi" w:cstheme="minorHAnsi"/>
          <w:b/>
          <w:bCs/>
          <w:sz w:val="22"/>
          <w:szCs w:val="22"/>
        </w:rPr>
      </w:pPr>
    </w:p>
    <w:p w14:paraId="766B961B" w14:textId="3628635F" w:rsidR="00D65C29" w:rsidRPr="009231D7" w:rsidRDefault="00D65C29" w:rsidP="00D65C29">
      <w:pPr>
        <w:spacing w:after="160" w:line="259" w:lineRule="auto"/>
        <w:rPr>
          <w:rFonts w:asciiTheme="minorHAnsi" w:hAnsiTheme="minorHAnsi" w:cstheme="minorHAnsi"/>
          <w:b/>
          <w:bCs/>
          <w:sz w:val="26"/>
          <w:szCs w:val="26"/>
        </w:rPr>
      </w:pPr>
      <w:r w:rsidRPr="009231D7">
        <w:rPr>
          <w:rFonts w:asciiTheme="minorHAnsi" w:hAnsiTheme="minorHAnsi" w:cstheme="minorHAnsi"/>
          <w:b/>
          <w:bCs/>
          <w:sz w:val="26"/>
          <w:szCs w:val="26"/>
        </w:rPr>
        <w:t>Deficien</w:t>
      </w:r>
      <w:r w:rsidR="00583B6A" w:rsidRPr="009231D7">
        <w:rPr>
          <w:rFonts w:asciiTheme="minorHAnsi" w:hAnsiTheme="minorHAnsi" w:cstheme="minorHAnsi"/>
          <w:b/>
          <w:bCs/>
          <w:sz w:val="26"/>
          <w:szCs w:val="26"/>
        </w:rPr>
        <w:t xml:space="preserve">t </w:t>
      </w:r>
      <w:r w:rsidRPr="009231D7">
        <w:rPr>
          <w:rFonts w:asciiTheme="minorHAnsi" w:hAnsiTheme="minorHAnsi" w:cstheme="minorHAnsi"/>
          <w:b/>
          <w:bCs/>
          <w:sz w:val="26"/>
          <w:szCs w:val="26"/>
        </w:rPr>
        <w:t>law-making process</w:t>
      </w:r>
    </w:p>
    <w:p w14:paraId="4B9AF2E9" w14:textId="258673B0" w:rsidR="00885D98" w:rsidRPr="009231D7" w:rsidRDefault="009E3E9E" w:rsidP="00885D98">
      <w:pPr>
        <w:spacing w:after="160" w:line="259" w:lineRule="auto"/>
        <w:jc w:val="both"/>
        <w:rPr>
          <w:rFonts w:asciiTheme="minorHAnsi" w:hAnsiTheme="minorHAnsi" w:cstheme="minorHAnsi"/>
          <w:sz w:val="22"/>
          <w:szCs w:val="22"/>
        </w:rPr>
      </w:pPr>
      <w:r w:rsidRPr="009231D7">
        <w:rPr>
          <w:rFonts w:asciiTheme="minorHAnsi" w:hAnsiTheme="minorHAnsi" w:cstheme="minorHAnsi"/>
          <w:sz w:val="22"/>
          <w:szCs w:val="22"/>
        </w:rPr>
        <w:t xml:space="preserve">The </w:t>
      </w:r>
      <w:r w:rsidR="00597FD2" w:rsidRPr="009231D7">
        <w:rPr>
          <w:rFonts w:asciiTheme="minorHAnsi" w:hAnsiTheme="minorHAnsi" w:cstheme="minorHAnsi"/>
          <w:sz w:val="22"/>
          <w:szCs w:val="22"/>
        </w:rPr>
        <w:t xml:space="preserve">concerns raised </w:t>
      </w:r>
      <w:r w:rsidRPr="009231D7">
        <w:rPr>
          <w:rFonts w:asciiTheme="minorHAnsi" w:hAnsiTheme="minorHAnsi" w:cstheme="minorHAnsi"/>
          <w:sz w:val="22"/>
          <w:szCs w:val="22"/>
        </w:rPr>
        <w:t xml:space="preserve">in the </w:t>
      </w:r>
      <w:r w:rsidR="00597FD2" w:rsidRPr="009231D7">
        <w:rPr>
          <w:rFonts w:asciiTheme="minorHAnsi" w:hAnsiTheme="minorHAnsi" w:cstheme="minorHAnsi"/>
          <w:sz w:val="22"/>
          <w:szCs w:val="22"/>
        </w:rPr>
        <w:t>previous Concluding Observation</w:t>
      </w:r>
      <w:r w:rsidRPr="009231D7">
        <w:rPr>
          <w:rFonts w:asciiTheme="minorHAnsi" w:hAnsiTheme="minorHAnsi" w:cstheme="minorHAnsi"/>
          <w:sz w:val="22"/>
          <w:szCs w:val="22"/>
        </w:rPr>
        <w:t>s regarding the legislative process</w:t>
      </w:r>
      <w:r w:rsidR="009575AA" w:rsidRPr="009231D7">
        <w:rPr>
          <w:rStyle w:val="Lbjegyzet-hivatkozs"/>
          <w:rFonts w:asciiTheme="minorHAnsi" w:hAnsiTheme="minorHAnsi" w:cstheme="minorHAnsi"/>
          <w:sz w:val="22"/>
          <w:szCs w:val="22"/>
        </w:rPr>
        <w:footnoteReference w:id="11"/>
      </w:r>
      <w:r w:rsidR="00597FD2" w:rsidRPr="009231D7">
        <w:rPr>
          <w:rFonts w:asciiTheme="minorHAnsi" w:hAnsiTheme="minorHAnsi" w:cstheme="minorHAnsi"/>
          <w:sz w:val="22"/>
          <w:szCs w:val="22"/>
        </w:rPr>
        <w:t xml:space="preserve"> persist and </w:t>
      </w:r>
      <w:r w:rsidRPr="009231D7">
        <w:rPr>
          <w:rFonts w:asciiTheme="minorHAnsi" w:hAnsiTheme="minorHAnsi" w:cstheme="minorHAnsi"/>
          <w:sz w:val="22"/>
          <w:szCs w:val="22"/>
        </w:rPr>
        <w:t>have further escalated. Hungary’s</w:t>
      </w:r>
      <w:r w:rsidR="00885D98" w:rsidRPr="009231D7">
        <w:rPr>
          <w:rFonts w:asciiTheme="minorHAnsi" w:hAnsiTheme="minorHAnsi" w:cstheme="minorHAnsi"/>
          <w:sz w:val="22"/>
          <w:szCs w:val="22"/>
        </w:rPr>
        <w:t xml:space="preserve"> law-making process is increasingly closed, unpredictable, dominated by the executive, and is characterised by systemic deficiencies that undermine transparency, inclusiveness, and democratic legitimacy.</w:t>
      </w:r>
      <w:r w:rsidR="00885D98" w:rsidRPr="009231D7">
        <w:rPr>
          <w:rStyle w:val="Lbjegyzet-hivatkozs"/>
          <w:rFonts w:asciiTheme="minorHAnsi" w:hAnsiTheme="minorHAnsi" w:cstheme="minorHAnsi"/>
          <w:sz w:val="22"/>
          <w:szCs w:val="22"/>
        </w:rPr>
        <w:footnoteReference w:id="12"/>
      </w:r>
    </w:p>
    <w:p w14:paraId="1265B00F" w14:textId="535AB980" w:rsidR="00885D98" w:rsidRPr="009231D7" w:rsidRDefault="00885D98" w:rsidP="00885D98">
      <w:pPr>
        <w:spacing w:after="160" w:line="259" w:lineRule="auto"/>
        <w:jc w:val="both"/>
        <w:rPr>
          <w:rFonts w:asciiTheme="minorHAnsi" w:hAnsiTheme="minorHAnsi" w:cstheme="minorHAnsi"/>
          <w:sz w:val="22"/>
          <w:szCs w:val="22"/>
        </w:rPr>
      </w:pPr>
      <w:r w:rsidRPr="009231D7">
        <w:rPr>
          <w:rFonts w:asciiTheme="minorHAnsi" w:hAnsiTheme="minorHAnsi" w:cstheme="minorHAnsi"/>
          <w:sz w:val="22"/>
          <w:szCs w:val="22"/>
        </w:rPr>
        <w:t xml:space="preserve">Public consultation on draft laws remains largely ineffective despite recent legislative amendments, as broad exemptions, short deadlines, and the lack of consequences for non-compliance allow the Government to bypass meaningful engagement. The circumvention of consultation obligations </w:t>
      </w:r>
      <w:r w:rsidR="00F0194B" w:rsidRPr="009231D7">
        <w:rPr>
          <w:rFonts w:asciiTheme="minorHAnsi" w:hAnsiTheme="minorHAnsi" w:cstheme="minorHAnsi"/>
          <w:sz w:val="22"/>
          <w:szCs w:val="22"/>
        </w:rPr>
        <w:t>using</w:t>
      </w:r>
      <w:r w:rsidRPr="009231D7">
        <w:rPr>
          <w:rFonts w:asciiTheme="minorHAnsi" w:hAnsiTheme="minorHAnsi" w:cstheme="minorHAnsi"/>
          <w:sz w:val="22"/>
          <w:szCs w:val="22"/>
        </w:rPr>
        <w:t xml:space="preserve"> governing party MPs or parliamentary committees</w:t>
      </w:r>
      <w:r w:rsidR="00BA1F8F" w:rsidRPr="009231D7">
        <w:rPr>
          <w:rFonts w:asciiTheme="minorHAnsi" w:hAnsiTheme="minorHAnsi" w:cstheme="minorHAnsi"/>
          <w:sz w:val="22"/>
          <w:szCs w:val="22"/>
        </w:rPr>
        <w:t xml:space="preserve"> for tabling Bills </w:t>
      </w:r>
      <w:r w:rsidR="00FA7B31" w:rsidRPr="009231D7">
        <w:rPr>
          <w:rFonts w:asciiTheme="minorHAnsi" w:hAnsiTheme="minorHAnsi" w:cstheme="minorHAnsi"/>
          <w:sz w:val="22"/>
          <w:szCs w:val="22"/>
        </w:rPr>
        <w:t>serving the</w:t>
      </w:r>
      <w:r w:rsidR="00BA1F8F" w:rsidRPr="009231D7">
        <w:rPr>
          <w:rFonts w:asciiTheme="minorHAnsi" w:hAnsiTheme="minorHAnsi" w:cstheme="minorHAnsi"/>
          <w:sz w:val="22"/>
          <w:szCs w:val="22"/>
        </w:rPr>
        <w:t xml:space="preserve"> Government</w:t>
      </w:r>
      <w:r w:rsidR="00FA7B31" w:rsidRPr="009231D7">
        <w:rPr>
          <w:rFonts w:asciiTheme="minorHAnsi" w:hAnsiTheme="minorHAnsi" w:cstheme="minorHAnsi"/>
          <w:sz w:val="22"/>
          <w:szCs w:val="22"/>
        </w:rPr>
        <w:t xml:space="preserve"> agenda</w:t>
      </w:r>
      <w:r w:rsidRPr="009231D7">
        <w:rPr>
          <w:rFonts w:asciiTheme="minorHAnsi" w:hAnsiTheme="minorHAnsi" w:cstheme="minorHAnsi"/>
          <w:sz w:val="22"/>
          <w:szCs w:val="22"/>
        </w:rPr>
        <w:t xml:space="preserve"> </w:t>
      </w:r>
      <w:r w:rsidR="009575AA" w:rsidRPr="009231D7">
        <w:rPr>
          <w:rFonts w:asciiTheme="minorHAnsi" w:hAnsiTheme="minorHAnsi" w:cstheme="minorHAnsi"/>
          <w:sz w:val="22"/>
          <w:szCs w:val="22"/>
        </w:rPr>
        <w:t xml:space="preserve">(even in case of amendments to the Fundamental Law) </w:t>
      </w:r>
      <w:r w:rsidRPr="009231D7">
        <w:rPr>
          <w:rFonts w:asciiTheme="minorHAnsi" w:hAnsiTheme="minorHAnsi" w:cstheme="minorHAnsi"/>
          <w:sz w:val="22"/>
          <w:szCs w:val="22"/>
        </w:rPr>
        <w:t>further erodes opportunities for public input. This leaves citizens, civil society, and professional stakeholders with little real influence over laws that affect them.</w:t>
      </w:r>
    </w:p>
    <w:p w14:paraId="621FFA00" w14:textId="77777777" w:rsidR="00885D98" w:rsidRPr="009231D7" w:rsidRDefault="00885D98" w:rsidP="00885D98">
      <w:pPr>
        <w:spacing w:after="160" w:line="259" w:lineRule="auto"/>
        <w:jc w:val="both"/>
        <w:rPr>
          <w:rFonts w:asciiTheme="minorHAnsi" w:hAnsiTheme="minorHAnsi" w:cstheme="minorHAnsi"/>
          <w:sz w:val="22"/>
          <w:szCs w:val="22"/>
        </w:rPr>
      </w:pPr>
      <w:r w:rsidRPr="009231D7">
        <w:rPr>
          <w:rFonts w:asciiTheme="minorHAnsi" w:hAnsiTheme="minorHAnsi" w:cstheme="minorHAnsi"/>
          <w:sz w:val="22"/>
          <w:szCs w:val="22"/>
        </w:rPr>
        <w:t>Inside Parliament, procedural tools are routinely used to push through controversial bills without meaningful debate. Fast-track procedures, last-minute committee amendments, and agenda control by the governing majority prevent scrutiny and sideline opposition voices. Sanctions against dissenting MPs are applied in a manner that chills political expression.</w:t>
      </w:r>
    </w:p>
    <w:p w14:paraId="7FC6C7EF" w14:textId="31D0053E" w:rsidR="00885D98" w:rsidRPr="009231D7" w:rsidRDefault="0178F41B" w:rsidP="03AE4585">
      <w:pPr>
        <w:spacing w:after="160" w:line="259" w:lineRule="auto"/>
        <w:jc w:val="both"/>
        <w:rPr>
          <w:rFonts w:asciiTheme="minorHAnsi" w:hAnsiTheme="minorHAnsi" w:cstheme="minorBidi"/>
          <w:sz w:val="22"/>
          <w:szCs w:val="22"/>
        </w:rPr>
      </w:pPr>
      <w:r w:rsidRPr="03AE4585">
        <w:rPr>
          <w:rFonts w:asciiTheme="minorHAnsi" w:hAnsiTheme="minorHAnsi" w:cstheme="minorBidi"/>
          <w:sz w:val="22"/>
          <w:szCs w:val="22"/>
        </w:rPr>
        <w:t xml:space="preserve">Hungary has been under a “state of danger” since March 2020, first with reference to the COVID-19 pandemic and later to the war in Ukraine. This regime grants the Government sweeping decree-making powers to override Acts of Parliament and restrict </w:t>
      </w:r>
      <w:r w:rsidR="08823BA0" w:rsidRPr="03AE4585">
        <w:rPr>
          <w:rFonts w:asciiTheme="minorHAnsi" w:hAnsiTheme="minorHAnsi" w:cstheme="minorBidi"/>
          <w:sz w:val="22"/>
          <w:szCs w:val="22"/>
        </w:rPr>
        <w:t xml:space="preserve">fundamental </w:t>
      </w:r>
      <w:r w:rsidRPr="03AE4585">
        <w:rPr>
          <w:rFonts w:asciiTheme="minorHAnsi" w:hAnsiTheme="minorHAnsi" w:cstheme="minorBidi"/>
          <w:sz w:val="22"/>
          <w:szCs w:val="22"/>
        </w:rPr>
        <w:t xml:space="preserve">rights with minimal oversight. </w:t>
      </w:r>
      <w:r w:rsidR="62C3542B" w:rsidRPr="03AE4585">
        <w:rPr>
          <w:rFonts w:asciiTheme="minorHAnsi" w:hAnsiTheme="minorHAnsi" w:cstheme="minorBidi"/>
          <w:sz w:val="22"/>
          <w:szCs w:val="22"/>
        </w:rPr>
        <w:t xml:space="preserve">Over </w:t>
      </w:r>
      <w:r w:rsidR="3CD537BA" w:rsidRPr="03AE4585">
        <w:rPr>
          <w:rFonts w:asciiTheme="minorHAnsi" w:hAnsiTheme="minorHAnsi" w:cstheme="minorBidi"/>
          <w:sz w:val="22"/>
          <w:szCs w:val="22"/>
        </w:rPr>
        <w:t xml:space="preserve">a </w:t>
      </w:r>
      <w:r w:rsidR="62C3542B" w:rsidRPr="03AE4585">
        <w:rPr>
          <w:rFonts w:asciiTheme="minorHAnsi" w:hAnsiTheme="minorHAnsi" w:cstheme="minorBidi"/>
          <w:sz w:val="22"/>
          <w:szCs w:val="22"/>
        </w:rPr>
        <w:t>thousand</w:t>
      </w:r>
      <w:r w:rsidR="457A5B9C" w:rsidRPr="03AE4585">
        <w:rPr>
          <w:rFonts w:asciiTheme="minorHAnsi" w:hAnsiTheme="minorHAnsi" w:cstheme="minorBidi"/>
          <w:sz w:val="22"/>
          <w:szCs w:val="22"/>
        </w:rPr>
        <w:t xml:space="preserve"> </w:t>
      </w:r>
      <w:r w:rsidR="62C3542B" w:rsidRPr="03AE4585">
        <w:rPr>
          <w:rFonts w:asciiTheme="minorHAnsi" w:hAnsiTheme="minorHAnsi" w:cstheme="minorBidi"/>
          <w:sz w:val="22"/>
          <w:szCs w:val="22"/>
        </w:rPr>
        <w:t>e</w:t>
      </w:r>
      <w:r w:rsidR="457A5B9C" w:rsidRPr="03AE4585">
        <w:rPr>
          <w:rFonts w:asciiTheme="minorHAnsi" w:hAnsiTheme="minorHAnsi" w:cstheme="minorBidi"/>
          <w:sz w:val="22"/>
          <w:szCs w:val="22"/>
        </w:rPr>
        <w:t xml:space="preserve">mergency decrees have </w:t>
      </w:r>
      <w:r w:rsidR="62C3542B" w:rsidRPr="03AE4585">
        <w:rPr>
          <w:rFonts w:asciiTheme="minorHAnsi" w:hAnsiTheme="minorHAnsi" w:cstheme="minorBidi"/>
          <w:sz w:val="22"/>
          <w:szCs w:val="22"/>
        </w:rPr>
        <w:t>been passed</w:t>
      </w:r>
      <w:r w:rsidR="08823BA0" w:rsidRPr="03AE4585">
        <w:rPr>
          <w:rFonts w:asciiTheme="minorHAnsi" w:hAnsiTheme="minorHAnsi" w:cstheme="minorBidi"/>
          <w:sz w:val="22"/>
          <w:szCs w:val="22"/>
        </w:rPr>
        <w:t xml:space="preserve"> so far</w:t>
      </w:r>
      <w:r w:rsidR="62C3542B" w:rsidRPr="03AE4585">
        <w:rPr>
          <w:rFonts w:asciiTheme="minorHAnsi" w:hAnsiTheme="minorHAnsi" w:cstheme="minorBidi"/>
          <w:sz w:val="22"/>
          <w:szCs w:val="22"/>
        </w:rPr>
        <w:t xml:space="preserve">, which </w:t>
      </w:r>
      <w:r w:rsidR="457A5B9C" w:rsidRPr="03AE4585">
        <w:rPr>
          <w:rFonts w:asciiTheme="minorHAnsi" w:hAnsiTheme="minorHAnsi" w:cstheme="minorBidi"/>
          <w:sz w:val="22"/>
          <w:szCs w:val="22"/>
        </w:rPr>
        <w:t xml:space="preserve">often address matters unrelated to the stated cause of the state of danger and, in some cases, </w:t>
      </w:r>
      <w:r w:rsidR="4D56FD57" w:rsidRPr="03AE4585">
        <w:rPr>
          <w:rFonts w:asciiTheme="minorHAnsi" w:hAnsiTheme="minorHAnsi" w:cstheme="minorBidi"/>
          <w:sz w:val="22"/>
          <w:szCs w:val="22"/>
        </w:rPr>
        <w:t>are</w:t>
      </w:r>
      <w:r w:rsidR="08823BA0" w:rsidRPr="03AE4585">
        <w:rPr>
          <w:rFonts w:asciiTheme="minorHAnsi" w:hAnsiTheme="minorHAnsi" w:cstheme="minorBidi"/>
          <w:sz w:val="22"/>
          <w:szCs w:val="22"/>
        </w:rPr>
        <w:t xml:space="preserve"> then</w:t>
      </w:r>
      <w:r w:rsidR="457A5B9C" w:rsidRPr="03AE4585">
        <w:rPr>
          <w:rFonts w:asciiTheme="minorHAnsi" w:hAnsiTheme="minorHAnsi" w:cstheme="minorBidi"/>
          <w:sz w:val="22"/>
          <w:szCs w:val="22"/>
        </w:rPr>
        <w:t xml:space="preserve"> entrenched into ordinary legislation. The concentration of powers across all special legal orders and the proliferation of statutory “states of crisis” further weaken checks and balances and predictability.</w:t>
      </w:r>
    </w:p>
    <w:p w14:paraId="07F11849" w14:textId="04888319" w:rsidR="00885D98" w:rsidRPr="009231D7" w:rsidRDefault="457A5B9C" w:rsidP="03AE4585">
      <w:pPr>
        <w:spacing w:after="160" w:line="259" w:lineRule="auto"/>
        <w:jc w:val="both"/>
        <w:rPr>
          <w:rFonts w:asciiTheme="minorHAnsi" w:hAnsiTheme="minorHAnsi" w:cstheme="minorBidi"/>
          <w:sz w:val="22"/>
          <w:szCs w:val="22"/>
        </w:rPr>
      </w:pPr>
      <w:r w:rsidRPr="03AE4585">
        <w:rPr>
          <w:rFonts w:asciiTheme="minorHAnsi" w:hAnsiTheme="minorHAnsi" w:cstheme="minorBidi"/>
          <w:sz w:val="22"/>
          <w:szCs w:val="22"/>
        </w:rPr>
        <w:t xml:space="preserve">The combined effect of these practices is the hollowing out of democratic law-making. Frequent, rapid, and poorly reasoned legal changes weaken legal certainty. </w:t>
      </w:r>
      <w:r w:rsidR="4D6F43E8" w:rsidRPr="03AE4585">
        <w:rPr>
          <w:rFonts w:asciiTheme="minorHAnsi" w:hAnsiTheme="minorHAnsi" w:cstheme="minorBidi"/>
          <w:sz w:val="22"/>
          <w:szCs w:val="22"/>
        </w:rPr>
        <w:t>Relevant i</w:t>
      </w:r>
      <w:r w:rsidRPr="03AE4585">
        <w:rPr>
          <w:rFonts w:asciiTheme="minorHAnsi" w:hAnsiTheme="minorHAnsi" w:cstheme="minorBidi"/>
          <w:sz w:val="22"/>
          <w:szCs w:val="22"/>
        </w:rPr>
        <w:t xml:space="preserve">nternational standards, including those set by the </w:t>
      </w:r>
      <w:r w:rsidR="08823BA0" w:rsidRPr="03AE4585">
        <w:rPr>
          <w:rFonts w:asciiTheme="minorHAnsi" w:hAnsiTheme="minorHAnsi" w:cstheme="minorBidi"/>
          <w:sz w:val="22"/>
          <w:szCs w:val="22"/>
        </w:rPr>
        <w:t xml:space="preserve">Venice Commission, </w:t>
      </w:r>
      <w:r w:rsidRPr="03AE4585">
        <w:rPr>
          <w:rFonts w:asciiTheme="minorHAnsi" w:hAnsiTheme="minorHAnsi" w:cstheme="minorBidi"/>
          <w:sz w:val="22"/>
          <w:szCs w:val="22"/>
        </w:rPr>
        <w:t>OSCE/ODIHR</w:t>
      </w:r>
      <w:r w:rsidR="08823BA0" w:rsidRPr="03AE4585">
        <w:rPr>
          <w:rFonts w:asciiTheme="minorHAnsi" w:hAnsiTheme="minorHAnsi" w:cstheme="minorBidi"/>
          <w:sz w:val="22"/>
          <w:szCs w:val="22"/>
        </w:rPr>
        <w:t xml:space="preserve">, and the EU </w:t>
      </w:r>
      <w:r w:rsidRPr="03AE4585">
        <w:rPr>
          <w:rFonts w:asciiTheme="minorHAnsi" w:hAnsiTheme="minorHAnsi" w:cstheme="minorBidi"/>
          <w:sz w:val="22"/>
          <w:szCs w:val="22"/>
        </w:rPr>
        <w:t>are systematically disregarded.</w:t>
      </w:r>
    </w:p>
    <w:p w14:paraId="4DB4C84A" w14:textId="77777777" w:rsidR="00885D98" w:rsidRPr="009231D7" w:rsidRDefault="00885D98" w:rsidP="00885D98">
      <w:pPr>
        <w:spacing w:after="160" w:line="259" w:lineRule="auto"/>
        <w:jc w:val="both"/>
        <w:rPr>
          <w:rFonts w:asciiTheme="minorHAnsi" w:hAnsiTheme="minorHAnsi" w:cstheme="minorHAnsi"/>
          <w:i/>
          <w:iCs/>
          <w:sz w:val="22"/>
          <w:szCs w:val="22"/>
          <w:u w:val="single"/>
        </w:rPr>
      </w:pPr>
      <w:r w:rsidRPr="009231D7">
        <w:rPr>
          <w:rFonts w:asciiTheme="minorHAnsi" w:hAnsiTheme="minorHAnsi" w:cstheme="minorHAnsi"/>
          <w:i/>
          <w:iCs/>
          <w:sz w:val="22"/>
          <w:szCs w:val="22"/>
          <w:u w:val="single"/>
        </w:rPr>
        <w:t>Suggested questions to the State party:</w:t>
      </w:r>
    </w:p>
    <w:p w14:paraId="3B5868C1" w14:textId="627E7850" w:rsidR="00885D98" w:rsidRPr="009231D7" w:rsidRDefault="009575AA" w:rsidP="00BB4A9A">
      <w:pPr>
        <w:pStyle w:val="Listaszerbekezds"/>
        <w:numPr>
          <w:ilvl w:val="0"/>
          <w:numId w:val="15"/>
        </w:numPr>
        <w:spacing w:after="80" w:line="259" w:lineRule="auto"/>
        <w:ind w:left="714" w:hanging="357"/>
        <w:contextualSpacing w:val="0"/>
        <w:jc w:val="both"/>
        <w:rPr>
          <w:rFonts w:asciiTheme="minorHAnsi" w:hAnsiTheme="minorHAnsi" w:cstheme="minorHAnsi"/>
          <w:sz w:val="22"/>
          <w:szCs w:val="22"/>
        </w:rPr>
      </w:pPr>
      <w:r w:rsidRPr="009231D7">
        <w:rPr>
          <w:rFonts w:asciiTheme="minorHAnsi" w:hAnsiTheme="minorHAnsi" w:cstheme="minorHAnsi"/>
          <w:sz w:val="22"/>
          <w:szCs w:val="22"/>
        </w:rPr>
        <w:t>When and how will Hungary comply with this Committee’s recommendation to</w:t>
      </w:r>
      <w:r w:rsidR="009E3E9E" w:rsidRPr="009231D7">
        <w:rPr>
          <w:rFonts w:asciiTheme="minorHAnsi" w:hAnsiTheme="minorHAnsi" w:cstheme="minorHAnsi"/>
          <w:sz w:val="22"/>
          <w:szCs w:val="22"/>
        </w:rPr>
        <w:t xml:space="preserve"> </w:t>
      </w:r>
      <w:r w:rsidRPr="009231D7">
        <w:rPr>
          <w:rFonts w:asciiTheme="minorHAnsi" w:hAnsiTheme="minorHAnsi" w:cstheme="minorHAnsi"/>
          <w:sz w:val="22"/>
          <w:szCs w:val="22"/>
        </w:rPr>
        <w:t>“</w:t>
      </w:r>
      <w:r w:rsidR="009E3E9E" w:rsidRPr="009231D7">
        <w:rPr>
          <w:rFonts w:asciiTheme="minorHAnsi" w:hAnsiTheme="minorHAnsi" w:cstheme="minorHAnsi"/>
          <w:sz w:val="22"/>
          <w:szCs w:val="22"/>
        </w:rPr>
        <w:t>strengthen its legislative process</w:t>
      </w:r>
      <w:r w:rsidR="007D1B90" w:rsidRPr="009231D7">
        <w:rPr>
          <w:rFonts w:asciiTheme="minorHAnsi" w:hAnsiTheme="minorHAnsi" w:cstheme="minorHAnsi"/>
          <w:sz w:val="22"/>
          <w:szCs w:val="22"/>
        </w:rPr>
        <w:t xml:space="preserve"> […] </w:t>
      </w:r>
      <w:r w:rsidR="009E3E9E" w:rsidRPr="009231D7">
        <w:rPr>
          <w:rFonts w:asciiTheme="minorHAnsi" w:hAnsiTheme="minorHAnsi" w:cstheme="minorHAnsi"/>
          <w:sz w:val="22"/>
          <w:szCs w:val="22"/>
        </w:rPr>
        <w:t>by ensuring that mechanisms are in</w:t>
      </w:r>
      <w:r w:rsidRPr="009231D7">
        <w:rPr>
          <w:rFonts w:asciiTheme="minorHAnsi" w:hAnsiTheme="minorHAnsi" w:cstheme="minorHAnsi"/>
          <w:sz w:val="22"/>
          <w:szCs w:val="22"/>
        </w:rPr>
        <w:t xml:space="preserve"> </w:t>
      </w:r>
      <w:r w:rsidR="009E3E9E" w:rsidRPr="009231D7">
        <w:rPr>
          <w:rFonts w:asciiTheme="minorHAnsi" w:hAnsiTheme="minorHAnsi" w:cstheme="minorHAnsi"/>
          <w:sz w:val="22"/>
          <w:szCs w:val="22"/>
        </w:rPr>
        <w:t>place to guarantee a transparent, inclusive and participatory process that involves</w:t>
      </w:r>
      <w:r w:rsidRPr="009231D7">
        <w:rPr>
          <w:rFonts w:asciiTheme="minorHAnsi" w:hAnsiTheme="minorHAnsi" w:cstheme="minorHAnsi"/>
          <w:sz w:val="22"/>
          <w:szCs w:val="22"/>
        </w:rPr>
        <w:t xml:space="preserve"> </w:t>
      </w:r>
      <w:r w:rsidR="009E3E9E" w:rsidRPr="009231D7">
        <w:rPr>
          <w:rFonts w:asciiTheme="minorHAnsi" w:hAnsiTheme="minorHAnsi" w:cstheme="minorHAnsi"/>
          <w:sz w:val="22"/>
          <w:szCs w:val="22"/>
        </w:rPr>
        <w:t>opposition politicians, civil society, other relevant stakeholders and the general public,</w:t>
      </w:r>
      <w:r w:rsidRPr="009231D7">
        <w:rPr>
          <w:rFonts w:asciiTheme="minorHAnsi" w:hAnsiTheme="minorHAnsi" w:cstheme="minorHAnsi"/>
          <w:sz w:val="22"/>
          <w:szCs w:val="22"/>
        </w:rPr>
        <w:t xml:space="preserve"> </w:t>
      </w:r>
      <w:r w:rsidR="009E3E9E" w:rsidRPr="009231D7">
        <w:rPr>
          <w:rFonts w:asciiTheme="minorHAnsi" w:hAnsiTheme="minorHAnsi" w:cstheme="minorHAnsi"/>
          <w:sz w:val="22"/>
          <w:szCs w:val="22"/>
        </w:rPr>
        <w:t>and provides adequate opportunity and time for the</w:t>
      </w:r>
      <w:r w:rsidRPr="009231D7">
        <w:rPr>
          <w:rFonts w:asciiTheme="minorHAnsi" w:hAnsiTheme="minorHAnsi" w:cstheme="minorHAnsi"/>
          <w:sz w:val="22"/>
          <w:szCs w:val="22"/>
        </w:rPr>
        <w:t xml:space="preserve"> </w:t>
      </w:r>
      <w:r w:rsidR="009E3E9E" w:rsidRPr="009231D7">
        <w:rPr>
          <w:rFonts w:asciiTheme="minorHAnsi" w:hAnsiTheme="minorHAnsi" w:cstheme="minorHAnsi"/>
          <w:sz w:val="22"/>
          <w:szCs w:val="22"/>
        </w:rPr>
        <w:t>meaningful review and proper</w:t>
      </w:r>
      <w:r w:rsidRPr="009231D7">
        <w:rPr>
          <w:rFonts w:asciiTheme="minorHAnsi" w:hAnsiTheme="minorHAnsi" w:cstheme="minorHAnsi"/>
          <w:sz w:val="22"/>
          <w:szCs w:val="22"/>
        </w:rPr>
        <w:t xml:space="preserve"> </w:t>
      </w:r>
      <w:r w:rsidR="009E3E9E" w:rsidRPr="009231D7">
        <w:rPr>
          <w:rFonts w:asciiTheme="minorHAnsi" w:hAnsiTheme="minorHAnsi" w:cstheme="minorHAnsi"/>
          <w:sz w:val="22"/>
          <w:szCs w:val="22"/>
        </w:rPr>
        <w:t>debate of legislative proposals and amendments</w:t>
      </w:r>
      <w:r w:rsidRPr="009231D7">
        <w:rPr>
          <w:rFonts w:asciiTheme="minorHAnsi" w:hAnsiTheme="minorHAnsi" w:cstheme="minorHAnsi"/>
          <w:sz w:val="22"/>
          <w:szCs w:val="22"/>
        </w:rPr>
        <w:t>”?</w:t>
      </w:r>
      <w:r w:rsidR="0086090C" w:rsidRPr="009231D7">
        <w:rPr>
          <w:rStyle w:val="Lbjegyzet-hivatkozs"/>
          <w:rFonts w:asciiTheme="minorHAnsi" w:hAnsiTheme="minorHAnsi" w:cstheme="minorHAnsi"/>
          <w:sz w:val="22"/>
          <w:szCs w:val="22"/>
        </w:rPr>
        <w:footnoteReference w:id="13"/>
      </w:r>
    </w:p>
    <w:p w14:paraId="05EB0519" w14:textId="20FEA137" w:rsidR="007A3DF2" w:rsidRPr="009231D7" w:rsidRDefault="20E5A235" w:rsidP="03AE4585">
      <w:pPr>
        <w:pStyle w:val="Listaszerbekezds"/>
        <w:numPr>
          <w:ilvl w:val="0"/>
          <w:numId w:val="15"/>
        </w:numPr>
        <w:spacing w:after="80" w:line="259" w:lineRule="auto"/>
        <w:jc w:val="both"/>
        <w:rPr>
          <w:sz w:val="22"/>
          <w:szCs w:val="22"/>
        </w:rPr>
      </w:pPr>
      <w:r w:rsidRPr="03AE4585">
        <w:rPr>
          <w:sz w:val="22"/>
          <w:szCs w:val="22"/>
        </w:rPr>
        <w:lastRenderedPageBreak/>
        <w:t>What steps will be taken to align the constitutional and statutory framework of special legal order regimes with requirements set out by the Venice Commission, to limit the excessive use of the Government’s emergency powers</w:t>
      </w:r>
      <w:r w:rsidR="08823BA0" w:rsidRPr="03AE4585">
        <w:rPr>
          <w:sz w:val="22"/>
          <w:szCs w:val="22"/>
        </w:rPr>
        <w:t xml:space="preserve"> under the state of danger</w:t>
      </w:r>
      <w:r w:rsidRPr="03AE4585">
        <w:rPr>
          <w:sz w:val="22"/>
          <w:szCs w:val="22"/>
        </w:rPr>
        <w:t>, and to restore legal certainty that has been undermined by their extensive and prolonged use?</w:t>
      </w:r>
    </w:p>
    <w:p w14:paraId="1F217A18" w14:textId="77777777" w:rsidR="00885D98" w:rsidRPr="009231D7" w:rsidRDefault="00885D98" w:rsidP="00D65C29">
      <w:pPr>
        <w:spacing w:after="160" w:line="259" w:lineRule="auto"/>
        <w:rPr>
          <w:rFonts w:asciiTheme="minorHAnsi" w:hAnsiTheme="minorHAnsi" w:cstheme="minorHAnsi"/>
          <w:b/>
          <w:bCs/>
          <w:sz w:val="22"/>
          <w:szCs w:val="22"/>
        </w:rPr>
      </w:pPr>
    </w:p>
    <w:p w14:paraId="583A342A" w14:textId="28513601" w:rsidR="00D65C29" w:rsidRPr="009231D7" w:rsidRDefault="00D65C29" w:rsidP="00D65C29">
      <w:pPr>
        <w:spacing w:after="160" w:line="259" w:lineRule="auto"/>
        <w:rPr>
          <w:rFonts w:asciiTheme="minorHAnsi" w:hAnsiTheme="minorHAnsi" w:cstheme="minorHAnsi"/>
          <w:b/>
          <w:bCs/>
          <w:sz w:val="26"/>
          <w:szCs w:val="26"/>
        </w:rPr>
      </w:pPr>
      <w:r w:rsidRPr="009231D7">
        <w:rPr>
          <w:rFonts w:asciiTheme="minorHAnsi" w:hAnsiTheme="minorHAnsi" w:cstheme="minorHAnsi"/>
          <w:b/>
          <w:bCs/>
          <w:sz w:val="26"/>
          <w:szCs w:val="26"/>
        </w:rPr>
        <w:t xml:space="preserve">Undermining </w:t>
      </w:r>
      <w:r w:rsidR="00A36EAE" w:rsidRPr="009231D7">
        <w:rPr>
          <w:rFonts w:asciiTheme="minorHAnsi" w:hAnsiTheme="minorHAnsi" w:cstheme="minorHAnsi"/>
          <w:b/>
          <w:bCs/>
          <w:sz w:val="26"/>
          <w:szCs w:val="26"/>
        </w:rPr>
        <w:t>judicial</w:t>
      </w:r>
      <w:r w:rsidRPr="009231D7">
        <w:rPr>
          <w:rFonts w:asciiTheme="minorHAnsi" w:hAnsiTheme="minorHAnsi" w:cstheme="minorHAnsi"/>
          <w:b/>
          <w:bCs/>
          <w:sz w:val="26"/>
          <w:szCs w:val="26"/>
        </w:rPr>
        <w:t xml:space="preserve"> independence</w:t>
      </w:r>
    </w:p>
    <w:p w14:paraId="773747B0" w14:textId="52873A06" w:rsidR="007B345C" w:rsidRPr="009231D7" w:rsidRDefault="00B64B2A" w:rsidP="007B345C">
      <w:pPr>
        <w:spacing w:after="160" w:line="259" w:lineRule="auto"/>
        <w:jc w:val="both"/>
        <w:rPr>
          <w:rFonts w:asciiTheme="minorHAnsi" w:eastAsia="Corbel" w:hAnsiTheme="minorHAnsi" w:cstheme="minorHAnsi"/>
          <w:color w:val="000000"/>
          <w:sz w:val="22"/>
          <w:szCs w:val="22"/>
        </w:rPr>
      </w:pPr>
      <w:r w:rsidRPr="009231D7">
        <w:rPr>
          <w:sz w:val="22"/>
          <w:szCs w:val="22"/>
        </w:rPr>
        <w:t>To</w:t>
      </w:r>
      <w:r w:rsidR="007B345C" w:rsidRPr="009231D7">
        <w:rPr>
          <w:sz w:val="22"/>
          <w:szCs w:val="22"/>
        </w:rPr>
        <w:t xml:space="preserve"> comply with conditions set by the </w:t>
      </w:r>
      <w:r w:rsidR="00320EF7" w:rsidRPr="009231D7">
        <w:rPr>
          <w:sz w:val="22"/>
          <w:szCs w:val="22"/>
        </w:rPr>
        <w:t xml:space="preserve">EU </w:t>
      </w:r>
      <w:r w:rsidR="007B345C" w:rsidRPr="009231D7">
        <w:rPr>
          <w:sz w:val="22"/>
          <w:szCs w:val="22"/>
        </w:rPr>
        <w:t>for Hungary to access EU funds</w:t>
      </w:r>
      <w:r w:rsidRPr="009231D7">
        <w:rPr>
          <w:sz w:val="22"/>
          <w:szCs w:val="22"/>
        </w:rPr>
        <w:t xml:space="preserve">, </w:t>
      </w:r>
      <w:r w:rsidR="007B345C" w:rsidRPr="009231D7">
        <w:rPr>
          <w:sz w:val="22"/>
          <w:szCs w:val="22"/>
        </w:rPr>
        <w:t xml:space="preserve">aimed at restoring the independence of the judiciary, the Parliament adopted a judicial reform in 2023. </w:t>
      </w:r>
      <w:r w:rsidR="006B01E5" w:rsidRPr="009231D7">
        <w:rPr>
          <w:sz w:val="22"/>
          <w:szCs w:val="22"/>
        </w:rPr>
        <w:t>However</w:t>
      </w:r>
      <w:r w:rsidR="007B345C" w:rsidRPr="009231D7">
        <w:rPr>
          <w:rFonts w:asciiTheme="minorHAnsi" w:eastAsia="Corbel" w:hAnsiTheme="minorHAnsi" w:cstheme="minorHAnsi"/>
          <w:color w:val="000000"/>
          <w:sz w:val="22"/>
          <w:szCs w:val="22"/>
        </w:rPr>
        <w:t>, over the past two years, legislative changes</w:t>
      </w:r>
      <w:r w:rsidR="00CC74DF" w:rsidRPr="009231D7">
        <w:rPr>
          <w:rFonts w:asciiTheme="minorHAnsi" w:eastAsia="Corbel" w:hAnsiTheme="minorHAnsi" w:cstheme="minorHAnsi"/>
          <w:color w:val="000000"/>
          <w:sz w:val="22"/>
          <w:szCs w:val="22"/>
        </w:rPr>
        <w:t xml:space="preserve"> </w:t>
      </w:r>
      <w:r w:rsidR="007B345C" w:rsidRPr="009231D7">
        <w:rPr>
          <w:rFonts w:asciiTheme="minorHAnsi" w:eastAsia="Corbel" w:hAnsiTheme="minorHAnsi" w:cstheme="minorHAnsi"/>
          <w:color w:val="000000"/>
          <w:sz w:val="22"/>
          <w:szCs w:val="22"/>
        </w:rPr>
        <w:t xml:space="preserve">and administrative practices have undermined any positive results of the reform and caused regression. Thus, new and old systemic deficiencies continue to </w:t>
      </w:r>
      <w:r w:rsidR="00320EF7" w:rsidRPr="009231D7">
        <w:rPr>
          <w:rFonts w:asciiTheme="minorHAnsi" w:eastAsia="Corbel" w:hAnsiTheme="minorHAnsi" w:cstheme="minorHAnsi"/>
          <w:color w:val="000000"/>
          <w:sz w:val="22"/>
          <w:szCs w:val="22"/>
        </w:rPr>
        <w:t xml:space="preserve">weaken </w:t>
      </w:r>
      <w:r w:rsidR="007B345C" w:rsidRPr="009231D7">
        <w:rPr>
          <w:rFonts w:asciiTheme="minorHAnsi" w:eastAsia="Corbel" w:hAnsiTheme="minorHAnsi" w:cstheme="minorHAnsi"/>
          <w:color w:val="000000"/>
          <w:sz w:val="22"/>
          <w:szCs w:val="22"/>
        </w:rPr>
        <w:t>judici</w:t>
      </w:r>
      <w:r w:rsidR="00320EF7" w:rsidRPr="009231D7">
        <w:rPr>
          <w:rFonts w:asciiTheme="minorHAnsi" w:eastAsia="Corbel" w:hAnsiTheme="minorHAnsi" w:cstheme="minorHAnsi"/>
          <w:color w:val="000000"/>
          <w:sz w:val="22"/>
          <w:szCs w:val="22"/>
        </w:rPr>
        <w:t>al</w:t>
      </w:r>
      <w:r w:rsidR="0097760B" w:rsidRPr="009231D7">
        <w:rPr>
          <w:rFonts w:asciiTheme="minorHAnsi" w:eastAsia="Corbel" w:hAnsiTheme="minorHAnsi" w:cstheme="minorHAnsi"/>
          <w:color w:val="000000"/>
          <w:sz w:val="22"/>
          <w:szCs w:val="22"/>
        </w:rPr>
        <w:t xml:space="preserve"> </w:t>
      </w:r>
      <w:r w:rsidR="002861D1" w:rsidRPr="009231D7">
        <w:rPr>
          <w:rFonts w:asciiTheme="minorHAnsi" w:eastAsia="Corbel" w:hAnsiTheme="minorHAnsi" w:cstheme="minorHAnsi"/>
          <w:color w:val="000000"/>
          <w:sz w:val="22"/>
          <w:szCs w:val="22"/>
        </w:rPr>
        <w:t xml:space="preserve">independence </w:t>
      </w:r>
      <w:r w:rsidR="0097760B" w:rsidRPr="009231D7">
        <w:rPr>
          <w:rFonts w:asciiTheme="minorHAnsi" w:eastAsia="Corbel" w:hAnsiTheme="minorHAnsi" w:cstheme="minorHAnsi"/>
          <w:color w:val="000000"/>
          <w:sz w:val="22"/>
          <w:szCs w:val="22"/>
        </w:rPr>
        <w:t>and</w:t>
      </w:r>
      <w:r w:rsidR="0097760B" w:rsidRPr="009231D7">
        <w:rPr>
          <w:rFonts w:asciiTheme="minorHAnsi" w:hAnsiTheme="minorHAnsi" w:cstheme="minorHAnsi"/>
          <w:sz w:val="22"/>
          <w:szCs w:val="22"/>
        </w:rPr>
        <w:t xml:space="preserve"> the effective protection of human rights</w:t>
      </w:r>
      <w:r w:rsidR="007B345C" w:rsidRPr="009231D7">
        <w:rPr>
          <w:rFonts w:asciiTheme="minorHAnsi" w:eastAsia="Corbel" w:hAnsiTheme="minorHAnsi" w:cstheme="minorHAnsi"/>
          <w:color w:val="000000"/>
          <w:sz w:val="22"/>
          <w:szCs w:val="22"/>
        </w:rPr>
        <w:t>.</w:t>
      </w:r>
      <w:r w:rsidR="007B345C" w:rsidRPr="009231D7">
        <w:rPr>
          <w:rStyle w:val="Lbjegyzet-hivatkozs"/>
          <w:rFonts w:asciiTheme="minorHAnsi" w:eastAsia="Corbel" w:hAnsiTheme="minorHAnsi" w:cstheme="minorHAnsi"/>
          <w:color w:val="000000"/>
          <w:sz w:val="22"/>
          <w:szCs w:val="22"/>
        </w:rPr>
        <w:footnoteReference w:id="14"/>
      </w:r>
    </w:p>
    <w:p w14:paraId="1EC631BC" w14:textId="7D3E2B63" w:rsidR="007B345C" w:rsidRPr="009231D7" w:rsidRDefault="007B345C" w:rsidP="007B345C">
      <w:pPr>
        <w:spacing w:after="160" w:line="259" w:lineRule="auto"/>
        <w:jc w:val="both"/>
        <w:rPr>
          <w:rFonts w:asciiTheme="minorHAnsi" w:hAnsiTheme="minorHAnsi" w:cstheme="minorHAnsi"/>
          <w:sz w:val="22"/>
          <w:szCs w:val="22"/>
        </w:rPr>
      </w:pPr>
      <w:r w:rsidRPr="009231D7">
        <w:rPr>
          <w:rFonts w:asciiTheme="minorHAnsi" w:hAnsiTheme="minorHAnsi" w:cstheme="minorHAnsi"/>
          <w:sz w:val="22"/>
          <w:szCs w:val="22"/>
        </w:rPr>
        <w:t xml:space="preserve">One persistent concern relates to </w:t>
      </w:r>
      <w:r w:rsidR="000113B0" w:rsidRPr="009231D7">
        <w:rPr>
          <w:rFonts w:asciiTheme="minorHAnsi" w:hAnsiTheme="minorHAnsi" w:cstheme="minorHAnsi"/>
          <w:sz w:val="22"/>
          <w:szCs w:val="22"/>
        </w:rPr>
        <w:t xml:space="preserve">case </w:t>
      </w:r>
      <w:r w:rsidRPr="009231D7">
        <w:rPr>
          <w:rFonts w:asciiTheme="minorHAnsi" w:hAnsiTheme="minorHAnsi" w:cstheme="minorHAnsi"/>
          <w:sz w:val="22"/>
          <w:szCs w:val="22"/>
        </w:rPr>
        <w:t xml:space="preserve">allocation at the </w:t>
      </w:r>
      <w:proofErr w:type="spellStart"/>
      <w:r w:rsidRPr="009231D7">
        <w:rPr>
          <w:rFonts w:asciiTheme="minorHAnsi" w:hAnsiTheme="minorHAnsi" w:cstheme="minorHAnsi"/>
          <w:sz w:val="22"/>
          <w:szCs w:val="22"/>
        </w:rPr>
        <w:t>Kúria</w:t>
      </w:r>
      <w:proofErr w:type="spellEnd"/>
      <w:r w:rsidRPr="009231D7">
        <w:rPr>
          <w:rFonts w:asciiTheme="minorHAnsi" w:hAnsiTheme="minorHAnsi" w:cstheme="minorHAnsi"/>
          <w:sz w:val="22"/>
          <w:szCs w:val="22"/>
        </w:rPr>
        <w:t xml:space="preserve">, Hungary’s apex court. Although transparency has improved, the composition of judicial benches hearing the cases </w:t>
      </w:r>
      <w:r w:rsidR="00BC5E0D" w:rsidRPr="009231D7">
        <w:rPr>
          <w:rFonts w:asciiTheme="minorHAnsi" w:hAnsiTheme="minorHAnsi" w:cstheme="minorHAnsi"/>
          <w:sz w:val="22"/>
          <w:szCs w:val="22"/>
        </w:rPr>
        <w:t>is</w:t>
      </w:r>
      <w:r w:rsidRPr="009231D7">
        <w:rPr>
          <w:rFonts w:asciiTheme="minorHAnsi" w:hAnsiTheme="minorHAnsi" w:cstheme="minorHAnsi"/>
          <w:sz w:val="22"/>
          <w:szCs w:val="22"/>
        </w:rPr>
        <w:t xml:space="preserve"> based on vague, overbroad criteria. Shortcomings persist </w:t>
      </w:r>
      <w:r w:rsidR="00DE1E0B" w:rsidRPr="009231D7">
        <w:rPr>
          <w:rFonts w:asciiTheme="minorHAnsi" w:hAnsiTheme="minorHAnsi" w:cstheme="minorHAnsi"/>
          <w:sz w:val="22"/>
          <w:szCs w:val="22"/>
        </w:rPr>
        <w:t xml:space="preserve">regarding case allocation </w:t>
      </w:r>
      <w:r w:rsidRPr="009231D7">
        <w:rPr>
          <w:rFonts w:asciiTheme="minorHAnsi" w:hAnsiTheme="minorHAnsi" w:cstheme="minorHAnsi"/>
          <w:sz w:val="22"/>
          <w:szCs w:val="22"/>
        </w:rPr>
        <w:t>at lower courts, despite repeated recommendations by the European Commission</w:t>
      </w:r>
      <w:r w:rsidR="00DE1E0B" w:rsidRPr="009231D7">
        <w:rPr>
          <w:rFonts w:asciiTheme="minorHAnsi" w:hAnsiTheme="minorHAnsi" w:cstheme="minorHAnsi"/>
          <w:sz w:val="22"/>
          <w:szCs w:val="22"/>
        </w:rPr>
        <w:t xml:space="preserve"> </w:t>
      </w:r>
      <w:r w:rsidRPr="009231D7">
        <w:rPr>
          <w:rFonts w:asciiTheme="minorHAnsi" w:hAnsiTheme="minorHAnsi" w:cstheme="minorHAnsi"/>
          <w:sz w:val="22"/>
          <w:szCs w:val="22"/>
        </w:rPr>
        <w:t xml:space="preserve">to improve transparency. </w:t>
      </w:r>
      <w:r w:rsidR="007666F5" w:rsidRPr="009231D7">
        <w:rPr>
          <w:rFonts w:asciiTheme="minorHAnsi" w:hAnsiTheme="minorHAnsi" w:cstheme="minorHAnsi"/>
          <w:sz w:val="22"/>
          <w:szCs w:val="22"/>
        </w:rPr>
        <w:t>U</w:t>
      </w:r>
      <w:r w:rsidRPr="009231D7">
        <w:rPr>
          <w:rFonts w:asciiTheme="minorHAnsi" w:hAnsiTheme="minorHAnsi" w:cstheme="minorHAnsi"/>
          <w:sz w:val="22"/>
          <w:szCs w:val="22"/>
        </w:rPr>
        <w:t xml:space="preserve">nresolved issues remain regarding the mandate of the </w:t>
      </w:r>
      <w:proofErr w:type="spellStart"/>
      <w:r w:rsidRPr="009231D7">
        <w:rPr>
          <w:rFonts w:asciiTheme="minorHAnsi" w:hAnsiTheme="minorHAnsi" w:cstheme="minorHAnsi"/>
          <w:sz w:val="22"/>
          <w:szCs w:val="22"/>
        </w:rPr>
        <w:t>Kúria</w:t>
      </w:r>
      <w:proofErr w:type="spellEnd"/>
      <w:r w:rsidRPr="009231D7">
        <w:rPr>
          <w:rFonts w:asciiTheme="minorHAnsi" w:hAnsiTheme="minorHAnsi" w:cstheme="minorHAnsi"/>
          <w:sz w:val="22"/>
          <w:szCs w:val="22"/>
        </w:rPr>
        <w:t xml:space="preserve"> President, with provisions </w:t>
      </w:r>
      <w:r w:rsidR="00882073" w:rsidRPr="009231D7">
        <w:rPr>
          <w:rFonts w:asciiTheme="minorHAnsi" w:hAnsiTheme="minorHAnsi" w:cstheme="minorHAnsi"/>
          <w:sz w:val="22"/>
          <w:szCs w:val="22"/>
        </w:rPr>
        <w:t xml:space="preserve">making it </w:t>
      </w:r>
      <w:r w:rsidRPr="009231D7">
        <w:rPr>
          <w:rFonts w:asciiTheme="minorHAnsi" w:hAnsiTheme="minorHAnsi" w:cstheme="minorHAnsi"/>
          <w:sz w:val="22"/>
          <w:szCs w:val="22"/>
        </w:rPr>
        <w:t>possib</w:t>
      </w:r>
      <w:r w:rsidR="00882073" w:rsidRPr="009231D7">
        <w:rPr>
          <w:rFonts w:asciiTheme="minorHAnsi" w:hAnsiTheme="minorHAnsi" w:cstheme="minorHAnsi"/>
          <w:sz w:val="22"/>
          <w:szCs w:val="22"/>
        </w:rPr>
        <w:t>le</w:t>
      </w:r>
      <w:r w:rsidRPr="009231D7">
        <w:rPr>
          <w:rFonts w:asciiTheme="minorHAnsi" w:hAnsiTheme="minorHAnsi" w:cstheme="minorHAnsi"/>
          <w:sz w:val="22"/>
          <w:szCs w:val="22"/>
        </w:rPr>
        <w:t xml:space="preserve"> </w:t>
      </w:r>
      <w:r w:rsidR="00882073" w:rsidRPr="009231D7">
        <w:rPr>
          <w:rFonts w:asciiTheme="minorHAnsi" w:hAnsiTheme="minorHAnsi" w:cstheme="minorHAnsi"/>
          <w:sz w:val="22"/>
          <w:szCs w:val="22"/>
        </w:rPr>
        <w:t xml:space="preserve">to </w:t>
      </w:r>
      <w:r w:rsidRPr="009231D7">
        <w:rPr>
          <w:rFonts w:asciiTheme="minorHAnsi" w:hAnsiTheme="minorHAnsi" w:cstheme="minorHAnsi"/>
          <w:sz w:val="22"/>
          <w:szCs w:val="22"/>
        </w:rPr>
        <w:t xml:space="preserve">keep </w:t>
      </w:r>
      <w:r w:rsidR="002E48FD" w:rsidRPr="009231D7">
        <w:rPr>
          <w:rFonts w:asciiTheme="minorHAnsi" w:hAnsiTheme="minorHAnsi" w:cstheme="minorHAnsi"/>
          <w:sz w:val="22"/>
          <w:szCs w:val="22"/>
        </w:rPr>
        <w:t>them</w:t>
      </w:r>
      <w:r w:rsidRPr="009231D7">
        <w:rPr>
          <w:rFonts w:asciiTheme="minorHAnsi" w:hAnsiTheme="minorHAnsi" w:cstheme="minorHAnsi"/>
          <w:sz w:val="22"/>
          <w:szCs w:val="22"/>
        </w:rPr>
        <w:t xml:space="preserve"> in position for an indefinite term.</w:t>
      </w:r>
    </w:p>
    <w:p w14:paraId="346ECA72" w14:textId="6296A5F2" w:rsidR="007B345C" w:rsidRPr="009231D7" w:rsidRDefault="007B345C" w:rsidP="007B345C">
      <w:pPr>
        <w:spacing w:after="160" w:line="259" w:lineRule="auto"/>
        <w:jc w:val="both"/>
        <w:rPr>
          <w:rFonts w:asciiTheme="minorHAnsi" w:hAnsiTheme="minorHAnsi" w:cstheme="minorHAnsi"/>
          <w:sz w:val="22"/>
          <w:szCs w:val="22"/>
        </w:rPr>
      </w:pPr>
      <w:r w:rsidRPr="009231D7">
        <w:rPr>
          <w:rFonts w:asciiTheme="minorHAnsi" w:hAnsiTheme="minorHAnsi" w:cstheme="minorHAnsi"/>
          <w:sz w:val="22"/>
          <w:szCs w:val="22"/>
        </w:rPr>
        <w:t>The National Judicial Council (NJC), the judiciary’s self-governing body, continues to face</w:t>
      </w:r>
      <w:r w:rsidR="00AE69F6" w:rsidRPr="009231D7">
        <w:rPr>
          <w:rFonts w:asciiTheme="minorHAnsi" w:hAnsiTheme="minorHAnsi" w:cstheme="minorHAnsi"/>
          <w:sz w:val="22"/>
          <w:szCs w:val="22"/>
        </w:rPr>
        <w:t xml:space="preserve"> obstacles in carrying out its constitutional task</w:t>
      </w:r>
      <w:r w:rsidRPr="009231D7">
        <w:rPr>
          <w:rFonts w:asciiTheme="minorHAnsi" w:hAnsiTheme="minorHAnsi" w:cstheme="minorHAnsi"/>
          <w:sz w:val="22"/>
          <w:szCs w:val="22"/>
        </w:rPr>
        <w:t xml:space="preserve">. The Government has systematically </w:t>
      </w:r>
      <w:r w:rsidR="00035DBD" w:rsidRPr="009231D7">
        <w:rPr>
          <w:rFonts w:asciiTheme="minorHAnsi" w:hAnsiTheme="minorHAnsi" w:cstheme="minorHAnsi"/>
          <w:sz w:val="22"/>
          <w:szCs w:val="22"/>
        </w:rPr>
        <w:t xml:space="preserve">disregarded </w:t>
      </w:r>
      <w:r w:rsidRPr="009231D7">
        <w:rPr>
          <w:rFonts w:asciiTheme="minorHAnsi" w:hAnsiTheme="minorHAnsi" w:cstheme="minorHAnsi"/>
          <w:sz w:val="22"/>
          <w:szCs w:val="22"/>
        </w:rPr>
        <w:t>the NJC’s consultation rights by circumventing statutory consultation obligations or imposing unrealistically short deadlines for commenting on complex legislative proposals affecting the judiciary, rendering meaningful participation and thereby safeguarding judicial independence illusory.</w:t>
      </w:r>
    </w:p>
    <w:p w14:paraId="19594664" w14:textId="4F630A92" w:rsidR="007B345C" w:rsidRPr="009231D7" w:rsidRDefault="007B345C" w:rsidP="007B345C">
      <w:pPr>
        <w:spacing w:after="160" w:line="259" w:lineRule="auto"/>
        <w:jc w:val="both"/>
        <w:rPr>
          <w:rFonts w:asciiTheme="minorHAnsi" w:hAnsiTheme="minorHAnsi" w:cstheme="minorHAnsi"/>
          <w:sz w:val="22"/>
          <w:szCs w:val="22"/>
        </w:rPr>
      </w:pPr>
      <w:r w:rsidRPr="009231D7">
        <w:rPr>
          <w:rFonts w:asciiTheme="minorHAnsi" w:hAnsiTheme="minorHAnsi" w:cstheme="minorHAnsi"/>
          <w:sz w:val="22"/>
          <w:szCs w:val="22"/>
        </w:rPr>
        <w:t xml:space="preserve">A distorted point system for the assessment of applications to judicial posts remains in effect. </w:t>
      </w:r>
      <w:r w:rsidR="00A258EE" w:rsidRPr="009231D7">
        <w:rPr>
          <w:rFonts w:asciiTheme="minorHAnsi" w:hAnsiTheme="minorHAnsi" w:cstheme="minorHAnsi"/>
          <w:sz w:val="22"/>
          <w:szCs w:val="22"/>
        </w:rPr>
        <w:t>Non-transparent procedures and t</w:t>
      </w:r>
      <w:r w:rsidRPr="009231D7">
        <w:rPr>
          <w:rFonts w:asciiTheme="minorHAnsi" w:hAnsiTheme="minorHAnsi" w:cstheme="minorHAnsi"/>
          <w:sz w:val="22"/>
          <w:szCs w:val="22"/>
        </w:rPr>
        <w:t>he absence of objective criteria allow secondments to be used arbitrarily, potentially as rewards or means of pressure.</w:t>
      </w:r>
    </w:p>
    <w:p w14:paraId="10EE2F0A" w14:textId="719E02ED" w:rsidR="007B345C" w:rsidRPr="009231D7" w:rsidRDefault="007B345C" w:rsidP="007B345C">
      <w:pPr>
        <w:spacing w:after="160" w:line="259" w:lineRule="auto"/>
        <w:jc w:val="both"/>
        <w:rPr>
          <w:rFonts w:asciiTheme="minorHAnsi" w:hAnsiTheme="minorHAnsi" w:cstheme="minorHAnsi"/>
          <w:sz w:val="22"/>
          <w:szCs w:val="22"/>
        </w:rPr>
      </w:pPr>
      <w:r w:rsidRPr="009231D7">
        <w:rPr>
          <w:rFonts w:asciiTheme="minorHAnsi" w:hAnsiTheme="minorHAnsi" w:cstheme="minorHAnsi"/>
          <w:sz w:val="22"/>
          <w:szCs w:val="22"/>
        </w:rPr>
        <w:t xml:space="preserve">Judicial independence has also been undermined through financial pressure. Judicial salaries remained stagnant between 2022 and 2024 despite high inflation, widening disparities between judges and other public sector employees. Although salary increases were eventually introduced, they were partial and disproportionately favoured </w:t>
      </w:r>
      <w:proofErr w:type="spellStart"/>
      <w:r w:rsidRPr="009231D7">
        <w:rPr>
          <w:rFonts w:asciiTheme="minorHAnsi" w:hAnsiTheme="minorHAnsi" w:cstheme="minorHAnsi"/>
          <w:sz w:val="22"/>
          <w:szCs w:val="22"/>
        </w:rPr>
        <w:t>Kúria</w:t>
      </w:r>
      <w:proofErr w:type="spellEnd"/>
      <w:r w:rsidRPr="009231D7">
        <w:rPr>
          <w:rFonts w:asciiTheme="minorHAnsi" w:hAnsiTheme="minorHAnsi" w:cstheme="minorHAnsi"/>
          <w:sz w:val="22"/>
          <w:szCs w:val="22"/>
        </w:rPr>
        <w:t xml:space="preserve"> judges over those at lower courts, generating internal tensions. Governmental attempts to condition salary increase on acceptance of unspecified institutional reforms further raised concerns about executive influence over the judiciary and triggered protest by judges and judicial staff. Persisting structural deficiencies in the legal framework mean that </w:t>
      </w:r>
      <w:r w:rsidR="0006127E" w:rsidRPr="009231D7">
        <w:rPr>
          <w:rFonts w:asciiTheme="minorHAnsi" w:hAnsiTheme="minorHAnsi" w:cstheme="minorHAnsi"/>
          <w:sz w:val="22"/>
          <w:szCs w:val="22"/>
        </w:rPr>
        <w:t>judicial salaries</w:t>
      </w:r>
      <w:r w:rsidRPr="009231D7">
        <w:rPr>
          <w:rFonts w:asciiTheme="minorHAnsi" w:hAnsiTheme="minorHAnsi" w:cstheme="minorHAnsi"/>
          <w:sz w:val="22"/>
          <w:szCs w:val="22"/>
        </w:rPr>
        <w:t xml:space="preserve"> remain entirely dependent on the discretion of the executive and legislative branches.</w:t>
      </w:r>
    </w:p>
    <w:p w14:paraId="1C8F5BC4" w14:textId="06BB769C" w:rsidR="007B345C" w:rsidRPr="009231D7" w:rsidRDefault="007B345C" w:rsidP="007B345C">
      <w:pPr>
        <w:spacing w:after="160" w:line="259" w:lineRule="auto"/>
        <w:jc w:val="both"/>
        <w:rPr>
          <w:rFonts w:asciiTheme="minorHAnsi" w:hAnsiTheme="minorHAnsi" w:cstheme="minorHAnsi"/>
          <w:sz w:val="22"/>
          <w:szCs w:val="22"/>
        </w:rPr>
      </w:pPr>
      <w:r w:rsidRPr="009231D7">
        <w:rPr>
          <w:rFonts w:asciiTheme="minorHAnsi" w:hAnsiTheme="minorHAnsi" w:cstheme="minorHAnsi"/>
          <w:sz w:val="22"/>
          <w:szCs w:val="22"/>
        </w:rPr>
        <w:t>Additional risks stem from the introduction of an automatic compensation mechanism</w:t>
      </w:r>
      <w:r w:rsidR="00FF1AC2" w:rsidRPr="009231D7">
        <w:rPr>
          <w:rFonts w:asciiTheme="minorHAnsi" w:hAnsiTheme="minorHAnsi" w:cstheme="minorHAnsi"/>
          <w:sz w:val="22"/>
          <w:szCs w:val="22"/>
        </w:rPr>
        <w:t xml:space="preserve"> </w:t>
      </w:r>
      <w:r w:rsidR="007F4313" w:rsidRPr="009231D7">
        <w:rPr>
          <w:rFonts w:asciiTheme="minorHAnsi" w:hAnsiTheme="minorHAnsi" w:cstheme="minorHAnsi"/>
          <w:sz w:val="22"/>
          <w:szCs w:val="22"/>
        </w:rPr>
        <w:t xml:space="preserve">to be paid by courts to the parties </w:t>
      </w:r>
      <w:r w:rsidRPr="009231D7">
        <w:rPr>
          <w:rFonts w:asciiTheme="minorHAnsi" w:hAnsiTheme="minorHAnsi" w:cstheme="minorHAnsi"/>
          <w:sz w:val="22"/>
          <w:szCs w:val="22"/>
        </w:rPr>
        <w:t>for procedural delays, which imposes financial burdens on courts regardless of objective constraints, such as staff shortages. This regime risks exerting indirect pressure on judges to prioritise speed over quality of adjudication and repeated delays may lead to administrative or disciplinary consequences.</w:t>
      </w:r>
    </w:p>
    <w:p w14:paraId="42C02C78" w14:textId="2A1DFCFE" w:rsidR="007B345C" w:rsidRPr="009231D7" w:rsidRDefault="007B345C" w:rsidP="007B345C">
      <w:pPr>
        <w:spacing w:after="160" w:line="259" w:lineRule="auto"/>
        <w:jc w:val="both"/>
        <w:rPr>
          <w:rFonts w:asciiTheme="minorHAnsi" w:hAnsiTheme="minorHAnsi" w:cstheme="minorHAnsi"/>
          <w:sz w:val="22"/>
          <w:szCs w:val="22"/>
        </w:rPr>
      </w:pPr>
      <w:r w:rsidRPr="009231D7">
        <w:rPr>
          <w:rFonts w:asciiTheme="minorHAnsi" w:hAnsiTheme="minorHAnsi" w:cstheme="minorHAnsi"/>
          <w:sz w:val="22"/>
          <w:szCs w:val="22"/>
        </w:rPr>
        <w:lastRenderedPageBreak/>
        <w:t>Judges continue to face undue pressure regarding their freedom of expression</w:t>
      </w:r>
      <w:r w:rsidR="00703499" w:rsidRPr="009231D7">
        <w:rPr>
          <w:rFonts w:asciiTheme="minorHAnsi" w:hAnsiTheme="minorHAnsi" w:cstheme="minorHAnsi"/>
          <w:sz w:val="22"/>
          <w:szCs w:val="22"/>
        </w:rPr>
        <w:t>, amounting to non-compliance with a</w:t>
      </w:r>
      <w:r w:rsidR="003729A2" w:rsidRPr="009231D7">
        <w:rPr>
          <w:rFonts w:asciiTheme="minorHAnsi" w:hAnsiTheme="minorHAnsi" w:cstheme="minorHAnsi"/>
          <w:sz w:val="22"/>
          <w:szCs w:val="22"/>
        </w:rPr>
        <w:t xml:space="preserve"> </w:t>
      </w:r>
      <w:r w:rsidR="003729A2" w:rsidRPr="009231D7">
        <w:rPr>
          <w:sz w:val="22"/>
          <w:szCs w:val="22"/>
        </w:rPr>
        <w:t xml:space="preserve">European Court of Human Rights (ECtHR) </w:t>
      </w:r>
      <w:r w:rsidR="00703499" w:rsidRPr="009231D7">
        <w:rPr>
          <w:rFonts w:asciiTheme="minorHAnsi" w:hAnsiTheme="minorHAnsi" w:cstheme="minorHAnsi"/>
          <w:sz w:val="22"/>
          <w:szCs w:val="22"/>
        </w:rPr>
        <w:t>judgment.</w:t>
      </w:r>
      <w:r w:rsidR="00703499" w:rsidRPr="009231D7">
        <w:rPr>
          <w:rStyle w:val="Lbjegyzet-hivatkozs"/>
          <w:rFonts w:asciiTheme="minorHAnsi" w:hAnsiTheme="minorHAnsi" w:cstheme="minorHAnsi"/>
          <w:sz w:val="22"/>
          <w:szCs w:val="22"/>
        </w:rPr>
        <w:footnoteReference w:id="15"/>
      </w:r>
      <w:r w:rsidRPr="009231D7">
        <w:rPr>
          <w:rFonts w:asciiTheme="minorHAnsi" w:hAnsiTheme="minorHAnsi" w:cstheme="minorHAnsi"/>
          <w:sz w:val="22"/>
          <w:szCs w:val="22"/>
        </w:rPr>
        <w:t xml:space="preserve"> Survey data reveal a pervasive chilling effect, with most judges refraining from public engagement on issues affecting the judiciary due to fear of retaliation. Judges who have spoken out have faced smear campaigns in pro-government media</w:t>
      </w:r>
      <w:r w:rsidR="00476C67" w:rsidRPr="009231D7">
        <w:rPr>
          <w:rFonts w:asciiTheme="minorHAnsi" w:hAnsiTheme="minorHAnsi" w:cstheme="minorHAnsi"/>
          <w:sz w:val="22"/>
          <w:szCs w:val="22"/>
        </w:rPr>
        <w:t xml:space="preserve"> </w:t>
      </w:r>
      <w:r w:rsidRPr="009231D7">
        <w:rPr>
          <w:rFonts w:asciiTheme="minorHAnsi" w:hAnsiTheme="minorHAnsi" w:cstheme="minorHAnsi"/>
          <w:sz w:val="22"/>
          <w:szCs w:val="22"/>
        </w:rPr>
        <w:t>and disciplinary threats. Institutional leaders have failed to provide adequate protection, and existing safeguards</w:t>
      </w:r>
      <w:r w:rsidR="00DD6BB1" w:rsidRPr="009231D7">
        <w:rPr>
          <w:rFonts w:asciiTheme="minorHAnsi" w:hAnsiTheme="minorHAnsi" w:cstheme="minorHAnsi"/>
          <w:sz w:val="22"/>
          <w:szCs w:val="22"/>
        </w:rPr>
        <w:t xml:space="preserve"> </w:t>
      </w:r>
      <w:r w:rsidRPr="009231D7">
        <w:rPr>
          <w:rFonts w:asciiTheme="minorHAnsi" w:hAnsiTheme="minorHAnsi" w:cstheme="minorHAnsi"/>
          <w:sz w:val="22"/>
          <w:szCs w:val="22"/>
        </w:rPr>
        <w:t>lack binding force.</w:t>
      </w:r>
    </w:p>
    <w:p w14:paraId="5423A409" w14:textId="6CEF6C8B" w:rsidR="00D65C29" w:rsidRPr="009231D7" w:rsidRDefault="00703499" w:rsidP="007B345C">
      <w:pPr>
        <w:spacing w:after="160" w:line="259" w:lineRule="auto"/>
        <w:jc w:val="both"/>
        <w:rPr>
          <w:rFonts w:asciiTheme="minorHAnsi" w:hAnsiTheme="minorHAnsi" w:cstheme="minorHAnsi"/>
          <w:sz w:val="22"/>
          <w:szCs w:val="22"/>
        </w:rPr>
      </w:pPr>
      <w:r w:rsidRPr="009231D7">
        <w:rPr>
          <w:rFonts w:asciiTheme="minorHAnsi" w:hAnsiTheme="minorHAnsi" w:cstheme="minorHAnsi"/>
          <w:sz w:val="22"/>
          <w:szCs w:val="22"/>
        </w:rPr>
        <w:t xml:space="preserve">The </w:t>
      </w:r>
      <w:r w:rsidR="007B345C" w:rsidRPr="009231D7">
        <w:rPr>
          <w:rFonts w:asciiTheme="minorHAnsi" w:hAnsiTheme="minorHAnsi" w:cstheme="minorHAnsi"/>
          <w:sz w:val="22"/>
          <w:szCs w:val="22"/>
        </w:rPr>
        <w:t>operation of the uniformity complaint system</w:t>
      </w:r>
      <w:r w:rsidR="009231D7" w:rsidRPr="009231D7">
        <w:rPr>
          <w:rStyle w:val="Lbjegyzet-hivatkozs"/>
          <w:rFonts w:asciiTheme="minorHAnsi" w:hAnsiTheme="minorHAnsi" w:cstheme="minorHAnsi"/>
          <w:sz w:val="22"/>
          <w:szCs w:val="22"/>
        </w:rPr>
        <w:footnoteReference w:id="16"/>
      </w:r>
      <w:r w:rsidR="007B345C" w:rsidRPr="009231D7">
        <w:rPr>
          <w:rFonts w:asciiTheme="minorHAnsi" w:hAnsiTheme="minorHAnsi" w:cstheme="minorHAnsi"/>
          <w:sz w:val="22"/>
          <w:szCs w:val="22"/>
        </w:rPr>
        <w:t xml:space="preserve"> enables the </w:t>
      </w:r>
      <w:proofErr w:type="spellStart"/>
      <w:r w:rsidR="007B345C" w:rsidRPr="009231D7">
        <w:rPr>
          <w:rFonts w:asciiTheme="minorHAnsi" w:hAnsiTheme="minorHAnsi" w:cstheme="minorHAnsi"/>
          <w:sz w:val="22"/>
          <w:szCs w:val="22"/>
        </w:rPr>
        <w:t>Kúria</w:t>
      </w:r>
      <w:proofErr w:type="spellEnd"/>
      <w:r w:rsidR="007B345C" w:rsidRPr="009231D7">
        <w:rPr>
          <w:rFonts w:asciiTheme="minorHAnsi" w:hAnsiTheme="minorHAnsi" w:cstheme="minorHAnsi"/>
          <w:sz w:val="22"/>
          <w:szCs w:val="22"/>
        </w:rPr>
        <w:t xml:space="preserve"> to maintain its binding interpretation of domestic law even if that conflicts with the ruling of the Court of Justice of the European Union (CJEU), </w:t>
      </w:r>
      <w:r w:rsidR="007B345C" w:rsidRPr="009231D7">
        <w:rPr>
          <w:sz w:val="22"/>
          <w:szCs w:val="22"/>
        </w:rPr>
        <w:t>obstructing the direct effect and primacy of EU law</w:t>
      </w:r>
      <w:r w:rsidR="007B345C" w:rsidRPr="009231D7">
        <w:rPr>
          <w:rFonts w:asciiTheme="minorHAnsi" w:hAnsiTheme="minorHAnsi" w:cstheme="minorHAnsi"/>
          <w:sz w:val="22"/>
          <w:szCs w:val="22"/>
        </w:rPr>
        <w:t>.</w:t>
      </w:r>
    </w:p>
    <w:p w14:paraId="77E8BD40" w14:textId="77777777" w:rsidR="004623E0" w:rsidRPr="009231D7" w:rsidRDefault="004623E0" w:rsidP="004623E0">
      <w:pPr>
        <w:spacing w:after="160" w:line="259" w:lineRule="auto"/>
        <w:jc w:val="both"/>
        <w:rPr>
          <w:rFonts w:asciiTheme="minorHAnsi" w:hAnsiTheme="minorHAnsi" w:cstheme="minorHAnsi"/>
          <w:i/>
          <w:iCs/>
          <w:sz w:val="22"/>
          <w:szCs w:val="22"/>
          <w:u w:val="single"/>
        </w:rPr>
      </w:pPr>
      <w:r w:rsidRPr="009231D7">
        <w:rPr>
          <w:rFonts w:asciiTheme="minorHAnsi" w:hAnsiTheme="minorHAnsi" w:cstheme="minorHAnsi"/>
          <w:i/>
          <w:iCs/>
          <w:sz w:val="22"/>
          <w:szCs w:val="22"/>
          <w:u w:val="single"/>
        </w:rPr>
        <w:t>Suggested questions to the State party:</w:t>
      </w:r>
    </w:p>
    <w:p w14:paraId="1A22B675" w14:textId="71DD9DDF" w:rsidR="00F32348" w:rsidRPr="009231D7" w:rsidRDefault="00F32348" w:rsidP="00F32348">
      <w:pPr>
        <w:pStyle w:val="NormlWeb"/>
        <w:numPr>
          <w:ilvl w:val="0"/>
          <w:numId w:val="22"/>
        </w:numPr>
        <w:spacing w:before="0" w:beforeAutospacing="0" w:after="80" w:afterAutospacing="0" w:line="259" w:lineRule="auto"/>
        <w:ind w:left="714" w:hanging="357"/>
        <w:jc w:val="both"/>
        <w:textAlignment w:val="baseline"/>
        <w:rPr>
          <w:rFonts w:asciiTheme="minorHAnsi" w:hAnsiTheme="minorHAnsi" w:cstheme="minorHAnsi"/>
          <w:color w:val="000000"/>
          <w:sz w:val="22"/>
          <w:szCs w:val="22"/>
        </w:rPr>
      </w:pPr>
      <w:r w:rsidRPr="009231D7">
        <w:rPr>
          <w:rFonts w:asciiTheme="minorHAnsi" w:hAnsiTheme="minorHAnsi" w:cstheme="minorHAnsi"/>
          <w:color w:val="000000"/>
          <w:sz w:val="22"/>
          <w:szCs w:val="22"/>
        </w:rPr>
        <w:t xml:space="preserve">What steps will the Government take to ensure transparency of case allocation at lower courts, and further enhance the </w:t>
      </w:r>
      <w:r w:rsidR="00714FBC" w:rsidRPr="009231D7">
        <w:rPr>
          <w:rFonts w:asciiTheme="minorHAnsi" w:hAnsiTheme="minorHAnsi" w:cstheme="minorHAnsi"/>
          <w:color w:val="000000"/>
          <w:sz w:val="22"/>
          <w:szCs w:val="22"/>
        </w:rPr>
        <w:t xml:space="preserve">transparency of the </w:t>
      </w:r>
      <w:r w:rsidRPr="009231D7">
        <w:rPr>
          <w:rFonts w:asciiTheme="minorHAnsi" w:hAnsiTheme="minorHAnsi" w:cstheme="minorHAnsi"/>
          <w:color w:val="000000"/>
          <w:sz w:val="22"/>
          <w:szCs w:val="22"/>
        </w:rPr>
        <w:t xml:space="preserve">case allocation system at the </w:t>
      </w:r>
      <w:proofErr w:type="spellStart"/>
      <w:r w:rsidRPr="009231D7">
        <w:rPr>
          <w:rFonts w:asciiTheme="minorHAnsi" w:hAnsiTheme="minorHAnsi" w:cstheme="minorHAnsi"/>
          <w:color w:val="000000"/>
          <w:sz w:val="22"/>
          <w:szCs w:val="22"/>
        </w:rPr>
        <w:t>Kúria</w:t>
      </w:r>
      <w:proofErr w:type="spellEnd"/>
      <w:r w:rsidRPr="009231D7">
        <w:rPr>
          <w:rFonts w:asciiTheme="minorHAnsi" w:hAnsiTheme="minorHAnsi" w:cstheme="minorHAnsi"/>
          <w:color w:val="000000"/>
          <w:sz w:val="22"/>
          <w:szCs w:val="22"/>
        </w:rPr>
        <w:t>?</w:t>
      </w:r>
    </w:p>
    <w:p w14:paraId="40BE71F5" w14:textId="2F92A36C" w:rsidR="00F32348" w:rsidRPr="009231D7" w:rsidRDefault="00F32348" w:rsidP="00F32348">
      <w:pPr>
        <w:pStyle w:val="NormlWeb"/>
        <w:numPr>
          <w:ilvl w:val="0"/>
          <w:numId w:val="22"/>
        </w:numPr>
        <w:spacing w:before="0" w:beforeAutospacing="0" w:after="80" w:afterAutospacing="0" w:line="259" w:lineRule="auto"/>
        <w:ind w:left="714" w:hanging="357"/>
        <w:jc w:val="both"/>
        <w:textAlignment w:val="baseline"/>
        <w:rPr>
          <w:rFonts w:asciiTheme="minorHAnsi" w:hAnsiTheme="minorHAnsi" w:cstheme="minorHAnsi"/>
          <w:color w:val="000000"/>
          <w:sz w:val="22"/>
          <w:szCs w:val="22"/>
        </w:rPr>
      </w:pPr>
      <w:r w:rsidRPr="009231D7">
        <w:rPr>
          <w:rFonts w:asciiTheme="minorHAnsi" w:hAnsiTheme="minorHAnsi" w:cstheme="minorHAnsi"/>
          <w:color w:val="000000"/>
          <w:sz w:val="22"/>
          <w:szCs w:val="22"/>
        </w:rPr>
        <w:t>How does the Government intend to guarantee the effective implementation of the prerogatives of the NJC that were introduced by the judicial reform in 2023?</w:t>
      </w:r>
    </w:p>
    <w:p w14:paraId="65269A78" w14:textId="51B4E557" w:rsidR="00F32348" w:rsidRPr="009231D7" w:rsidRDefault="083715CB" w:rsidP="03AE4585">
      <w:pPr>
        <w:pStyle w:val="NormlWeb"/>
        <w:numPr>
          <w:ilvl w:val="0"/>
          <w:numId w:val="22"/>
        </w:numPr>
        <w:spacing w:before="0" w:beforeAutospacing="0" w:after="80" w:afterAutospacing="0" w:line="259" w:lineRule="auto"/>
        <w:ind w:left="714" w:hanging="357"/>
        <w:jc w:val="both"/>
        <w:textAlignment w:val="baseline"/>
        <w:rPr>
          <w:rFonts w:asciiTheme="minorHAnsi" w:hAnsiTheme="minorHAnsi" w:cstheme="minorBidi"/>
          <w:color w:val="000000"/>
          <w:sz w:val="22"/>
          <w:szCs w:val="22"/>
        </w:rPr>
      </w:pPr>
      <w:r w:rsidRPr="03AE4585">
        <w:rPr>
          <w:rFonts w:asciiTheme="minorHAnsi" w:eastAsia="Corbel" w:hAnsiTheme="minorHAnsi" w:cstheme="minorBidi"/>
          <w:sz w:val="22"/>
          <w:szCs w:val="22"/>
        </w:rPr>
        <w:t xml:space="preserve">What guarantees will the Government provide to ensure the continued increase and real value of judicial salaries, and how will it ensure that establishing judicial salaries is not dependent </w:t>
      </w:r>
      <w:r w:rsidRPr="03AE4585">
        <w:rPr>
          <w:rFonts w:asciiTheme="minorHAnsi" w:hAnsiTheme="minorHAnsi" w:cstheme="minorBidi"/>
          <w:sz w:val="22"/>
          <w:szCs w:val="22"/>
        </w:rPr>
        <w:t xml:space="preserve">on the discretion of the executive and legislative branches, but instead meets </w:t>
      </w:r>
      <w:r w:rsidRPr="03AE4585">
        <w:rPr>
          <w:rFonts w:asciiTheme="minorHAnsi" w:eastAsia="Corbel" w:hAnsiTheme="minorHAnsi" w:cstheme="minorBidi"/>
          <w:sz w:val="22"/>
          <w:szCs w:val="22"/>
        </w:rPr>
        <w:t>the criteria of objectivity, foreseeability, stability and transparency?</w:t>
      </w:r>
    </w:p>
    <w:p w14:paraId="1500DEF7" w14:textId="02CD9DB5" w:rsidR="00F32348" w:rsidRPr="00951D47" w:rsidRDefault="083715CB" w:rsidP="03AE4585">
      <w:pPr>
        <w:pStyle w:val="Listaszerbekezds"/>
        <w:numPr>
          <w:ilvl w:val="0"/>
          <w:numId w:val="22"/>
        </w:numPr>
        <w:spacing w:after="80" w:line="259" w:lineRule="auto"/>
        <w:ind w:left="714" w:hanging="357"/>
        <w:contextualSpacing w:val="0"/>
        <w:jc w:val="both"/>
        <w:rPr>
          <w:sz w:val="22"/>
          <w:szCs w:val="22"/>
        </w:rPr>
      </w:pPr>
      <w:r w:rsidRPr="00951D47">
        <w:rPr>
          <w:sz w:val="22"/>
          <w:szCs w:val="22"/>
        </w:rPr>
        <w:t>What steps has the Government taken to comply with this Committee’s recommendation to ensure “that judges operate without pressure and interference from the executive branch or other outside influences”?</w:t>
      </w:r>
      <w:r w:rsidR="00F32348" w:rsidRPr="000F02F1">
        <w:rPr>
          <w:rStyle w:val="Lbjegyzet-hivatkozs"/>
          <w:sz w:val="22"/>
          <w:szCs w:val="22"/>
        </w:rPr>
        <w:footnoteReference w:id="17"/>
      </w:r>
    </w:p>
    <w:p w14:paraId="5D765663" w14:textId="2527E573" w:rsidR="00F32348" w:rsidRPr="00951D47" w:rsidRDefault="083715CB" w:rsidP="03AE4585">
      <w:pPr>
        <w:pStyle w:val="Listaszerbekezds"/>
        <w:keepNext/>
        <w:numPr>
          <w:ilvl w:val="0"/>
          <w:numId w:val="22"/>
        </w:numPr>
        <w:spacing w:after="80" w:line="259" w:lineRule="auto"/>
        <w:ind w:left="714" w:hanging="357"/>
        <w:contextualSpacing w:val="0"/>
        <w:jc w:val="both"/>
        <w:rPr>
          <w:sz w:val="22"/>
          <w:szCs w:val="22"/>
        </w:rPr>
      </w:pPr>
      <w:r w:rsidRPr="00951D47">
        <w:rPr>
          <w:sz w:val="22"/>
          <w:szCs w:val="22"/>
        </w:rPr>
        <w:t xml:space="preserve">How does the </w:t>
      </w:r>
      <w:r w:rsidR="438CE74D" w:rsidRPr="00951D47">
        <w:rPr>
          <w:sz w:val="22"/>
          <w:szCs w:val="22"/>
        </w:rPr>
        <w:t>Government</w:t>
      </w:r>
      <w:r w:rsidRPr="00951D47">
        <w:rPr>
          <w:sz w:val="22"/>
          <w:szCs w:val="22"/>
        </w:rPr>
        <w:t xml:space="preserve"> intend to guarantee judges’ freedom of expression</w:t>
      </w:r>
      <w:r w:rsidR="332E3A9B" w:rsidRPr="00951D47">
        <w:rPr>
          <w:sz w:val="22"/>
          <w:szCs w:val="22"/>
        </w:rPr>
        <w:t xml:space="preserve"> and comply with</w:t>
      </w:r>
      <w:r w:rsidRPr="00951D47">
        <w:rPr>
          <w:sz w:val="22"/>
          <w:szCs w:val="22"/>
        </w:rPr>
        <w:t xml:space="preserve"> the ECtHR’s judgment in the </w:t>
      </w:r>
      <w:r w:rsidRPr="00951D47">
        <w:rPr>
          <w:i/>
          <w:iCs/>
          <w:sz w:val="22"/>
          <w:szCs w:val="22"/>
        </w:rPr>
        <w:t>Baka v. Hungary</w:t>
      </w:r>
      <w:r w:rsidRPr="00951D47">
        <w:rPr>
          <w:sz w:val="22"/>
          <w:szCs w:val="22"/>
        </w:rPr>
        <w:t xml:space="preserve"> case?</w:t>
      </w:r>
    </w:p>
    <w:p w14:paraId="1FDCF7B2" w14:textId="77777777" w:rsidR="00F32348" w:rsidRPr="00951D47" w:rsidRDefault="083715CB" w:rsidP="03AE4585">
      <w:pPr>
        <w:pStyle w:val="Listaszerbekezds"/>
        <w:keepNext/>
        <w:numPr>
          <w:ilvl w:val="0"/>
          <w:numId w:val="22"/>
        </w:numPr>
        <w:spacing w:after="80" w:line="259" w:lineRule="auto"/>
        <w:ind w:left="714" w:hanging="357"/>
        <w:contextualSpacing w:val="0"/>
        <w:jc w:val="both"/>
        <w:rPr>
          <w:sz w:val="22"/>
          <w:szCs w:val="22"/>
        </w:rPr>
      </w:pPr>
      <w:r w:rsidRPr="00951D47">
        <w:rPr>
          <w:sz w:val="22"/>
          <w:szCs w:val="22"/>
        </w:rPr>
        <w:t>How does the Government intend to fulfil its obligation to guarantee the direct effect of EU law as interpreted by the CJEU in the face of the uniformity complaint system?</w:t>
      </w:r>
    </w:p>
    <w:p w14:paraId="335C52FF" w14:textId="77777777" w:rsidR="004623E0" w:rsidRPr="009231D7" w:rsidRDefault="004623E0" w:rsidP="00D65C29">
      <w:pPr>
        <w:spacing w:after="160" w:line="259" w:lineRule="auto"/>
        <w:rPr>
          <w:rFonts w:asciiTheme="minorHAnsi" w:hAnsiTheme="minorHAnsi" w:cstheme="minorHAnsi"/>
          <w:b/>
          <w:bCs/>
          <w:sz w:val="22"/>
          <w:szCs w:val="22"/>
        </w:rPr>
      </w:pPr>
    </w:p>
    <w:p w14:paraId="1AA514CC" w14:textId="4C9FA6CF" w:rsidR="00C0735F" w:rsidRPr="009231D7" w:rsidRDefault="00C0735F" w:rsidP="00D65C29">
      <w:pPr>
        <w:spacing w:after="160" w:line="259" w:lineRule="auto"/>
        <w:rPr>
          <w:b/>
          <w:bCs/>
          <w:sz w:val="26"/>
          <w:szCs w:val="26"/>
        </w:rPr>
      </w:pPr>
      <w:r w:rsidRPr="009231D7">
        <w:rPr>
          <w:b/>
          <w:bCs/>
          <w:sz w:val="26"/>
          <w:szCs w:val="26"/>
        </w:rPr>
        <w:t xml:space="preserve">A dysfunctional </w:t>
      </w:r>
      <w:r w:rsidR="0097760B" w:rsidRPr="009231D7">
        <w:rPr>
          <w:b/>
          <w:bCs/>
          <w:sz w:val="26"/>
          <w:szCs w:val="26"/>
        </w:rPr>
        <w:t>NHRI</w:t>
      </w:r>
    </w:p>
    <w:p w14:paraId="3A20CB32" w14:textId="7C041A52" w:rsidR="0042320E" w:rsidRPr="009231D7" w:rsidRDefault="452A7A73" w:rsidP="03AE4585">
      <w:pPr>
        <w:spacing w:after="160" w:line="259" w:lineRule="auto"/>
        <w:jc w:val="both"/>
        <w:rPr>
          <w:rFonts w:asciiTheme="minorHAnsi" w:eastAsia="Corbel" w:hAnsiTheme="minorHAnsi" w:cstheme="minorBidi"/>
          <w:sz w:val="22"/>
          <w:szCs w:val="22"/>
        </w:rPr>
      </w:pPr>
      <w:r w:rsidRPr="03AE4585">
        <w:rPr>
          <w:rFonts w:asciiTheme="minorHAnsi" w:eastAsia="Corbel" w:hAnsiTheme="minorHAnsi" w:cstheme="minorBidi"/>
          <w:sz w:val="22"/>
          <w:szCs w:val="22"/>
        </w:rPr>
        <w:t>As part of undermining the system of checks and balances, the governing majority has weakened the independence of institutions vested with the task of protecting human rights, such as the Commissioner for Fundamental Rights</w:t>
      </w:r>
      <w:r w:rsidR="7E820A52" w:rsidRPr="03AE4585">
        <w:rPr>
          <w:rFonts w:asciiTheme="minorHAnsi" w:eastAsia="Corbel" w:hAnsiTheme="minorHAnsi" w:cstheme="minorBidi"/>
          <w:sz w:val="22"/>
          <w:szCs w:val="22"/>
        </w:rPr>
        <w:t xml:space="preserve"> (CFR)</w:t>
      </w:r>
      <w:r w:rsidRPr="03AE4585">
        <w:rPr>
          <w:rFonts w:asciiTheme="minorHAnsi" w:eastAsia="Corbel" w:hAnsiTheme="minorHAnsi" w:cstheme="minorBidi"/>
          <w:sz w:val="22"/>
          <w:szCs w:val="22"/>
        </w:rPr>
        <w:t xml:space="preserve">, who also fulfils the role of Hungary’s national human rights institution (NHRI). This resulted in </w:t>
      </w:r>
      <w:r w:rsidR="58663D52" w:rsidRPr="03AE4585">
        <w:rPr>
          <w:rFonts w:asciiTheme="minorHAnsi" w:eastAsia="Corbel" w:hAnsiTheme="minorHAnsi" w:cstheme="minorBidi"/>
          <w:sz w:val="22"/>
          <w:szCs w:val="22"/>
        </w:rPr>
        <w:t>the Global Alliance of National Human Rights Institutions (</w:t>
      </w:r>
      <w:r w:rsidRPr="03AE4585">
        <w:rPr>
          <w:rFonts w:asciiTheme="minorHAnsi" w:eastAsia="Corbel" w:hAnsiTheme="minorHAnsi" w:cstheme="minorBidi"/>
          <w:sz w:val="22"/>
          <w:szCs w:val="22"/>
        </w:rPr>
        <w:t>GANHRI</w:t>
      </w:r>
      <w:r w:rsidR="58663D52" w:rsidRPr="03AE4585">
        <w:rPr>
          <w:rFonts w:asciiTheme="minorHAnsi" w:eastAsia="Corbel" w:hAnsiTheme="minorHAnsi" w:cstheme="minorBidi"/>
          <w:sz w:val="22"/>
          <w:szCs w:val="22"/>
        </w:rPr>
        <w:t>)</w:t>
      </w:r>
      <w:r w:rsidRPr="03AE4585">
        <w:rPr>
          <w:rFonts w:asciiTheme="minorHAnsi" w:eastAsia="Corbel" w:hAnsiTheme="minorHAnsi" w:cstheme="minorBidi"/>
          <w:sz w:val="22"/>
          <w:szCs w:val="22"/>
        </w:rPr>
        <w:t xml:space="preserve"> concluding that the </w:t>
      </w:r>
      <w:r w:rsidR="72925FF1" w:rsidRPr="03AE4585">
        <w:rPr>
          <w:rFonts w:asciiTheme="minorHAnsi" w:eastAsia="Corbel" w:hAnsiTheme="minorHAnsi" w:cstheme="minorBidi"/>
          <w:sz w:val="22"/>
          <w:szCs w:val="22"/>
        </w:rPr>
        <w:t>CFR failed to “</w:t>
      </w:r>
      <w:proofErr w:type="gramStart"/>
      <w:r w:rsidR="72925FF1" w:rsidRPr="03AE4585">
        <w:rPr>
          <w:rFonts w:asciiTheme="minorHAnsi" w:eastAsia="Corbel" w:hAnsiTheme="minorHAnsi" w:cstheme="minorBidi"/>
          <w:sz w:val="22"/>
          <w:szCs w:val="22"/>
        </w:rPr>
        <w:t>fulfil[</w:t>
      </w:r>
      <w:proofErr w:type="gramEnd"/>
      <w:r w:rsidR="72925FF1" w:rsidRPr="03AE4585">
        <w:rPr>
          <w:rFonts w:asciiTheme="minorHAnsi" w:eastAsia="Corbel" w:hAnsiTheme="minorHAnsi" w:cstheme="minorBidi"/>
          <w:sz w:val="22"/>
          <w:szCs w:val="22"/>
        </w:rPr>
        <w:t xml:space="preserve">…] its mandate to effectively promote and protect all human rights”, and the </w:t>
      </w:r>
      <w:r w:rsidRPr="03AE4585">
        <w:rPr>
          <w:rFonts w:asciiTheme="minorHAnsi" w:eastAsia="Corbel" w:hAnsiTheme="minorHAnsi" w:cstheme="minorBidi"/>
          <w:sz w:val="22"/>
          <w:szCs w:val="22"/>
        </w:rPr>
        <w:t xml:space="preserve">way </w:t>
      </w:r>
      <w:r w:rsidR="72925FF1" w:rsidRPr="03AE4585">
        <w:rPr>
          <w:rFonts w:asciiTheme="minorHAnsi" w:eastAsia="Corbel" w:hAnsiTheme="minorHAnsi" w:cstheme="minorBidi"/>
          <w:sz w:val="22"/>
          <w:szCs w:val="22"/>
        </w:rPr>
        <w:t>it</w:t>
      </w:r>
      <w:r w:rsidRPr="03AE4585">
        <w:rPr>
          <w:rFonts w:asciiTheme="minorHAnsi" w:eastAsia="Corbel" w:hAnsiTheme="minorHAnsi" w:cstheme="minorBidi"/>
          <w:sz w:val="22"/>
          <w:szCs w:val="22"/>
        </w:rPr>
        <w:t xml:space="preserve"> acted showed a lack of independence and compromised its compliance with the </w:t>
      </w:r>
      <w:r w:rsidR="7E820A52" w:rsidRPr="03AE4585">
        <w:rPr>
          <w:rFonts w:asciiTheme="minorHAnsi" w:eastAsia="Corbel" w:hAnsiTheme="minorHAnsi" w:cstheme="minorBidi"/>
          <w:sz w:val="22"/>
          <w:szCs w:val="22"/>
        </w:rPr>
        <w:t>Paris P</w:t>
      </w:r>
      <w:r w:rsidRPr="03AE4585">
        <w:rPr>
          <w:rFonts w:asciiTheme="minorHAnsi" w:eastAsia="Corbel" w:hAnsiTheme="minorHAnsi" w:cstheme="minorBidi"/>
          <w:sz w:val="22"/>
          <w:szCs w:val="22"/>
        </w:rPr>
        <w:t>rinciples. As a result, the CFR was downgraded as an NHRI to “B” status in 2022.</w:t>
      </w:r>
      <w:r w:rsidR="00154955" w:rsidRPr="03AE4585">
        <w:rPr>
          <w:rStyle w:val="Lbjegyzet-hivatkozs"/>
          <w:rFonts w:asciiTheme="minorHAnsi" w:eastAsia="Corbel" w:hAnsiTheme="minorHAnsi" w:cstheme="minorBidi"/>
          <w:sz w:val="22"/>
          <w:szCs w:val="22"/>
        </w:rPr>
        <w:footnoteReference w:id="18"/>
      </w:r>
    </w:p>
    <w:p w14:paraId="041C5B3E" w14:textId="7C652C6B" w:rsidR="00DB3838" w:rsidRPr="009231D7" w:rsidRDefault="007B1E6C" w:rsidP="001C53DF">
      <w:pPr>
        <w:spacing w:after="160" w:line="259" w:lineRule="auto"/>
        <w:jc w:val="both"/>
        <w:rPr>
          <w:rFonts w:asciiTheme="minorHAnsi" w:eastAsia="Corbel" w:hAnsiTheme="minorHAnsi" w:cstheme="minorHAnsi"/>
          <w:sz w:val="22"/>
          <w:szCs w:val="22"/>
        </w:rPr>
      </w:pPr>
      <w:r w:rsidRPr="009231D7">
        <w:rPr>
          <w:rFonts w:asciiTheme="minorHAnsi" w:eastAsia="Corbel" w:hAnsiTheme="minorHAnsi" w:cstheme="minorHAnsi"/>
          <w:sz w:val="22"/>
          <w:szCs w:val="22"/>
        </w:rPr>
        <w:lastRenderedPageBreak/>
        <w:t>T</w:t>
      </w:r>
      <w:r w:rsidR="00154955" w:rsidRPr="009231D7">
        <w:rPr>
          <w:rFonts w:asciiTheme="minorHAnsi" w:eastAsia="Corbel" w:hAnsiTheme="minorHAnsi" w:cstheme="minorHAnsi"/>
          <w:sz w:val="22"/>
          <w:szCs w:val="22"/>
        </w:rPr>
        <w:t xml:space="preserve">he deficiencies identified </w:t>
      </w:r>
      <w:r w:rsidRPr="009231D7">
        <w:rPr>
          <w:rFonts w:asciiTheme="minorHAnsi" w:eastAsia="Corbel" w:hAnsiTheme="minorHAnsi" w:cstheme="minorHAnsi"/>
          <w:sz w:val="22"/>
          <w:szCs w:val="22"/>
        </w:rPr>
        <w:t xml:space="preserve">by GANHRI </w:t>
      </w:r>
      <w:r w:rsidR="00154955" w:rsidRPr="009231D7">
        <w:rPr>
          <w:rFonts w:asciiTheme="minorHAnsi" w:eastAsia="Corbel" w:hAnsiTheme="minorHAnsi" w:cstheme="minorHAnsi"/>
          <w:sz w:val="22"/>
          <w:szCs w:val="22"/>
        </w:rPr>
        <w:t>regarding the merits of the CFR’s work continue</w:t>
      </w:r>
      <w:r w:rsidR="00790F3C" w:rsidRPr="009231D7">
        <w:rPr>
          <w:rFonts w:asciiTheme="minorHAnsi" w:eastAsia="Corbel" w:hAnsiTheme="minorHAnsi" w:cstheme="minorHAnsi"/>
          <w:sz w:val="22"/>
          <w:szCs w:val="22"/>
        </w:rPr>
        <w:t xml:space="preserve"> to exist</w:t>
      </w:r>
      <w:r w:rsidR="001C53DF" w:rsidRPr="009231D7">
        <w:rPr>
          <w:rFonts w:asciiTheme="minorHAnsi" w:eastAsia="Corbel" w:hAnsiTheme="minorHAnsi" w:cstheme="minorHAnsi"/>
          <w:sz w:val="22"/>
          <w:szCs w:val="22"/>
        </w:rPr>
        <w:t>, which contributes to a severely diminished level of human rights protection in Hungary.</w:t>
      </w:r>
      <w:r w:rsidR="00650293" w:rsidRPr="009231D7">
        <w:rPr>
          <w:rStyle w:val="Lbjegyzet-hivatkozs"/>
          <w:rFonts w:asciiTheme="minorHAnsi" w:eastAsia="Corbel" w:hAnsiTheme="minorHAnsi" w:cstheme="minorHAnsi"/>
          <w:sz w:val="22"/>
          <w:szCs w:val="22"/>
        </w:rPr>
        <w:footnoteReference w:id="19"/>
      </w:r>
      <w:r w:rsidR="00154955" w:rsidRPr="009231D7">
        <w:rPr>
          <w:rFonts w:asciiTheme="minorHAnsi" w:eastAsia="Corbel" w:hAnsiTheme="minorHAnsi" w:cstheme="minorHAnsi"/>
          <w:sz w:val="22"/>
          <w:szCs w:val="22"/>
        </w:rPr>
        <w:t xml:space="preserve"> </w:t>
      </w:r>
      <w:r w:rsidR="009A0899" w:rsidRPr="009231D7">
        <w:rPr>
          <w:rFonts w:asciiTheme="minorHAnsi" w:eastAsia="Corbel" w:hAnsiTheme="minorHAnsi" w:cstheme="minorHAnsi"/>
          <w:sz w:val="22"/>
          <w:szCs w:val="22"/>
        </w:rPr>
        <w:t>T</w:t>
      </w:r>
      <w:r w:rsidR="001C53DF" w:rsidRPr="009231D7">
        <w:rPr>
          <w:rFonts w:asciiTheme="minorHAnsi" w:eastAsia="Corbel" w:hAnsiTheme="minorHAnsi" w:cstheme="minorHAnsi"/>
          <w:sz w:val="22"/>
          <w:szCs w:val="22"/>
        </w:rPr>
        <w:t>he CFR</w:t>
      </w:r>
      <w:r w:rsidR="00154955" w:rsidRPr="009231D7">
        <w:rPr>
          <w:rFonts w:asciiTheme="minorHAnsi" w:eastAsia="Corbel" w:hAnsiTheme="minorHAnsi" w:cstheme="minorHAnsi"/>
          <w:sz w:val="22"/>
          <w:szCs w:val="22"/>
        </w:rPr>
        <w:t xml:space="preserve"> </w:t>
      </w:r>
      <w:r w:rsidR="00154955" w:rsidRPr="009231D7">
        <w:rPr>
          <w:rFonts w:asciiTheme="minorHAnsi" w:eastAsia="Corbel" w:hAnsiTheme="minorHAnsi" w:cstheme="minorHAnsi"/>
          <w:color w:val="000000"/>
          <w:sz w:val="22"/>
          <w:szCs w:val="22"/>
        </w:rPr>
        <w:t xml:space="preserve">has demonstrated continued inactivity in areas where its pre-2022 performance was deemed inadequate by GANHRI, including violations affecting LGBTQI+ persons, refugees and migrants, human rights defenders, shrinking civic space, media pluralism, and judicial independence. </w:t>
      </w:r>
      <w:r w:rsidR="00501637" w:rsidRPr="009231D7">
        <w:rPr>
          <w:rFonts w:asciiTheme="minorHAnsi" w:eastAsia="Corbel" w:hAnsiTheme="minorHAnsi" w:cstheme="minorHAnsi"/>
          <w:color w:val="000000"/>
          <w:sz w:val="22"/>
          <w:szCs w:val="22"/>
        </w:rPr>
        <w:t>Civil society organisations (</w:t>
      </w:r>
      <w:r w:rsidR="00154955" w:rsidRPr="009231D7">
        <w:rPr>
          <w:rFonts w:asciiTheme="minorHAnsi" w:eastAsia="Corbel" w:hAnsiTheme="minorHAnsi" w:cstheme="minorHAnsi"/>
          <w:color w:val="000000"/>
          <w:sz w:val="22"/>
          <w:szCs w:val="22"/>
        </w:rPr>
        <w:t>CSOs</w:t>
      </w:r>
      <w:r w:rsidR="00501637" w:rsidRPr="009231D7">
        <w:rPr>
          <w:rFonts w:asciiTheme="minorHAnsi" w:eastAsia="Corbel" w:hAnsiTheme="minorHAnsi" w:cstheme="minorHAnsi"/>
          <w:color w:val="000000"/>
          <w:sz w:val="22"/>
          <w:szCs w:val="22"/>
        </w:rPr>
        <w:t>)</w:t>
      </w:r>
      <w:r w:rsidR="00154955" w:rsidRPr="009231D7">
        <w:rPr>
          <w:rFonts w:asciiTheme="minorHAnsi" w:eastAsia="Corbel" w:hAnsiTheme="minorHAnsi" w:cstheme="minorHAnsi"/>
          <w:color w:val="000000"/>
          <w:sz w:val="22"/>
          <w:szCs w:val="22"/>
        </w:rPr>
        <w:t xml:space="preserve"> have experienced repeated lack of response from the CFR to requests</w:t>
      </w:r>
      <w:r w:rsidR="00E908B9" w:rsidRPr="009231D7">
        <w:rPr>
          <w:rFonts w:asciiTheme="minorHAnsi" w:eastAsia="Corbel" w:hAnsiTheme="minorHAnsi" w:cstheme="minorHAnsi"/>
          <w:color w:val="000000"/>
          <w:sz w:val="22"/>
          <w:szCs w:val="22"/>
        </w:rPr>
        <w:t xml:space="preserve"> </w:t>
      </w:r>
      <w:r w:rsidR="00154955" w:rsidRPr="009231D7">
        <w:rPr>
          <w:rFonts w:asciiTheme="minorHAnsi" w:eastAsia="Corbel" w:hAnsiTheme="minorHAnsi" w:cstheme="minorHAnsi"/>
          <w:color w:val="000000"/>
          <w:sz w:val="22"/>
          <w:szCs w:val="22"/>
        </w:rPr>
        <w:t xml:space="preserve">or complaints submitted on behalf of their clients concerning politically sensitive human rights violations. </w:t>
      </w:r>
      <w:r w:rsidR="00154955" w:rsidRPr="009231D7">
        <w:rPr>
          <w:rFonts w:asciiTheme="minorHAnsi" w:eastAsia="Corbel" w:hAnsiTheme="minorHAnsi" w:cstheme="minorHAnsi"/>
          <w:sz w:val="22"/>
          <w:szCs w:val="22"/>
        </w:rPr>
        <w:t xml:space="preserve">In addition, </w:t>
      </w:r>
      <w:r w:rsidR="0042320E" w:rsidRPr="009231D7">
        <w:rPr>
          <w:rFonts w:asciiTheme="minorHAnsi" w:eastAsia="Corbel" w:hAnsiTheme="minorHAnsi" w:cstheme="minorHAnsi"/>
          <w:color w:val="000000"/>
          <w:sz w:val="22"/>
          <w:szCs w:val="22"/>
        </w:rPr>
        <w:t>the problematic abolishing of independent</w:t>
      </w:r>
      <w:r w:rsidR="00154955" w:rsidRPr="009231D7">
        <w:rPr>
          <w:rFonts w:asciiTheme="minorHAnsi" w:eastAsia="Corbel" w:hAnsiTheme="minorHAnsi" w:cstheme="minorHAnsi"/>
          <w:color w:val="000000"/>
          <w:sz w:val="22"/>
          <w:szCs w:val="22"/>
        </w:rPr>
        <w:t>, specialised</w:t>
      </w:r>
      <w:r w:rsidR="0042320E" w:rsidRPr="009231D7">
        <w:rPr>
          <w:rFonts w:asciiTheme="minorHAnsi" w:eastAsia="Corbel" w:hAnsiTheme="minorHAnsi" w:cstheme="minorHAnsi"/>
          <w:color w:val="000000"/>
          <w:sz w:val="22"/>
          <w:szCs w:val="22"/>
        </w:rPr>
        <w:t xml:space="preserve"> human rights mechanisms </w:t>
      </w:r>
      <w:r w:rsidR="005E0D96" w:rsidRPr="009231D7">
        <w:rPr>
          <w:rFonts w:asciiTheme="minorHAnsi" w:eastAsia="Corbel" w:hAnsiTheme="minorHAnsi" w:cstheme="minorHAnsi"/>
          <w:color w:val="000000"/>
          <w:sz w:val="22"/>
          <w:szCs w:val="22"/>
        </w:rPr>
        <w:t xml:space="preserve">and merging them into </w:t>
      </w:r>
      <w:r w:rsidR="0042320E" w:rsidRPr="009231D7">
        <w:rPr>
          <w:rFonts w:asciiTheme="minorHAnsi" w:eastAsia="Corbel" w:hAnsiTheme="minorHAnsi" w:cstheme="minorHAnsi"/>
          <w:color w:val="000000"/>
          <w:sz w:val="22"/>
          <w:szCs w:val="22"/>
        </w:rPr>
        <w:t>the C</w:t>
      </w:r>
      <w:r w:rsidR="00154955" w:rsidRPr="009231D7">
        <w:rPr>
          <w:rFonts w:asciiTheme="minorHAnsi" w:eastAsia="Corbel" w:hAnsiTheme="minorHAnsi" w:cstheme="minorHAnsi"/>
          <w:color w:val="000000"/>
          <w:sz w:val="22"/>
          <w:szCs w:val="22"/>
        </w:rPr>
        <w:t>FR</w:t>
      </w:r>
      <w:r w:rsidR="0042320E" w:rsidRPr="009231D7">
        <w:rPr>
          <w:rFonts w:asciiTheme="minorHAnsi" w:eastAsia="Corbel" w:hAnsiTheme="minorHAnsi" w:cstheme="minorHAnsi"/>
          <w:color w:val="000000"/>
          <w:sz w:val="22"/>
          <w:szCs w:val="22"/>
        </w:rPr>
        <w:t>’s Office</w:t>
      </w:r>
      <w:r w:rsidR="00E908B9" w:rsidRPr="009231D7">
        <w:rPr>
          <w:rFonts w:asciiTheme="minorHAnsi" w:eastAsia="Corbel" w:hAnsiTheme="minorHAnsi" w:cstheme="minorHAnsi"/>
          <w:color w:val="000000"/>
          <w:sz w:val="22"/>
          <w:szCs w:val="22"/>
        </w:rPr>
        <w:t xml:space="preserve"> (</w:t>
      </w:r>
      <w:r w:rsidR="00650293" w:rsidRPr="009231D7">
        <w:rPr>
          <w:rFonts w:asciiTheme="minorHAnsi" w:eastAsia="Corbel" w:hAnsiTheme="minorHAnsi" w:cstheme="minorHAnsi"/>
          <w:color w:val="000000"/>
          <w:sz w:val="22"/>
          <w:szCs w:val="22"/>
        </w:rPr>
        <w:t>the Independent Law Enforcement Complaints Board</w:t>
      </w:r>
      <w:r w:rsidR="00154955" w:rsidRPr="009231D7">
        <w:rPr>
          <w:rFonts w:asciiTheme="minorHAnsi" w:eastAsia="Corbel" w:hAnsiTheme="minorHAnsi" w:cstheme="minorHAnsi"/>
          <w:color w:val="000000"/>
          <w:sz w:val="22"/>
          <w:szCs w:val="22"/>
        </w:rPr>
        <w:t xml:space="preserve"> </w:t>
      </w:r>
      <w:r w:rsidR="00650293" w:rsidRPr="009231D7">
        <w:rPr>
          <w:rFonts w:asciiTheme="minorHAnsi" w:eastAsia="Corbel" w:hAnsiTheme="minorHAnsi" w:cstheme="minorHAnsi"/>
          <w:color w:val="000000"/>
          <w:sz w:val="22"/>
          <w:szCs w:val="22"/>
        </w:rPr>
        <w:t xml:space="preserve">in 2020 and </w:t>
      </w:r>
      <w:r w:rsidR="0042320E" w:rsidRPr="009231D7">
        <w:rPr>
          <w:rFonts w:asciiTheme="minorHAnsi" w:eastAsia="Corbel" w:hAnsiTheme="minorHAnsi" w:cstheme="minorHAnsi"/>
          <w:color w:val="000000"/>
          <w:sz w:val="22"/>
          <w:szCs w:val="22"/>
        </w:rPr>
        <w:t xml:space="preserve">the Equal Treatment Authority </w:t>
      </w:r>
      <w:r w:rsidR="00650293" w:rsidRPr="009231D7">
        <w:rPr>
          <w:rFonts w:asciiTheme="minorHAnsi" w:eastAsia="Corbel" w:hAnsiTheme="minorHAnsi" w:cstheme="minorHAnsi"/>
          <w:color w:val="000000"/>
          <w:sz w:val="22"/>
          <w:szCs w:val="22"/>
        </w:rPr>
        <w:t>in 2021</w:t>
      </w:r>
      <w:r w:rsidR="00E908B9" w:rsidRPr="009231D7">
        <w:rPr>
          <w:rFonts w:asciiTheme="minorHAnsi" w:eastAsia="Corbel" w:hAnsiTheme="minorHAnsi" w:cstheme="minorHAnsi"/>
          <w:color w:val="000000"/>
          <w:sz w:val="22"/>
          <w:szCs w:val="22"/>
        </w:rPr>
        <w:t>)</w:t>
      </w:r>
      <w:r w:rsidR="00650293" w:rsidRPr="009231D7">
        <w:rPr>
          <w:rFonts w:asciiTheme="minorHAnsi" w:eastAsia="Corbel" w:hAnsiTheme="minorHAnsi" w:cstheme="minorHAnsi"/>
          <w:color w:val="000000"/>
          <w:sz w:val="22"/>
          <w:szCs w:val="22"/>
        </w:rPr>
        <w:t xml:space="preserve"> </w:t>
      </w:r>
      <w:r w:rsidR="00E1412B" w:rsidRPr="009231D7">
        <w:rPr>
          <w:rFonts w:asciiTheme="minorHAnsi" w:eastAsia="Corbel" w:hAnsiTheme="minorHAnsi" w:cstheme="minorHAnsi"/>
          <w:color w:val="000000"/>
          <w:sz w:val="22"/>
          <w:szCs w:val="22"/>
        </w:rPr>
        <w:t xml:space="preserve">have </w:t>
      </w:r>
      <w:r w:rsidR="0042320E" w:rsidRPr="009231D7">
        <w:rPr>
          <w:rFonts w:asciiTheme="minorHAnsi" w:eastAsia="Corbel" w:hAnsiTheme="minorHAnsi" w:cstheme="minorHAnsi"/>
          <w:color w:val="000000"/>
          <w:sz w:val="22"/>
          <w:szCs w:val="22"/>
        </w:rPr>
        <w:t>led to weakened protection against discrimination and police abuse.</w:t>
      </w:r>
      <w:r w:rsidR="00DB3838" w:rsidRPr="009231D7">
        <w:rPr>
          <w:rFonts w:asciiTheme="minorHAnsi" w:eastAsia="Corbel" w:hAnsiTheme="minorHAnsi" w:cstheme="minorHAnsi"/>
          <w:color w:val="000000"/>
          <w:sz w:val="22"/>
          <w:szCs w:val="22"/>
        </w:rPr>
        <w:t xml:space="preserve"> </w:t>
      </w:r>
      <w:r w:rsidR="001C53DF" w:rsidRPr="009231D7">
        <w:rPr>
          <w:rFonts w:asciiTheme="minorHAnsi" w:eastAsia="Corbel" w:hAnsiTheme="minorHAnsi" w:cstheme="minorHAnsi"/>
          <w:sz w:val="22"/>
          <w:szCs w:val="22"/>
        </w:rPr>
        <w:t>T</w:t>
      </w:r>
      <w:r w:rsidR="00DB3838" w:rsidRPr="009231D7">
        <w:rPr>
          <w:rFonts w:asciiTheme="minorHAnsi" w:eastAsia="Corbel" w:hAnsiTheme="minorHAnsi" w:cstheme="minorHAnsi"/>
          <w:sz w:val="22"/>
          <w:szCs w:val="22"/>
        </w:rPr>
        <w:t xml:space="preserve">he CFR was designated as Hungary’s national preventive mechanism (NPM) under the OPCAT as of 2015, but its monitoring of places of detention is deficient: </w:t>
      </w:r>
      <w:r w:rsidR="004C5829" w:rsidRPr="009231D7">
        <w:rPr>
          <w:rFonts w:asciiTheme="minorHAnsi" w:eastAsia="Corbel" w:hAnsiTheme="minorHAnsi" w:cstheme="minorHAnsi"/>
          <w:sz w:val="22"/>
          <w:szCs w:val="22"/>
        </w:rPr>
        <w:t xml:space="preserve">the NPM’s </w:t>
      </w:r>
      <w:r w:rsidR="00DB3838" w:rsidRPr="009231D7">
        <w:rPr>
          <w:rFonts w:asciiTheme="minorHAnsi" w:eastAsia="Corbel" w:hAnsiTheme="minorHAnsi" w:cstheme="minorHAnsi"/>
          <w:sz w:val="22"/>
          <w:szCs w:val="22"/>
        </w:rPr>
        <w:t xml:space="preserve">capacities remain insufficient; the CFR often fails to respond to </w:t>
      </w:r>
      <w:r w:rsidR="00360FC6" w:rsidRPr="009231D7">
        <w:rPr>
          <w:rFonts w:asciiTheme="minorHAnsi" w:eastAsia="Corbel" w:hAnsiTheme="minorHAnsi" w:cstheme="minorHAnsi"/>
          <w:sz w:val="22"/>
          <w:szCs w:val="22"/>
        </w:rPr>
        <w:t xml:space="preserve">related CSO </w:t>
      </w:r>
      <w:r w:rsidR="00DB3838" w:rsidRPr="009231D7">
        <w:rPr>
          <w:rFonts w:asciiTheme="minorHAnsi" w:eastAsia="Corbel" w:hAnsiTheme="minorHAnsi" w:cstheme="minorHAnsi"/>
          <w:sz w:val="22"/>
          <w:szCs w:val="22"/>
        </w:rPr>
        <w:t xml:space="preserve">complaints in time or at all; and even though the NPM carried out a significant number of visits, </w:t>
      </w:r>
      <w:r w:rsidR="00E10FFC" w:rsidRPr="009231D7">
        <w:rPr>
          <w:rFonts w:asciiTheme="minorHAnsi" w:eastAsia="Corbel" w:hAnsiTheme="minorHAnsi" w:cstheme="minorHAnsi"/>
          <w:sz w:val="22"/>
          <w:szCs w:val="22"/>
        </w:rPr>
        <w:t xml:space="preserve">their methodology </w:t>
      </w:r>
      <w:r w:rsidR="00DB3838" w:rsidRPr="009231D7">
        <w:rPr>
          <w:rFonts w:asciiTheme="minorHAnsi" w:eastAsia="Corbel" w:hAnsiTheme="minorHAnsi" w:cstheme="minorHAnsi"/>
          <w:sz w:val="22"/>
          <w:szCs w:val="22"/>
        </w:rPr>
        <w:t>and the reports about them suffer from deficiencies.</w:t>
      </w:r>
      <w:r w:rsidR="00DB3838" w:rsidRPr="009231D7">
        <w:rPr>
          <w:rFonts w:asciiTheme="minorHAnsi" w:eastAsia="Corbel" w:hAnsiTheme="minorHAnsi" w:cstheme="minorHAnsi"/>
          <w:sz w:val="22"/>
          <w:szCs w:val="22"/>
          <w:vertAlign w:val="superscript"/>
        </w:rPr>
        <w:footnoteReference w:id="20"/>
      </w:r>
    </w:p>
    <w:p w14:paraId="028584A8" w14:textId="0655BA95" w:rsidR="00035228" w:rsidRPr="009231D7" w:rsidRDefault="00035228" w:rsidP="00035228">
      <w:pPr>
        <w:spacing w:after="160" w:line="259" w:lineRule="auto"/>
        <w:jc w:val="both"/>
        <w:rPr>
          <w:rFonts w:asciiTheme="minorHAnsi" w:eastAsia="Corbel" w:hAnsiTheme="minorHAnsi" w:cstheme="minorHAnsi"/>
          <w:sz w:val="22"/>
          <w:szCs w:val="22"/>
        </w:rPr>
      </w:pPr>
      <w:r w:rsidRPr="6BAC57F3">
        <w:rPr>
          <w:rFonts w:asciiTheme="minorHAnsi" w:eastAsia="Corbel" w:hAnsiTheme="minorHAnsi" w:cstheme="minorBidi"/>
          <w:sz w:val="22"/>
          <w:szCs w:val="22"/>
        </w:rPr>
        <w:t xml:space="preserve">The </w:t>
      </w:r>
      <w:r w:rsidR="00650293" w:rsidRPr="6BAC57F3">
        <w:rPr>
          <w:rFonts w:asciiTheme="minorHAnsi" w:eastAsia="Corbel" w:hAnsiTheme="minorHAnsi" w:cstheme="minorBidi"/>
          <w:sz w:val="22"/>
          <w:szCs w:val="22"/>
        </w:rPr>
        <w:t xml:space="preserve">selection and appointment system of the CFR remains inadequate, </w:t>
      </w:r>
      <w:r w:rsidRPr="6BAC57F3">
        <w:rPr>
          <w:rFonts w:asciiTheme="minorHAnsi" w:eastAsia="Corbel" w:hAnsiTheme="minorHAnsi" w:cstheme="minorBidi"/>
          <w:sz w:val="22"/>
          <w:szCs w:val="22"/>
        </w:rPr>
        <w:t>and despite a request from civil society to have a broad, transparent and merit-based selection process,</w:t>
      </w:r>
      <w:r w:rsidRPr="6BAC57F3">
        <w:rPr>
          <w:rStyle w:val="Lbjegyzet-hivatkozs"/>
          <w:rFonts w:asciiTheme="minorHAnsi" w:eastAsia="Corbel" w:hAnsiTheme="minorHAnsi" w:cstheme="minorBidi"/>
          <w:sz w:val="22"/>
          <w:szCs w:val="22"/>
        </w:rPr>
        <w:footnoteReference w:id="21"/>
      </w:r>
      <w:r w:rsidRPr="6BAC57F3">
        <w:rPr>
          <w:rFonts w:asciiTheme="minorHAnsi" w:eastAsia="Corbel" w:hAnsiTheme="minorHAnsi" w:cstheme="minorBidi"/>
          <w:sz w:val="22"/>
          <w:szCs w:val="22"/>
        </w:rPr>
        <w:t xml:space="preserve"> the appointment of the new CFR in 2025 was carried out again in breach of the Paris Principles.</w:t>
      </w:r>
    </w:p>
    <w:p w14:paraId="6299F8BC" w14:textId="51EAD3D3" w:rsidR="00D666E3" w:rsidRPr="009231D7" w:rsidRDefault="00035228" w:rsidP="00035228">
      <w:pPr>
        <w:spacing w:after="160" w:line="259" w:lineRule="auto"/>
        <w:jc w:val="both"/>
        <w:rPr>
          <w:rFonts w:asciiTheme="minorHAnsi" w:hAnsiTheme="minorHAnsi" w:cstheme="minorHAnsi"/>
          <w:i/>
          <w:iCs/>
          <w:sz w:val="22"/>
          <w:szCs w:val="22"/>
          <w:u w:val="single"/>
        </w:rPr>
      </w:pPr>
      <w:r w:rsidRPr="009231D7">
        <w:rPr>
          <w:rFonts w:asciiTheme="minorHAnsi" w:hAnsiTheme="minorHAnsi" w:cstheme="minorHAnsi"/>
          <w:i/>
          <w:iCs/>
          <w:sz w:val="22"/>
          <w:szCs w:val="22"/>
          <w:u w:val="single"/>
        </w:rPr>
        <w:t>Suggested question</w:t>
      </w:r>
      <w:r w:rsidR="00B7253A" w:rsidRPr="009231D7">
        <w:rPr>
          <w:rFonts w:asciiTheme="minorHAnsi" w:hAnsiTheme="minorHAnsi" w:cstheme="minorHAnsi"/>
          <w:i/>
          <w:iCs/>
          <w:sz w:val="22"/>
          <w:szCs w:val="22"/>
          <w:u w:val="single"/>
        </w:rPr>
        <w:t>s</w:t>
      </w:r>
      <w:r w:rsidRPr="009231D7">
        <w:rPr>
          <w:rFonts w:asciiTheme="minorHAnsi" w:hAnsiTheme="minorHAnsi" w:cstheme="minorHAnsi"/>
          <w:i/>
          <w:iCs/>
          <w:sz w:val="22"/>
          <w:szCs w:val="22"/>
          <w:u w:val="single"/>
        </w:rPr>
        <w:t xml:space="preserve"> to the State party:</w:t>
      </w:r>
    </w:p>
    <w:p w14:paraId="5B94B235" w14:textId="49A81A17" w:rsidR="00DB3838" w:rsidRPr="00286C43" w:rsidRDefault="72925FF1" w:rsidP="03AE4585">
      <w:pPr>
        <w:numPr>
          <w:ilvl w:val="0"/>
          <w:numId w:val="8"/>
        </w:numPr>
        <w:spacing w:after="80" w:line="259" w:lineRule="auto"/>
        <w:ind w:left="714" w:hanging="357"/>
        <w:jc w:val="both"/>
        <w:rPr>
          <w:rFonts w:asciiTheme="minorHAnsi" w:eastAsiaTheme="minorEastAsia" w:hAnsiTheme="minorHAnsi" w:cstheme="minorBidi"/>
          <w:sz w:val="22"/>
          <w:szCs w:val="22"/>
        </w:rPr>
      </w:pPr>
      <w:r w:rsidRPr="00286C43">
        <w:rPr>
          <w:rFonts w:asciiTheme="minorHAnsi" w:eastAsiaTheme="minorEastAsia" w:hAnsiTheme="minorHAnsi" w:cstheme="minorBidi"/>
          <w:sz w:val="22"/>
          <w:szCs w:val="22"/>
        </w:rPr>
        <w:t>Why was the appointment of the new C</w:t>
      </w:r>
      <w:r w:rsidR="10734CB7" w:rsidRPr="00286C43">
        <w:rPr>
          <w:rFonts w:asciiTheme="minorHAnsi" w:eastAsiaTheme="minorEastAsia" w:hAnsiTheme="minorHAnsi" w:cstheme="minorBidi"/>
          <w:sz w:val="22"/>
          <w:szCs w:val="22"/>
        </w:rPr>
        <w:t>FR</w:t>
      </w:r>
      <w:r w:rsidRPr="00286C43">
        <w:rPr>
          <w:rFonts w:asciiTheme="minorHAnsi" w:eastAsiaTheme="minorEastAsia" w:hAnsiTheme="minorHAnsi" w:cstheme="minorBidi"/>
          <w:sz w:val="22"/>
          <w:szCs w:val="22"/>
        </w:rPr>
        <w:t xml:space="preserve"> carried out in a procedure that again failed to meet the Paris Principles, despite recommendations from GANHRI and calls from civil society for a transparent and participatory process?</w:t>
      </w:r>
    </w:p>
    <w:p w14:paraId="7285874C" w14:textId="4B67A793" w:rsidR="00DB3838" w:rsidRPr="00286C43" w:rsidRDefault="72925FF1" w:rsidP="03AE4585">
      <w:pPr>
        <w:pStyle w:val="Listaszerbekezds"/>
        <w:numPr>
          <w:ilvl w:val="0"/>
          <w:numId w:val="8"/>
        </w:numPr>
        <w:spacing w:after="80" w:line="259" w:lineRule="auto"/>
        <w:contextualSpacing w:val="0"/>
        <w:jc w:val="both"/>
        <w:rPr>
          <w:rFonts w:asciiTheme="minorHAnsi" w:eastAsiaTheme="minorEastAsia" w:hAnsiTheme="minorHAnsi" w:cstheme="minorBidi"/>
          <w:sz w:val="22"/>
          <w:szCs w:val="22"/>
        </w:rPr>
      </w:pPr>
      <w:r w:rsidRPr="00286C43">
        <w:rPr>
          <w:rFonts w:asciiTheme="minorHAnsi" w:eastAsiaTheme="minorEastAsia" w:hAnsiTheme="minorHAnsi" w:cstheme="minorBidi"/>
          <w:sz w:val="22"/>
          <w:szCs w:val="22"/>
        </w:rPr>
        <w:t xml:space="preserve">How does the Government </w:t>
      </w:r>
      <w:r w:rsidR="7B4EF42A" w:rsidRPr="00286C43">
        <w:rPr>
          <w:rFonts w:asciiTheme="minorHAnsi" w:eastAsiaTheme="minorEastAsia" w:hAnsiTheme="minorHAnsi" w:cstheme="minorBidi"/>
          <w:sz w:val="22"/>
          <w:szCs w:val="22"/>
        </w:rPr>
        <w:t>intend to restore</w:t>
      </w:r>
      <w:r w:rsidRPr="00286C43">
        <w:rPr>
          <w:rFonts w:asciiTheme="minorHAnsi" w:eastAsiaTheme="minorEastAsia" w:hAnsiTheme="minorHAnsi" w:cstheme="minorBidi"/>
          <w:sz w:val="22"/>
          <w:szCs w:val="22"/>
        </w:rPr>
        <w:t xml:space="preserve"> the independence and credibility of the NHRI</w:t>
      </w:r>
      <w:r w:rsidR="7B4EF42A" w:rsidRPr="00286C43">
        <w:rPr>
          <w:rFonts w:asciiTheme="minorHAnsi" w:eastAsiaTheme="minorEastAsia" w:hAnsiTheme="minorHAnsi" w:cstheme="minorBidi"/>
          <w:sz w:val="22"/>
          <w:szCs w:val="22"/>
        </w:rPr>
        <w:t xml:space="preserve">, and how does it intend to address the concerns regarding the weakened level of human rights protection in the areas brought under </w:t>
      </w:r>
      <w:r w:rsidR="131777A5" w:rsidRPr="00286C43">
        <w:rPr>
          <w:rFonts w:asciiTheme="minorHAnsi" w:eastAsiaTheme="minorEastAsia" w:hAnsiTheme="minorHAnsi" w:cstheme="minorBidi"/>
          <w:sz w:val="22"/>
          <w:szCs w:val="22"/>
        </w:rPr>
        <w:t>its</w:t>
      </w:r>
      <w:r w:rsidR="7B4EF42A" w:rsidRPr="00286C43">
        <w:rPr>
          <w:rFonts w:asciiTheme="minorHAnsi" w:eastAsiaTheme="minorEastAsia" w:hAnsiTheme="minorHAnsi" w:cstheme="minorBidi"/>
          <w:sz w:val="22"/>
          <w:szCs w:val="22"/>
        </w:rPr>
        <w:t xml:space="preserve"> mandate, previously covered by specialised human right</w:t>
      </w:r>
      <w:r w:rsidR="73C1E953" w:rsidRPr="00286C43">
        <w:rPr>
          <w:rFonts w:asciiTheme="minorHAnsi" w:eastAsiaTheme="minorEastAsia" w:hAnsiTheme="minorHAnsi" w:cstheme="minorBidi"/>
          <w:sz w:val="22"/>
          <w:szCs w:val="22"/>
        </w:rPr>
        <w:t>s</w:t>
      </w:r>
      <w:r w:rsidR="7B4EF42A" w:rsidRPr="00286C43">
        <w:rPr>
          <w:rFonts w:asciiTheme="minorHAnsi" w:eastAsiaTheme="minorEastAsia" w:hAnsiTheme="minorHAnsi" w:cstheme="minorBidi"/>
          <w:sz w:val="22"/>
          <w:szCs w:val="22"/>
        </w:rPr>
        <w:t xml:space="preserve"> protection institutions?</w:t>
      </w:r>
    </w:p>
    <w:p w14:paraId="0614808F" w14:textId="77777777" w:rsidR="00DB3838" w:rsidRPr="009231D7" w:rsidRDefault="00DB3838" w:rsidP="00D65C29">
      <w:pPr>
        <w:spacing w:after="160" w:line="259" w:lineRule="auto"/>
        <w:rPr>
          <w:rFonts w:asciiTheme="minorHAnsi" w:hAnsiTheme="minorHAnsi" w:cstheme="minorHAnsi"/>
          <w:b/>
          <w:bCs/>
          <w:sz w:val="22"/>
          <w:szCs w:val="22"/>
        </w:rPr>
      </w:pPr>
    </w:p>
    <w:p w14:paraId="1CC2C297" w14:textId="1258695D" w:rsidR="00D65C29" w:rsidRPr="009231D7" w:rsidRDefault="00D65C29" w:rsidP="00035228">
      <w:pPr>
        <w:spacing w:after="160" w:line="259" w:lineRule="auto"/>
        <w:jc w:val="both"/>
        <w:rPr>
          <w:rFonts w:asciiTheme="minorHAnsi" w:hAnsiTheme="minorHAnsi" w:cstheme="minorHAnsi"/>
          <w:b/>
          <w:bCs/>
          <w:sz w:val="26"/>
          <w:szCs w:val="26"/>
        </w:rPr>
      </w:pPr>
      <w:r w:rsidRPr="009231D7">
        <w:rPr>
          <w:rFonts w:asciiTheme="minorHAnsi" w:hAnsiTheme="minorHAnsi" w:cstheme="minorHAnsi"/>
          <w:b/>
          <w:bCs/>
          <w:sz w:val="26"/>
          <w:szCs w:val="26"/>
        </w:rPr>
        <w:t xml:space="preserve">Non-implementation of </w:t>
      </w:r>
      <w:r w:rsidR="0012366A" w:rsidRPr="009231D7">
        <w:rPr>
          <w:rFonts w:asciiTheme="minorHAnsi" w:hAnsiTheme="minorHAnsi" w:cstheme="minorHAnsi"/>
          <w:b/>
          <w:bCs/>
          <w:sz w:val="26"/>
          <w:szCs w:val="26"/>
        </w:rPr>
        <w:t xml:space="preserve">international </w:t>
      </w:r>
      <w:r w:rsidRPr="009231D7">
        <w:rPr>
          <w:rFonts w:asciiTheme="minorHAnsi" w:hAnsiTheme="minorHAnsi" w:cstheme="minorHAnsi"/>
          <w:b/>
          <w:bCs/>
          <w:sz w:val="26"/>
          <w:szCs w:val="26"/>
        </w:rPr>
        <w:t>court judgments</w:t>
      </w:r>
    </w:p>
    <w:p w14:paraId="1BCB91A4" w14:textId="261FE9DE" w:rsidR="0096012A" w:rsidRPr="009231D7" w:rsidRDefault="0096012A" w:rsidP="0096012A">
      <w:pPr>
        <w:spacing w:after="160" w:line="259" w:lineRule="auto"/>
        <w:jc w:val="both"/>
        <w:rPr>
          <w:sz w:val="22"/>
          <w:szCs w:val="22"/>
        </w:rPr>
      </w:pPr>
      <w:r w:rsidRPr="009231D7">
        <w:rPr>
          <w:sz w:val="22"/>
          <w:szCs w:val="22"/>
        </w:rPr>
        <w:t xml:space="preserve">Hungary’s record of implementing ECtHR judgments is poor. </w:t>
      </w:r>
      <w:r w:rsidR="0024155C" w:rsidRPr="009231D7">
        <w:rPr>
          <w:sz w:val="22"/>
          <w:szCs w:val="22"/>
        </w:rPr>
        <w:t>As of</w:t>
      </w:r>
      <w:r w:rsidRPr="009231D7">
        <w:rPr>
          <w:sz w:val="22"/>
          <w:szCs w:val="22"/>
        </w:rPr>
        <w:t xml:space="preserve"> 1 January 202</w:t>
      </w:r>
      <w:r w:rsidR="0024155C" w:rsidRPr="009231D7">
        <w:rPr>
          <w:sz w:val="22"/>
          <w:szCs w:val="22"/>
        </w:rPr>
        <w:t>5</w:t>
      </w:r>
      <w:r w:rsidRPr="009231D7">
        <w:rPr>
          <w:sz w:val="22"/>
          <w:szCs w:val="22"/>
        </w:rPr>
        <w:t>, Hungary had 4</w:t>
      </w:r>
      <w:r w:rsidR="0024155C" w:rsidRPr="009231D7">
        <w:rPr>
          <w:sz w:val="22"/>
          <w:szCs w:val="22"/>
        </w:rPr>
        <w:t>7</w:t>
      </w:r>
      <w:r w:rsidRPr="009231D7">
        <w:rPr>
          <w:sz w:val="22"/>
          <w:szCs w:val="22"/>
        </w:rPr>
        <w:t xml:space="preserve"> leading ECtHR judgments pending implementation, and the rate of leading judgments from the past 10 years that remain pending was at 7</w:t>
      </w:r>
      <w:r w:rsidR="0024155C" w:rsidRPr="009231D7">
        <w:rPr>
          <w:sz w:val="22"/>
          <w:szCs w:val="22"/>
        </w:rPr>
        <w:t>4</w:t>
      </w:r>
      <w:r w:rsidRPr="009231D7">
        <w:rPr>
          <w:sz w:val="22"/>
          <w:szCs w:val="22"/>
        </w:rPr>
        <w:t>%, the highest within the EU.</w:t>
      </w:r>
      <w:r w:rsidRPr="009231D7">
        <w:rPr>
          <w:sz w:val="22"/>
          <w:szCs w:val="22"/>
          <w:vertAlign w:val="superscript"/>
        </w:rPr>
        <w:footnoteReference w:id="22"/>
      </w:r>
      <w:r w:rsidRPr="009231D7">
        <w:rPr>
          <w:sz w:val="22"/>
          <w:szCs w:val="22"/>
        </w:rPr>
        <w:t xml:space="preserve"> Pending leading cases concern crucial human rights issues, including unchecked secret surveillance, freedom of expression of judges, excessive length of judicial proceedings, life imprisonment</w:t>
      </w:r>
      <w:r w:rsidR="00265496" w:rsidRPr="009231D7">
        <w:rPr>
          <w:sz w:val="22"/>
          <w:szCs w:val="22"/>
        </w:rPr>
        <w:t xml:space="preserve"> without parole</w:t>
      </w:r>
      <w:r w:rsidRPr="009231D7">
        <w:rPr>
          <w:sz w:val="22"/>
          <w:szCs w:val="22"/>
        </w:rPr>
        <w:t xml:space="preserve">, police ill-treatment, and discrimination of Roma children in education. There is no separate national structure to bring together </w:t>
      </w:r>
      <w:r w:rsidRPr="009231D7">
        <w:rPr>
          <w:sz w:val="22"/>
          <w:szCs w:val="22"/>
        </w:rPr>
        <w:lastRenderedPageBreak/>
        <w:t>various actors to coordinate the implementation of ECtHR judgments; meaningful parliamentary oversight is also lacking.</w:t>
      </w:r>
      <w:r w:rsidRPr="009231D7">
        <w:rPr>
          <w:sz w:val="22"/>
          <w:szCs w:val="22"/>
          <w:vertAlign w:val="superscript"/>
        </w:rPr>
        <w:footnoteReference w:id="23"/>
      </w:r>
    </w:p>
    <w:p w14:paraId="673EC351" w14:textId="5D3D6FD8" w:rsidR="0012366A" w:rsidRPr="009231D7" w:rsidRDefault="00F961EC" w:rsidP="002A7F56">
      <w:pPr>
        <w:spacing w:after="160" w:line="259" w:lineRule="auto"/>
        <w:jc w:val="both"/>
        <w:rPr>
          <w:sz w:val="22"/>
          <w:szCs w:val="22"/>
        </w:rPr>
      </w:pPr>
      <w:r w:rsidRPr="009231D7">
        <w:rPr>
          <w:sz w:val="22"/>
          <w:szCs w:val="22"/>
        </w:rPr>
        <w:t>S</w:t>
      </w:r>
      <w:r w:rsidR="0096012A" w:rsidRPr="009231D7">
        <w:rPr>
          <w:sz w:val="22"/>
          <w:szCs w:val="22"/>
        </w:rPr>
        <w:t xml:space="preserve">evere problems have emerged </w:t>
      </w:r>
      <w:r w:rsidR="004B3D42" w:rsidRPr="009231D7">
        <w:rPr>
          <w:sz w:val="22"/>
          <w:szCs w:val="22"/>
        </w:rPr>
        <w:t>regarding</w:t>
      </w:r>
      <w:r w:rsidR="0096012A" w:rsidRPr="009231D7">
        <w:rPr>
          <w:sz w:val="22"/>
          <w:szCs w:val="22"/>
        </w:rPr>
        <w:t xml:space="preserve"> the execution of the </w:t>
      </w:r>
      <w:r w:rsidR="00265496" w:rsidRPr="009231D7">
        <w:rPr>
          <w:sz w:val="22"/>
          <w:szCs w:val="22"/>
        </w:rPr>
        <w:t>rulings</w:t>
      </w:r>
      <w:r w:rsidR="0096012A" w:rsidRPr="009231D7">
        <w:rPr>
          <w:sz w:val="22"/>
          <w:szCs w:val="22"/>
        </w:rPr>
        <w:t xml:space="preserve"> of the CJEU</w:t>
      </w:r>
      <w:r w:rsidR="006813DB" w:rsidRPr="009231D7">
        <w:rPr>
          <w:sz w:val="22"/>
          <w:szCs w:val="22"/>
        </w:rPr>
        <w:t xml:space="preserve"> </w:t>
      </w:r>
      <w:r w:rsidR="0096012A" w:rsidRPr="009231D7">
        <w:rPr>
          <w:sz w:val="22"/>
          <w:szCs w:val="22"/>
        </w:rPr>
        <w:t>as well. A</w:t>
      </w:r>
      <w:r w:rsidR="0024155C" w:rsidRPr="009231D7">
        <w:rPr>
          <w:sz w:val="22"/>
          <w:szCs w:val="22"/>
        </w:rPr>
        <w:t>ccording to a</w:t>
      </w:r>
      <w:r w:rsidR="0096012A" w:rsidRPr="009231D7">
        <w:rPr>
          <w:sz w:val="22"/>
          <w:szCs w:val="22"/>
        </w:rPr>
        <w:t xml:space="preserve"> recent study</w:t>
      </w:r>
      <w:r w:rsidR="0024155C" w:rsidRPr="009231D7">
        <w:rPr>
          <w:sz w:val="22"/>
          <w:szCs w:val="22"/>
        </w:rPr>
        <w:t xml:space="preserve">, </w:t>
      </w:r>
      <w:r w:rsidR="0096012A" w:rsidRPr="009231D7">
        <w:rPr>
          <w:sz w:val="22"/>
          <w:szCs w:val="22"/>
        </w:rPr>
        <w:t xml:space="preserve">out of the </w:t>
      </w:r>
      <w:r w:rsidR="0024155C" w:rsidRPr="009231D7">
        <w:rPr>
          <w:sz w:val="22"/>
          <w:szCs w:val="22"/>
        </w:rPr>
        <w:t>20</w:t>
      </w:r>
      <w:r w:rsidR="0096012A" w:rsidRPr="009231D7">
        <w:rPr>
          <w:sz w:val="22"/>
          <w:szCs w:val="22"/>
        </w:rPr>
        <w:t xml:space="preserve"> rule</w:t>
      </w:r>
      <w:r w:rsidR="0024155C" w:rsidRPr="009231D7">
        <w:rPr>
          <w:sz w:val="22"/>
          <w:szCs w:val="22"/>
        </w:rPr>
        <w:t>-</w:t>
      </w:r>
      <w:r w:rsidR="0096012A" w:rsidRPr="009231D7">
        <w:rPr>
          <w:sz w:val="22"/>
          <w:szCs w:val="22"/>
        </w:rPr>
        <w:t>of</w:t>
      </w:r>
      <w:r w:rsidR="0024155C" w:rsidRPr="009231D7">
        <w:rPr>
          <w:sz w:val="22"/>
          <w:szCs w:val="22"/>
        </w:rPr>
        <w:t>-</w:t>
      </w:r>
      <w:r w:rsidR="0096012A" w:rsidRPr="009231D7">
        <w:rPr>
          <w:sz w:val="22"/>
          <w:szCs w:val="22"/>
        </w:rPr>
        <w:t>law related rulings issued between 1 January 2019 and 1 January 202</w:t>
      </w:r>
      <w:r w:rsidR="0024155C" w:rsidRPr="009231D7">
        <w:rPr>
          <w:sz w:val="22"/>
          <w:szCs w:val="22"/>
        </w:rPr>
        <w:t>5</w:t>
      </w:r>
      <w:r w:rsidR="0096012A" w:rsidRPr="009231D7">
        <w:rPr>
          <w:sz w:val="22"/>
          <w:szCs w:val="22"/>
        </w:rPr>
        <w:t xml:space="preserve"> examined,</w:t>
      </w:r>
      <w:r w:rsidR="0024155C" w:rsidRPr="009231D7">
        <w:rPr>
          <w:sz w:val="22"/>
          <w:szCs w:val="22"/>
        </w:rPr>
        <w:t xml:space="preserve"> Hungary has not complied with 3 rulings and has complied with 10 rulings only partly as of 1 May 2025.</w:t>
      </w:r>
      <w:r w:rsidR="00265496" w:rsidRPr="009231D7">
        <w:rPr>
          <w:sz w:val="22"/>
          <w:szCs w:val="22"/>
        </w:rPr>
        <w:t xml:space="preserve"> 11</w:t>
      </w:r>
      <w:r w:rsidR="0024155C" w:rsidRPr="009231D7">
        <w:rPr>
          <w:sz w:val="22"/>
          <w:szCs w:val="22"/>
        </w:rPr>
        <w:t xml:space="preserve"> of </w:t>
      </w:r>
      <w:r w:rsidR="00265496" w:rsidRPr="009231D7">
        <w:rPr>
          <w:sz w:val="22"/>
          <w:szCs w:val="22"/>
        </w:rPr>
        <w:t xml:space="preserve">the </w:t>
      </w:r>
      <w:r w:rsidR="0024155C" w:rsidRPr="009231D7">
        <w:rPr>
          <w:sz w:val="22"/>
          <w:szCs w:val="22"/>
        </w:rPr>
        <w:t>not-yet-complied-with rulings have been pending for over two years</w:t>
      </w:r>
      <w:r w:rsidR="0096012A" w:rsidRPr="009231D7">
        <w:rPr>
          <w:sz w:val="22"/>
          <w:szCs w:val="22"/>
        </w:rPr>
        <w:t>.</w:t>
      </w:r>
      <w:r w:rsidR="0096012A" w:rsidRPr="009231D7">
        <w:rPr>
          <w:sz w:val="22"/>
          <w:szCs w:val="22"/>
          <w:vertAlign w:val="superscript"/>
        </w:rPr>
        <w:footnoteReference w:id="24"/>
      </w:r>
    </w:p>
    <w:p w14:paraId="37A0D871" w14:textId="3E730AB6" w:rsidR="002A7F56" w:rsidRPr="009231D7" w:rsidRDefault="002A7F56" w:rsidP="002A7F56">
      <w:pPr>
        <w:spacing w:after="160" w:line="259" w:lineRule="auto"/>
        <w:jc w:val="both"/>
        <w:rPr>
          <w:i/>
          <w:iCs/>
          <w:sz w:val="22"/>
          <w:szCs w:val="22"/>
        </w:rPr>
      </w:pPr>
      <w:r w:rsidRPr="009231D7">
        <w:rPr>
          <w:i/>
          <w:iCs/>
          <w:sz w:val="22"/>
          <w:szCs w:val="22"/>
        </w:rPr>
        <w:t>(Throughout the submission, we are providing concrete examples</w:t>
      </w:r>
      <w:r w:rsidR="00850EE7" w:rsidRPr="009231D7">
        <w:rPr>
          <w:i/>
          <w:iCs/>
          <w:sz w:val="22"/>
          <w:szCs w:val="22"/>
        </w:rPr>
        <w:t xml:space="preserve"> for non-compliance</w:t>
      </w:r>
      <w:r w:rsidRPr="009231D7">
        <w:rPr>
          <w:i/>
          <w:iCs/>
          <w:sz w:val="22"/>
          <w:szCs w:val="22"/>
        </w:rPr>
        <w:t>.)</w:t>
      </w:r>
    </w:p>
    <w:p w14:paraId="30FDD171" w14:textId="77777777" w:rsidR="002A7F56" w:rsidRPr="009231D7" w:rsidRDefault="002A7F56" w:rsidP="002A7F56">
      <w:pPr>
        <w:spacing w:after="160" w:line="259" w:lineRule="auto"/>
        <w:jc w:val="both"/>
        <w:rPr>
          <w:rFonts w:asciiTheme="minorHAnsi" w:hAnsiTheme="minorHAnsi" w:cstheme="minorHAnsi"/>
          <w:i/>
          <w:iCs/>
          <w:sz w:val="22"/>
          <w:szCs w:val="22"/>
          <w:u w:val="single"/>
        </w:rPr>
      </w:pPr>
      <w:r w:rsidRPr="009231D7">
        <w:rPr>
          <w:rFonts w:asciiTheme="minorHAnsi" w:hAnsiTheme="minorHAnsi" w:cstheme="minorHAnsi"/>
          <w:i/>
          <w:iCs/>
          <w:sz w:val="22"/>
          <w:szCs w:val="22"/>
          <w:u w:val="single"/>
        </w:rPr>
        <w:t>Suggested questions to the State party:</w:t>
      </w:r>
    </w:p>
    <w:p w14:paraId="2993F34E" w14:textId="3E6DBE0F" w:rsidR="00F961EC" w:rsidRPr="009231D7" w:rsidRDefault="00F961EC" w:rsidP="00F961EC">
      <w:pPr>
        <w:pStyle w:val="Listaszerbekezds"/>
        <w:numPr>
          <w:ilvl w:val="0"/>
          <w:numId w:val="17"/>
        </w:numPr>
        <w:spacing w:after="80" w:line="259" w:lineRule="auto"/>
        <w:contextualSpacing w:val="0"/>
        <w:jc w:val="both"/>
        <w:rPr>
          <w:sz w:val="22"/>
          <w:szCs w:val="22"/>
        </w:rPr>
      </w:pPr>
      <w:r w:rsidRPr="009231D7">
        <w:rPr>
          <w:sz w:val="22"/>
          <w:szCs w:val="22"/>
        </w:rPr>
        <w:t xml:space="preserve">When and how will </w:t>
      </w:r>
      <w:r w:rsidR="00265496" w:rsidRPr="009231D7">
        <w:rPr>
          <w:sz w:val="22"/>
          <w:szCs w:val="22"/>
        </w:rPr>
        <w:t>the State party</w:t>
      </w:r>
      <w:r w:rsidRPr="009231D7">
        <w:rPr>
          <w:sz w:val="22"/>
          <w:szCs w:val="22"/>
        </w:rPr>
        <w:t xml:space="preserve"> fully execute all judgments of the CJEU regarding </w:t>
      </w:r>
      <w:r w:rsidR="00265496" w:rsidRPr="009231D7">
        <w:rPr>
          <w:sz w:val="22"/>
          <w:szCs w:val="22"/>
        </w:rPr>
        <w:t>Hungary</w:t>
      </w:r>
      <w:r w:rsidRPr="009231D7">
        <w:rPr>
          <w:sz w:val="22"/>
          <w:szCs w:val="22"/>
        </w:rPr>
        <w:t>?</w:t>
      </w:r>
    </w:p>
    <w:p w14:paraId="32346FB8" w14:textId="36365A43" w:rsidR="00D666E3" w:rsidRPr="009231D7" w:rsidRDefault="75A8F44E" w:rsidP="00D65C29">
      <w:pPr>
        <w:pStyle w:val="Listaszerbekezds"/>
        <w:numPr>
          <w:ilvl w:val="0"/>
          <w:numId w:val="17"/>
        </w:numPr>
        <w:spacing w:after="160" w:line="259" w:lineRule="auto"/>
        <w:contextualSpacing w:val="0"/>
        <w:jc w:val="both"/>
        <w:rPr>
          <w:sz w:val="22"/>
          <w:szCs w:val="22"/>
        </w:rPr>
      </w:pPr>
      <w:r w:rsidRPr="03AE4585">
        <w:rPr>
          <w:sz w:val="22"/>
          <w:szCs w:val="22"/>
        </w:rPr>
        <w:t>What steps have the Government taken to increase the level of implementation of ECtHR judgments?</w:t>
      </w:r>
    </w:p>
    <w:p w14:paraId="57F473C9" w14:textId="77777777" w:rsidR="00D65C29" w:rsidRDefault="00D65C29" w:rsidP="00D65C29">
      <w:pPr>
        <w:spacing w:after="160" w:line="259" w:lineRule="auto"/>
        <w:rPr>
          <w:rFonts w:asciiTheme="minorHAnsi" w:hAnsiTheme="minorHAnsi" w:cstheme="minorHAnsi"/>
          <w:b/>
          <w:bCs/>
          <w:sz w:val="22"/>
          <w:szCs w:val="22"/>
        </w:rPr>
      </w:pPr>
    </w:p>
    <w:p w14:paraId="16CB67AE" w14:textId="3E972EBE" w:rsidR="00041D14" w:rsidRPr="00ED6159" w:rsidRDefault="00041D14" w:rsidP="00AC5857">
      <w:pPr>
        <w:spacing w:before="160" w:line="259" w:lineRule="auto"/>
        <w:jc w:val="center"/>
        <w:rPr>
          <w:rFonts w:asciiTheme="minorHAnsi" w:hAnsiTheme="minorHAnsi" w:cstheme="minorHAnsi"/>
          <w:b/>
          <w:bCs/>
          <w:sz w:val="30"/>
          <w:szCs w:val="30"/>
        </w:rPr>
      </w:pPr>
      <w:r w:rsidRPr="00ED6159">
        <w:rPr>
          <w:rFonts w:asciiTheme="minorHAnsi" w:hAnsiTheme="minorHAnsi" w:cstheme="minorHAnsi"/>
          <w:b/>
          <w:bCs/>
          <w:sz w:val="30"/>
          <w:szCs w:val="30"/>
        </w:rPr>
        <w:t>Articles 2, 6, 7, 13</w:t>
      </w:r>
      <w:r w:rsidR="00ED6159" w:rsidRPr="00ED6159">
        <w:rPr>
          <w:rFonts w:asciiTheme="minorHAnsi" w:hAnsiTheme="minorHAnsi" w:cstheme="minorHAnsi"/>
          <w:b/>
          <w:bCs/>
          <w:sz w:val="30"/>
          <w:szCs w:val="30"/>
        </w:rPr>
        <w:t xml:space="preserve"> and 24 of the Covenant</w:t>
      </w:r>
    </w:p>
    <w:p w14:paraId="5E27443D" w14:textId="77777777" w:rsidR="00041D14" w:rsidRDefault="00041D14" w:rsidP="002F043D">
      <w:pPr>
        <w:spacing w:line="259" w:lineRule="auto"/>
        <w:rPr>
          <w:rFonts w:asciiTheme="minorHAnsi" w:hAnsiTheme="minorHAnsi" w:cstheme="minorHAnsi"/>
          <w:b/>
          <w:bCs/>
          <w:sz w:val="22"/>
          <w:szCs w:val="22"/>
        </w:rPr>
      </w:pPr>
    </w:p>
    <w:p w14:paraId="663AF3A4" w14:textId="0CA53F94" w:rsidR="00DC70DE" w:rsidRPr="00DC70DE" w:rsidRDefault="00DC70DE" w:rsidP="00D65C29">
      <w:pPr>
        <w:spacing w:after="160" w:line="259" w:lineRule="auto"/>
        <w:rPr>
          <w:b/>
          <w:bCs/>
          <w:sz w:val="26"/>
          <w:szCs w:val="26"/>
        </w:rPr>
      </w:pPr>
      <w:r w:rsidRPr="00DC70DE">
        <w:rPr>
          <w:b/>
          <w:bCs/>
          <w:sz w:val="26"/>
          <w:szCs w:val="26"/>
        </w:rPr>
        <w:t>Systemic violation</w:t>
      </w:r>
      <w:r>
        <w:rPr>
          <w:b/>
          <w:bCs/>
          <w:sz w:val="26"/>
          <w:szCs w:val="26"/>
        </w:rPr>
        <w:t xml:space="preserve"> of the rights of refugees and asylum-seekers</w:t>
      </w:r>
    </w:p>
    <w:p w14:paraId="0C3B27EB" w14:textId="28C6122B" w:rsidR="00CA5D9F" w:rsidRPr="008929D6" w:rsidRDefault="00041D14" w:rsidP="008929D6">
      <w:pPr>
        <w:spacing w:after="160" w:line="259" w:lineRule="auto"/>
        <w:jc w:val="both"/>
        <w:rPr>
          <w:rFonts w:eastAsia="Times New Roman"/>
          <w:sz w:val="22"/>
          <w:szCs w:val="22"/>
          <w:lang w:eastAsia="en-GB"/>
        </w:rPr>
      </w:pPr>
      <w:r w:rsidRPr="005E19AF">
        <w:rPr>
          <w:rFonts w:eastAsia="Times New Roman"/>
          <w:sz w:val="22"/>
          <w:szCs w:val="22"/>
          <w:lang w:eastAsia="en-GB"/>
        </w:rPr>
        <w:t xml:space="preserve">The effective enjoyment of Covenant rights by refugees and asylum-seekers in Hungary remains seriously undermined by the </w:t>
      </w:r>
      <w:r w:rsidRPr="00CA5D9F">
        <w:rPr>
          <w:rFonts w:eastAsia="Times New Roman"/>
          <w:sz w:val="22"/>
          <w:szCs w:val="22"/>
          <w:lang w:eastAsia="en-GB"/>
        </w:rPr>
        <w:t xml:space="preserve">systematic denial of access to asylum procedures and the absence of effective remedies, </w:t>
      </w:r>
      <w:r w:rsidRPr="005E19AF">
        <w:rPr>
          <w:rFonts w:eastAsia="Times New Roman"/>
          <w:sz w:val="22"/>
          <w:szCs w:val="22"/>
          <w:lang w:eastAsia="en-GB"/>
        </w:rPr>
        <w:t>despite the Committee’s previous Concluding Observations expressing concern about Hungary’s migration-related legislative framework.</w:t>
      </w:r>
      <w:r w:rsidRPr="005E19AF">
        <w:rPr>
          <w:rStyle w:val="Lbjegyzet-hivatkozs"/>
          <w:rFonts w:eastAsia="Times New Roman"/>
          <w:sz w:val="22"/>
          <w:szCs w:val="22"/>
          <w:lang w:eastAsia="en-GB"/>
        </w:rPr>
        <w:footnoteReference w:id="25"/>
      </w:r>
      <w:r w:rsidRPr="005E19AF">
        <w:rPr>
          <w:rFonts w:eastAsia="Times New Roman"/>
          <w:sz w:val="22"/>
          <w:szCs w:val="22"/>
          <w:lang w:eastAsia="en-GB"/>
        </w:rPr>
        <w:t xml:space="preserve"> </w:t>
      </w:r>
      <w:r w:rsidR="00DC70DE" w:rsidRPr="005E19AF">
        <w:rPr>
          <w:rFonts w:eastAsia="Times New Roman"/>
          <w:sz w:val="22"/>
          <w:szCs w:val="22"/>
          <w:lang w:eastAsia="en-GB"/>
        </w:rPr>
        <w:t xml:space="preserve">Taken together, the denial of access to asylum, the restrictive and legally precarious nature of temporary protection, and the absence of effective remedies </w:t>
      </w:r>
      <w:r w:rsidR="00600C29">
        <w:rPr>
          <w:rFonts w:eastAsia="Times New Roman"/>
          <w:sz w:val="22"/>
          <w:szCs w:val="22"/>
          <w:lang w:eastAsia="en-GB"/>
        </w:rPr>
        <w:t xml:space="preserve">as detailed below </w:t>
      </w:r>
      <w:r w:rsidR="00DC70DE" w:rsidRPr="005E19AF">
        <w:rPr>
          <w:rFonts w:eastAsia="Times New Roman"/>
          <w:sz w:val="22"/>
          <w:szCs w:val="22"/>
          <w:lang w:eastAsia="en-GB"/>
        </w:rPr>
        <w:t xml:space="preserve">amount to a </w:t>
      </w:r>
      <w:r w:rsidR="00DC70DE" w:rsidRPr="00DC70DE">
        <w:rPr>
          <w:rFonts w:eastAsia="Times New Roman"/>
          <w:sz w:val="22"/>
          <w:szCs w:val="22"/>
          <w:lang w:eastAsia="en-GB"/>
        </w:rPr>
        <w:t>systemic failure</w:t>
      </w:r>
      <w:r w:rsidR="00DC70DE" w:rsidRPr="005E19AF">
        <w:rPr>
          <w:rFonts w:eastAsia="Times New Roman"/>
          <w:sz w:val="22"/>
          <w:szCs w:val="22"/>
          <w:lang w:eastAsia="en-GB"/>
        </w:rPr>
        <w:t xml:space="preserve"> to comply with Articles 2(1) and 2(3) of the Covenant, in conjunction with Articles 6, 7, 13 and 24. This situation persists despite the Committee’s previous recommendations, and demonstrates a failure to ensure the practical and effective protection required under the Covenant.</w:t>
      </w:r>
    </w:p>
    <w:p w14:paraId="6342074A" w14:textId="0B91EC4E" w:rsidR="00041D14" w:rsidRPr="008929D6" w:rsidRDefault="00041D14" w:rsidP="00041D14">
      <w:pPr>
        <w:spacing w:after="160" w:line="259" w:lineRule="auto"/>
        <w:rPr>
          <w:sz w:val="22"/>
          <w:szCs w:val="22"/>
          <w:u w:val="single"/>
        </w:rPr>
      </w:pPr>
      <w:r w:rsidRPr="008929D6">
        <w:rPr>
          <w:sz w:val="22"/>
          <w:szCs w:val="22"/>
          <w:u w:val="single"/>
        </w:rPr>
        <w:t>Denial of access to asylum and the absence of remedies</w:t>
      </w:r>
    </w:p>
    <w:p w14:paraId="771E8802" w14:textId="77777777" w:rsidR="00041D14" w:rsidRPr="005E19AF" w:rsidRDefault="00041D14" w:rsidP="00041D14">
      <w:pPr>
        <w:spacing w:after="160" w:line="259" w:lineRule="auto"/>
        <w:jc w:val="both"/>
        <w:rPr>
          <w:rFonts w:eastAsia="Times New Roman"/>
          <w:sz w:val="22"/>
          <w:szCs w:val="22"/>
          <w:lang w:eastAsia="en-GB"/>
        </w:rPr>
      </w:pPr>
      <w:r w:rsidRPr="005E19AF">
        <w:rPr>
          <w:rFonts w:eastAsia="Times New Roman"/>
          <w:sz w:val="22"/>
          <w:szCs w:val="22"/>
          <w:lang w:eastAsia="en-GB"/>
        </w:rPr>
        <w:t>The Committee has previously expressed concern about the lack of effective safeguards for asylum-seekers and the practical obstacles to accessing protection in Hungary. These concerns remain unaddressed, in fact, changes since the adoption of the previous Concluding Observations led to further deterioration in this regard.</w:t>
      </w:r>
    </w:p>
    <w:p w14:paraId="6954A4AB" w14:textId="080EF933" w:rsidR="00041D14" w:rsidRPr="005E19AF" w:rsidRDefault="5A1DF26C" w:rsidP="00041D14">
      <w:pPr>
        <w:spacing w:after="160" w:line="259" w:lineRule="auto"/>
        <w:jc w:val="both"/>
        <w:rPr>
          <w:rFonts w:eastAsia="Times New Roman"/>
          <w:sz w:val="22"/>
          <w:szCs w:val="22"/>
          <w:lang w:eastAsia="en-GB"/>
        </w:rPr>
      </w:pPr>
      <w:r w:rsidRPr="005E19AF">
        <w:rPr>
          <w:rFonts w:eastAsia="Times New Roman"/>
          <w:sz w:val="22"/>
          <w:szCs w:val="22"/>
          <w:lang w:eastAsia="en-GB"/>
        </w:rPr>
        <w:t xml:space="preserve">In May 2020, Hungary introduced a protection framework in which access to the asylum procedure is, in practice, almost entirely blocked. The new system was officially introduced as temporary, with reference to the pandemic. However, it continues to remain in force five years later. Under the so-called “embassy procedure”, individuals (except unaccompanied minors, those in detention or under a compulsory place of stay decision and entered Hungary lawfully) must submit a declaration of intent </w:t>
      </w:r>
      <w:r w:rsidRPr="005E19AF">
        <w:rPr>
          <w:rFonts w:eastAsia="Times New Roman"/>
          <w:sz w:val="22"/>
          <w:szCs w:val="22"/>
          <w:lang w:eastAsia="en-GB"/>
        </w:rPr>
        <w:lastRenderedPageBreak/>
        <w:t xml:space="preserve">at a Hungarian embassy outside the territory </w:t>
      </w:r>
      <w:proofErr w:type="gramStart"/>
      <w:r w:rsidRPr="005E19AF">
        <w:rPr>
          <w:rFonts w:eastAsia="Times New Roman"/>
          <w:sz w:val="22"/>
          <w:szCs w:val="22"/>
          <w:lang w:eastAsia="en-GB"/>
        </w:rPr>
        <w:t>in order to</w:t>
      </w:r>
      <w:proofErr w:type="gramEnd"/>
      <w:r w:rsidRPr="005E19AF">
        <w:rPr>
          <w:rFonts w:eastAsia="Times New Roman"/>
          <w:sz w:val="22"/>
          <w:szCs w:val="22"/>
          <w:lang w:eastAsia="en-GB"/>
        </w:rPr>
        <w:t xml:space="preserve"> be authorised to lodge an asylum application in Hungary. This system does not provide guarantees of accessibility, does not involve an examination of protection needs, and does not result in a reasoned decision subject to judicial review.</w:t>
      </w:r>
      <w:r w:rsidR="00041D14" w:rsidRPr="005E19AF">
        <w:rPr>
          <w:rStyle w:val="Lbjegyzet-hivatkozs"/>
          <w:rFonts w:eastAsia="Times New Roman"/>
          <w:sz w:val="22"/>
          <w:szCs w:val="22"/>
          <w:lang w:eastAsia="en-GB"/>
        </w:rPr>
        <w:footnoteReference w:id="26"/>
      </w:r>
    </w:p>
    <w:p w14:paraId="6F3E1C58" w14:textId="51216BB7" w:rsidR="00041D14" w:rsidRPr="005E19AF" w:rsidRDefault="5A1DF26C" w:rsidP="00041D14">
      <w:pPr>
        <w:spacing w:after="160" w:line="259" w:lineRule="auto"/>
        <w:jc w:val="both"/>
        <w:rPr>
          <w:rFonts w:eastAsia="Times New Roman"/>
          <w:sz w:val="22"/>
          <w:szCs w:val="22"/>
          <w:lang w:eastAsia="en-GB"/>
        </w:rPr>
      </w:pPr>
      <w:r w:rsidRPr="03AE4585">
        <w:rPr>
          <w:rFonts w:eastAsia="Times New Roman"/>
          <w:sz w:val="22"/>
          <w:szCs w:val="22"/>
          <w:lang w:eastAsia="en-GB"/>
        </w:rPr>
        <w:t>Refusals under the embassy procedure are not accompanied by a formal decision amenable to an effective remedy, depriving applicants to effectively challenge the denial of access to asylum.</w:t>
      </w:r>
    </w:p>
    <w:p w14:paraId="3CD24F36" w14:textId="2C7128EF" w:rsidR="00041D14" w:rsidRPr="00BC021C" w:rsidRDefault="00041D14" w:rsidP="00041D14">
      <w:pPr>
        <w:spacing w:after="160" w:line="259" w:lineRule="auto"/>
        <w:rPr>
          <w:sz w:val="22"/>
          <w:szCs w:val="22"/>
          <w:u w:val="single"/>
        </w:rPr>
      </w:pPr>
      <w:r w:rsidRPr="00BC021C">
        <w:rPr>
          <w:sz w:val="22"/>
          <w:szCs w:val="22"/>
          <w:u w:val="single"/>
        </w:rPr>
        <w:t>Collective expulsions of foreigners continue</w:t>
      </w:r>
    </w:p>
    <w:p w14:paraId="6B358C2D" w14:textId="77777777" w:rsidR="00041D14" w:rsidRPr="005E19AF" w:rsidRDefault="00041D14" w:rsidP="00041D14">
      <w:pPr>
        <w:spacing w:after="160" w:line="259" w:lineRule="auto"/>
        <w:jc w:val="both"/>
        <w:rPr>
          <w:sz w:val="22"/>
          <w:szCs w:val="22"/>
        </w:rPr>
      </w:pPr>
      <w:r w:rsidRPr="005E19AF">
        <w:rPr>
          <w:sz w:val="22"/>
          <w:szCs w:val="22"/>
        </w:rPr>
        <w:t>The legalisation of collective expulsions and their often violent nature was already a primary concern of the Committee, as reflected in the previous Concluding Observations.</w:t>
      </w:r>
      <w:r w:rsidRPr="005E19AF">
        <w:rPr>
          <w:sz w:val="22"/>
          <w:szCs w:val="22"/>
          <w:vertAlign w:val="superscript"/>
        </w:rPr>
        <w:footnoteReference w:id="27"/>
      </w:r>
      <w:r w:rsidRPr="005E19AF">
        <w:rPr>
          <w:sz w:val="22"/>
          <w:szCs w:val="22"/>
        </w:rPr>
        <w:t xml:space="preserve"> The Government has not taken any steps to address the recommendations of the Committee and collective expulsions continue.</w:t>
      </w:r>
      <w:r w:rsidRPr="005E19AF">
        <w:rPr>
          <w:sz w:val="22"/>
          <w:szCs w:val="22"/>
          <w:vertAlign w:val="superscript"/>
        </w:rPr>
        <w:footnoteReference w:id="28"/>
      </w:r>
      <w:r w:rsidRPr="005E19AF">
        <w:rPr>
          <w:sz w:val="22"/>
          <w:szCs w:val="22"/>
        </w:rPr>
        <w:t xml:space="preserve"> Since the previous Concluding Observations, both the CJEU and the ECtHR has found collective expulsions from Hungary in breach of EU law</w:t>
      </w:r>
      <w:r w:rsidRPr="005E19AF">
        <w:rPr>
          <w:sz w:val="22"/>
          <w:szCs w:val="22"/>
          <w:vertAlign w:val="superscript"/>
        </w:rPr>
        <w:footnoteReference w:id="29"/>
      </w:r>
      <w:r w:rsidRPr="005E19AF">
        <w:rPr>
          <w:sz w:val="22"/>
          <w:szCs w:val="22"/>
        </w:rPr>
        <w:t xml:space="preserve"> and the Convention.</w:t>
      </w:r>
      <w:r w:rsidRPr="005E19AF">
        <w:rPr>
          <w:sz w:val="22"/>
          <w:szCs w:val="22"/>
          <w:vertAlign w:val="superscript"/>
        </w:rPr>
        <w:footnoteReference w:id="30"/>
      </w:r>
      <w:r w:rsidRPr="005E19AF">
        <w:rPr>
          <w:sz w:val="22"/>
          <w:szCs w:val="22"/>
        </w:rPr>
        <w:t xml:space="preserve"> These judgments reinforce the Committee’s conclusion that Hungary’s legal framework allowing for collective expulsion of aliens lacks the individualised assessment and procedural safeguards required under Articles 2, 6, 7 and 13.</w:t>
      </w:r>
    </w:p>
    <w:p w14:paraId="004F9815" w14:textId="584D1B0C" w:rsidR="00041D14" w:rsidRPr="00BC021C" w:rsidRDefault="00041D14" w:rsidP="00041D14">
      <w:pPr>
        <w:spacing w:after="160" w:line="259" w:lineRule="auto"/>
        <w:rPr>
          <w:sz w:val="22"/>
          <w:szCs w:val="22"/>
          <w:u w:val="single"/>
        </w:rPr>
      </w:pPr>
      <w:r w:rsidRPr="00BC021C">
        <w:rPr>
          <w:sz w:val="22"/>
          <w:szCs w:val="22"/>
          <w:u w:val="single"/>
        </w:rPr>
        <w:t>Temporary protection as part of a closed protection system</w:t>
      </w:r>
    </w:p>
    <w:p w14:paraId="088A0951" w14:textId="77777777" w:rsidR="00041D14" w:rsidRPr="005E19AF" w:rsidRDefault="00041D14" w:rsidP="00041D14">
      <w:pPr>
        <w:spacing w:after="160" w:line="259" w:lineRule="auto"/>
        <w:jc w:val="both"/>
        <w:rPr>
          <w:rFonts w:eastAsia="Times New Roman"/>
          <w:sz w:val="22"/>
          <w:szCs w:val="22"/>
          <w:lang w:eastAsia="en-GB"/>
        </w:rPr>
      </w:pPr>
      <w:r w:rsidRPr="005E19AF">
        <w:rPr>
          <w:rFonts w:eastAsia="Times New Roman"/>
          <w:sz w:val="22"/>
          <w:szCs w:val="22"/>
          <w:lang w:eastAsia="en-GB"/>
        </w:rPr>
        <w:t>The shortcomings described above are particularly severe in relation to those fleeing Ukraine. In Hungary, temporary protection does not operate alongside access to asylum, but rather within a closed protection system, in which access to refugee status or subsidiary protection is practically unavailable.</w:t>
      </w:r>
    </w:p>
    <w:p w14:paraId="329417EF" w14:textId="77777777" w:rsidR="00041D14" w:rsidRPr="005E19AF" w:rsidRDefault="00041D14" w:rsidP="00041D14">
      <w:pPr>
        <w:spacing w:after="160" w:line="259" w:lineRule="auto"/>
        <w:jc w:val="both"/>
        <w:rPr>
          <w:rFonts w:eastAsia="Times New Roman"/>
          <w:sz w:val="22"/>
          <w:szCs w:val="22"/>
          <w:lang w:eastAsia="en-GB"/>
        </w:rPr>
      </w:pPr>
      <w:r w:rsidRPr="005E19AF">
        <w:rPr>
          <w:rFonts w:eastAsia="Times New Roman"/>
          <w:sz w:val="22"/>
          <w:szCs w:val="22"/>
          <w:lang w:eastAsia="en-GB"/>
        </w:rPr>
        <w:t xml:space="preserve">Hungary’s implementation of temporary protection applies a narrow personal scope, excluding, </w:t>
      </w:r>
      <w:r w:rsidRPr="6BAC57F3">
        <w:rPr>
          <w:rFonts w:eastAsia="Times New Roman"/>
          <w:i/>
          <w:iCs/>
          <w:sz w:val="22"/>
          <w:szCs w:val="22"/>
          <w:lang w:eastAsia="en-GB"/>
        </w:rPr>
        <w:t>inter alia</w:t>
      </w:r>
      <w:r w:rsidRPr="005E19AF">
        <w:rPr>
          <w:rFonts w:eastAsia="Times New Roman"/>
          <w:sz w:val="22"/>
          <w:szCs w:val="22"/>
          <w:lang w:eastAsia="en-GB"/>
        </w:rPr>
        <w:t>, certain non-Ukrainian nationals fleeing Ukraine who did not hold permanent residence status prior to displacement.</w:t>
      </w:r>
      <w:r w:rsidRPr="005E19AF">
        <w:rPr>
          <w:rStyle w:val="Lbjegyzet-hivatkozs"/>
          <w:rFonts w:eastAsia="Times New Roman"/>
          <w:sz w:val="22"/>
          <w:szCs w:val="22"/>
          <w:lang w:eastAsia="en-GB"/>
        </w:rPr>
        <w:footnoteReference w:id="31"/>
      </w:r>
      <w:r w:rsidRPr="005E19AF">
        <w:rPr>
          <w:rFonts w:eastAsia="Times New Roman"/>
          <w:sz w:val="22"/>
          <w:szCs w:val="22"/>
          <w:lang w:eastAsia="en-GB"/>
        </w:rPr>
        <w:t xml:space="preserve"> Individuals falling outside this scope have no realistic access to asylum due to the embassy procedure and therefore remain without any form of effective international protection.</w:t>
      </w:r>
    </w:p>
    <w:p w14:paraId="7666F3D1" w14:textId="0AEC15D6" w:rsidR="00041D14" w:rsidRPr="005E19AF" w:rsidRDefault="5A1DF26C" w:rsidP="00041D14">
      <w:pPr>
        <w:spacing w:after="160" w:line="259" w:lineRule="auto"/>
        <w:jc w:val="both"/>
        <w:rPr>
          <w:rFonts w:eastAsia="Times New Roman"/>
          <w:sz w:val="22"/>
          <w:szCs w:val="22"/>
          <w:lang w:eastAsia="en-GB"/>
        </w:rPr>
      </w:pPr>
      <w:r w:rsidRPr="03AE4585">
        <w:rPr>
          <w:rFonts w:eastAsia="Times New Roman"/>
          <w:sz w:val="22"/>
          <w:szCs w:val="22"/>
          <w:lang w:eastAsia="en-GB"/>
        </w:rPr>
        <w:t xml:space="preserve">Moreover, Hungarian law does not provide beneficiaries of temporary protection with a possibility to apply for refugee status or subsidiary protection </w:t>
      </w:r>
      <w:proofErr w:type="gramStart"/>
      <w:r w:rsidRPr="03AE4585">
        <w:rPr>
          <w:rFonts w:eastAsia="Times New Roman"/>
          <w:sz w:val="22"/>
          <w:szCs w:val="22"/>
          <w:lang w:eastAsia="en-GB"/>
        </w:rPr>
        <w:t>in order to</w:t>
      </w:r>
      <w:proofErr w:type="gramEnd"/>
      <w:r w:rsidRPr="03AE4585">
        <w:rPr>
          <w:rFonts w:eastAsia="Times New Roman"/>
          <w:sz w:val="22"/>
          <w:szCs w:val="22"/>
          <w:lang w:eastAsia="en-GB"/>
        </w:rPr>
        <w:t xml:space="preserve"> obtain a more secure legal status. As a result, individuals with potentially long-term or heightened protection needs are confined to a precarious, time-limited status without individualised assessment.</w:t>
      </w:r>
    </w:p>
    <w:p w14:paraId="66A49F3C" w14:textId="7DEBDE90" w:rsidR="00041D14" w:rsidRPr="005E19AF" w:rsidRDefault="5A1DF26C" w:rsidP="00041D14">
      <w:pPr>
        <w:spacing w:after="160" w:line="259" w:lineRule="auto"/>
        <w:jc w:val="both"/>
        <w:rPr>
          <w:rFonts w:eastAsia="Times New Roman"/>
          <w:sz w:val="22"/>
          <w:szCs w:val="22"/>
          <w:lang w:eastAsia="en-GB"/>
        </w:rPr>
      </w:pPr>
      <w:r w:rsidRPr="03AE4585">
        <w:rPr>
          <w:rFonts w:eastAsia="Times New Roman"/>
          <w:sz w:val="22"/>
          <w:szCs w:val="22"/>
          <w:lang w:eastAsia="en-GB"/>
        </w:rPr>
        <w:lastRenderedPageBreak/>
        <w:t>This situation is exceptional in comparison with other EU Member States and significantly exacerbates vulnerability, as temporary protection becomes the sole protection framework rather than one option among several.</w:t>
      </w:r>
    </w:p>
    <w:p w14:paraId="547D9E3B" w14:textId="77777777" w:rsidR="00041D14" w:rsidRPr="005E19AF" w:rsidRDefault="00041D14" w:rsidP="00041D14">
      <w:pPr>
        <w:spacing w:after="160" w:line="259" w:lineRule="auto"/>
        <w:jc w:val="both"/>
        <w:rPr>
          <w:rFonts w:eastAsia="Times New Roman"/>
          <w:sz w:val="22"/>
          <w:szCs w:val="22"/>
          <w:lang w:eastAsia="en-GB"/>
        </w:rPr>
      </w:pPr>
      <w:r w:rsidRPr="005E19AF">
        <w:rPr>
          <w:rFonts w:eastAsia="Times New Roman"/>
          <w:sz w:val="22"/>
          <w:szCs w:val="22"/>
          <w:lang w:eastAsia="en-GB"/>
        </w:rPr>
        <w:t>In this context, and taking into account that the overwhelming majority of beneficiaries of temporary protection are women or children (as military aged males were prohibited to leave Ukraine until recently, when exemptions from the prohibition were introduced), severe restrictions introduced in 2023 and 2024 on eligibility to free-of-charge mass shelter accommodation is particularly troubling.</w:t>
      </w:r>
      <w:r w:rsidRPr="005E19AF">
        <w:rPr>
          <w:rStyle w:val="Lbjegyzet-hivatkozs"/>
          <w:rFonts w:eastAsia="Times New Roman"/>
          <w:sz w:val="22"/>
          <w:szCs w:val="22"/>
          <w:lang w:eastAsia="en-GB"/>
        </w:rPr>
        <w:footnoteReference w:id="32"/>
      </w:r>
      <w:r w:rsidRPr="005E19AF">
        <w:rPr>
          <w:rFonts w:eastAsia="Times New Roman"/>
          <w:sz w:val="22"/>
          <w:szCs w:val="22"/>
          <w:lang w:eastAsia="en-GB"/>
        </w:rPr>
        <w:t xml:space="preserve"> Against arbitrary restrictions of access to housing, no effective remedy is available, as shown by the fact that related lawsuits are pending at the first instance for over 17 months.</w:t>
      </w:r>
      <w:r w:rsidRPr="005E19AF">
        <w:rPr>
          <w:rStyle w:val="Lbjegyzet-hivatkozs"/>
          <w:rFonts w:eastAsia="Times New Roman"/>
          <w:sz w:val="22"/>
          <w:szCs w:val="22"/>
          <w:lang w:eastAsia="en-GB"/>
        </w:rPr>
        <w:footnoteReference w:id="33"/>
      </w:r>
    </w:p>
    <w:p w14:paraId="5418A297" w14:textId="77777777" w:rsidR="00041D14" w:rsidRPr="005E19AF" w:rsidRDefault="00041D14" w:rsidP="00B421A9">
      <w:pPr>
        <w:spacing w:after="160" w:line="259" w:lineRule="auto"/>
        <w:rPr>
          <w:i/>
          <w:iCs/>
          <w:sz w:val="22"/>
          <w:szCs w:val="22"/>
          <w:u w:val="single"/>
        </w:rPr>
      </w:pPr>
      <w:r w:rsidRPr="005E19AF">
        <w:rPr>
          <w:i/>
          <w:iCs/>
          <w:sz w:val="22"/>
          <w:szCs w:val="22"/>
          <w:u w:val="single"/>
        </w:rPr>
        <w:t>Suggested questions to the State party:</w:t>
      </w:r>
    </w:p>
    <w:p w14:paraId="5022645B" w14:textId="77777777" w:rsidR="00041D14" w:rsidRPr="005E19AF" w:rsidRDefault="00041D14" w:rsidP="00041D14">
      <w:pPr>
        <w:numPr>
          <w:ilvl w:val="0"/>
          <w:numId w:val="33"/>
        </w:numPr>
        <w:spacing w:after="80" w:line="259" w:lineRule="auto"/>
        <w:jc w:val="both"/>
        <w:rPr>
          <w:rFonts w:eastAsia="Times New Roman"/>
          <w:sz w:val="22"/>
          <w:szCs w:val="22"/>
          <w:lang w:eastAsia="en-GB"/>
        </w:rPr>
      </w:pPr>
      <w:r w:rsidRPr="005E19AF">
        <w:rPr>
          <w:rFonts w:eastAsia="Times New Roman"/>
          <w:sz w:val="22"/>
          <w:szCs w:val="22"/>
          <w:lang w:eastAsia="en-GB"/>
        </w:rPr>
        <w:t>Please explain how individuals seeking international protection can effectively challenge the denial of access to the asylum procedure under the embassy system, including whether such refusals are accompanied by reasoned decisions subject to judicial review.</w:t>
      </w:r>
    </w:p>
    <w:p w14:paraId="5270C74E" w14:textId="77777777" w:rsidR="00041D14" w:rsidRPr="005E19AF" w:rsidRDefault="00041D14" w:rsidP="00041D14">
      <w:pPr>
        <w:numPr>
          <w:ilvl w:val="0"/>
          <w:numId w:val="33"/>
        </w:numPr>
        <w:spacing w:after="80" w:line="259" w:lineRule="auto"/>
        <w:jc w:val="both"/>
        <w:rPr>
          <w:rFonts w:eastAsia="Times New Roman"/>
          <w:sz w:val="22"/>
          <w:szCs w:val="22"/>
          <w:lang w:eastAsia="en-GB"/>
        </w:rPr>
      </w:pPr>
      <w:r w:rsidRPr="005E19AF">
        <w:rPr>
          <w:rFonts w:eastAsia="Times New Roman"/>
          <w:sz w:val="22"/>
          <w:szCs w:val="22"/>
          <w:lang w:eastAsia="en-GB"/>
        </w:rPr>
        <w:t xml:space="preserve">Please indicate what pathways are available to legalise their stay in practice to persons excluded from the personal scope of temporary protection, </w:t>
      </w:r>
      <w:proofErr w:type="gramStart"/>
      <w:r w:rsidRPr="005E19AF">
        <w:rPr>
          <w:rFonts w:eastAsia="Times New Roman"/>
          <w:sz w:val="22"/>
          <w:szCs w:val="22"/>
          <w:lang w:eastAsia="en-GB"/>
        </w:rPr>
        <w:t>in light of</w:t>
      </w:r>
      <w:proofErr w:type="gramEnd"/>
      <w:r w:rsidRPr="005E19AF">
        <w:rPr>
          <w:rFonts w:eastAsia="Times New Roman"/>
          <w:sz w:val="22"/>
          <w:szCs w:val="22"/>
          <w:lang w:eastAsia="en-GB"/>
        </w:rPr>
        <w:t xml:space="preserve"> the lack of access to asylum procedures in Hungary.</w:t>
      </w:r>
    </w:p>
    <w:p w14:paraId="4B9AE9C8" w14:textId="77777777" w:rsidR="00041D14" w:rsidRPr="005E19AF" w:rsidRDefault="00041D14" w:rsidP="00041D14">
      <w:pPr>
        <w:numPr>
          <w:ilvl w:val="0"/>
          <w:numId w:val="33"/>
        </w:numPr>
        <w:spacing w:after="80" w:line="259" w:lineRule="auto"/>
        <w:jc w:val="both"/>
        <w:rPr>
          <w:rFonts w:eastAsia="Times New Roman"/>
          <w:sz w:val="22"/>
          <w:szCs w:val="22"/>
          <w:lang w:eastAsia="en-GB"/>
        </w:rPr>
      </w:pPr>
      <w:r w:rsidRPr="005E19AF">
        <w:rPr>
          <w:rFonts w:eastAsia="Times New Roman"/>
          <w:sz w:val="22"/>
          <w:szCs w:val="22"/>
          <w:lang w:eastAsia="en-GB"/>
        </w:rPr>
        <w:t>Please clarify whether beneficiaries of temporary protection may apply for refugee status or subsidiary protection, and if not, how their individual protection needs are assessed in compliance with Articles 2(1) and 2(3) of the Covenant.</w:t>
      </w:r>
    </w:p>
    <w:p w14:paraId="11076D75" w14:textId="77777777" w:rsidR="00041D14" w:rsidRPr="005E19AF" w:rsidRDefault="00041D14" w:rsidP="00041D14">
      <w:pPr>
        <w:numPr>
          <w:ilvl w:val="0"/>
          <w:numId w:val="33"/>
        </w:numPr>
        <w:spacing w:after="160" w:line="259" w:lineRule="auto"/>
        <w:jc w:val="both"/>
        <w:rPr>
          <w:rFonts w:eastAsia="Times New Roman"/>
          <w:sz w:val="22"/>
          <w:szCs w:val="22"/>
          <w:lang w:eastAsia="en-GB"/>
        </w:rPr>
      </w:pPr>
      <w:proofErr w:type="gramStart"/>
      <w:r w:rsidRPr="005E19AF">
        <w:rPr>
          <w:rFonts w:eastAsia="Times New Roman"/>
          <w:sz w:val="22"/>
          <w:szCs w:val="22"/>
          <w:lang w:eastAsia="en-GB"/>
        </w:rPr>
        <w:t>In light of</w:t>
      </w:r>
      <w:proofErr w:type="gramEnd"/>
      <w:r w:rsidRPr="005E19AF">
        <w:rPr>
          <w:rFonts w:eastAsia="Times New Roman"/>
          <w:sz w:val="22"/>
          <w:szCs w:val="22"/>
          <w:lang w:eastAsia="en-GB"/>
        </w:rPr>
        <w:t xml:space="preserve"> this Committee’s previous Concluding Observations, please provide information on measures taken to end practices in breach of the Covenant, and at a minimum, to ensure effective remedies in cases of alleged ill-treatment, pushbacks, and withdrawal of accommodation or assistance affecting refugees, beneficiaries of temporary protection, and asylum-seekers.</w:t>
      </w:r>
    </w:p>
    <w:p w14:paraId="08DAD179" w14:textId="77777777" w:rsidR="00041D14" w:rsidRDefault="00041D14" w:rsidP="00D65C29">
      <w:pPr>
        <w:spacing w:after="160" w:line="259" w:lineRule="auto"/>
        <w:rPr>
          <w:rFonts w:asciiTheme="minorHAnsi" w:hAnsiTheme="minorHAnsi" w:cstheme="minorHAnsi"/>
          <w:b/>
          <w:bCs/>
          <w:sz w:val="22"/>
          <w:szCs w:val="22"/>
        </w:rPr>
      </w:pPr>
    </w:p>
    <w:p w14:paraId="13270C4A" w14:textId="77777777" w:rsidR="002D3333" w:rsidRDefault="002D3333" w:rsidP="00AC5857">
      <w:pPr>
        <w:spacing w:before="160" w:line="259" w:lineRule="auto"/>
        <w:jc w:val="center"/>
        <w:rPr>
          <w:b/>
          <w:bCs/>
          <w:sz w:val="30"/>
          <w:szCs w:val="30"/>
        </w:rPr>
      </w:pPr>
      <w:r w:rsidRPr="001752DF">
        <w:rPr>
          <w:b/>
          <w:bCs/>
          <w:sz w:val="30"/>
          <w:szCs w:val="30"/>
        </w:rPr>
        <w:t>Article</w:t>
      </w:r>
      <w:r>
        <w:rPr>
          <w:b/>
          <w:bCs/>
          <w:sz w:val="30"/>
          <w:szCs w:val="30"/>
        </w:rPr>
        <w:t>s</w:t>
      </w:r>
      <w:r w:rsidRPr="001752DF">
        <w:rPr>
          <w:b/>
          <w:bCs/>
          <w:sz w:val="30"/>
          <w:szCs w:val="30"/>
        </w:rPr>
        <w:t xml:space="preserve"> 2, 7</w:t>
      </w:r>
      <w:r>
        <w:rPr>
          <w:b/>
          <w:bCs/>
          <w:sz w:val="30"/>
          <w:szCs w:val="30"/>
        </w:rPr>
        <w:t xml:space="preserve">, </w:t>
      </w:r>
      <w:r w:rsidRPr="001752DF">
        <w:rPr>
          <w:b/>
          <w:bCs/>
          <w:sz w:val="30"/>
          <w:szCs w:val="30"/>
        </w:rPr>
        <w:t>10</w:t>
      </w:r>
      <w:r>
        <w:rPr>
          <w:b/>
          <w:bCs/>
          <w:sz w:val="30"/>
          <w:szCs w:val="30"/>
        </w:rPr>
        <w:t xml:space="preserve">, 24 and 26 </w:t>
      </w:r>
      <w:r w:rsidRPr="001752DF">
        <w:rPr>
          <w:b/>
          <w:bCs/>
          <w:sz w:val="30"/>
          <w:szCs w:val="30"/>
        </w:rPr>
        <w:t xml:space="preserve">of the </w:t>
      </w:r>
      <w:r>
        <w:rPr>
          <w:b/>
          <w:bCs/>
          <w:sz w:val="30"/>
          <w:szCs w:val="30"/>
        </w:rPr>
        <w:t>Covenant</w:t>
      </w:r>
    </w:p>
    <w:p w14:paraId="5C0F417B" w14:textId="77777777" w:rsidR="002D3333" w:rsidRPr="001752DF" w:rsidRDefault="002D3333" w:rsidP="006968DF">
      <w:pPr>
        <w:spacing w:line="259" w:lineRule="auto"/>
        <w:rPr>
          <w:b/>
          <w:bCs/>
          <w:sz w:val="22"/>
          <w:szCs w:val="22"/>
        </w:rPr>
      </w:pPr>
    </w:p>
    <w:p w14:paraId="504FFA47" w14:textId="77777777" w:rsidR="002D3333" w:rsidRPr="001752DF" w:rsidRDefault="002D3333" w:rsidP="002D3333">
      <w:pPr>
        <w:spacing w:after="160" w:line="259" w:lineRule="auto"/>
        <w:rPr>
          <w:b/>
          <w:bCs/>
          <w:sz w:val="26"/>
          <w:szCs w:val="26"/>
        </w:rPr>
      </w:pPr>
      <w:r w:rsidRPr="001752DF">
        <w:rPr>
          <w:b/>
          <w:bCs/>
          <w:sz w:val="26"/>
          <w:szCs w:val="26"/>
        </w:rPr>
        <w:t>Prison overcrowding and inhumane detention conditions</w:t>
      </w:r>
    </w:p>
    <w:p w14:paraId="27415388" w14:textId="77777777" w:rsidR="002D3333" w:rsidRDefault="002D3333" w:rsidP="002D3333">
      <w:pPr>
        <w:spacing w:after="160" w:line="259" w:lineRule="auto"/>
        <w:jc w:val="both"/>
        <w:rPr>
          <w:sz w:val="22"/>
          <w:szCs w:val="22"/>
        </w:rPr>
      </w:pPr>
      <w:r w:rsidRPr="7FBE7D02">
        <w:rPr>
          <w:sz w:val="22"/>
          <w:szCs w:val="22"/>
        </w:rPr>
        <w:t>Hungary</w:t>
      </w:r>
      <w:r>
        <w:rPr>
          <w:sz w:val="22"/>
          <w:szCs w:val="22"/>
        </w:rPr>
        <w:t>’</w:t>
      </w:r>
      <w:r w:rsidRPr="7FBE7D02">
        <w:rPr>
          <w:sz w:val="22"/>
          <w:szCs w:val="22"/>
        </w:rPr>
        <w:t xml:space="preserve">s penal system faces significant challenges, with prison overcrowding leading to substandard detention conditions for around 40,000 detainees annually. In its </w:t>
      </w:r>
      <w:r w:rsidRPr="1AF725D8">
        <w:rPr>
          <w:sz w:val="22"/>
          <w:szCs w:val="22"/>
        </w:rPr>
        <w:t xml:space="preserve">previous Concluding </w:t>
      </w:r>
      <w:r w:rsidRPr="003D0989">
        <w:rPr>
          <w:sz w:val="22"/>
          <w:szCs w:val="22"/>
        </w:rPr>
        <w:t>Observations,</w:t>
      </w:r>
      <w:r w:rsidRPr="003D0989">
        <w:rPr>
          <w:sz w:val="22"/>
          <w:szCs w:val="22"/>
          <w:vertAlign w:val="superscript"/>
        </w:rPr>
        <w:footnoteReference w:id="34"/>
      </w:r>
      <w:r w:rsidRPr="003D0989">
        <w:rPr>
          <w:sz w:val="22"/>
          <w:szCs w:val="22"/>
          <w:vertAlign w:val="superscript"/>
        </w:rPr>
        <w:t xml:space="preserve"> </w:t>
      </w:r>
      <w:r w:rsidRPr="1AF725D8">
        <w:rPr>
          <w:sz w:val="22"/>
          <w:szCs w:val="22"/>
        </w:rPr>
        <w:t xml:space="preserve">the Committee expressed concern about persistent overcrowding, inadequate detention conditions </w:t>
      </w:r>
      <w:r w:rsidRPr="1AF725D8">
        <w:rPr>
          <w:sz w:val="22"/>
          <w:szCs w:val="22"/>
        </w:rPr>
        <w:lastRenderedPageBreak/>
        <w:t>and the limited use of non-custodial alternatives, yet these problems remain systemic and continue to give rise to serious concerns under Articles 7 and 10 of the Covenant.</w:t>
      </w:r>
      <w:r w:rsidRPr="1AF725D8">
        <w:rPr>
          <w:sz w:val="22"/>
          <w:szCs w:val="22"/>
          <w:vertAlign w:val="superscript"/>
        </w:rPr>
        <w:footnoteReference w:id="35"/>
      </w:r>
    </w:p>
    <w:p w14:paraId="102E44CD" w14:textId="77777777" w:rsidR="002D3333" w:rsidRDefault="002D3333" w:rsidP="002D3333">
      <w:pPr>
        <w:spacing w:after="160" w:line="259" w:lineRule="auto"/>
        <w:jc w:val="both"/>
        <w:rPr>
          <w:sz w:val="22"/>
          <w:szCs w:val="22"/>
        </w:rPr>
      </w:pPr>
      <w:r w:rsidRPr="7FBE7D02">
        <w:rPr>
          <w:sz w:val="22"/>
          <w:szCs w:val="22"/>
        </w:rPr>
        <w:t>As of 31 May 2025, there were 19,341 prisoners for 17,524 places, indicating an occupancy rate of 110%.</w:t>
      </w:r>
      <w:r w:rsidRPr="7FBE7D02">
        <w:rPr>
          <w:sz w:val="22"/>
          <w:szCs w:val="22"/>
          <w:vertAlign w:val="superscript"/>
        </w:rPr>
        <w:footnoteReference w:id="36"/>
      </w:r>
      <w:r w:rsidRPr="7FBE7D02">
        <w:rPr>
          <w:sz w:val="22"/>
          <w:szCs w:val="22"/>
        </w:rPr>
        <w:t xml:space="preserve"> Furthermore, 4,482 prisoners were being held for pre-trial detention, accounting for 23.2% of the incarcerated population and significantly contributing to prison overpopulation.</w:t>
      </w:r>
      <w:r w:rsidRPr="7FBE7D02">
        <w:rPr>
          <w:sz w:val="22"/>
          <w:szCs w:val="22"/>
          <w:vertAlign w:val="superscript"/>
        </w:rPr>
        <w:footnoteReference w:id="37"/>
      </w:r>
    </w:p>
    <w:p w14:paraId="5A122F62" w14:textId="77777777" w:rsidR="002D3333" w:rsidRDefault="002D3333" w:rsidP="002D3333">
      <w:pPr>
        <w:spacing w:after="160" w:line="259" w:lineRule="auto"/>
        <w:jc w:val="both"/>
        <w:rPr>
          <w:sz w:val="22"/>
          <w:szCs w:val="22"/>
        </w:rPr>
      </w:pPr>
      <w:r w:rsidRPr="31AF699C">
        <w:rPr>
          <w:sz w:val="22"/>
          <w:szCs w:val="22"/>
        </w:rPr>
        <w:t>Inadequate material conditions, including unsanitary environments, insufficient temperature control and ventilation, lack of proper yards and limited access to showers and natural light, impede humane detention. Additionally, no tangible progress has been made in addressing the deficiencies in the compensatory remedy system identified by the Committee of Ministers of the Council of Europe.</w:t>
      </w:r>
    </w:p>
    <w:p w14:paraId="06B0A450" w14:textId="77777777" w:rsidR="002D3333" w:rsidRDefault="002D3333" w:rsidP="002D3333">
      <w:pPr>
        <w:spacing w:after="160" w:line="259" w:lineRule="auto"/>
        <w:jc w:val="both"/>
        <w:rPr>
          <w:sz w:val="22"/>
          <w:szCs w:val="22"/>
          <w:vertAlign w:val="superscript"/>
        </w:rPr>
      </w:pPr>
      <w:r w:rsidRPr="7FBE7D02">
        <w:rPr>
          <w:sz w:val="22"/>
          <w:szCs w:val="22"/>
        </w:rPr>
        <w:t>Overcrowding is exacerbated by the inadequate use of non-custodial alternatives for petty and low-level offences. In 2023, approximately 20% of prisoners were admitted for petty offence confinement,</w:t>
      </w:r>
      <w:r w:rsidRPr="7FBE7D02">
        <w:rPr>
          <w:sz w:val="22"/>
          <w:szCs w:val="22"/>
          <w:vertAlign w:val="superscript"/>
        </w:rPr>
        <w:footnoteReference w:id="38"/>
      </w:r>
      <w:r w:rsidRPr="7FBE7D02">
        <w:rPr>
          <w:sz w:val="22"/>
          <w:szCs w:val="22"/>
        </w:rPr>
        <w:t xml:space="preserve"> mostly for failing to pay fines. This practice particularly violates the rights of persons with disabilities, who, despite legal protections, are still at times detained for such offences or for unpaid fines converted into confinement.</w:t>
      </w:r>
    </w:p>
    <w:p w14:paraId="419C3F25" w14:textId="77777777" w:rsidR="002D3333" w:rsidRPr="001752DF" w:rsidRDefault="002D3333" w:rsidP="002D3333">
      <w:pPr>
        <w:spacing w:after="160" w:line="259" w:lineRule="auto"/>
        <w:rPr>
          <w:sz w:val="22"/>
          <w:szCs w:val="22"/>
          <w:u w:val="single"/>
        </w:rPr>
      </w:pPr>
      <w:r w:rsidRPr="001752DF">
        <w:rPr>
          <w:i/>
          <w:iCs/>
          <w:sz w:val="22"/>
          <w:szCs w:val="22"/>
          <w:u w:val="single"/>
        </w:rPr>
        <w:t>Suggested questions to the State party:</w:t>
      </w:r>
    </w:p>
    <w:p w14:paraId="222F3D1E" w14:textId="77777777" w:rsidR="002D3333" w:rsidRDefault="002D3333" w:rsidP="002D3333">
      <w:pPr>
        <w:pStyle w:val="Listaszerbekezds"/>
        <w:numPr>
          <w:ilvl w:val="0"/>
          <w:numId w:val="29"/>
        </w:numPr>
        <w:spacing w:after="80" w:line="259" w:lineRule="auto"/>
        <w:ind w:left="714" w:hanging="357"/>
        <w:contextualSpacing w:val="0"/>
        <w:jc w:val="both"/>
        <w:rPr>
          <w:sz w:val="22"/>
          <w:szCs w:val="22"/>
        </w:rPr>
      </w:pPr>
      <w:r w:rsidRPr="31AF699C">
        <w:rPr>
          <w:sz w:val="22"/>
          <w:szCs w:val="22"/>
        </w:rPr>
        <w:t xml:space="preserve">What concrete steps is </w:t>
      </w:r>
      <w:r>
        <w:rPr>
          <w:sz w:val="22"/>
          <w:szCs w:val="22"/>
        </w:rPr>
        <w:t>Hungary</w:t>
      </w:r>
      <w:r w:rsidRPr="31AF699C">
        <w:rPr>
          <w:sz w:val="22"/>
          <w:szCs w:val="22"/>
        </w:rPr>
        <w:t xml:space="preserve"> taking to address structural prison overcrowding, tackle the root causes of prison population growth and expand the use of non-custodial alternatives to ensure that detention remains a measure of last resort, in line with Articles 9 and 10 of the Covenant and th</w:t>
      </w:r>
      <w:r>
        <w:rPr>
          <w:sz w:val="22"/>
          <w:szCs w:val="22"/>
        </w:rPr>
        <w:t>is</w:t>
      </w:r>
      <w:r w:rsidRPr="31AF699C">
        <w:rPr>
          <w:sz w:val="22"/>
          <w:szCs w:val="22"/>
        </w:rPr>
        <w:t xml:space="preserve"> Committee’s previous recommendations? What measures are in place to prevent the imprisonment of persons for petty offences or unpaid fines, particularly persons with disabilities, who are exempt from such detention?</w:t>
      </w:r>
    </w:p>
    <w:p w14:paraId="0948771A" w14:textId="77777777" w:rsidR="002D3333" w:rsidRDefault="002D3333" w:rsidP="002D3333">
      <w:pPr>
        <w:pStyle w:val="Listaszerbekezds"/>
        <w:numPr>
          <w:ilvl w:val="0"/>
          <w:numId w:val="29"/>
        </w:numPr>
        <w:spacing w:after="80" w:line="259" w:lineRule="auto"/>
        <w:ind w:left="714" w:hanging="357"/>
        <w:contextualSpacing w:val="0"/>
        <w:jc w:val="both"/>
        <w:rPr>
          <w:sz w:val="22"/>
          <w:szCs w:val="22"/>
        </w:rPr>
      </w:pPr>
      <w:r w:rsidRPr="31AF699C">
        <w:rPr>
          <w:color w:val="000000" w:themeColor="text1"/>
          <w:sz w:val="22"/>
          <w:szCs w:val="22"/>
        </w:rPr>
        <w:t xml:space="preserve">What specific measures have been adopted to improve material conditions of detention, including </w:t>
      </w:r>
      <w:r w:rsidRPr="31AF699C">
        <w:rPr>
          <w:sz w:val="22"/>
          <w:szCs w:val="22"/>
          <w:lang w:eastAsia="en-US"/>
        </w:rPr>
        <w:t>addressing sanitary conditions, temperature control, ventilation, access to natural light and outdoor space?</w:t>
      </w:r>
    </w:p>
    <w:p w14:paraId="3C0DD3B2" w14:textId="77777777" w:rsidR="002D3333" w:rsidRDefault="002D3333" w:rsidP="002D3333">
      <w:pPr>
        <w:pStyle w:val="Listaszerbekezds"/>
        <w:numPr>
          <w:ilvl w:val="0"/>
          <w:numId w:val="29"/>
        </w:numPr>
        <w:spacing w:after="160" w:line="259" w:lineRule="auto"/>
        <w:contextualSpacing w:val="0"/>
        <w:jc w:val="both"/>
        <w:rPr>
          <w:sz w:val="22"/>
          <w:szCs w:val="22"/>
        </w:rPr>
      </w:pPr>
      <w:r w:rsidRPr="31AF699C">
        <w:rPr>
          <w:color w:val="000000" w:themeColor="text1"/>
          <w:sz w:val="22"/>
          <w:szCs w:val="22"/>
        </w:rPr>
        <w:t xml:space="preserve">What steps has </w:t>
      </w:r>
      <w:r>
        <w:rPr>
          <w:color w:val="000000" w:themeColor="text1"/>
          <w:sz w:val="22"/>
          <w:szCs w:val="22"/>
        </w:rPr>
        <w:t>Hungary</w:t>
      </w:r>
      <w:r w:rsidRPr="31AF699C">
        <w:rPr>
          <w:color w:val="000000" w:themeColor="text1"/>
          <w:sz w:val="22"/>
          <w:szCs w:val="22"/>
        </w:rPr>
        <w:t xml:space="preserve"> taken to ensure that the compensatory and preventive remedies for inadequate detention conditions are accessible, effective, and comply with the standards identified by the </w:t>
      </w:r>
      <w:r w:rsidRPr="31AF699C">
        <w:rPr>
          <w:sz w:val="22"/>
          <w:szCs w:val="22"/>
        </w:rPr>
        <w:t>Committee of Ministers of the Council of Europe</w:t>
      </w:r>
      <w:r w:rsidRPr="31AF699C">
        <w:rPr>
          <w:color w:val="000000" w:themeColor="text1"/>
          <w:sz w:val="22"/>
          <w:szCs w:val="22"/>
        </w:rPr>
        <w:t xml:space="preserve"> s</w:t>
      </w:r>
      <w:r w:rsidRPr="31AF699C">
        <w:rPr>
          <w:sz w:val="22"/>
          <w:szCs w:val="22"/>
        </w:rPr>
        <w:t>upported by transparent statistical and case-law data demonstrating their impact?</w:t>
      </w:r>
    </w:p>
    <w:p w14:paraId="797F36CA" w14:textId="77777777" w:rsidR="002D3333" w:rsidRPr="009041FB" w:rsidRDefault="002D3333" w:rsidP="002D3333">
      <w:pPr>
        <w:spacing w:line="259" w:lineRule="auto"/>
        <w:jc w:val="both"/>
        <w:rPr>
          <w:sz w:val="22"/>
          <w:szCs w:val="22"/>
        </w:rPr>
      </w:pPr>
    </w:p>
    <w:p w14:paraId="2065EF80" w14:textId="77777777" w:rsidR="002D3333" w:rsidRPr="001752DF" w:rsidRDefault="002D3333" w:rsidP="002D3333">
      <w:pPr>
        <w:spacing w:after="160" w:line="259" w:lineRule="auto"/>
        <w:rPr>
          <w:b/>
          <w:bCs/>
          <w:sz w:val="26"/>
          <w:szCs w:val="26"/>
        </w:rPr>
      </w:pPr>
      <w:r w:rsidRPr="001752DF">
        <w:rPr>
          <w:b/>
          <w:bCs/>
          <w:sz w:val="26"/>
          <w:szCs w:val="26"/>
        </w:rPr>
        <w:t>Ill-treatment</w:t>
      </w:r>
    </w:p>
    <w:p w14:paraId="01A1CEC1" w14:textId="77777777" w:rsidR="002D3333" w:rsidRDefault="002D3333" w:rsidP="002D3333">
      <w:pPr>
        <w:spacing w:after="160" w:line="259" w:lineRule="auto"/>
        <w:jc w:val="both"/>
        <w:rPr>
          <w:sz w:val="22"/>
          <w:szCs w:val="22"/>
        </w:rPr>
      </w:pPr>
      <w:r w:rsidRPr="1AF725D8">
        <w:rPr>
          <w:sz w:val="22"/>
          <w:szCs w:val="22"/>
        </w:rPr>
        <w:t xml:space="preserve">Humane detention </w:t>
      </w:r>
      <w:r w:rsidRPr="7FBE7D02">
        <w:rPr>
          <w:sz w:val="22"/>
          <w:szCs w:val="22"/>
        </w:rPr>
        <w:t>is undermined by ongoing deficiencies in the prevention, investigation and sanctioning of ill-treatment.</w:t>
      </w:r>
      <w:r w:rsidRPr="7FBE7D02">
        <w:rPr>
          <w:sz w:val="22"/>
          <w:szCs w:val="22"/>
          <w:vertAlign w:val="superscript"/>
        </w:rPr>
        <w:footnoteReference w:id="39"/>
      </w:r>
      <w:r w:rsidRPr="7FBE7D02">
        <w:rPr>
          <w:sz w:val="22"/>
          <w:szCs w:val="22"/>
        </w:rPr>
        <w:t xml:space="preserve"> </w:t>
      </w:r>
      <w:r w:rsidRPr="7FBE7D02">
        <w:rPr>
          <w:color w:val="000000" w:themeColor="text1"/>
          <w:sz w:val="22"/>
          <w:szCs w:val="22"/>
        </w:rPr>
        <w:t>In its previous Concluding Observations,</w:t>
      </w:r>
      <w:r w:rsidRPr="7FBE7D02">
        <w:rPr>
          <w:color w:val="000000" w:themeColor="text1"/>
          <w:sz w:val="22"/>
          <w:szCs w:val="22"/>
          <w:vertAlign w:val="superscript"/>
        </w:rPr>
        <w:footnoteReference w:id="40"/>
      </w:r>
      <w:r w:rsidRPr="7FBE7D02">
        <w:rPr>
          <w:color w:val="000000" w:themeColor="text1"/>
          <w:sz w:val="22"/>
          <w:szCs w:val="22"/>
        </w:rPr>
        <w:t xml:space="preserve"> the Committee expressed </w:t>
      </w:r>
      <w:r w:rsidRPr="7FBE7D02">
        <w:rPr>
          <w:color w:val="000000" w:themeColor="text1"/>
          <w:sz w:val="22"/>
          <w:szCs w:val="22"/>
        </w:rPr>
        <w:lastRenderedPageBreak/>
        <w:t>concern about allegations of excessive use of force and ill-treatment by law enforcement officials, the very low number of prosecutions and convictions and the continued presence of law enforcement personnel during medical examinations of detainees.</w:t>
      </w:r>
    </w:p>
    <w:p w14:paraId="37858001" w14:textId="77777777" w:rsidR="002D3333" w:rsidRDefault="002D3333" w:rsidP="002D3333">
      <w:pPr>
        <w:spacing w:after="160" w:line="259" w:lineRule="auto"/>
        <w:jc w:val="both"/>
        <w:rPr>
          <w:sz w:val="22"/>
          <w:szCs w:val="22"/>
        </w:rPr>
      </w:pPr>
      <w:r w:rsidRPr="31AF699C">
        <w:rPr>
          <w:sz w:val="22"/>
          <w:szCs w:val="22"/>
        </w:rPr>
        <w:t>Between 2019 and 2023, indictments were filed in only 3.6–6.4% of alleged cases of ill-treatment in official proceedings and in 2.8–9.2% of alleged cases of coercive interrogation</w:t>
      </w:r>
      <w:r>
        <w:rPr>
          <w:sz w:val="22"/>
          <w:szCs w:val="22"/>
        </w:rPr>
        <w:t>,</w:t>
      </w:r>
      <w:r w:rsidRPr="31AF699C">
        <w:rPr>
          <w:sz w:val="22"/>
          <w:szCs w:val="22"/>
          <w:vertAlign w:val="superscript"/>
        </w:rPr>
        <w:footnoteReference w:id="41"/>
      </w:r>
      <w:r w:rsidRPr="31AF699C">
        <w:rPr>
          <w:sz w:val="22"/>
          <w:szCs w:val="22"/>
        </w:rPr>
        <w:t xml:space="preserve"> leaving most violations without consequence.</w:t>
      </w:r>
    </w:p>
    <w:p w14:paraId="178C818E" w14:textId="77777777" w:rsidR="002D3333" w:rsidRDefault="002D3333" w:rsidP="002D3333">
      <w:pPr>
        <w:spacing w:after="160" w:line="259" w:lineRule="auto"/>
        <w:jc w:val="both"/>
        <w:rPr>
          <w:sz w:val="22"/>
          <w:szCs w:val="22"/>
          <w:vertAlign w:val="superscript"/>
        </w:rPr>
      </w:pPr>
      <w:r w:rsidRPr="31AF699C">
        <w:rPr>
          <w:sz w:val="22"/>
          <w:szCs w:val="22"/>
        </w:rPr>
        <w:t>Detainees alleging ill-treatment often lack access to independent and adequate medical examinations, and police officers and prison staff are generally present during these examinations. Their presence has reportedly deterred detainees who have been ill-treated from voicing their complaints, as they fear retaliation and see no hope of achieving accountability.</w:t>
      </w:r>
    </w:p>
    <w:p w14:paraId="0452E5B4" w14:textId="742BD138" w:rsidR="002D3333" w:rsidRDefault="50AB6C83" w:rsidP="002D3333">
      <w:pPr>
        <w:spacing w:after="160" w:line="259" w:lineRule="auto"/>
        <w:jc w:val="both"/>
        <w:rPr>
          <w:sz w:val="22"/>
          <w:szCs w:val="22"/>
        </w:rPr>
      </w:pPr>
      <w:r w:rsidRPr="03AE4585">
        <w:rPr>
          <w:sz w:val="22"/>
          <w:szCs w:val="22"/>
        </w:rPr>
        <w:t>Doctors employed by the police are still the ones who examine detainees prior to their placement in police detention facilities and record potential injuries. However, they do not receive any training in the Istanbul Protocol and do not automatically photograph injuries, despite the crucial role such evidence would play.</w:t>
      </w:r>
    </w:p>
    <w:p w14:paraId="7B42D7F2" w14:textId="77777777" w:rsidR="002D3333" w:rsidRDefault="002D3333" w:rsidP="002D3333">
      <w:pPr>
        <w:spacing w:after="160" w:line="259" w:lineRule="auto"/>
        <w:jc w:val="both"/>
        <w:rPr>
          <w:sz w:val="22"/>
          <w:szCs w:val="22"/>
        </w:rPr>
      </w:pPr>
      <w:r w:rsidRPr="1AF725D8">
        <w:rPr>
          <w:sz w:val="22"/>
          <w:szCs w:val="22"/>
        </w:rPr>
        <w:t>Moreover, experience and several ECtHR cases</w:t>
      </w:r>
      <w:r w:rsidRPr="1AF725D8">
        <w:rPr>
          <w:sz w:val="22"/>
          <w:szCs w:val="22"/>
          <w:vertAlign w:val="superscript"/>
        </w:rPr>
        <w:footnoteReference w:id="42"/>
      </w:r>
      <w:r w:rsidRPr="1AF725D8">
        <w:rPr>
          <w:sz w:val="22"/>
          <w:szCs w:val="22"/>
        </w:rPr>
        <w:t xml:space="preserve"> indicate that prosecution offices often fail to investigate ill-treatment cases in a fair manner, neglecting to gather all relevant evidence, conducting superficial inquiries and drawing flawed conclusions.</w:t>
      </w:r>
    </w:p>
    <w:p w14:paraId="4E634989" w14:textId="77777777" w:rsidR="002D3333" w:rsidRPr="001752DF" w:rsidRDefault="002D3333" w:rsidP="002D3333">
      <w:pPr>
        <w:spacing w:after="160" w:line="259" w:lineRule="auto"/>
        <w:rPr>
          <w:sz w:val="22"/>
          <w:szCs w:val="22"/>
          <w:u w:val="single"/>
        </w:rPr>
      </w:pPr>
      <w:r w:rsidRPr="001752DF">
        <w:rPr>
          <w:i/>
          <w:iCs/>
          <w:sz w:val="22"/>
          <w:szCs w:val="22"/>
          <w:u w:val="single"/>
        </w:rPr>
        <w:t>Suggested questions to the State party:</w:t>
      </w:r>
    </w:p>
    <w:p w14:paraId="5208F8E4" w14:textId="77777777" w:rsidR="002D3333" w:rsidRDefault="002D3333" w:rsidP="002D3333">
      <w:pPr>
        <w:pStyle w:val="Listaszerbekezds"/>
        <w:numPr>
          <w:ilvl w:val="0"/>
          <w:numId w:val="24"/>
        </w:numPr>
        <w:spacing w:after="80" w:line="259" w:lineRule="auto"/>
        <w:ind w:left="714" w:hanging="357"/>
        <w:contextualSpacing w:val="0"/>
        <w:jc w:val="both"/>
        <w:rPr>
          <w:sz w:val="22"/>
          <w:szCs w:val="22"/>
        </w:rPr>
      </w:pPr>
      <w:r w:rsidRPr="31AF699C">
        <w:rPr>
          <w:sz w:val="22"/>
          <w:szCs w:val="22"/>
        </w:rPr>
        <w:t>What measures have been taken to ensure that all allegations of torture and ill-treatment are promptly, impartially and effectively investigated, and to remedy the persistently low rate of prosecution and conviction?</w:t>
      </w:r>
    </w:p>
    <w:p w14:paraId="3D4120CA" w14:textId="77777777" w:rsidR="002D3333" w:rsidRDefault="002D3333" w:rsidP="002D3333">
      <w:pPr>
        <w:pStyle w:val="Listaszerbekezds"/>
        <w:numPr>
          <w:ilvl w:val="0"/>
          <w:numId w:val="24"/>
        </w:numPr>
        <w:spacing w:after="80" w:line="259" w:lineRule="auto"/>
        <w:ind w:left="714" w:hanging="357"/>
        <w:contextualSpacing w:val="0"/>
        <w:jc w:val="both"/>
        <w:rPr>
          <w:sz w:val="22"/>
          <w:szCs w:val="22"/>
        </w:rPr>
      </w:pPr>
      <w:r w:rsidRPr="31AF699C">
        <w:rPr>
          <w:sz w:val="22"/>
          <w:szCs w:val="22"/>
        </w:rPr>
        <w:t xml:space="preserve">What steps have been taken to ensure that all medical examinations of detainees are conducted by independent medical professionals trained in the Istanbul Protocol, that injuries are systematically documented, including through photographic evidence, and that prosecutors are required to investigate all allegations of ill-treatment thoroughly, impartially and </w:t>
      </w:r>
      <w:proofErr w:type="gramStart"/>
      <w:r w:rsidRPr="31AF699C">
        <w:rPr>
          <w:sz w:val="22"/>
          <w:szCs w:val="22"/>
        </w:rPr>
        <w:t>on the basis of</w:t>
      </w:r>
      <w:proofErr w:type="gramEnd"/>
      <w:r w:rsidRPr="31AF699C">
        <w:rPr>
          <w:sz w:val="22"/>
          <w:szCs w:val="22"/>
        </w:rPr>
        <w:t xml:space="preserve"> such evidence</w:t>
      </w:r>
      <w:r>
        <w:rPr>
          <w:sz w:val="22"/>
          <w:szCs w:val="22"/>
        </w:rPr>
        <w:t>?</w:t>
      </w:r>
    </w:p>
    <w:p w14:paraId="0693B6AF" w14:textId="77777777" w:rsidR="002D3333" w:rsidRDefault="002D3333" w:rsidP="002D3333">
      <w:pPr>
        <w:pStyle w:val="Listaszerbekezds"/>
        <w:numPr>
          <w:ilvl w:val="0"/>
          <w:numId w:val="24"/>
        </w:numPr>
        <w:spacing w:after="160" w:line="259" w:lineRule="auto"/>
        <w:contextualSpacing w:val="0"/>
        <w:jc w:val="both"/>
        <w:rPr>
          <w:sz w:val="22"/>
          <w:szCs w:val="22"/>
        </w:rPr>
      </w:pPr>
      <w:r w:rsidRPr="31AF699C">
        <w:rPr>
          <w:sz w:val="22"/>
          <w:szCs w:val="22"/>
        </w:rPr>
        <w:t>Describe the measures adopted to ensure that police officers and prison staff are not present during medical examinations of detainees, except in duly justified circumstances, in line with Articles 7 and 10 of the Covenant and th</w:t>
      </w:r>
      <w:r>
        <w:rPr>
          <w:sz w:val="22"/>
          <w:szCs w:val="22"/>
        </w:rPr>
        <w:t>is</w:t>
      </w:r>
      <w:r w:rsidRPr="31AF699C">
        <w:rPr>
          <w:sz w:val="22"/>
          <w:szCs w:val="22"/>
        </w:rPr>
        <w:t xml:space="preserve"> Committee’s previous recommendations.</w:t>
      </w:r>
    </w:p>
    <w:p w14:paraId="6BD40E1F" w14:textId="77777777" w:rsidR="002D3333" w:rsidRDefault="002D3333" w:rsidP="002D3333">
      <w:pPr>
        <w:pStyle w:val="Listaszerbekezds"/>
        <w:numPr>
          <w:ilvl w:val="0"/>
          <w:numId w:val="24"/>
        </w:numPr>
        <w:spacing w:after="80" w:line="259" w:lineRule="auto"/>
        <w:ind w:left="714" w:hanging="357"/>
        <w:contextualSpacing w:val="0"/>
        <w:jc w:val="both"/>
        <w:rPr>
          <w:sz w:val="22"/>
          <w:szCs w:val="22"/>
        </w:rPr>
      </w:pPr>
      <w:r w:rsidRPr="31AF699C">
        <w:rPr>
          <w:sz w:val="22"/>
          <w:szCs w:val="22"/>
        </w:rPr>
        <w:t>Provide information on measures adopted to establish effective victim support mechanisms for persons alleging torture or ill-treatment, including confidential complaint procedures, access to medical and psychological care, legal aid and protection against retaliation.</w:t>
      </w:r>
    </w:p>
    <w:p w14:paraId="412E9E18" w14:textId="77777777" w:rsidR="002D3333" w:rsidRDefault="002D3333" w:rsidP="002D3333">
      <w:pPr>
        <w:pStyle w:val="Listaszerbekezds"/>
        <w:numPr>
          <w:ilvl w:val="0"/>
          <w:numId w:val="24"/>
        </w:numPr>
        <w:spacing w:after="160" w:line="259" w:lineRule="auto"/>
        <w:contextualSpacing w:val="0"/>
        <w:jc w:val="both"/>
        <w:rPr>
          <w:sz w:val="22"/>
          <w:szCs w:val="22"/>
        </w:rPr>
      </w:pPr>
      <w:r w:rsidRPr="31AF699C">
        <w:rPr>
          <w:sz w:val="22"/>
          <w:szCs w:val="22"/>
        </w:rPr>
        <w:t>What measures have been taken to address judicial leniency towards law enforcement officials and to ensure that officers convicted of torture or ill-treatment are not allowed to continue or return to service</w:t>
      </w:r>
      <w:r>
        <w:rPr>
          <w:sz w:val="22"/>
          <w:szCs w:val="22"/>
        </w:rPr>
        <w:t>?</w:t>
      </w:r>
    </w:p>
    <w:p w14:paraId="3473C8AD" w14:textId="77777777" w:rsidR="002D3333" w:rsidRDefault="002D3333" w:rsidP="002D3333">
      <w:pPr>
        <w:spacing w:after="80" w:line="259" w:lineRule="auto"/>
        <w:jc w:val="both"/>
        <w:rPr>
          <w:b/>
          <w:bCs/>
          <w:sz w:val="22"/>
          <w:szCs w:val="22"/>
        </w:rPr>
      </w:pPr>
    </w:p>
    <w:p w14:paraId="58E65309" w14:textId="77777777" w:rsidR="002D3333" w:rsidRPr="001752DF" w:rsidRDefault="002D3333" w:rsidP="002D3333">
      <w:pPr>
        <w:spacing w:after="160" w:line="259" w:lineRule="auto"/>
        <w:jc w:val="both"/>
        <w:rPr>
          <w:b/>
          <w:bCs/>
          <w:sz w:val="26"/>
          <w:szCs w:val="26"/>
        </w:rPr>
      </w:pPr>
      <w:r w:rsidRPr="001752DF">
        <w:rPr>
          <w:b/>
          <w:bCs/>
          <w:sz w:val="26"/>
          <w:szCs w:val="26"/>
        </w:rPr>
        <w:lastRenderedPageBreak/>
        <w:t>Ill-treatment in child and juvenile institutions</w:t>
      </w:r>
    </w:p>
    <w:p w14:paraId="170C7755" w14:textId="77777777" w:rsidR="002D3333" w:rsidRDefault="002D3333" w:rsidP="002D3333">
      <w:pPr>
        <w:spacing w:after="160" w:line="259" w:lineRule="auto"/>
        <w:jc w:val="both"/>
        <w:rPr>
          <w:sz w:val="22"/>
          <w:szCs w:val="22"/>
        </w:rPr>
      </w:pPr>
      <w:r w:rsidRPr="7FBE7D02">
        <w:rPr>
          <w:sz w:val="22"/>
          <w:szCs w:val="22"/>
        </w:rPr>
        <w:t>Reports from 2011</w:t>
      </w:r>
      <w:r>
        <w:rPr>
          <w:sz w:val="22"/>
          <w:szCs w:val="22"/>
        </w:rPr>
        <w:t>–</w:t>
      </w:r>
      <w:r w:rsidRPr="7FBE7D02">
        <w:rPr>
          <w:sz w:val="22"/>
          <w:szCs w:val="22"/>
        </w:rPr>
        <w:t>2025 reveal recurrent findings of physical, psychological, and sexual abuse across children</w:t>
      </w:r>
      <w:r>
        <w:rPr>
          <w:sz w:val="22"/>
          <w:szCs w:val="22"/>
        </w:rPr>
        <w:t>’</w:t>
      </w:r>
      <w:r w:rsidRPr="7FBE7D02">
        <w:rPr>
          <w:sz w:val="22"/>
          <w:szCs w:val="22"/>
        </w:rPr>
        <w:t>s homes, special institutions and juvenile correctional facilities.</w:t>
      </w:r>
      <w:r w:rsidRPr="7FBE7D02">
        <w:rPr>
          <w:sz w:val="22"/>
          <w:szCs w:val="22"/>
          <w:vertAlign w:val="superscript"/>
        </w:rPr>
        <w:footnoteReference w:id="43"/>
      </w:r>
      <w:r w:rsidRPr="7FBE7D02">
        <w:rPr>
          <w:sz w:val="22"/>
          <w:szCs w:val="22"/>
        </w:rPr>
        <w:t xml:space="preserve"> These reports consistently document unlawful physical restraint, corporal punishment, degrading disciplinary practices, peer violence and sexual exploitation, with identical violations recurring years after earlier findings.</w:t>
      </w:r>
    </w:p>
    <w:p w14:paraId="544AC368" w14:textId="1BD81597" w:rsidR="002D3333" w:rsidRDefault="50AB6C83" w:rsidP="002D3333">
      <w:pPr>
        <w:spacing w:after="160" w:line="259" w:lineRule="auto"/>
        <w:jc w:val="both"/>
        <w:rPr>
          <w:sz w:val="22"/>
          <w:szCs w:val="22"/>
        </w:rPr>
      </w:pPr>
      <w:r w:rsidRPr="03AE4585">
        <w:rPr>
          <w:sz w:val="22"/>
          <w:szCs w:val="22"/>
        </w:rPr>
        <w:t>Persistent staff shortages, lack of specialised training, high turnover and inadequate supervision continue to contribute to these systemic abuses. Follow-up inquiries found that corrective measures were largely formalistic, failing to address the root causes of ill-treatment.</w:t>
      </w:r>
    </w:p>
    <w:p w14:paraId="53374A37" w14:textId="77777777" w:rsidR="002D3333" w:rsidRDefault="002D3333" w:rsidP="002D3333">
      <w:pPr>
        <w:spacing w:after="160" w:line="259" w:lineRule="auto"/>
        <w:jc w:val="both"/>
        <w:rPr>
          <w:sz w:val="22"/>
          <w:szCs w:val="22"/>
        </w:rPr>
      </w:pPr>
      <w:r w:rsidRPr="31AF699C">
        <w:rPr>
          <w:sz w:val="22"/>
          <w:szCs w:val="22"/>
        </w:rPr>
        <w:t>Institutional safeguards remain inadequate. Many facilities lack confidential complaint mechanisms, and children are often unable to communicate privately with child-protection guardians or children</w:t>
      </w:r>
      <w:r>
        <w:rPr>
          <w:sz w:val="22"/>
          <w:szCs w:val="22"/>
        </w:rPr>
        <w:t>’</w:t>
      </w:r>
      <w:r w:rsidRPr="31AF699C">
        <w:rPr>
          <w:sz w:val="22"/>
          <w:szCs w:val="22"/>
        </w:rPr>
        <w:t>s rights representatives. In some specialised institutions, ombuds</w:t>
      </w:r>
      <w:r>
        <w:rPr>
          <w:sz w:val="22"/>
          <w:szCs w:val="22"/>
        </w:rPr>
        <w:t>person</w:t>
      </w:r>
      <w:r w:rsidRPr="31AF699C">
        <w:rPr>
          <w:sz w:val="22"/>
          <w:szCs w:val="22"/>
        </w:rPr>
        <w:t xml:space="preserve"> reports indicate that up to 40% of residents were involved in prostitution, while mandatory reporting obligations were repeatedly not met.</w:t>
      </w:r>
    </w:p>
    <w:p w14:paraId="0B270D3B" w14:textId="77777777" w:rsidR="002D3333" w:rsidRDefault="002D3333" w:rsidP="002D3333">
      <w:pPr>
        <w:spacing w:after="160" w:line="259" w:lineRule="auto"/>
        <w:jc w:val="both"/>
        <w:rPr>
          <w:sz w:val="22"/>
          <w:szCs w:val="22"/>
        </w:rPr>
      </w:pPr>
      <w:r w:rsidRPr="1AF725D8">
        <w:rPr>
          <w:sz w:val="22"/>
          <w:szCs w:val="22"/>
        </w:rPr>
        <w:t xml:space="preserve">In May 2025, the arrest of the former director of the Budapest </w:t>
      </w:r>
      <w:proofErr w:type="spellStart"/>
      <w:r w:rsidRPr="1AF725D8">
        <w:rPr>
          <w:sz w:val="22"/>
          <w:szCs w:val="22"/>
        </w:rPr>
        <w:t>Szőlő</w:t>
      </w:r>
      <w:proofErr w:type="spellEnd"/>
      <w:r w:rsidRPr="1AF725D8">
        <w:rPr>
          <w:sz w:val="22"/>
          <w:szCs w:val="22"/>
        </w:rPr>
        <w:t xml:space="preserve"> Street Reformatory shed light on widespread deficiencies. In December 2025, responsibility for juvenile correctional institutions was transferred to law enforcement oversight, raising concerns about the adequacy of child-specific safeguards and </w:t>
      </w:r>
      <w:r w:rsidRPr="1AF725D8">
        <w:rPr>
          <w:color w:val="000000" w:themeColor="text1"/>
          <w:sz w:val="22"/>
          <w:szCs w:val="22"/>
        </w:rPr>
        <w:t xml:space="preserve">compliance </w:t>
      </w:r>
      <w:r w:rsidRPr="1AF725D8">
        <w:rPr>
          <w:sz w:val="22"/>
          <w:szCs w:val="22"/>
        </w:rPr>
        <w:t>with the State party</w:t>
      </w:r>
      <w:r>
        <w:rPr>
          <w:sz w:val="22"/>
          <w:szCs w:val="22"/>
        </w:rPr>
        <w:t>’</w:t>
      </w:r>
      <w:r w:rsidRPr="1AF725D8">
        <w:rPr>
          <w:sz w:val="22"/>
          <w:szCs w:val="22"/>
        </w:rPr>
        <w:t>s obligations to ensure humane treatment and protection for all children in institutional settings.</w:t>
      </w:r>
    </w:p>
    <w:p w14:paraId="74333D76" w14:textId="77777777" w:rsidR="002D3333" w:rsidRPr="001752DF" w:rsidRDefault="002D3333" w:rsidP="002D3333">
      <w:pPr>
        <w:spacing w:after="160" w:line="259" w:lineRule="auto"/>
        <w:jc w:val="both"/>
        <w:rPr>
          <w:i/>
          <w:iCs/>
          <w:sz w:val="22"/>
          <w:szCs w:val="22"/>
          <w:u w:val="single"/>
        </w:rPr>
      </w:pPr>
      <w:r w:rsidRPr="001752DF">
        <w:rPr>
          <w:i/>
          <w:iCs/>
          <w:sz w:val="22"/>
          <w:szCs w:val="22"/>
          <w:u w:val="single"/>
          <w:lang w:eastAsia="en-US"/>
        </w:rPr>
        <w:t>Suggested questions to the State party</w:t>
      </w:r>
      <w:r w:rsidRPr="001752DF">
        <w:rPr>
          <w:i/>
          <w:iCs/>
          <w:sz w:val="22"/>
          <w:szCs w:val="22"/>
          <w:u w:val="single"/>
        </w:rPr>
        <w:t>:</w:t>
      </w:r>
    </w:p>
    <w:p w14:paraId="6CC9DE70" w14:textId="77777777" w:rsidR="002D3333" w:rsidRDefault="002D3333" w:rsidP="002D3333">
      <w:pPr>
        <w:pStyle w:val="Listaszerbekezds"/>
        <w:numPr>
          <w:ilvl w:val="0"/>
          <w:numId w:val="23"/>
        </w:numPr>
        <w:spacing w:after="80" w:line="259" w:lineRule="auto"/>
        <w:ind w:left="714" w:hanging="357"/>
        <w:contextualSpacing w:val="0"/>
        <w:jc w:val="both"/>
        <w:rPr>
          <w:sz w:val="22"/>
          <w:szCs w:val="22"/>
        </w:rPr>
      </w:pPr>
      <w:r w:rsidRPr="31AF699C">
        <w:rPr>
          <w:sz w:val="22"/>
          <w:szCs w:val="22"/>
        </w:rPr>
        <w:t>What measures have been taken to ensure that all allegations of physical, psychological and sexual abuse in children</w:t>
      </w:r>
      <w:r>
        <w:rPr>
          <w:sz w:val="22"/>
          <w:szCs w:val="22"/>
        </w:rPr>
        <w:t>’</w:t>
      </w:r>
      <w:r w:rsidRPr="31AF699C">
        <w:rPr>
          <w:sz w:val="22"/>
          <w:szCs w:val="22"/>
        </w:rPr>
        <w:t>s homes are promptly, impartially and effectively investigated</w:t>
      </w:r>
      <w:r>
        <w:rPr>
          <w:sz w:val="22"/>
          <w:szCs w:val="22"/>
        </w:rPr>
        <w:t>?</w:t>
      </w:r>
      <w:r w:rsidRPr="31AF699C">
        <w:rPr>
          <w:sz w:val="22"/>
          <w:szCs w:val="22"/>
        </w:rPr>
        <w:t xml:space="preserve"> Provide disaggregated data on criminal investigations, prosecutions, and convictions of staff members during the reporting period.</w:t>
      </w:r>
    </w:p>
    <w:p w14:paraId="17675139" w14:textId="77777777" w:rsidR="002D3333" w:rsidRDefault="002D3333" w:rsidP="002D3333">
      <w:pPr>
        <w:pStyle w:val="Listaszerbekezds"/>
        <w:numPr>
          <w:ilvl w:val="0"/>
          <w:numId w:val="23"/>
        </w:numPr>
        <w:spacing w:after="80" w:line="259" w:lineRule="auto"/>
        <w:ind w:left="714" w:hanging="357"/>
        <w:contextualSpacing w:val="0"/>
        <w:jc w:val="both"/>
        <w:rPr>
          <w:sz w:val="22"/>
          <w:szCs w:val="22"/>
        </w:rPr>
      </w:pPr>
      <w:r w:rsidRPr="31AF699C">
        <w:rPr>
          <w:sz w:val="22"/>
          <w:szCs w:val="22"/>
        </w:rPr>
        <w:t xml:space="preserve">Indicate what steps have been taken to ensure mandatory reporting obligations concerning sexual exploitation are systematically enforced, what sanctions have been applied to staff and institutions that failed to report, and what specific measures address child prostitution and exploitation documented in facilities where 25–40% of children </w:t>
      </w:r>
      <w:proofErr w:type="gramStart"/>
      <w:r w:rsidRPr="31AF699C">
        <w:rPr>
          <w:sz w:val="22"/>
          <w:szCs w:val="22"/>
        </w:rPr>
        <w:t>had involvement</w:t>
      </w:r>
      <w:proofErr w:type="gramEnd"/>
      <w:r w:rsidRPr="31AF699C">
        <w:rPr>
          <w:sz w:val="22"/>
          <w:szCs w:val="22"/>
        </w:rPr>
        <w:t xml:space="preserve"> in prostitution.</w:t>
      </w:r>
    </w:p>
    <w:p w14:paraId="71A3A5C9" w14:textId="77777777" w:rsidR="002D3333" w:rsidRDefault="002D3333" w:rsidP="002D3333">
      <w:pPr>
        <w:pStyle w:val="Listaszerbekezds"/>
        <w:numPr>
          <w:ilvl w:val="0"/>
          <w:numId w:val="23"/>
        </w:numPr>
        <w:spacing w:after="80" w:line="259" w:lineRule="auto"/>
        <w:ind w:left="714" w:hanging="357"/>
        <w:contextualSpacing w:val="0"/>
        <w:jc w:val="both"/>
        <w:rPr>
          <w:sz w:val="22"/>
          <w:szCs w:val="22"/>
        </w:rPr>
      </w:pPr>
      <w:r w:rsidRPr="31AF699C">
        <w:rPr>
          <w:sz w:val="22"/>
          <w:szCs w:val="22"/>
        </w:rPr>
        <w:t xml:space="preserve">Describe measures adopted to ensure </w:t>
      </w:r>
      <w:r>
        <w:rPr>
          <w:sz w:val="22"/>
          <w:szCs w:val="22"/>
        </w:rPr>
        <w:t xml:space="preserve">that </w:t>
      </w:r>
      <w:r w:rsidRPr="31AF699C">
        <w:rPr>
          <w:sz w:val="22"/>
          <w:szCs w:val="22"/>
        </w:rPr>
        <w:t>all children</w:t>
      </w:r>
      <w:r>
        <w:rPr>
          <w:sz w:val="22"/>
          <w:szCs w:val="22"/>
        </w:rPr>
        <w:t>’</w:t>
      </w:r>
      <w:r w:rsidRPr="31AF699C">
        <w:rPr>
          <w:sz w:val="22"/>
          <w:szCs w:val="22"/>
        </w:rPr>
        <w:t>s homes have functioning confidential complaint mechanisms, adequate staffing levels, specialised training and effective oversight that goes beyond procedural reforms.</w:t>
      </w:r>
    </w:p>
    <w:p w14:paraId="2E1C050F" w14:textId="77777777" w:rsidR="002D3333" w:rsidRDefault="002D3333" w:rsidP="002D3333">
      <w:pPr>
        <w:pStyle w:val="Listaszerbekezds"/>
        <w:numPr>
          <w:ilvl w:val="0"/>
          <w:numId w:val="23"/>
        </w:numPr>
        <w:spacing w:after="80" w:line="259" w:lineRule="auto"/>
        <w:ind w:left="714" w:hanging="357"/>
        <w:contextualSpacing w:val="0"/>
        <w:jc w:val="both"/>
        <w:rPr>
          <w:sz w:val="22"/>
          <w:szCs w:val="22"/>
        </w:rPr>
      </w:pPr>
      <w:r w:rsidRPr="31AF699C">
        <w:rPr>
          <w:sz w:val="22"/>
          <w:szCs w:val="22"/>
        </w:rPr>
        <w:t xml:space="preserve">Explain what measures have been taken to investigate allegations of ill-treatment in juvenile correctional institutions, provide the status of investigations into human trafficking and forced labour at the </w:t>
      </w:r>
      <w:proofErr w:type="spellStart"/>
      <w:r w:rsidRPr="31AF699C">
        <w:rPr>
          <w:sz w:val="22"/>
          <w:szCs w:val="22"/>
        </w:rPr>
        <w:t>Szőlő</w:t>
      </w:r>
      <w:proofErr w:type="spellEnd"/>
      <w:r w:rsidRPr="31AF699C">
        <w:rPr>
          <w:sz w:val="22"/>
          <w:szCs w:val="22"/>
        </w:rPr>
        <w:t xml:space="preserve"> Street Reformatory, and provide disaggregated data on criminal investigations, prosecutions and convictions during the reporting period.</w:t>
      </w:r>
    </w:p>
    <w:p w14:paraId="03FADFCD" w14:textId="77777777" w:rsidR="002D3333" w:rsidRDefault="002D3333" w:rsidP="002D3333">
      <w:pPr>
        <w:pStyle w:val="Listaszerbekezds"/>
        <w:numPr>
          <w:ilvl w:val="0"/>
          <w:numId w:val="23"/>
        </w:numPr>
        <w:spacing w:after="160" w:line="259" w:lineRule="auto"/>
        <w:contextualSpacing w:val="0"/>
        <w:jc w:val="both"/>
        <w:rPr>
          <w:sz w:val="22"/>
          <w:szCs w:val="22"/>
        </w:rPr>
      </w:pPr>
      <w:r w:rsidRPr="31AF699C">
        <w:rPr>
          <w:sz w:val="22"/>
          <w:szCs w:val="22"/>
        </w:rPr>
        <w:t xml:space="preserve">Explain the rationale for transferring juvenile correctional institutions to police oversight, what child-specific safeguards have been established under this arrangement, and how this ensures compliance with Articles 7, 10, and 24 of the </w:t>
      </w:r>
      <w:r>
        <w:rPr>
          <w:sz w:val="22"/>
          <w:szCs w:val="22"/>
        </w:rPr>
        <w:t>Covenant</w:t>
      </w:r>
      <w:r w:rsidRPr="31AF699C">
        <w:rPr>
          <w:sz w:val="22"/>
          <w:szCs w:val="22"/>
        </w:rPr>
        <w:t>.</w:t>
      </w:r>
    </w:p>
    <w:p w14:paraId="4A687CA9" w14:textId="77777777" w:rsidR="002D3333" w:rsidRPr="00194D55" w:rsidRDefault="002D3333" w:rsidP="002D3333">
      <w:pPr>
        <w:spacing w:line="259" w:lineRule="auto"/>
        <w:jc w:val="both"/>
        <w:rPr>
          <w:b/>
          <w:bCs/>
          <w:sz w:val="22"/>
          <w:szCs w:val="22"/>
        </w:rPr>
      </w:pPr>
    </w:p>
    <w:p w14:paraId="4E3CDD95" w14:textId="4685114D" w:rsidR="00E94BDD" w:rsidRPr="00220E03" w:rsidRDefault="00E94BDD" w:rsidP="00E94BDD">
      <w:pPr>
        <w:spacing w:after="160" w:line="259" w:lineRule="auto"/>
        <w:jc w:val="both"/>
        <w:rPr>
          <w:b/>
          <w:bCs/>
          <w:sz w:val="26"/>
          <w:szCs w:val="26"/>
        </w:rPr>
      </w:pPr>
      <w:r w:rsidRPr="00220E03">
        <w:rPr>
          <w:b/>
          <w:bCs/>
          <w:sz w:val="26"/>
          <w:szCs w:val="26"/>
        </w:rPr>
        <w:t>Ill-treatment of refugees and</w:t>
      </w:r>
      <w:r w:rsidR="00A16F40" w:rsidRPr="00220E03">
        <w:rPr>
          <w:b/>
          <w:bCs/>
          <w:sz w:val="26"/>
          <w:szCs w:val="26"/>
        </w:rPr>
        <w:t xml:space="preserve"> asylum-seekers</w:t>
      </w:r>
    </w:p>
    <w:p w14:paraId="1017D862" w14:textId="7AADC870" w:rsidR="00E94BDD" w:rsidRPr="005E19AF" w:rsidRDefault="4BBD2008" w:rsidP="00E94BDD">
      <w:pPr>
        <w:spacing w:after="160" w:line="259" w:lineRule="auto"/>
        <w:jc w:val="both"/>
        <w:rPr>
          <w:rFonts w:eastAsia="Times New Roman"/>
          <w:sz w:val="22"/>
          <w:szCs w:val="22"/>
          <w:lang w:eastAsia="en-GB"/>
        </w:rPr>
      </w:pPr>
      <w:r w:rsidRPr="005E19AF">
        <w:rPr>
          <w:rFonts w:eastAsia="Times New Roman"/>
          <w:sz w:val="22"/>
          <w:szCs w:val="22"/>
          <w:lang w:eastAsia="en-GB"/>
        </w:rPr>
        <w:t xml:space="preserve">Refugees and asylum-seekers in Hungary continue to face </w:t>
      </w:r>
      <w:r w:rsidRPr="00220E03">
        <w:rPr>
          <w:rFonts w:eastAsia="Times New Roman"/>
          <w:sz w:val="22"/>
          <w:szCs w:val="22"/>
          <w:lang w:eastAsia="en-GB"/>
        </w:rPr>
        <w:t>serious risks of ill-treatment,</w:t>
      </w:r>
      <w:r w:rsidRPr="005E19AF">
        <w:rPr>
          <w:rFonts w:eastAsia="Times New Roman"/>
          <w:sz w:val="22"/>
          <w:szCs w:val="22"/>
          <w:lang w:eastAsia="en-GB"/>
        </w:rPr>
        <w:t xml:space="preserve"> including through violent pushbacks, exposure to degrading conditions, and the absence of effective safeguards against refoulement, as already identified by the Committee.</w:t>
      </w:r>
      <w:r w:rsidR="00E94BDD" w:rsidRPr="005E19AF">
        <w:rPr>
          <w:rStyle w:val="Lbjegyzet-hivatkozs"/>
          <w:rFonts w:eastAsia="Times New Roman"/>
          <w:sz w:val="22"/>
          <w:szCs w:val="22"/>
          <w:lang w:eastAsia="en-GB"/>
        </w:rPr>
        <w:footnoteReference w:id="44"/>
      </w:r>
    </w:p>
    <w:p w14:paraId="6C60A35B" w14:textId="77777777" w:rsidR="00E94BDD" w:rsidRPr="005E19AF" w:rsidRDefault="00E94BDD" w:rsidP="00E94BDD">
      <w:pPr>
        <w:spacing w:after="160" w:line="259" w:lineRule="auto"/>
        <w:jc w:val="both"/>
        <w:rPr>
          <w:rFonts w:eastAsia="Times New Roman"/>
          <w:b/>
          <w:bCs/>
          <w:sz w:val="22"/>
          <w:szCs w:val="22"/>
          <w:lang w:eastAsia="en-GB"/>
        </w:rPr>
      </w:pPr>
      <w:r w:rsidRPr="005E19AF">
        <w:rPr>
          <w:rFonts w:eastAsia="Times New Roman"/>
          <w:sz w:val="22"/>
          <w:szCs w:val="22"/>
          <w:lang w:eastAsia="en-GB"/>
        </w:rPr>
        <w:t xml:space="preserve">As </w:t>
      </w:r>
      <w:r w:rsidRPr="00BC2D0C">
        <w:rPr>
          <w:rFonts w:eastAsia="Times New Roman"/>
          <w:sz w:val="22"/>
          <w:szCs w:val="22"/>
          <w:lang w:eastAsia="en-GB"/>
        </w:rPr>
        <w:t>explained above, individuals subjected to pushbacks are denied access to asylum procedures and expelled without individual assessment, contrary to Article 7. These measures are often characterised by excessive use of force and violence by law enforcement officers. The absence of effective, prompt, and independent investigations into allegations of ill-treatment persists, as reflected both in the Committee’s previous observations and in the jurisprudence of the ECtHR.</w:t>
      </w:r>
      <w:r w:rsidRPr="00BC2D0C">
        <w:rPr>
          <w:rStyle w:val="Lbjegyzet-hivatkozs"/>
          <w:rFonts w:eastAsia="Times New Roman"/>
          <w:sz w:val="22"/>
          <w:szCs w:val="22"/>
          <w:lang w:eastAsia="en-GB"/>
        </w:rPr>
        <w:footnoteReference w:id="45"/>
      </w:r>
      <w:r w:rsidRPr="00BC2D0C">
        <w:rPr>
          <w:rFonts w:eastAsia="Times New Roman"/>
          <w:sz w:val="22"/>
          <w:szCs w:val="22"/>
          <w:lang w:eastAsia="en-GB"/>
        </w:rPr>
        <w:t xml:space="preserve"> This systemic impunity further entrenches the risk of ill-treatment. The lack of effective investigation into ill-treatment committed by law enforcement agents has already been established by the Committee as well on several occasions,</w:t>
      </w:r>
      <w:r w:rsidRPr="00BC2D0C">
        <w:rPr>
          <w:rStyle w:val="Lbjegyzet-hivatkozs"/>
          <w:rFonts w:eastAsia="Times New Roman"/>
          <w:sz w:val="22"/>
          <w:szCs w:val="22"/>
          <w:lang w:eastAsia="en-GB"/>
        </w:rPr>
        <w:footnoteReference w:id="46"/>
      </w:r>
      <w:r w:rsidRPr="00BC2D0C">
        <w:rPr>
          <w:rFonts w:eastAsia="Times New Roman"/>
          <w:sz w:val="22"/>
          <w:szCs w:val="22"/>
          <w:lang w:eastAsia="en-GB"/>
        </w:rPr>
        <w:t xml:space="preserve"> and as explained above, remains</w:t>
      </w:r>
      <w:r w:rsidRPr="005E19AF">
        <w:rPr>
          <w:rFonts w:eastAsia="Times New Roman"/>
          <w:sz w:val="22"/>
          <w:szCs w:val="22"/>
          <w:lang w:eastAsia="en-GB"/>
        </w:rPr>
        <w:t xml:space="preserve"> a structural problem regardless of the legal status, gender, age, nationality of the victim. In the context of pushbacks, this failure is aggravated by the immediate removal of victims from the territory, which further diminishes the prospects of any effective remedy.</w:t>
      </w:r>
    </w:p>
    <w:p w14:paraId="5267BD7D" w14:textId="77777777" w:rsidR="00E94BDD" w:rsidRPr="005E19AF" w:rsidRDefault="00E94BDD" w:rsidP="00E94BDD">
      <w:pPr>
        <w:spacing w:after="160" w:line="259" w:lineRule="auto"/>
        <w:rPr>
          <w:i/>
          <w:iCs/>
          <w:sz w:val="22"/>
          <w:szCs w:val="22"/>
          <w:u w:val="single"/>
        </w:rPr>
      </w:pPr>
      <w:r w:rsidRPr="005E19AF">
        <w:rPr>
          <w:i/>
          <w:iCs/>
          <w:sz w:val="22"/>
          <w:szCs w:val="22"/>
          <w:u w:val="single"/>
        </w:rPr>
        <w:t>Suggested question to the State party:</w:t>
      </w:r>
    </w:p>
    <w:p w14:paraId="57BB61A1" w14:textId="2A710DC8" w:rsidR="00E94BDD" w:rsidRPr="0012381E" w:rsidRDefault="4BBD2008" w:rsidP="00B421A9">
      <w:pPr>
        <w:pStyle w:val="Listaszerbekezds"/>
        <w:numPr>
          <w:ilvl w:val="0"/>
          <w:numId w:val="34"/>
        </w:numPr>
        <w:spacing w:after="160" w:line="259" w:lineRule="auto"/>
        <w:ind w:left="714" w:hanging="357"/>
        <w:jc w:val="both"/>
        <w:rPr>
          <w:b/>
          <w:bCs/>
          <w:sz w:val="22"/>
          <w:szCs w:val="22"/>
        </w:rPr>
      </w:pPr>
      <w:r w:rsidRPr="03AE4585">
        <w:rPr>
          <w:rFonts w:eastAsia="Times New Roman"/>
          <w:sz w:val="22"/>
          <w:szCs w:val="22"/>
          <w:lang w:eastAsia="en-GB"/>
        </w:rPr>
        <w:t>What measures have been taken to effectively investigate allegations of violence and ill-treatment during pushbacks, in line with Article 7 and this Committee’s previous recommendations?</w:t>
      </w:r>
    </w:p>
    <w:p w14:paraId="050B6229" w14:textId="77777777" w:rsidR="00BC2D0C" w:rsidRPr="00BC2D0C" w:rsidRDefault="00BC2D0C" w:rsidP="00BC2D0C">
      <w:pPr>
        <w:spacing w:after="160" w:line="259" w:lineRule="auto"/>
        <w:jc w:val="both"/>
        <w:rPr>
          <w:b/>
          <w:bCs/>
          <w:sz w:val="22"/>
          <w:szCs w:val="22"/>
        </w:rPr>
      </w:pPr>
    </w:p>
    <w:p w14:paraId="25833A49" w14:textId="04E17112" w:rsidR="002D3333" w:rsidRPr="00194D55" w:rsidRDefault="002D3333" w:rsidP="002D3333">
      <w:pPr>
        <w:spacing w:after="160" w:line="259" w:lineRule="auto"/>
        <w:jc w:val="both"/>
        <w:rPr>
          <w:b/>
          <w:bCs/>
          <w:sz w:val="26"/>
          <w:szCs w:val="26"/>
        </w:rPr>
      </w:pPr>
      <w:r w:rsidRPr="00194D55">
        <w:rPr>
          <w:b/>
          <w:bCs/>
          <w:sz w:val="26"/>
          <w:szCs w:val="26"/>
        </w:rPr>
        <w:t>Life sentences</w:t>
      </w:r>
    </w:p>
    <w:p w14:paraId="365FC2A9" w14:textId="77777777" w:rsidR="002D3333" w:rsidRDefault="002D3333" w:rsidP="002D3333">
      <w:pPr>
        <w:spacing w:after="160" w:line="259" w:lineRule="auto"/>
        <w:jc w:val="both"/>
        <w:rPr>
          <w:sz w:val="22"/>
          <w:szCs w:val="22"/>
        </w:rPr>
      </w:pPr>
      <w:r w:rsidRPr="31AF699C">
        <w:rPr>
          <w:sz w:val="22"/>
          <w:szCs w:val="22"/>
        </w:rPr>
        <w:t>Hungarian law continues to permit life imprisonment without the possibility of parole (whole life sentences), with a mandatory clemency procedure only after 40 years of imprisonment, which lacks procedural safeguards. The ECtHR has found Hungary in violation of the prohibition of torture and inhuman or degrading treatment or punishment in several cases concerning both whole life sentences and life sentences with parole.</w:t>
      </w:r>
    </w:p>
    <w:p w14:paraId="12BB9375" w14:textId="77777777" w:rsidR="002D3333" w:rsidRDefault="002D3333" w:rsidP="002D3333">
      <w:pPr>
        <w:spacing w:after="160" w:line="259" w:lineRule="auto"/>
        <w:jc w:val="both"/>
        <w:rPr>
          <w:sz w:val="22"/>
          <w:szCs w:val="22"/>
        </w:rPr>
      </w:pPr>
      <w:r w:rsidRPr="31AF699C">
        <w:rPr>
          <w:color w:val="000000" w:themeColor="text1"/>
          <w:sz w:val="22"/>
          <w:szCs w:val="22"/>
        </w:rPr>
        <w:t>Despite these judgments, the Government has shown no political will to abolish whole life sentences or implement the ECtHR’s rulings, disregarding an interim resolution of the Committee of Ministers</w:t>
      </w:r>
      <w:r>
        <w:rPr>
          <w:color w:val="000000" w:themeColor="text1"/>
          <w:sz w:val="22"/>
          <w:szCs w:val="22"/>
        </w:rPr>
        <w:t xml:space="preserve"> of the Council of Europe</w:t>
      </w:r>
      <w:r w:rsidRPr="6A1395AA">
        <w:rPr>
          <w:color w:val="000000" w:themeColor="text1"/>
          <w:sz w:val="22"/>
          <w:szCs w:val="22"/>
          <w:vertAlign w:val="superscript"/>
        </w:rPr>
        <w:footnoteReference w:id="47"/>
      </w:r>
      <w:r w:rsidRPr="31AF699C">
        <w:rPr>
          <w:color w:val="000000" w:themeColor="text1"/>
          <w:sz w:val="22"/>
          <w:szCs w:val="22"/>
        </w:rPr>
        <w:t xml:space="preserve"> and recommendations by </w:t>
      </w:r>
      <w:r>
        <w:rPr>
          <w:sz w:val="22"/>
          <w:szCs w:val="22"/>
        </w:rPr>
        <w:t>the CPT</w:t>
      </w:r>
      <w:r>
        <w:rPr>
          <w:rStyle w:val="Lbjegyzet-hivatkozs"/>
          <w:sz w:val="22"/>
          <w:szCs w:val="22"/>
        </w:rPr>
        <w:footnoteReference w:id="48"/>
      </w:r>
      <w:r>
        <w:rPr>
          <w:sz w:val="22"/>
          <w:szCs w:val="22"/>
        </w:rPr>
        <w:t xml:space="preserve"> and the Committee</w:t>
      </w:r>
      <w:r w:rsidRPr="3BC49FFC">
        <w:rPr>
          <w:sz w:val="22"/>
          <w:szCs w:val="22"/>
        </w:rPr>
        <w:t>.</w:t>
      </w:r>
      <w:r>
        <w:rPr>
          <w:rStyle w:val="Lbjegyzet-hivatkozs"/>
          <w:sz w:val="22"/>
          <w:szCs w:val="22"/>
        </w:rPr>
        <w:footnoteReference w:id="49"/>
      </w:r>
      <w:r w:rsidRPr="3BC49FFC">
        <w:rPr>
          <w:sz w:val="22"/>
          <w:szCs w:val="22"/>
        </w:rPr>
        <w:t xml:space="preserve"> </w:t>
      </w:r>
      <w:r>
        <w:rPr>
          <w:sz w:val="22"/>
          <w:szCs w:val="22"/>
        </w:rPr>
        <w:t xml:space="preserve">The </w:t>
      </w:r>
      <w:r w:rsidRPr="7FBE7D02">
        <w:rPr>
          <w:sz w:val="22"/>
          <w:szCs w:val="22"/>
        </w:rPr>
        <w:t xml:space="preserve">absence </w:t>
      </w:r>
      <w:r>
        <w:rPr>
          <w:sz w:val="22"/>
          <w:szCs w:val="22"/>
        </w:rPr>
        <w:t>of a legal</w:t>
      </w:r>
      <w:r w:rsidRPr="7FBE7D02">
        <w:rPr>
          <w:sz w:val="22"/>
          <w:szCs w:val="22"/>
        </w:rPr>
        <w:t xml:space="preserve"> reform, combined with </w:t>
      </w:r>
      <w:r>
        <w:rPr>
          <w:sz w:val="22"/>
          <w:szCs w:val="22"/>
        </w:rPr>
        <w:t xml:space="preserve">the practice of </w:t>
      </w:r>
      <w:r w:rsidRPr="3BC49FFC">
        <w:rPr>
          <w:sz w:val="22"/>
          <w:szCs w:val="22"/>
        </w:rPr>
        <w:t>Hungary</w:t>
      </w:r>
      <w:r>
        <w:rPr>
          <w:sz w:val="22"/>
          <w:szCs w:val="22"/>
        </w:rPr>
        <w:t>’</w:t>
      </w:r>
      <w:r w:rsidRPr="3BC49FFC">
        <w:rPr>
          <w:sz w:val="22"/>
          <w:szCs w:val="22"/>
        </w:rPr>
        <w:t xml:space="preserve">s apex court, continues to obstruct individual measures </w:t>
      </w:r>
      <w:r w:rsidRPr="31AF699C">
        <w:rPr>
          <w:color w:val="000000" w:themeColor="text1"/>
          <w:sz w:val="22"/>
          <w:szCs w:val="22"/>
        </w:rPr>
        <w:t xml:space="preserve">required </w:t>
      </w:r>
      <w:r w:rsidRPr="3BC49FFC">
        <w:rPr>
          <w:sz w:val="22"/>
          <w:szCs w:val="22"/>
        </w:rPr>
        <w:t xml:space="preserve">to </w:t>
      </w:r>
      <w:r w:rsidRPr="31AF699C">
        <w:rPr>
          <w:color w:val="000000" w:themeColor="text1"/>
          <w:sz w:val="22"/>
          <w:szCs w:val="22"/>
        </w:rPr>
        <w:t xml:space="preserve">remedy </w:t>
      </w:r>
      <w:r w:rsidRPr="3BC49FFC">
        <w:rPr>
          <w:sz w:val="22"/>
          <w:szCs w:val="22"/>
        </w:rPr>
        <w:t>these violations, leaving</w:t>
      </w:r>
      <w:r>
        <w:rPr>
          <w:sz w:val="22"/>
          <w:szCs w:val="22"/>
        </w:rPr>
        <w:t xml:space="preserve"> affected detainees</w:t>
      </w:r>
      <w:r w:rsidRPr="3BC49FFC">
        <w:rPr>
          <w:sz w:val="22"/>
          <w:szCs w:val="22"/>
        </w:rPr>
        <w:t xml:space="preserve"> without a realistic prospect of release or redress.</w:t>
      </w:r>
      <w:r>
        <w:rPr>
          <w:rStyle w:val="Lbjegyzet-hivatkozs"/>
          <w:sz w:val="22"/>
          <w:szCs w:val="22"/>
        </w:rPr>
        <w:footnoteReference w:id="50"/>
      </w:r>
    </w:p>
    <w:p w14:paraId="41149C9C" w14:textId="77777777" w:rsidR="002D3333" w:rsidRPr="00194D55" w:rsidRDefault="002D3333" w:rsidP="002D3333">
      <w:pPr>
        <w:spacing w:after="160" w:line="259" w:lineRule="auto"/>
        <w:rPr>
          <w:sz w:val="22"/>
          <w:szCs w:val="22"/>
          <w:u w:val="single"/>
        </w:rPr>
      </w:pPr>
      <w:r w:rsidRPr="00194D55">
        <w:rPr>
          <w:i/>
          <w:iCs/>
          <w:sz w:val="22"/>
          <w:szCs w:val="22"/>
          <w:u w:val="single"/>
        </w:rPr>
        <w:lastRenderedPageBreak/>
        <w:t>Suggested questions to the State party:</w:t>
      </w:r>
    </w:p>
    <w:p w14:paraId="4EC8F3D9" w14:textId="77777777" w:rsidR="002D3333" w:rsidRDefault="002D3333" w:rsidP="002D3333">
      <w:pPr>
        <w:pStyle w:val="Listaszerbekezds"/>
        <w:numPr>
          <w:ilvl w:val="0"/>
          <w:numId w:val="31"/>
        </w:numPr>
        <w:spacing w:after="80" w:line="259" w:lineRule="auto"/>
        <w:ind w:left="714" w:hanging="357"/>
        <w:contextualSpacing w:val="0"/>
        <w:jc w:val="both"/>
        <w:rPr>
          <w:sz w:val="22"/>
          <w:szCs w:val="22"/>
        </w:rPr>
      </w:pPr>
      <w:r w:rsidRPr="31AF699C">
        <w:rPr>
          <w:sz w:val="22"/>
          <w:szCs w:val="22"/>
        </w:rPr>
        <w:t>When and how will the Government ensure that the clemency procedure for life sentences without parole provides a meaningful, timely and non-arbitrary opportunity for release, in line with this Committee’s recommendations</w:t>
      </w:r>
      <w:r>
        <w:rPr>
          <w:sz w:val="22"/>
          <w:szCs w:val="22"/>
        </w:rPr>
        <w:t>?</w:t>
      </w:r>
      <w:r>
        <w:rPr>
          <w:rStyle w:val="Lbjegyzet-hivatkozs"/>
          <w:sz w:val="22"/>
          <w:szCs w:val="22"/>
        </w:rPr>
        <w:footnoteReference w:id="51"/>
      </w:r>
    </w:p>
    <w:p w14:paraId="0E3FAA3F" w14:textId="77777777" w:rsidR="002D3333" w:rsidRDefault="002D3333" w:rsidP="002D3333">
      <w:pPr>
        <w:pStyle w:val="Listaszerbekezds"/>
        <w:numPr>
          <w:ilvl w:val="0"/>
          <w:numId w:val="31"/>
        </w:numPr>
        <w:spacing w:after="80" w:line="259" w:lineRule="auto"/>
        <w:ind w:left="714" w:hanging="357"/>
        <w:contextualSpacing w:val="0"/>
        <w:jc w:val="both"/>
        <w:rPr>
          <w:sz w:val="22"/>
          <w:szCs w:val="22"/>
        </w:rPr>
      </w:pPr>
      <w:r w:rsidRPr="31AF699C">
        <w:rPr>
          <w:sz w:val="22"/>
          <w:szCs w:val="22"/>
        </w:rPr>
        <w:t xml:space="preserve">When and how will the Government implement the ECtHR judgments in the </w:t>
      </w:r>
      <w:r w:rsidRPr="31AF699C">
        <w:rPr>
          <w:i/>
          <w:iCs/>
          <w:sz w:val="22"/>
          <w:szCs w:val="22"/>
        </w:rPr>
        <w:t>László Magyar v. Hungary</w:t>
      </w:r>
      <w:r w:rsidRPr="31AF699C">
        <w:rPr>
          <w:sz w:val="22"/>
          <w:szCs w:val="22"/>
        </w:rPr>
        <w:t xml:space="preserve"> group of cases?</w:t>
      </w:r>
    </w:p>
    <w:p w14:paraId="3B72E145" w14:textId="77777777" w:rsidR="002D3333" w:rsidRDefault="002D3333" w:rsidP="002D3333">
      <w:pPr>
        <w:pStyle w:val="Listaszerbekezds"/>
        <w:numPr>
          <w:ilvl w:val="0"/>
          <w:numId w:val="31"/>
        </w:numPr>
        <w:spacing w:after="160" w:line="259" w:lineRule="auto"/>
        <w:contextualSpacing w:val="0"/>
        <w:jc w:val="both"/>
        <w:rPr>
          <w:sz w:val="22"/>
          <w:szCs w:val="22"/>
        </w:rPr>
      </w:pPr>
      <w:r w:rsidRPr="31AF699C">
        <w:rPr>
          <w:sz w:val="22"/>
          <w:szCs w:val="22"/>
        </w:rPr>
        <w:t>What steps are being taken to reduce the minimum term for parole eligibility in life sentence cases to meet ECtHR standards and to guarantee a realistic prospect of release based on rehabilitation and individual circumstances rather than the mere passage of time?</w:t>
      </w:r>
    </w:p>
    <w:p w14:paraId="4138D840" w14:textId="77777777" w:rsidR="002D3333" w:rsidRDefault="002D3333" w:rsidP="002D3333">
      <w:pPr>
        <w:spacing w:line="259" w:lineRule="auto"/>
        <w:rPr>
          <w:b/>
          <w:bCs/>
          <w:sz w:val="22"/>
          <w:szCs w:val="22"/>
        </w:rPr>
      </w:pPr>
    </w:p>
    <w:p w14:paraId="3CCCF454" w14:textId="77777777" w:rsidR="002D3333" w:rsidRPr="00194D55" w:rsidRDefault="002D3333" w:rsidP="002D3333">
      <w:pPr>
        <w:spacing w:after="160" w:line="259" w:lineRule="auto"/>
        <w:rPr>
          <w:b/>
          <w:bCs/>
          <w:sz w:val="26"/>
          <w:szCs w:val="26"/>
        </w:rPr>
      </w:pPr>
      <w:r w:rsidRPr="00194D55">
        <w:rPr>
          <w:b/>
          <w:bCs/>
          <w:sz w:val="26"/>
          <w:szCs w:val="26"/>
        </w:rPr>
        <w:t>Vulnerable detainees</w:t>
      </w:r>
    </w:p>
    <w:p w14:paraId="1DC615A1" w14:textId="77777777" w:rsidR="002D3333" w:rsidRDefault="002D3333" w:rsidP="002D3333">
      <w:pPr>
        <w:spacing w:after="160" w:line="259" w:lineRule="auto"/>
        <w:jc w:val="both"/>
        <w:rPr>
          <w:sz w:val="22"/>
          <w:szCs w:val="22"/>
        </w:rPr>
      </w:pPr>
      <w:r w:rsidRPr="1AF725D8">
        <w:rPr>
          <w:sz w:val="22"/>
          <w:szCs w:val="22"/>
        </w:rPr>
        <w:t>Despite limited progress, detainees with disabilities in Hungary continue to face systemic barriers to equal treatment and humane conditions in detention. Legislative and practical shortcomings persist in ensuring access to barrier-free facilities, therapeutic and psycho-social units, and adequately trained staff.</w:t>
      </w:r>
      <w:r w:rsidRPr="1AF725D8">
        <w:rPr>
          <w:sz w:val="22"/>
          <w:szCs w:val="22"/>
          <w:vertAlign w:val="superscript"/>
        </w:rPr>
        <w:footnoteReference w:id="52"/>
      </w:r>
      <w:r w:rsidRPr="1AF725D8">
        <w:rPr>
          <w:sz w:val="22"/>
          <w:szCs w:val="22"/>
        </w:rPr>
        <w:t xml:space="preserve"> In practice, prisoners with disabilities are frequently placed in standard cells that do not meet their needs and are compelled to rely on fellow inmates for assistance with daily activities, undermining their dignity and equal treatment.</w:t>
      </w:r>
    </w:p>
    <w:p w14:paraId="53389688" w14:textId="77777777" w:rsidR="002D3333" w:rsidRDefault="002D3333" w:rsidP="002D3333">
      <w:pPr>
        <w:spacing w:after="160" w:line="259" w:lineRule="auto"/>
        <w:jc w:val="both"/>
        <w:rPr>
          <w:sz w:val="22"/>
          <w:szCs w:val="22"/>
        </w:rPr>
      </w:pPr>
      <w:r w:rsidRPr="1AF725D8">
        <w:rPr>
          <w:sz w:val="22"/>
          <w:szCs w:val="22"/>
        </w:rPr>
        <w:t>The persistence of these shortcomings, coupled with the absence of accessible and effective remedies, constitutes degrading treatment and discrimination, inconsistent with Hungary</w:t>
      </w:r>
      <w:r>
        <w:rPr>
          <w:sz w:val="22"/>
          <w:szCs w:val="22"/>
        </w:rPr>
        <w:t>’</w:t>
      </w:r>
      <w:r w:rsidRPr="1AF725D8">
        <w:rPr>
          <w:sz w:val="22"/>
          <w:szCs w:val="22"/>
        </w:rPr>
        <w:t>s obligations under Articles 2(3)</w:t>
      </w:r>
      <w:r>
        <w:rPr>
          <w:sz w:val="22"/>
          <w:szCs w:val="22"/>
        </w:rPr>
        <w:t xml:space="preserve">, </w:t>
      </w:r>
      <w:r w:rsidRPr="1AF725D8">
        <w:rPr>
          <w:sz w:val="22"/>
          <w:szCs w:val="22"/>
        </w:rPr>
        <w:t>7, 10</w:t>
      </w:r>
      <w:r>
        <w:rPr>
          <w:sz w:val="22"/>
          <w:szCs w:val="22"/>
        </w:rPr>
        <w:t xml:space="preserve"> and</w:t>
      </w:r>
      <w:r w:rsidRPr="1AF725D8">
        <w:rPr>
          <w:sz w:val="22"/>
          <w:szCs w:val="22"/>
        </w:rPr>
        <w:t xml:space="preserve"> 26 of the </w:t>
      </w:r>
      <w:r>
        <w:rPr>
          <w:sz w:val="22"/>
          <w:szCs w:val="22"/>
        </w:rPr>
        <w:t>Covenant</w:t>
      </w:r>
      <w:r w:rsidRPr="1AF725D8">
        <w:rPr>
          <w:sz w:val="22"/>
          <w:szCs w:val="22"/>
        </w:rPr>
        <w:t>, and contrary to the standards set by the Convention on the Rights of Persons with Disabilities (CRPD).</w:t>
      </w:r>
    </w:p>
    <w:p w14:paraId="3CF3BF77" w14:textId="77777777" w:rsidR="002D3333" w:rsidRDefault="002D3333" w:rsidP="002D3333">
      <w:pPr>
        <w:spacing w:after="160" w:line="259" w:lineRule="auto"/>
        <w:jc w:val="both"/>
        <w:rPr>
          <w:color w:val="000000" w:themeColor="text1"/>
          <w:sz w:val="22"/>
          <w:szCs w:val="22"/>
        </w:rPr>
      </w:pPr>
      <w:r w:rsidRPr="31AF699C">
        <w:rPr>
          <w:color w:val="000000" w:themeColor="text1"/>
          <w:sz w:val="22"/>
          <w:szCs w:val="22"/>
        </w:rPr>
        <w:t>Under current legislation and practice, detainees are placed based on the sex recorded in their official documents (i.e., their sex at birth), irrespective of their gender identity or any gender-affirming treatment they may have undergone. Body searches of transgender individuals are conducted by staff members of the same sex as the detainee</w:t>
      </w:r>
      <w:r>
        <w:rPr>
          <w:color w:val="000000" w:themeColor="text1"/>
          <w:sz w:val="22"/>
          <w:szCs w:val="22"/>
        </w:rPr>
        <w:t>’</w:t>
      </w:r>
      <w:r w:rsidRPr="31AF699C">
        <w:rPr>
          <w:color w:val="000000" w:themeColor="text1"/>
          <w:sz w:val="22"/>
          <w:szCs w:val="22"/>
        </w:rPr>
        <w:t xml:space="preserve">s sex at birth. The same rule applies when a detainee is escorted to the shower or to the doctor. </w:t>
      </w:r>
      <w:bookmarkStart w:id="0" w:name="_Int_TJZP5Nqs"/>
      <w:r w:rsidRPr="31AF699C">
        <w:rPr>
          <w:color w:val="000000" w:themeColor="text1"/>
          <w:sz w:val="22"/>
          <w:szCs w:val="22"/>
        </w:rPr>
        <w:t>Moreover,</w:t>
      </w:r>
      <w:bookmarkEnd w:id="0"/>
      <w:r w:rsidRPr="31AF699C">
        <w:rPr>
          <w:color w:val="000000" w:themeColor="text1"/>
          <w:sz w:val="22"/>
          <w:szCs w:val="22"/>
        </w:rPr>
        <w:t xml:space="preserve"> experience shows that LGBTQI+ detainees are frequently placed in psychosocial units due to the security risks arising from their vulnerabilities, which entails additional restrictions and isolation.</w:t>
      </w:r>
    </w:p>
    <w:p w14:paraId="6E050CD2" w14:textId="77777777" w:rsidR="002D3333" w:rsidRPr="00194D55" w:rsidRDefault="002D3333" w:rsidP="002D3333">
      <w:pPr>
        <w:spacing w:after="160" w:line="259" w:lineRule="auto"/>
        <w:rPr>
          <w:sz w:val="22"/>
          <w:szCs w:val="22"/>
          <w:u w:val="single"/>
        </w:rPr>
      </w:pPr>
      <w:r w:rsidRPr="00194D55">
        <w:rPr>
          <w:i/>
          <w:iCs/>
          <w:sz w:val="22"/>
          <w:szCs w:val="22"/>
          <w:u w:val="single"/>
        </w:rPr>
        <w:t>Suggested questions to the State party:</w:t>
      </w:r>
    </w:p>
    <w:p w14:paraId="52C9D743" w14:textId="77777777" w:rsidR="002D3333" w:rsidRDefault="002D3333" w:rsidP="002D3333">
      <w:pPr>
        <w:pStyle w:val="Listaszerbekezds"/>
        <w:numPr>
          <w:ilvl w:val="0"/>
          <w:numId w:val="28"/>
        </w:numPr>
        <w:spacing w:after="80" w:line="259" w:lineRule="auto"/>
        <w:ind w:left="714" w:hanging="357"/>
        <w:contextualSpacing w:val="0"/>
        <w:jc w:val="both"/>
        <w:rPr>
          <w:sz w:val="22"/>
          <w:szCs w:val="22"/>
        </w:rPr>
      </w:pPr>
      <w:r w:rsidRPr="1AF725D8">
        <w:rPr>
          <w:sz w:val="22"/>
          <w:szCs w:val="22"/>
        </w:rPr>
        <w:t>Provide information on the measures adopted to ensure reasonable accommodation and adequate treatment for detainees with disabilities, including access to barrier-free facilities, specialised health and psychosocial services and trained personnel, in accordance with Articles 7, 10 and 26 of the Covenant and the CRPD.</w:t>
      </w:r>
    </w:p>
    <w:p w14:paraId="245412AA" w14:textId="77777777" w:rsidR="002D3333" w:rsidRDefault="002D3333" w:rsidP="002D3333">
      <w:pPr>
        <w:pStyle w:val="Listaszerbekezds"/>
        <w:numPr>
          <w:ilvl w:val="0"/>
          <w:numId w:val="28"/>
        </w:numPr>
        <w:spacing w:after="160" w:line="259" w:lineRule="auto"/>
        <w:contextualSpacing w:val="0"/>
        <w:jc w:val="both"/>
        <w:rPr>
          <w:sz w:val="22"/>
          <w:szCs w:val="22"/>
        </w:rPr>
      </w:pPr>
      <w:r w:rsidRPr="31AF699C">
        <w:rPr>
          <w:sz w:val="22"/>
          <w:szCs w:val="22"/>
        </w:rPr>
        <w:t>Describe the steps taken to guarantee the rights, safety and dignity of LGBTQI+ detainees, including transgender and non-binary persons, in accordance with Articles 2, 7, 10 and 26 of the Covenant, particularly regarding placement decisions, body searches, and protection against isolation or discrimination in detention.</w:t>
      </w:r>
    </w:p>
    <w:p w14:paraId="485CB7C2" w14:textId="77777777" w:rsidR="002D3333" w:rsidRDefault="002D3333" w:rsidP="002D3333">
      <w:pPr>
        <w:spacing w:line="259" w:lineRule="auto"/>
        <w:rPr>
          <w:b/>
          <w:bCs/>
          <w:sz w:val="22"/>
          <w:szCs w:val="22"/>
        </w:rPr>
      </w:pPr>
    </w:p>
    <w:p w14:paraId="28026991" w14:textId="77777777" w:rsidR="002D3333" w:rsidRPr="00194D55" w:rsidRDefault="002D3333" w:rsidP="002D3333">
      <w:pPr>
        <w:spacing w:after="160" w:line="259" w:lineRule="auto"/>
        <w:rPr>
          <w:b/>
          <w:bCs/>
          <w:sz w:val="26"/>
          <w:szCs w:val="26"/>
        </w:rPr>
      </w:pPr>
      <w:r w:rsidRPr="00194D55">
        <w:rPr>
          <w:b/>
          <w:bCs/>
          <w:sz w:val="26"/>
          <w:szCs w:val="26"/>
        </w:rPr>
        <w:lastRenderedPageBreak/>
        <w:t>Means of restraint and searches</w:t>
      </w:r>
    </w:p>
    <w:p w14:paraId="7F989C37" w14:textId="77777777" w:rsidR="002D3333" w:rsidRDefault="002D3333" w:rsidP="002D3333">
      <w:pPr>
        <w:spacing w:after="160" w:line="259" w:lineRule="auto"/>
        <w:jc w:val="both"/>
        <w:rPr>
          <w:sz w:val="22"/>
          <w:szCs w:val="22"/>
        </w:rPr>
      </w:pPr>
      <w:r w:rsidRPr="31AF699C">
        <w:rPr>
          <w:color w:val="000000" w:themeColor="text1"/>
          <w:sz w:val="22"/>
          <w:szCs w:val="22"/>
        </w:rPr>
        <w:t>The excessive use of means of restraint, including the practice of transporting and holding prisoners at court hearings and healthcare facilities in handcuffs and other restraints without an individual assessment, directly undermines detainees</w:t>
      </w:r>
      <w:r>
        <w:rPr>
          <w:color w:val="000000" w:themeColor="text1"/>
          <w:sz w:val="22"/>
          <w:szCs w:val="22"/>
        </w:rPr>
        <w:t>’</w:t>
      </w:r>
      <w:r w:rsidRPr="31AF699C">
        <w:rPr>
          <w:color w:val="000000" w:themeColor="text1"/>
          <w:sz w:val="22"/>
          <w:szCs w:val="22"/>
        </w:rPr>
        <w:t xml:space="preserve"> rights and contravenes both EU law and international human rights standards. </w:t>
      </w:r>
      <w:r w:rsidRPr="31AF699C">
        <w:rPr>
          <w:sz w:val="22"/>
          <w:szCs w:val="22"/>
        </w:rPr>
        <w:t>The HHC has had numerous cases indicating that this practice is applied uniformly, even in the case of seriously ill detainees and those with disabilities.</w:t>
      </w:r>
    </w:p>
    <w:p w14:paraId="1CADE132" w14:textId="77777777" w:rsidR="002D3333" w:rsidRDefault="002D3333" w:rsidP="002D3333">
      <w:pPr>
        <w:spacing w:after="160" w:line="259" w:lineRule="auto"/>
        <w:jc w:val="both"/>
        <w:rPr>
          <w:sz w:val="22"/>
          <w:szCs w:val="22"/>
        </w:rPr>
      </w:pPr>
      <w:r w:rsidRPr="7FBE7D02">
        <w:rPr>
          <w:sz w:val="22"/>
          <w:szCs w:val="22"/>
        </w:rPr>
        <w:t>Strip searches are frequently conducted as part of the daily custodial routine,</w:t>
      </w:r>
      <w:r w:rsidRPr="7FBE7D02">
        <w:rPr>
          <w:b/>
          <w:bCs/>
          <w:sz w:val="22"/>
          <w:szCs w:val="22"/>
        </w:rPr>
        <w:t xml:space="preserve"> </w:t>
      </w:r>
      <w:r w:rsidRPr="7FBE7D02">
        <w:rPr>
          <w:sz w:val="22"/>
          <w:szCs w:val="22"/>
        </w:rPr>
        <w:t>yet without proper risk assessments and adherence to strict criteria, this practice violates the human dignity of detainees. The CPT has expressly criticised the high frequency and extensive use of strip searches, deeming them completely disproportionate.</w:t>
      </w:r>
      <w:r w:rsidRPr="7FBE7D02">
        <w:rPr>
          <w:sz w:val="22"/>
          <w:szCs w:val="22"/>
          <w:vertAlign w:val="superscript"/>
        </w:rPr>
        <w:footnoteReference w:id="53"/>
      </w:r>
    </w:p>
    <w:p w14:paraId="55A4EE57" w14:textId="77777777" w:rsidR="002D3333" w:rsidRPr="00194D55" w:rsidRDefault="002D3333" w:rsidP="002D3333">
      <w:pPr>
        <w:spacing w:after="160" w:line="259" w:lineRule="auto"/>
        <w:rPr>
          <w:sz w:val="22"/>
          <w:szCs w:val="22"/>
          <w:u w:val="single"/>
        </w:rPr>
      </w:pPr>
      <w:r w:rsidRPr="00194D55">
        <w:rPr>
          <w:i/>
          <w:iCs/>
          <w:sz w:val="22"/>
          <w:szCs w:val="22"/>
          <w:u w:val="single"/>
        </w:rPr>
        <w:t>Suggested questions to the State party:</w:t>
      </w:r>
    </w:p>
    <w:p w14:paraId="33585BC5" w14:textId="77777777" w:rsidR="002D3333" w:rsidRDefault="002D3333" w:rsidP="002D3333">
      <w:pPr>
        <w:pStyle w:val="Listaszerbekezds"/>
        <w:numPr>
          <w:ilvl w:val="0"/>
          <w:numId w:val="27"/>
        </w:numPr>
        <w:spacing w:after="80" w:line="259" w:lineRule="auto"/>
        <w:ind w:left="714" w:hanging="357"/>
        <w:contextualSpacing w:val="0"/>
        <w:jc w:val="both"/>
        <w:rPr>
          <w:sz w:val="22"/>
          <w:szCs w:val="22"/>
        </w:rPr>
      </w:pPr>
      <w:r w:rsidRPr="31AF699C">
        <w:rPr>
          <w:sz w:val="22"/>
          <w:szCs w:val="22"/>
        </w:rPr>
        <w:t>How does the State party ensure that any decision to apply handcuffs and other means of restraint to detainees is based on a genuine individual risk assessment, in line with Articles 7, 9 and 10 of the Covenant and Articles 2 and 16 of the Convention against Torture? What safeguards ensure that individual assessments are grounded in objective criteria and that such measures are not applied automatically but only when necessary and proportionate?</w:t>
      </w:r>
    </w:p>
    <w:p w14:paraId="5FC55813" w14:textId="77777777" w:rsidR="002D3333" w:rsidRDefault="002D3333" w:rsidP="002D3333">
      <w:pPr>
        <w:pStyle w:val="Listaszerbekezds"/>
        <w:numPr>
          <w:ilvl w:val="0"/>
          <w:numId w:val="27"/>
        </w:numPr>
        <w:spacing w:after="80" w:line="259" w:lineRule="auto"/>
        <w:ind w:left="714" w:hanging="357"/>
        <w:contextualSpacing w:val="0"/>
        <w:jc w:val="both"/>
        <w:rPr>
          <w:sz w:val="22"/>
          <w:szCs w:val="22"/>
        </w:rPr>
      </w:pPr>
      <w:r w:rsidRPr="31AF699C">
        <w:rPr>
          <w:sz w:val="22"/>
          <w:szCs w:val="22"/>
        </w:rPr>
        <w:t>What measures have been taken to implement the recommendations of the CPT and the Commissioner for Fundamental Rights on the excessive and intrusive use of strip searches, and to ensure that such searches are conducted only when strictly necessary and proportionate to a legitimate security aim?</w:t>
      </w:r>
    </w:p>
    <w:p w14:paraId="30D0C3FE" w14:textId="77777777" w:rsidR="002D3333" w:rsidRDefault="002D3333" w:rsidP="002D3333">
      <w:pPr>
        <w:pStyle w:val="Listaszerbekezds"/>
        <w:numPr>
          <w:ilvl w:val="0"/>
          <w:numId w:val="27"/>
        </w:numPr>
        <w:spacing w:after="80" w:line="259" w:lineRule="auto"/>
        <w:ind w:left="714" w:hanging="357"/>
        <w:contextualSpacing w:val="0"/>
        <w:jc w:val="both"/>
        <w:rPr>
          <w:sz w:val="22"/>
          <w:szCs w:val="22"/>
        </w:rPr>
      </w:pPr>
      <w:r w:rsidRPr="31AF699C">
        <w:rPr>
          <w:sz w:val="22"/>
          <w:szCs w:val="22"/>
        </w:rPr>
        <w:t>What training and operational guidance are provided to the police and prison staff on the lawful, dignified and non-discriminatory use of restraints and conduct of searches?</w:t>
      </w:r>
    </w:p>
    <w:p w14:paraId="53FBC11D" w14:textId="77777777" w:rsidR="002D3333" w:rsidRDefault="002D3333" w:rsidP="002D3333">
      <w:pPr>
        <w:pStyle w:val="Listaszerbekezds"/>
        <w:numPr>
          <w:ilvl w:val="0"/>
          <w:numId w:val="27"/>
        </w:numPr>
        <w:spacing w:after="160" w:line="259" w:lineRule="auto"/>
        <w:contextualSpacing w:val="0"/>
        <w:jc w:val="both"/>
        <w:rPr>
          <w:sz w:val="22"/>
          <w:szCs w:val="22"/>
        </w:rPr>
      </w:pPr>
      <w:r w:rsidRPr="31AF699C">
        <w:rPr>
          <w:sz w:val="22"/>
          <w:szCs w:val="22"/>
        </w:rPr>
        <w:t>Provide disaggregated data for the reporting period on the use of means of restraint and strip searches, indicating the proportion conducted following an individual assessment versus those performed as a routine measure.</w:t>
      </w:r>
    </w:p>
    <w:p w14:paraId="7C2C4734" w14:textId="77777777" w:rsidR="002D3333" w:rsidRPr="00DC22F5" w:rsidRDefault="002D3333" w:rsidP="002D3333">
      <w:pPr>
        <w:spacing w:line="259" w:lineRule="auto"/>
        <w:jc w:val="both"/>
        <w:rPr>
          <w:sz w:val="22"/>
          <w:szCs w:val="22"/>
        </w:rPr>
      </w:pPr>
    </w:p>
    <w:p w14:paraId="49B495A5" w14:textId="77777777" w:rsidR="002D3333" w:rsidRPr="00194D55" w:rsidRDefault="002D3333" w:rsidP="00AC5857">
      <w:pPr>
        <w:spacing w:before="160" w:line="259" w:lineRule="auto"/>
        <w:jc w:val="center"/>
        <w:rPr>
          <w:b/>
          <w:bCs/>
          <w:sz w:val="30"/>
          <w:szCs w:val="30"/>
        </w:rPr>
      </w:pPr>
      <w:r w:rsidRPr="00194D55">
        <w:rPr>
          <w:b/>
          <w:bCs/>
          <w:sz w:val="30"/>
          <w:szCs w:val="30"/>
        </w:rPr>
        <w:t xml:space="preserve">Article 9 of the </w:t>
      </w:r>
      <w:r>
        <w:rPr>
          <w:b/>
          <w:bCs/>
          <w:sz w:val="30"/>
          <w:szCs w:val="30"/>
        </w:rPr>
        <w:t>Covenant</w:t>
      </w:r>
    </w:p>
    <w:p w14:paraId="2FDDA93E" w14:textId="77777777" w:rsidR="002D3333" w:rsidRDefault="002D3333" w:rsidP="0014742B">
      <w:pPr>
        <w:spacing w:line="259" w:lineRule="auto"/>
        <w:rPr>
          <w:b/>
          <w:bCs/>
          <w:sz w:val="22"/>
          <w:szCs w:val="22"/>
        </w:rPr>
      </w:pPr>
    </w:p>
    <w:p w14:paraId="65B2823E" w14:textId="293CC654" w:rsidR="002D3333" w:rsidRPr="00194D55" w:rsidRDefault="00BB451D" w:rsidP="002D3333">
      <w:pPr>
        <w:spacing w:after="160" w:line="259" w:lineRule="auto"/>
        <w:rPr>
          <w:b/>
          <w:bCs/>
          <w:sz w:val="26"/>
          <w:szCs w:val="26"/>
        </w:rPr>
      </w:pPr>
      <w:r>
        <w:rPr>
          <w:b/>
          <w:bCs/>
          <w:sz w:val="26"/>
          <w:szCs w:val="26"/>
        </w:rPr>
        <w:t>P</w:t>
      </w:r>
      <w:r w:rsidR="002D3333" w:rsidRPr="00194D55">
        <w:rPr>
          <w:b/>
          <w:bCs/>
          <w:sz w:val="26"/>
          <w:szCs w:val="26"/>
        </w:rPr>
        <w:t>re-trial detention</w:t>
      </w:r>
    </w:p>
    <w:p w14:paraId="0C3B72BF" w14:textId="77777777" w:rsidR="002D3333" w:rsidRDefault="002D3333" w:rsidP="002D3333">
      <w:pPr>
        <w:spacing w:after="160" w:line="259" w:lineRule="auto"/>
        <w:jc w:val="both"/>
        <w:rPr>
          <w:sz w:val="22"/>
          <w:szCs w:val="22"/>
        </w:rPr>
      </w:pPr>
      <w:r w:rsidRPr="7FBE7D02">
        <w:rPr>
          <w:color w:val="000000" w:themeColor="text1"/>
          <w:sz w:val="22"/>
          <w:szCs w:val="22"/>
        </w:rPr>
        <w:t>In its previous Concluding Observations,</w:t>
      </w:r>
      <w:r w:rsidRPr="7FBE7D02">
        <w:rPr>
          <w:color w:val="000000" w:themeColor="text1"/>
          <w:sz w:val="22"/>
          <w:szCs w:val="22"/>
          <w:vertAlign w:val="superscript"/>
        </w:rPr>
        <w:footnoteReference w:id="54"/>
      </w:r>
      <w:r w:rsidRPr="7FBE7D02">
        <w:rPr>
          <w:color w:val="000000" w:themeColor="text1"/>
          <w:sz w:val="22"/>
          <w:szCs w:val="22"/>
        </w:rPr>
        <w:t xml:space="preserve"> the Committee expressed concern about the excessive use and length of pre-trial detention, including for juveniles, and recommended that the State party reduce the length of pre-trial detention and make greater use of non-custodial alternatives. Despite these recommendations, pre-trial detention continues to be applied excessively and for prolonged periods, while </w:t>
      </w:r>
      <w:r w:rsidRPr="7FBE7D02">
        <w:rPr>
          <w:sz w:val="22"/>
          <w:szCs w:val="22"/>
        </w:rPr>
        <w:t>non-custodial alternatives remain underused.</w:t>
      </w:r>
    </w:p>
    <w:p w14:paraId="5FADC447" w14:textId="77777777" w:rsidR="002D3333" w:rsidRDefault="002D3333" w:rsidP="002D3333">
      <w:pPr>
        <w:spacing w:after="160" w:line="259" w:lineRule="auto"/>
        <w:jc w:val="both"/>
        <w:rPr>
          <w:sz w:val="22"/>
          <w:szCs w:val="22"/>
        </w:rPr>
      </w:pPr>
      <w:r w:rsidRPr="31AF699C">
        <w:rPr>
          <w:sz w:val="22"/>
          <w:szCs w:val="22"/>
        </w:rPr>
        <w:t>Between 31 December 2019 and 31 December 2022, the proportion of pre-trial detainees in the total prison population increased from 16.6% to 24.6%. As of 31 May 2025, pre-trial detainees accounted for 23.2% of the total prison population.</w:t>
      </w:r>
    </w:p>
    <w:p w14:paraId="284FCF28" w14:textId="77777777" w:rsidR="002D3333" w:rsidRPr="00194D55" w:rsidRDefault="002D3333" w:rsidP="002D3333">
      <w:pPr>
        <w:spacing w:after="160" w:line="259" w:lineRule="auto"/>
        <w:rPr>
          <w:sz w:val="22"/>
          <w:szCs w:val="22"/>
          <w:u w:val="single"/>
        </w:rPr>
      </w:pPr>
      <w:r w:rsidRPr="00194D55">
        <w:rPr>
          <w:i/>
          <w:iCs/>
          <w:sz w:val="22"/>
          <w:szCs w:val="22"/>
          <w:u w:val="single"/>
        </w:rPr>
        <w:lastRenderedPageBreak/>
        <w:t>Suggested questions to the State party:</w:t>
      </w:r>
    </w:p>
    <w:p w14:paraId="18CAF292" w14:textId="77777777" w:rsidR="002D3333" w:rsidRDefault="002D3333" w:rsidP="002D3333">
      <w:pPr>
        <w:pStyle w:val="Listaszerbekezds"/>
        <w:numPr>
          <w:ilvl w:val="0"/>
          <w:numId w:val="25"/>
        </w:numPr>
        <w:spacing w:after="80" w:line="259" w:lineRule="auto"/>
        <w:ind w:left="714" w:hanging="357"/>
        <w:contextualSpacing w:val="0"/>
        <w:jc w:val="both"/>
        <w:rPr>
          <w:sz w:val="22"/>
          <w:szCs w:val="22"/>
        </w:rPr>
      </w:pPr>
      <w:r w:rsidRPr="31AF699C">
        <w:rPr>
          <w:sz w:val="22"/>
          <w:szCs w:val="22"/>
        </w:rPr>
        <w:t>Provide detailed information on the concrete measures taken to reduce the number and proportion of persons held in pre-trial detention and to ensure that such detention is applied strictly as a measure of last resort, particularly in the case of juveniles.</w:t>
      </w:r>
    </w:p>
    <w:p w14:paraId="3CC897FE" w14:textId="77777777" w:rsidR="002D3333" w:rsidRDefault="002D3333" w:rsidP="002D3333">
      <w:pPr>
        <w:pStyle w:val="Listaszerbekezds"/>
        <w:numPr>
          <w:ilvl w:val="0"/>
          <w:numId w:val="25"/>
        </w:numPr>
        <w:spacing w:after="160" w:line="259" w:lineRule="auto"/>
        <w:contextualSpacing w:val="0"/>
        <w:jc w:val="both"/>
        <w:rPr>
          <w:color w:val="000000" w:themeColor="text1"/>
          <w:sz w:val="22"/>
          <w:szCs w:val="22"/>
        </w:rPr>
      </w:pPr>
      <w:r w:rsidRPr="1AF725D8">
        <w:rPr>
          <w:sz w:val="22"/>
          <w:szCs w:val="22"/>
        </w:rPr>
        <w:t xml:space="preserve">Provide detailed information on the measures adopted to address the systemic problem of the excessive length of pre-trial detention and related judicial review and explain how these measures ensure compliance with Article 9(3) and (4) of the Covenant </w:t>
      </w:r>
      <w:r w:rsidRPr="1AF725D8">
        <w:rPr>
          <w:color w:val="000000" w:themeColor="text1"/>
          <w:sz w:val="22"/>
          <w:szCs w:val="22"/>
        </w:rPr>
        <w:t>and the Committee’s recommendations to guarantee the right to trial within a reasonable time.</w:t>
      </w:r>
    </w:p>
    <w:p w14:paraId="767BB3A7" w14:textId="77777777" w:rsidR="002D3333" w:rsidRDefault="002D3333" w:rsidP="002D3333">
      <w:pPr>
        <w:spacing w:line="259" w:lineRule="auto"/>
        <w:jc w:val="both"/>
        <w:rPr>
          <w:sz w:val="22"/>
          <w:szCs w:val="22"/>
        </w:rPr>
      </w:pPr>
    </w:p>
    <w:p w14:paraId="61A81C9B" w14:textId="28C4B068" w:rsidR="002F7662" w:rsidRPr="00C519F8" w:rsidRDefault="00C519F8" w:rsidP="002F7662">
      <w:pPr>
        <w:spacing w:after="160" w:line="259" w:lineRule="auto"/>
        <w:rPr>
          <w:b/>
          <w:bCs/>
          <w:sz w:val="26"/>
          <w:szCs w:val="26"/>
        </w:rPr>
      </w:pPr>
      <w:r w:rsidRPr="00C519F8">
        <w:rPr>
          <w:b/>
          <w:bCs/>
          <w:sz w:val="26"/>
          <w:szCs w:val="26"/>
        </w:rPr>
        <w:t>Detention of asylum-seekers and migrants</w:t>
      </w:r>
    </w:p>
    <w:p w14:paraId="095E4612" w14:textId="40EF6BFF" w:rsidR="002F7662" w:rsidRPr="005E19AF" w:rsidRDefault="604D2001" w:rsidP="002F7662">
      <w:pPr>
        <w:spacing w:after="160" w:line="259" w:lineRule="auto"/>
        <w:jc w:val="both"/>
        <w:rPr>
          <w:rFonts w:eastAsia="Times New Roman"/>
          <w:sz w:val="22"/>
          <w:szCs w:val="22"/>
          <w:lang w:eastAsia="en-GB"/>
        </w:rPr>
      </w:pPr>
      <w:r w:rsidRPr="005E19AF">
        <w:rPr>
          <w:rFonts w:eastAsia="Times New Roman"/>
          <w:sz w:val="22"/>
          <w:szCs w:val="22"/>
          <w:lang w:eastAsia="en-GB"/>
        </w:rPr>
        <w:t>Despite 15 ECtHR judgments</w:t>
      </w:r>
      <w:r w:rsidR="002F7662" w:rsidRPr="005E19AF">
        <w:rPr>
          <w:rStyle w:val="Lbjegyzet-hivatkozs"/>
          <w:rFonts w:eastAsia="Times New Roman"/>
          <w:sz w:val="22"/>
          <w:szCs w:val="22"/>
          <w:lang w:eastAsia="en-GB"/>
        </w:rPr>
        <w:footnoteReference w:id="55"/>
      </w:r>
      <w:r w:rsidRPr="005E19AF">
        <w:rPr>
          <w:rFonts w:eastAsia="Times New Roman"/>
          <w:sz w:val="22"/>
          <w:szCs w:val="22"/>
          <w:lang w:eastAsia="en-GB"/>
        </w:rPr>
        <w:t xml:space="preserve"> finding a breach of the right to liberty and security, the shortcomings relating to the lawfulness of asylum</w:t>
      </w:r>
      <w:r w:rsidR="16DABD09">
        <w:rPr>
          <w:rFonts w:eastAsia="Times New Roman"/>
          <w:sz w:val="22"/>
          <w:szCs w:val="22"/>
          <w:lang w:eastAsia="en-GB"/>
        </w:rPr>
        <w:t>-</w:t>
      </w:r>
      <w:r w:rsidRPr="005E19AF">
        <w:rPr>
          <w:rFonts w:eastAsia="Times New Roman"/>
          <w:sz w:val="22"/>
          <w:szCs w:val="22"/>
          <w:lang w:eastAsia="en-GB"/>
        </w:rPr>
        <w:t>seekers’ and migrants’ detention and the ineffective judicial review still persist: detention orders and detention prolongations do not properly explain why a particular ground for detention is cited; detention orders are generic in nature and fail to properly consider alternatives to detention or take into account individual special circumstances and vulnerable persons are not detained only in exceptional cases; judicial review of immigration detention remains ineffective, and the courts systematically fail to carry out an individualised assessment as to the necessity and proportionality of detention; access to legal aid for those detained in immigration detention in Hungary is severely limited.</w:t>
      </w:r>
    </w:p>
    <w:p w14:paraId="00B2D944" w14:textId="77777777" w:rsidR="002F7662" w:rsidRPr="005E19AF" w:rsidRDefault="002F7662" w:rsidP="00B421A9">
      <w:pPr>
        <w:spacing w:after="160" w:line="259" w:lineRule="auto"/>
        <w:rPr>
          <w:i/>
          <w:iCs/>
          <w:sz w:val="22"/>
          <w:szCs w:val="22"/>
          <w:u w:val="single"/>
        </w:rPr>
      </w:pPr>
      <w:r w:rsidRPr="005E19AF">
        <w:rPr>
          <w:i/>
          <w:iCs/>
          <w:sz w:val="22"/>
          <w:szCs w:val="22"/>
          <w:u w:val="single"/>
        </w:rPr>
        <w:t>Suggested questions to the State party:</w:t>
      </w:r>
    </w:p>
    <w:p w14:paraId="6845A612" w14:textId="7281497F" w:rsidR="002F7662" w:rsidRPr="005E19AF" w:rsidRDefault="604D2001" w:rsidP="002F7662">
      <w:pPr>
        <w:numPr>
          <w:ilvl w:val="0"/>
          <w:numId w:val="35"/>
        </w:numPr>
        <w:spacing w:after="80" w:line="259" w:lineRule="auto"/>
        <w:jc w:val="both"/>
        <w:rPr>
          <w:rFonts w:eastAsia="Times New Roman"/>
          <w:sz w:val="22"/>
          <w:szCs w:val="22"/>
          <w:lang w:eastAsia="en-GB"/>
        </w:rPr>
      </w:pPr>
      <w:r w:rsidRPr="03AE4585">
        <w:rPr>
          <w:rFonts w:eastAsia="Times New Roman"/>
          <w:sz w:val="22"/>
          <w:szCs w:val="22"/>
          <w:lang w:eastAsia="en-GB"/>
        </w:rPr>
        <w:t>How does Hungary ensure effective legal assistance to migrants and asylum</w:t>
      </w:r>
      <w:r w:rsidR="49D8CA32" w:rsidRPr="03AE4585">
        <w:rPr>
          <w:rFonts w:eastAsia="Times New Roman"/>
          <w:sz w:val="22"/>
          <w:szCs w:val="22"/>
          <w:lang w:eastAsia="en-GB"/>
        </w:rPr>
        <w:t>-</w:t>
      </w:r>
      <w:r w:rsidRPr="03AE4585">
        <w:rPr>
          <w:rFonts w:eastAsia="Times New Roman"/>
          <w:sz w:val="22"/>
          <w:szCs w:val="22"/>
          <w:lang w:eastAsia="en-GB"/>
        </w:rPr>
        <w:t>seekers in immigration detention?</w:t>
      </w:r>
    </w:p>
    <w:p w14:paraId="5300EC5C" w14:textId="7164C379" w:rsidR="002F7662" w:rsidRPr="005E19AF" w:rsidRDefault="604D2001" w:rsidP="002F7662">
      <w:pPr>
        <w:numPr>
          <w:ilvl w:val="0"/>
          <w:numId w:val="35"/>
        </w:numPr>
        <w:spacing w:after="160" w:line="259" w:lineRule="auto"/>
        <w:jc w:val="both"/>
        <w:rPr>
          <w:rFonts w:eastAsia="Times New Roman"/>
          <w:sz w:val="22"/>
          <w:szCs w:val="22"/>
          <w:lang w:eastAsia="en-GB"/>
        </w:rPr>
      </w:pPr>
      <w:r w:rsidRPr="03AE4585">
        <w:rPr>
          <w:rFonts w:eastAsia="Times New Roman"/>
          <w:sz w:val="22"/>
          <w:szCs w:val="22"/>
          <w:lang w:eastAsia="en-GB"/>
        </w:rPr>
        <w:t>What measures are being taken by Hungary to avoid unlawful detention of asylum</w:t>
      </w:r>
      <w:r w:rsidR="49D8CA32" w:rsidRPr="03AE4585">
        <w:rPr>
          <w:rFonts w:eastAsia="Times New Roman"/>
          <w:sz w:val="22"/>
          <w:szCs w:val="22"/>
          <w:lang w:eastAsia="en-GB"/>
        </w:rPr>
        <w:t>-</w:t>
      </w:r>
      <w:r w:rsidRPr="03AE4585">
        <w:rPr>
          <w:rFonts w:eastAsia="Times New Roman"/>
          <w:sz w:val="22"/>
          <w:szCs w:val="22"/>
          <w:lang w:eastAsia="en-GB"/>
        </w:rPr>
        <w:t>seekers and migrants and to ensure an effective judicial review of detention orders?</w:t>
      </w:r>
    </w:p>
    <w:p w14:paraId="284B0914" w14:textId="77777777" w:rsidR="002F7662" w:rsidRPr="00194D55" w:rsidRDefault="002F7662" w:rsidP="00EB4C3D">
      <w:pPr>
        <w:spacing w:after="160" w:line="259" w:lineRule="auto"/>
        <w:jc w:val="both"/>
        <w:rPr>
          <w:sz w:val="22"/>
          <w:szCs w:val="22"/>
        </w:rPr>
      </w:pPr>
    </w:p>
    <w:p w14:paraId="02A7F958" w14:textId="77777777" w:rsidR="002D3333" w:rsidRPr="00194D55" w:rsidRDefault="50AB6C83" w:rsidP="0003792B">
      <w:pPr>
        <w:spacing w:before="160" w:line="259" w:lineRule="auto"/>
        <w:jc w:val="center"/>
        <w:rPr>
          <w:b/>
          <w:bCs/>
          <w:sz w:val="30"/>
          <w:szCs w:val="30"/>
        </w:rPr>
      </w:pPr>
      <w:r w:rsidRPr="03AE4585">
        <w:rPr>
          <w:b/>
          <w:bCs/>
          <w:sz w:val="30"/>
          <w:szCs w:val="30"/>
        </w:rPr>
        <w:t>Articles 2, 9, 10 and 12 of the Covenant</w:t>
      </w:r>
    </w:p>
    <w:p w14:paraId="01155933" w14:textId="77777777" w:rsidR="002D3333" w:rsidRDefault="002D3333" w:rsidP="002D3333">
      <w:pPr>
        <w:spacing w:line="259" w:lineRule="auto"/>
        <w:rPr>
          <w:b/>
          <w:bCs/>
          <w:sz w:val="22"/>
          <w:szCs w:val="22"/>
        </w:rPr>
      </w:pPr>
    </w:p>
    <w:p w14:paraId="2B0B9DCC" w14:textId="77777777" w:rsidR="002D3333" w:rsidRPr="00194D55" w:rsidRDefault="002D3333" w:rsidP="002D3333">
      <w:pPr>
        <w:spacing w:after="160" w:line="259" w:lineRule="auto"/>
        <w:rPr>
          <w:b/>
          <w:bCs/>
          <w:sz w:val="26"/>
          <w:szCs w:val="26"/>
        </w:rPr>
      </w:pPr>
      <w:r w:rsidRPr="00194D55">
        <w:rPr>
          <w:b/>
          <w:bCs/>
          <w:sz w:val="26"/>
          <w:szCs w:val="26"/>
        </w:rPr>
        <w:t>Freedom of movement for persons on conditional release</w:t>
      </w:r>
    </w:p>
    <w:p w14:paraId="77B16248" w14:textId="77777777" w:rsidR="002D3333" w:rsidRDefault="002D3333" w:rsidP="002D3333">
      <w:pPr>
        <w:spacing w:after="160" w:line="259" w:lineRule="auto"/>
        <w:jc w:val="both"/>
        <w:rPr>
          <w:sz w:val="22"/>
          <w:szCs w:val="22"/>
        </w:rPr>
      </w:pPr>
      <w:r w:rsidRPr="7FBE7D02">
        <w:rPr>
          <w:sz w:val="22"/>
          <w:szCs w:val="22"/>
        </w:rPr>
        <w:t>Individuals serving the remainder of their sentences under conditional release in Hungary are automatically prohibited from travelling or residing abroad, including within the EU. This blanket restriction applies without any individualised assessment, judicial review, or consideration of necessity and proportionality, despite the jurisprudence of the CJEU,</w:t>
      </w:r>
      <w:r w:rsidRPr="7FBE7D02">
        <w:rPr>
          <w:sz w:val="22"/>
          <w:szCs w:val="22"/>
          <w:vertAlign w:val="superscript"/>
        </w:rPr>
        <w:footnoteReference w:id="56"/>
      </w:r>
      <w:r w:rsidRPr="7FBE7D02">
        <w:rPr>
          <w:sz w:val="22"/>
          <w:szCs w:val="22"/>
        </w:rPr>
        <w:t xml:space="preserve"> which allows such limitations only in cases of a concrete and serious threat to public order, established through an individual assessment and accompanied by procedural safeguards.</w:t>
      </w:r>
    </w:p>
    <w:p w14:paraId="6B1466A4" w14:textId="77777777" w:rsidR="002D3333" w:rsidRDefault="002D3333" w:rsidP="002D3333">
      <w:pPr>
        <w:spacing w:after="160" w:line="259" w:lineRule="auto"/>
        <w:jc w:val="both"/>
        <w:rPr>
          <w:sz w:val="22"/>
          <w:szCs w:val="22"/>
        </w:rPr>
      </w:pPr>
      <w:r w:rsidRPr="31AF699C">
        <w:rPr>
          <w:sz w:val="22"/>
          <w:szCs w:val="22"/>
        </w:rPr>
        <w:t xml:space="preserve">The restriction constitutes a disproportionate interference with the right to liberty of movement and residence under Article 45 of the EU Charter of Fundamental Rights, and engages Hungary’s obligations under Articles 9, 10 and 12 of the </w:t>
      </w:r>
      <w:r>
        <w:rPr>
          <w:sz w:val="22"/>
          <w:szCs w:val="22"/>
        </w:rPr>
        <w:t>Covenant</w:t>
      </w:r>
      <w:r w:rsidRPr="31AF699C">
        <w:rPr>
          <w:sz w:val="22"/>
          <w:szCs w:val="22"/>
        </w:rPr>
        <w:t xml:space="preserve">. Additionally, those affected have no effective judicial or </w:t>
      </w:r>
      <w:r w:rsidRPr="31AF699C">
        <w:rPr>
          <w:sz w:val="22"/>
          <w:szCs w:val="22"/>
        </w:rPr>
        <w:lastRenderedPageBreak/>
        <w:t>administrative remedy to challenge the restriction, resulting in a continuing violation of Article 2(3) of the Covenant.</w:t>
      </w:r>
    </w:p>
    <w:p w14:paraId="08B29B31" w14:textId="77777777" w:rsidR="002D3333" w:rsidRPr="00194D55" w:rsidRDefault="002D3333" w:rsidP="002D3333">
      <w:pPr>
        <w:spacing w:after="160" w:line="259" w:lineRule="auto"/>
        <w:jc w:val="both"/>
        <w:rPr>
          <w:sz w:val="22"/>
          <w:szCs w:val="22"/>
          <w:u w:val="single"/>
        </w:rPr>
      </w:pPr>
      <w:r w:rsidRPr="00194D55">
        <w:rPr>
          <w:i/>
          <w:iCs/>
          <w:sz w:val="22"/>
          <w:szCs w:val="22"/>
          <w:u w:val="single"/>
        </w:rPr>
        <w:t>Suggested questions to the State party:</w:t>
      </w:r>
    </w:p>
    <w:p w14:paraId="46F852C9" w14:textId="77777777" w:rsidR="002D3333" w:rsidRDefault="002D3333" w:rsidP="002D3333">
      <w:pPr>
        <w:pStyle w:val="Listaszerbekezds"/>
        <w:numPr>
          <w:ilvl w:val="0"/>
          <w:numId w:val="26"/>
        </w:numPr>
        <w:spacing w:after="80" w:line="259" w:lineRule="auto"/>
        <w:ind w:left="714" w:hanging="357"/>
        <w:contextualSpacing w:val="0"/>
        <w:jc w:val="both"/>
        <w:rPr>
          <w:sz w:val="22"/>
          <w:szCs w:val="22"/>
        </w:rPr>
      </w:pPr>
      <w:r w:rsidRPr="31AF699C">
        <w:rPr>
          <w:sz w:val="22"/>
          <w:szCs w:val="22"/>
        </w:rPr>
        <w:t xml:space="preserve">Clarify how </w:t>
      </w:r>
      <w:r>
        <w:rPr>
          <w:sz w:val="22"/>
          <w:szCs w:val="22"/>
        </w:rPr>
        <w:t>Hungary</w:t>
      </w:r>
      <w:r w:rsidRPr="31AF699C">
        <w:rPr>
          <w:sz w:val="22"/>
          <w:szCs w:val="22"/>
        </w:rPr>
        <w:t xml:space="preserve"> justifies the automatic and blanket prohibition on travel and residence abroad imposed on all persons under conditional release, considering Articles 9, 10 and 12 of the </w:t>
      </w:r>
      <w:r>
        <w:rPr>
          <w:sz w:val="22"/>
          <w:szCs w:val="22"/>
        </w:rPr>
        <w:t>Covenant</w:t>
      </w:r>
      <w:r w:rsidRPr="31AF699C">
        <w:rPr>
          <w:sz w:val="22"/>
          <w:szCs w:val="22"/>
        </w:rPr>
        <w:t>, Article 45 of the Charter, and the jurisprudence of the CJEU and the ECtHR.</w:t>
      </w:r>
    </w:p>
    <w:p w14:paraId="3F8CB466" w14:textId="77777777" w:rsidR="002D3333" w:rsidRDefault="002D3333" w:rsidP="002D3333">
      <w:pPr>
        <w:pStyle w:val="Listaszerbekezds"/>
        <w:numPr>
          <w:ilvl w:val="0"/>
          <w:numId w:val="26"/>
        </w:numPr>
        <w:spacing w:after="160" w:line="259" w:lineRule="auto"/>
        <w:contextualSpacing w:val="0"/>
        <w:jc w:val="both"/>
        <w:rPr>
          <w:sz w:val="22"/>
          <w:szCs w:val="22"/>
        </w:rPr>
      </w:pPr>
      <w:r w:rsidRPr="31AF699C">
        <w:rPr>
          <w:sz w:val="22"/>
          <w:szCs w:val="22"/>
        </w:rPr>
        <w:t xml:space="preserve">Indicate what judicial or administrative remedies are available to persons on conditional release to challenge travel or residence </w:t>
      </w:r>
      <w:proofErr w:type="gramStart"/>
      <w:r w:rsidRPr="31AF699C">
        <w:rPr>
          <w:sz w:val="22"/>
          <w:szCs w:val="22"/>
        </w:rPr>
        <w:t>restrictions, and</w:t>
      </w:r>
      <w:proofErr w:type="gramEnd"/>
      <w:r w:rsidRPr="31AF699C">
        <w:rPr>
          <w:sz w:val="22"/>
          <w:szCs w:val="22"/>
        </w:rPr>
        <w:t xml:space="preserve"> provide data on the number and outcomes of such challenges.</w:t>
      </w:r>
    </w:p>
    <w:p w14:paraId="13F17C8E" w14:textId="77777777" w:rsidR="002D3333" w:rsidRPr="00DC22F5" w:rsidRDefault="002D3333" w:rsidP="002D3333">
      <w:pPr>
        <w:spacing w:line="259" w:lineRule="auto"/>
        <w:jc w:val="both"/>
        <w:rPr>
          <w:sz w:val="22"/>
          <w:szCs w:val="22"/>
        </w:rPr>
      </w:pPr>
    </w:p>
    <w:p w14:paraId="324422B6" w14:textId="77777777" w:rsidR="002D3333" w:rsidRPr="00194D55" w:rsidRDefault="002D3333" w:rsidP="0003792B">
      <w:pPr>
        <w:spacing w:before="160" w:line="259" w:lineRule="auto"/>
        <w:jc w:val="center"/>
        <w:rPr>
          <w:b/>
          <w:bCs/>
          <w:sz w:val="30"/>
          <w:szCs w:val="30"/>
        </w:rPr>
      </w:pPr>
      <w:r w:rsidRPr="00194D55">
        <w:rPr>
          <w:b/>
          <w:bCs/>
          <w:sz w:val="30"/>
          <w:szCs w:val="30"/>
        </w:rPr>
        <w:t xml:space="preserve">Article 14 of the </w:t>
      </w:r>
      <w:r>
        <w:rPr>
          <w:b/>
          <w:bCs/>
          <w:sz w:val="30"/>
          <w:szCs w:val="30"/>
        </w:rPr>
        <w:t>Covenant</w:t>
      </w:r>
    </w:p>
    <w:p w14:paraId="7AF472C3" w14:textId="77777777" w:rsidR="002D3333" w:rsidRDefault="002D3333" w:rsidP="002D3333">
      <w:pPr>
        <w:spacing w:line="259" w:lineRule="auto"/>
        <w:rPr>
          <w:b/>
          <w:bCs/>
          <w:sz w:val="22"/>
          <w:szCs w:val="22"/>
        </w:rPr>
      </w:pPr>
    </w:p>
    <w:p w14:paraId="0EE38A18" w14:textId="77777777" w:rsidR="002D3333" w:rsidRPr="00194D55" w:rsidRDefault="002D3333" w:rsidP="002D3333">
      <w:pPr>
        <w:spacing w:after="160" w:line="259" w:lineRule="auto"/>
        <w:rPr>
          <w:b/>
          <w:bCs/>
          <w:sz w:val="26"/>
          <w:szCs w:val="26"/>
        </w:rPr>
      </w:pPr>
      <w:r w:rsidRPr="00194D55">
        <w:rPr>
          <w:b/>
          <w:bCs/>
          <w:sz w:val="26"/>
          <w:szCs w:val="26"/>
        </w:rPr>
        <w:t>Deficiencies in the ex officio defence counsel system</w:t>
      </w:r>
    </w:p>
    <w:p w14:paraId="4A3579E2" w14:textId="77777777" w:rsidR="002D3333" w:rsidRPr="00260E0C" w:rsidRDefault="002D3333" w:rsidP="002D3333">
      <w:pPr>
        <w:spacing w:after="160" w:line="259" w:lineRule="auto"/>
        <w:jc w:val="both"/>
        <w:rPr>
          <w:rFonts w:eastAsia="Times New Roman"/>
          <w:sz w:val="22"/>
          <w:szCs w:val="22"/>
          <w:lang w:eastAsia="en-GB"/>
        </w:rPr>
      </w:pPr>
      <w:r w:rsidRPr="00260E0C">
        <w:rPr>
          <w:sz w:val="22"/>
          <w:szCs w:val="22"/>
        </w:rPr>
        <w:t xml:space="preserve">Since the </w:t>
      </w:r>
      <w:r w:rsidRPr="00260E0C">
        <w:rPr>
          <w:rFonts w:eastAsia="Times New Roman"/>
          <w:sz w:val="22"/>
          <w:szCs w:val="22"/>
          <w:lang w:eastAsia="en-GB"/>
        </w:rPr>
        <w:t>Committee’s previous Concluding Observations, in which it expressed concerns about the system of appointments of state-funded lawyers,</w:t>
      </w:r>
      <w:r w:rsidRPr="00260E0C">
        <w:rPr>
          <w:rStyle w:val="Lbjegyzet-hivatkozs"/>
          <w:rFonts w:eastAsia="Times New Roman"/>
          <w:sz w:val="22"/>
          <w:szCs w:val="22"/>
          <w:lang w:eastAsia="en-GB"/>
        </w:rPr>
        <w:footnoteReference w:id="57"/>
      </w:r>
      <w:r w:rsidRPr="00260E0C">
        <w:rPr>
          <w:rFonts w:eastAsia="Times New Roman"/>
          <w:sz w:val="22"/>
          <w:szCs w:val="22"/>
          <w:lang w:eastAsia="en-GB"/>
        </w:rPr>
        <w:t xml:space="preserve"> the legislative framework has changed significantly. As of </w:t>
      </w:r>
      <w:r w:rsidRPr="00260E0C">
        <w:rPr>
          <w:sz w:val="22"/>
          <w:szCs w:val="22"/>
        </w:rPr>
        <w:t xml:space="preserve">July 2018, the power to appoint ex officio defence counsels (including legal aid lawyers) in criminal proceedings was, </w:t>
      </w:r>
      <w:proofErr w:type="gramStart"/>
      <w:r w:rsidRPr="7FBE7D02">
        <w:rPr>
          <w:sz w:val="22"/>
          <w:szCs w:val="22"/>
        </w:rPr>
        <w:t>as a general rule</w:t>
      </w:r>
      <w:proofErr w:type="gramEnd"/>
      <w:r w:rsidRPr="7FBE7D02">
        <w:rPr>
          <w:sz w:val="22"/>
          <w:szCs w:val="22"/>
        </w:rPr>
        <w:t>,</w:t>
      </w:r>
      <w:r w:rsidRPr="00260E0C">
        <w:rPr>
          <w:sz w:val="22"/>
          <w:szCs w:val="22"/>
        </w:rPr>
        <w:t xml:space="preserve"> transferred from the proceeding authorities (in the case of investigations, primarily the police) to regional bar associations.</w:t>
      </w:r>
      <w:r w:rsidRPr="00260E0C">
        <w:rPr>
          <w:rFonts w:eastAsia="Times New Roman"/>
          <w:color w:val="000000"/>
          <w:sz w:val="22"/>
          <w:szCs w:val="22"/>
        </w:rPr>
        <w:t xml:space="preserve"> </w:t>
      </w:r>
      <w:r w:rsidRPr="00260E0C">
        <w:rPr>
          <w:sz w:val="22"/>
          <w:szCs w:val="22"/>
        </w:rPr>
        <w:t>However,</w:t>
      </w:r>
      <w:r w:rsidRPr="7FBE7D02">
        <w:rPr>
          <w:sz w:val="22"/>
          <w:szCs w:val="22"/>
        </w:rPr>
        <w:t xml:space="preserve"> </w:t>
      </w:r>
      <w:r w:rsidRPr="00260E0C">
        <w:rPr>
          <w:sz w:val="22"/>
          <w:szCs w:val="22"/>
        </w:rPr>
        <w:t xml:space="preserve">if a lawyer is not assigned within one hour of notification or cannot be reached for an urgent procedural action (most commonly the suspect’s first interrogation), </w:t>
      </w:r>
      <w:r w:rsidRPr="7FBE7D02">
        <w:rPr>
          <w:sz w:val="22"/>
          <w:szCs w:val="22"/>
        </w:rPr>
        <w:t>the police may appoint a “substitute” ex officio defence counsel</w:t>
      </w:r>
      <w:r w:rsidRPr="00260E0C">
        <w:rPr>
          <w:sz w:val="22"/>
          <w:szCs w:val="22"/>
        </w:rPr>
        <w:t>.</w:t>
      </w:r>
      <w:r w:rsidRPr="00260E0C">
        <w:rPr>
          <w:rStyle w:val="Lbjegyzet-hivatkozs"/>
          <w:rFonts w:eastAsia="Times New Roman"/>
          <w:color w:val="000000"/>
          <w:sz w:val="22"/>
          <w:szCs w:val="22"/>
        </w:rPr>
        <w:footnoteReference w:id="58"/>
      </w:r>
    </w:p>
    <w:p w14:paraId="0091B1AA" w14:textId="77777777" w:rsidR="002D3333" w:rsidRPr="00260E0C" w:rsidRDefault="002D3333" w:rsidP="002D3333">
      <w:pPr>
        <w:spacing w:after="160" w:line="259" w:lineRule="auto"/>
        <w:jc w:val="both"/>
        <w:rPr>
          <w:sz w:val="22"/>
          <w:szCs w:val="22"/>
        </w:rPr>
      </w:pPr>
      <w:r w:rsidRPr="7FBE7D02">
        <w:rPr>
          <w:sz w:val="22"/>
          <w:szCs w:val="22"/>
        </w:rPr>
        <w:t>Lawyers surveyed</w:t>
      </w:r>
      <w:r w:rsidRPr="00260E0C">
        <w:rPr>
          <w:sz w:val="22"/>
          <w:szCs w:val="22"/>
        </w:rPr>
        <w:t xml:space="preserve"> in 2025 reported that these exceptions are frequently exploited by investigating authorities to ensure the presence of defence counsels of their choosing at key procedural moments. These practices effectively reinstate the pre-2018 system and undermine defendants’ right to an effective defence. The police do not collect data on the proportion or grounds of “substitute” appointments.</w:t>
      </w:r>
      <w:r w:rsidRPr="00260E0C">
        <w:rPr>
          <w:rStyle w:val="Lbjegyzet-hivatkozs"/>
          <w:sz w:val="22"/>
          <w:szCs w:val="22"/>
        </w:rPr>
        <w:footnoteReference w:id="59"/>
      </w:r>
      <w:r w:rsidRPr="00260E0C">
        <w:rPr>
          <w:sz w:val="22"/>
          <w:szCs w:val="22"/>
        </w:rPr>
        <w:t xml:space="preserve"> Moreover, thresholds for qualifying for legal aid remain unrealistically low.</w:t>
      </w:r>
      <w:r w:rsidRPr="00260E0C">
        <w:rPr>
          <w:rStyle w:val="Lbjegyzet-hivatkozs"/>
          <w:sz w:val="22"/>
          <w:szCs w:val="22"/>
        </w:rPr>
        <w:footnoteReference w:id="60"/>
      </w:r>
      <w:r w:rsidRPr="00260E0C">
        <w:rPr>
          <w:sz w:val="22"/>
          <w:szCs w:val="22"/>
        </w:rPr>
        <w:t xml:space="preserve"> In 2025, the European Commission opened an infringement procedure against Hungary for failing to correctly transpose Directive </w:t>
      </w:r>
      <w:r w:rsidRPr="00260E0C">
        <w:rPr>
          <w:sz w:val="22"/>
          <w:szCs w:val="22"/>
          <w:lang w:val="hu-HU"/>
        </w:rPr>
        <w:t>(EU) 2016/1919</w:t>
      </w:r>
      <w:r w:rsidRPr="00260E0C">
        <w:rPr>
          <w:sz w:val="22"/>
          <w:szCs w:val="22"/>
        </w:rPr>
        <w:t xml:space="preserve"> on legal aid in criminal proceedings.</w:t>
      </w:r>
      <w:r w:rsidRPr="00260E0C">
        <w:rPr>
          <w:rStyle w:val="Lbjegyzet-hivatkozs"/>
          <w:sz w:val="22"/>
          <w:szCs w:val="22"/>
        </w:rPr>
        <w:footnoteReference w:id="61"/>
      </w:r>
    </w:p>
    <w:p w14:paraId="70598313" w14:textId="77777777" w:rsidR="002D3333" w:rsidRPr="00194D55" w:rsidRDefault="002D3333" w:rsidP="002D3333">
      <w:pPr>
        <w:spacing w:after="160" w:line="259" w:lineRule="auto"/>
        <w:jc w:val="both"/>
        <w:rPr>
          <w:i/>
          <w:iCs/>
          <w:sz w:val="22"/>
          <w:szCs w:val="22"/>
          <w:u w:val="single"/>
          <w:lang w:eastAsia="en-GB"/>
        </w:rPr>
      </w:pPr>
      <w:r w:rsidRPr="00194D55">
        <w:rPr>
          <w:i/>
          <w:iCs/>
          <w:sz w:val="22"/>
          <w:szCs w:val="22"/>
          <w:u w:val="single"/>
        </w:rPr>
        <w:t>Suggested questions to the State party:</w:t>
      </w:r>
    </w:p>
    <w:p w14:paraId="35065236" w14:textId="77777777" w:rsidR="002D3333" w:rsidRPr="00260E0C" w:rsidRDefault="002D3333" w:rsidP="002D3333">
      <w:pPr>
        <w:pStyle w:val="Listaszerbekezds"/>
        <w:numPr>
          <w:ilvl w:val="0"/>
          <w:numId w:val="30"/>
        </w:numPr>
        <w:spacing w:after="80" w:line="259" w:lineRule="auto"/>
        <w:ind w:left="714" w:hanging="357"/>
        <w:contextualSpacing w:val="0"/>
        <w:jc w:val="both"/>
        <w:rPr>
          <w:sz w:val="22"/>
          <w:szCs w:val="22"/>
        </w:rPr>
      </w:pPr>
      <w:r w:rsidRPr="31AF699C">
        <w:rPr>
          <w:sz w:val="22"/>
          <w:szCs w:val="22"/>
        </w:rPr>
        <w:t>Provide information on how the Government aims to ensure that exceptions to the bar association assigning ex officio appointed defence counsels are not abused by investigating authorities.</w:t>
      </w:r>
    </w:p>
    <w:p w14:paraId="4E8CAC9F" w14:textId="77777777" w:rsidR="002D3333" w:rsidRDefault="002D3333" w:rsidP="002D3333">
      <w:pPr>
        <w:pStyle w:val="Listaszerbekezds"/>
        <w:numPr>
          <w:ilvl w:val="0"/>
          <w:numId w:val="30"/>
        </w:numPr>
        <w:spacing w:after="160" w:line="259" w:lineRule="auto"/>
        <w:contextualSpacing w:val="0"/>
        <w:jc w:val="both"/>
        <w:rPr>
          <w:sz w:val="22"/>
          <w:szCs w:val="22"/>
        </w:rPr>
      </w:pPr>
      <w:r w:rsidRPr="31AF699C">
        <w:rPr>
          <w:sz w:val="22"/>
          <w:szCs w:val="22"/>
        </w:rPr>
        <w:t xml:space="preserve">Provide information on the steps taken to fully transpose Directive </w:t>
      </w:r>
      <w:r w:rsidRPr="31AF699C">
        <w:rPr>
          <w:sz w:val="22"/>
          <w:szCs w:val="22"/>
          <w:lang w:val="hu-HU"/>
        </w:rPr>
        <w:t>(EU) 2016/1919</w:t>
      </w:r>
      <w:r w:rsidRPr="31AF699C">
        <w:rPr>
          <w:sz w:val="22"/>
          <w:szCs w:val="22"/>
        </w:rPr>
        <w:t>.</w:t>
      </w:r>
    </w:p>
    <w:p w14:paraId="0CFAF8CA" w14:textId="77777777" w:rsidR="002D3333" w:rsidRDefault="002D3333" w:rsidP="00D65C29">
      <w:pPr>
        <w:spacing w:after="160" w:line="259" w:lineRule="auto"/>
        <w:rPr>
          <w:rFonts w:asciiTheme="minorHAnsi" w:hAnsiTheme="minorHAnsi" w:cstheme="minorHAnsi"/>
          <w:b/>
          <w:bCs/>
          <w:sz w:val="22"/>
          <w:szCs w:val="22"/>
        </w:rPr>
      </w:pPr>
    </w:p>
    <w:p w14:paraId="5152255F" w14:textId="4E34AF5A" w:rsidR="00933D88" w:rsidRPr="00933D88" w:rsidRDefault="005A720F" w:rsidP="00933D88">
      <w:pPr>
        <w:spacing w:after="160" w:line="259" w:lineRule="auto"/>
        <w:rPr>
          <w:b/>
          <w:bCs/>
          <w:sz w:val="26"/>
          <w:szCs w:val="26"/>
        </w:rPr>
      </w:pPr>
      <w:r w:rsidRPr="00C82505">
        <w:rPr>
          <w:b/>
          <w:bCs/>
          <w:sz w:val="26"/>
          <w:szCs w:val="26"/>
        </w:rPr>
        <w:lastRenderedPageBreak/>
        <w:t xml:space="preserve">Foreigners’ lack of access to </w:t>
      </w:r>
      <w:r w:rsidR="00C82505" w:rsidRPr="00C82505">
        <w:rPr>
          <w:b/>
          <w:bCs/>
          <w:sz w:val="26"/>
          <w:szCs w:val="26"/>
        </w:rPr>
        <w:t>grounds of decisions</w:t>
      </w:r>
    </w:p>
    <w:p w14:paraId="57707C69" w14:textId="08D26E6D" w:rsidR="00933D88" w:rsidRPr="005E19AF" w:rsidRDefault="13182F47" w:rsidP="00933D88">
      <w:pPr>
        <w:spacing w:after="160" w:line="259" w:lineRule="auto"/>
        <w:jc w:val="both"/>
        <w:rPr>
          <w:rFonts w:eastAsia="Times New Roman"/>
          <w:sz w:val="22"/>
          <w:szCs w:val="22"/>
          <w:lang w:eastAsia="en-GB"/>
        </w:rPr>
      </w:pPr>
      <w:r w:rsidRPr="005E19AF">
        <w:rPr>
          <w:rFonts w:eastAsia="Times New Roman"/>
          <w:sz w:val="22"/>
          <w:szCs w:val="22"/>
          <w:lang w:eastAsia="en-GB"/>
        </w:rPr>
        <w:t xml:space="preserve">Apart from the issues raised </w:t>
      </w:r>
      <w:r w:rsidR="5EB91923">
        <w:rPr>
          <w:rFonts w:eastAsia="Times New Roman"/>
          <w:sz w:val="22"/>
          <w:szCs w:val="22"/>
          <w:lang w:eastAsia="en-GB"/>
        </w:rPr>
        <w:t xml:space="preserve">above </w:t>
      </w:r>
      <w:r w:rsidRPr="005E19AF">
        <w:rPr>
          <w:rFonts w:eastAsia="Times New Roman"/>
          <w:sz w:val="22"/>
          <w:szCs w:val="22"/>
          <w:lang w:eastAsia="en-GB"/>
        </w:rPr>
        <w:t>under collective expulsions, the lack of access to even the essence of the grounds when decisions are made with recourse to allegations that the person poses a risk to national security (detention, status revocation, status determination, decisions related to residency) systematically undermines the Covenant.</w:t>
      </w:r>
      <w:r w:rsidR="00933D88" w:rsidRPr="005E19AF">
        <w:rPr>
          <w:rStyle w:val="Lbjegyzet-hivatkozs"/>
          <w:rFonts w:eastAsia="Times New Roman"/>
          <w:sz w:val="22"/>
          <w:szCs w:val="22"/>
          <w:lang w:eastAsia="en-GB"/>
        </w:rPr>
        <w:footnoteReference w:id="62"/>
      </w:r>
      <w:r w:rsidRPr="005E19AF">
        <w:rPr>
          <w:rFonts w:eastAsia="Times New Roman"/>
          <w:sz w:val="22"/>
          <w:szCs w:val="22"/>
          <w:lang w:eastAsia="en-GB"/>
        </w:rPr>
        <w:t xml:space="preserve"> Despite the CJEU finding this in breach of EU law, including the right to an effective remedy and fair trial enshrined in Article 47 of the Charter of Fundamental Rights,</w:t>
      </w:r>
      <w:r w:rsidR="00933D88" w:rsidRPr="005E19AF">
        <w:rPr>
          <w:rStyle w:val="Lbjegyzet-hivatkozs"/>
          <w:rFonts w:eastAsia="Times New Roman"/>
          <w:sz w:val="22"/>
          <w:szCs w:val="22"/>
          <w:lang w:eastAsia="en-GB"/>
        </w:rPr>
        <w:footnoteReference w:id="63"/>
      </w:r>
      <w:r w:rsidRPr="005E19AF">
        <w:rPr>
          <w:rFonts w:eastAsia="Times New Roman"/>
          <w:sz w:val="22"/>
          <w:szCs w:val="22"/>
          <w:lang w:eastAsia="en-GB"/>
        </w:rPr>
        <w:t xml:space="preserve"> to this day neither affected in</w:t>
      </w:r>
      <w:r>
        <w:rPr>
          <w:rFonts w:eastAsia="Times New Roman"/>
          <w:sz w:val="22"/>
          <w:szCs w:val="22"/>
          <w:lang w:eastAsia="en-GB"/>
        </w:rPr>
        <w:t>d</w:t>
      </w:r>
      <w:r w:rsidRPr="005E19AF">
        <w:rPr>
          <w:rFonts w:eastAsia="Times New Roman"/>
          <w:sz w:val="22"/>
          <w:szCs w:val="22"/>
          <w:lang w:eastAsia="en-GB"/>
        </w:rPr>
        <w:t>i</w:t>
      </w:r>
      <w:r>
        <w:rPr>
          <w:rFonts w:eastAsia="Times New Roman"/>
          <w:sz w:val="22"/>
          <w:szCs w:val="22"/>
          <w:lang w:eastAsia="en-GB"/>
        </w:rPr>
        <w:t>v</w:t>
      </w:r>
      <w:r w:rsidRPr="005E19AF">
        <w:rPr>
          <w:rFonts w:eastAsia="Times New Roman"/>
          <w:sz w:val="22"/>
          <w:szCs w:val="22"/>
          <w:lang w:eastAsia="en-GB"/>
        </w:rPr>
        <w:t>i</w:t>
      </w:r>
      <w:r>
        <w:rPr>
          <w:rFonts w:eastAsia="Times New Roman"/>
          <w:sz w:val="22"/>
          <w:szCs w:val="22"/>
          <w:lang w:eastAsia="en-GB"/>
        </w:rPr>
        <w:t>d</w:t>
      </w:r>
      <w:r w:rsidRPr="005E19AF">
        <w:rPr>
          <w:rFonts w:eastAsia="Times New Roman"/>
          <w:sz w:val="22"/>
          <w:szCs w:val="22"/>
          <w:lang w:eastAsia="en-GB"/>
        </w:rPr>
        <w:t>uals, nor their legal representative are ensured access to at least the essence of the grounds on which the national security risk was established, making any potential legal remedy illusory. This practice is incompatible with the guarantees of equality of arms and effective defence under Article 14.</w:t>
      </w:r>
    </w:p>
    <w:p w14:paraId="1161AC40" w14:textId="77777777" w:rsidR="00933D88" w:rsidRPr="005E19AF" w:rsidRDefault="00933D88" w:rsidP="00933D88">
      <w:pPr>
        <w:spacing w:after="160" w:line="259" w:lineRule="auto"/>
        <w:rPr>
          <w:i/>
          <w:iCs/>
          <w:sz w:val="22"/>
          <w:szCs w:val="22"/>
          <w:u w:val="single"/>
        </w:rPr>
      </w:pPr>
      <w:r w:rsidRPr="005E19AF">
        <w:rPr>
          <w:i/>
          <w:iCs/>
          <w:sz w:val="22"/>
          <w:szCs w:val="22"/>
          <w:u w:val="single"/>
        </w:rPr>
        <w:t>Suggested question to the State party:</w:t>
      </w:r>
    </w:p>
    <w:p w14:paraId="6B19E080" w14:textId="77777777" w:rsidR="00933D88" w:rsidRPr="005E19AF" w:rsidRDefault="00933D88" w:rsidP="00933D88">
      <w:pPr>
        <w:numPr>
          <w:ilvl w:val="0"/>
          <w:numId w:val="36"/>
        </w:numPr>
        <w:spacing w:after="160" w:line="259" w:lineRule="auto"/>
        <w:jc w:val="both"/>
        <w:rPr>
          <w:rFonts w:eastAsia="Times New Roman"/>
          <w:sz w:val="22"/>
          <w:szCs w:val="22"/>
          <w:lang w:eastAsia="en-GB"/>
        </w:rPr>
      </w:pPr>
      <w:r w:rsidRPr="005E19AF">
        <w:rPr>
          <w:rFonts w:eastAsia="Times New Roman"/>
          <w:sz w:val="22"/>
          <w:szCs w:val="22"/>
          <w:lang w:eastAsia="en-GB"/>
        </w:rPr>
        <w:t>How does Hungary ensure compliance with Article 14 in cases where contested decisions are based on national security grounds with classified reasons?</w:t>
      </w:r>
    </w:p>
    <w:p w14:paraId="552D98F7" w14:textId="77777777" w:rsidR="00933D88" w:rsidRDefault="00933D88" w:rsidP="00933D88">
      <w:pPr>
        <w:spacing w:after="160" w:line="259" w:lineRule="auto"/>
        <w:rPr>
          <w:rFonts w:asciiTheme="minorHAnsi" w:hAnsiTheme="minorHAnsi" w:cstheme="minorHAnsi"/>
          <w:sz w:val="22"/>
          <w:szCs w:val="22"/>
        </w:rPr>
      </w:pPr>
    </w:p>
    <w:p w14:paraId="57DF0F1D" w14:textId="5886E5C4" w:rsidR="00366E16" w:rsidRPr="00366E16" w:rsidRDefault="00366E16" w:rsidP="0003792B">
      <w:pPr>
        <w:spacing w:before="160" w:line="259" w:lineRule="auto"/>
        <w:jc w:val="center"/>
        <w:rPr>
          <w:b/>
          <w:bCs/>
          <w:sz w:val="30"/>
          <w:szCs w:val="30"/>
        </w:rPr>
      </w:pPr>
      <w:r w:rsidRPr="00366E16">
        <w:rPr>
          <w:b/>
          <w:bCs/>
          <w:sz w:val="30"/>
          <w:szCs w:val="30"/>
        </w:rPr>
        <w:t>Article 24</w:t>
      </w:r>
      <w:r>
        <w:rPr>
          <w:b/>
          <w:bCs/>
          <w:sz w:val="30"/>
          <w:szCs w:val="30"/>
        </w:rPr>
        <w:t xml:space="preserve"> of the Covenant</w:t>
      </w:r>
    </w:p>
    <w:p w14:paraId="17749C50" w14:textId="77777777" w:rsidR="00366E16" w:rsidRDefault="00366E16" w:rsidP="00316032">
      <w:pPr>
        <w:spacing w:line="259" w:lineRule="auto"/>
        <w:jc w:val="both"/>
        <w:rPr>
          <w:rFonts w:eastAsia="Times New Roman"/>
          <w:sz w:val="22"/>
          <w:szCs w:val="22"/>
          <w:lang w:eastAsia="en-GB"/>
        </w:rPr>
      </w:pPr>
    </w:p>
    <w:p w14:paraId="78750558" w14:textId="4340F4DD" w:rsidR="00316032" w:rsidRPr="00316032" w:rsidRDefault="00316032" w:rsidP="00366E16">
      <w:pPr>
        <w:spacing w:after="160" w:line="259" w:lineRule="auto"/>
        <w:jc w:val="both"/>
        <w:rPr>
          <w:rFonts w:eastAsia="Times New Roman"/>
          <w:b/>
          <w:bCs/>
          <w:sz w:val="26"/>
          <w:szCs w:val="26"/>
          <w:lang w:eastAsia="en-GB"/>
        </w:rPr>
      </w:pPr>
      <w:r>
        <w:rPr>
          <w:rFonts w:eastAsia="Times New Roman"/>
          <w:b/>
          <w:bCs/>
          <w:sz w:val="26"/>
          <w:szCs w:val="26"/>
          <w:lang w:eastAsia="en-GB"/>
        </w:rPr>
        <w:t>Inadequate a</w:t>
      </w:r>
      <w:r w:rsidRPr="00316032">
        <w:rPr>
          <w:rFonts w:eastAsia="Times New Roman"/>
          <w:b/>
          <w:bCs/>
          <w:sz w:val="26"/>
          <w:szCs w:val="26"/>
          <w:lang w:eastAsia="en-GB"/>
        </w:rPr>
        <w:t>ge assessment</w:t>
      </w:r>
    </w:p>
    <w:p w14:paraId="2353A96C" w14:textId="43284ACC" w:rsidR="00366E16" w:rsidRPr="005E19AF" w:rsidRDefault="4504CD5E" w:rsidP="00366E16">
      <w:pPr>
        <w:spacing w:after="160" w:line="259" w:lineRule="auto"/>
        <w:jc w:val="both"/>
        <w:rPr>
          <w:rFonts w:eastAsia="Times New Roman"/>
          <w:sz w:val="22"/>
          <w:szCs w:val="22"/>
          <w:lang w:eastAsia="en-GB"/>
        </w:rPr>
      </w:pPr>
      <w:r w:rsidRPr="005E19AF">
        <w:rPr>
          <w:rFonts w:eastAsia="Times New Roman"/>
          <w:sz w:val="22"/>
          <w:szCs w:val="22"/>
          <w:lang w:eastAsia="en-GB"/>
        </w:rPr>
        <w:t>The issues raised by the Committee in its previous Concluding Observations regarding the inadequacy of age assessment of unaccompanied and separated children (UASC) remain.</w:t>
      </w:r>
      <w:r w:rsidR="00366E16" w:rsidRPr="005E19AF">
        <w:rPr>
          <w:rStyle w:val="Lbjegyzet-hivatkozs"/>
          <w:rFonts w:eastAsia="Times New Roman"/>
          <w:sz w:val="22"/>
          <w:szCs w:val="22"/>
          <w:lang w:eastAsia="en-GB"/>
        </w:rPr>
        <w:footnoteReference w:id="64"/>
      </w:r>
      <w:r w:rsidRPr="005E19AF">
        <w:rPr>
          <w:rFonts w:eastAsia="Times New Roman"/>
          <w:sz w:val="22"/>
          <w:szCs w:val="22"/>
          <w:lang w:eastAsia="en-GB"/>
        </w:rPr>
        <w:t xml:space="preserve"> The applicable law still does not provide for an identification mechanism for </w:t>
      </w:r>
      <w:proofErr w:type="gramStart"/>
      <w:r w:rsidRPr="005E19AF">
        <w:rPr>
          <w:rFonts w:eastAsia="Times New Roman"/>
          <w:sz w:val="22"/>
          <w:szCs w:val="22"/>
          <w:lang w:eastAsia="en-GB"/>
        </w:rPr>
        <w:t>UASC</w:t>
      </w:r>
      <w:proofErr w:type="gramEnd"/>
      <w:r w:rsidRPr="005E19AF">
        <w:rPr>
          <w:rFonts w:eastAsia="Times New Roman"/>
          <w:sz w:val="22"/>
          <w:szCs w:val="22"/>
          <w:lang w:eastAsia="en-GB"/>
        </w:rPr>
        <w:t xml:space="preserve"> and no protocol is published, let alone used in practice in age determination procedures. The relevant authorities do not conduct psychosocial assessment, age determination is based on visual and physical examination (including the primary and secondary sexual characteristics), often in violation of human dignity.</w:t>
      </w:r>
      <w:r w:rsidR="00366E16" w:rsidRPr="005E19AF">
        <w:rPr>
          <w:rStyle w:val="Lbjegyzet-hivatkozs"/>
          <w:rFonts w:eastAsia="Times New Roman"/>
          <w:sz w:val="22"/>
          <w:szCs w:val="22"/>
          <w:lang w:eastAsia="en-GB"/>
        </w:rPr>
        <w:footnoteReference w:id="65"/>
      </w:r>
    </w:p>
    <w:p w14:paraId="5B975E90" w14:textId="77777777" w:rsidR="00366E16" w:rsidRPr="005E19AF" w:rsidRDefault="00366E16" w:rsidP="00366E16">
      <w:pPr>
        <w:spacing w:after="160" w:line="259" w:lineRule="auto"/>
        <w:rPr>
          <w:i/>
          <w:iCs/>
          <w:sz w:val="22"/>
          <w:szCs w:val="22"/>
          <w:u w:val="single"/>
        </w:rPr>
      </w:pPr>
      <w:r w:rsidRPr="005E19AF">
        <w:rPr>
          <w:i/>
          <w:iCs/>
          <w:sz w:val="22"/>
          <w:szCs w:val="22"/>
          <w:u w:val="single"/>
        </w:rPr>
        <w:t>Suggested question to the State party:</w:t>
      </w:r>
    </w:p>
    <w:p w14:paraId="59139B58" w14:textId="04A5060B" w:rsidR="00366E16" w:rsidRPr="005E19AF" w:rsidRDefault="4504CD5E" w:rsidP="00366E16">
      <w:pPr>
        <w:pStyle w:val="Listaszerbekezds"/>
        <w:numPr>
          <w:ilvl w:val="0"/>
          <w:numId w:val="37"/>
        </w:numPr>
        <w:spacing w:after="160" w:line="259" w:lineRule="auto"/>
        <w:contextualSpacing w:val="0"/>
        <w:jc w:val="both"/>
        <w:rPr>
          <w:sz w:val="22"/>
          <w:szCs w:val="22"/>
        </w:rPr>
      </w:pPr>
      <w:r w:rsidRPr="03AE4585">
        <w:rPr>
          <w:sz w:val="22"/>
          <w:szCs w:val="22"/>
        </w:rPr>
        <w:t>When does Hungary plan to introduce a protocol on age assessment that follows appropriate methods?</w:t>
      </w:r>
    </w:p>
    <w:p w14:paraId="723AE138" w14:textId="77777777" w:rsidR="00366E16" w:rsidRPr="00933D88" w:rsidRDefault="00366E16" w:rsidP="00933D88">
      <w:pPr>
        <w:spacing w:after="160" w:line="259" w:lineRule="auto"/>
        <w:rPr>
          <w:rFonts w:asciiTheme="minorHAnsi" w:hAnsiTheme="minorHAnsi" w:cstheme="minorHAnsi"/>
          <w:sz w:val="22"/>
          <w:szCs w:val="22"/>
        </w:rPr>
      </w:pPr>
    </w:p>
    <w:p w14:paraId="4A261475" w14:textId="77777777" w:rsidR="00621399" w:rsidRDefault="00621399">
      <w:pPr>
        <w:spacing w:after="160" w:line="259" w:lineRule="auto"/>
        <w:rPr>
          <w:b/>
          <w:bCs/>
          <w:sz w:val="30"/>
          <w:szCs w:val="30"/>
        </w:rPr>
      </w:pPr>
      <w:r>
        <w:rPr>
          <w:b/>
          <w:bCs/>
          <w:sz w:val="30"/>
          <w:szCs w:val="30"/>
        </w:rPr>
        <w:br w:type="page"/>
      </w:r>
    </w:p>
    <w:p w14:paraId="01C415D6" w14:textId="47FCD938" w:rsidR="00C747BC" w:rsidRPr="00194D55" w:rsidRDefault="00C747BC" w:rsidP="0003792B">
      <w:pPr>
        <w:spacing w:before="160" w:line="259" w:lineRule="auto"/>
        <w:jc w:val="center"/>
        <w:rPr>
          <w:b/>
          <w:bCs/>
          <w:sz w:val="30"/>
          <w:szCs w:val="30"/>
        </w:rPr>
      </w:pPr>
      <w:r w:rsidRPr="00194D55">
        <w:rPr>
          <w:b/>
          <w:bCs/>
          <w:sz w:val="30"/>
          <w:szCs w:val="30"/>
        </w:rPr>
        <w:lastRenderedPageBreak/>
        <w:t>Article</w:t>
      </w:r>
      <w:r>
        <w:rPr>
          <w:b/>
          <w:bCs/>
          <w:sz w:val="30"/>
          <w:szCs w:val="30"/>
        </w:rPr>
        <w:t>s</w:t>
      </w:r>
      <w:r w:rsidRPr="00194D55">
        <w:rPr>
          <w:b/>
          <w:bCs/>
          <w:sz w:val="30"/>
          <w:szCs w:val="30"/>
        </w:rPr>
        <w:t xml:space="preserve"> 2, </w:t>
      </w:r>
      <w:r>
        <w:rPr>
          <w:b/>
          <w:bCs/>
          <w:sz w:val="30"/>
          <w:szCs w:val="30"/>
        </w:rPr>
        <w:t xml:space="preserve">17, </w:t>
      </w:r>
      <w:r w:rsidRPr="00194D55">
        <w:rPr>
          <w:b/>
          <w:bCs/>
          <w:sz w:val="30"/>
          <w:szCs w:val="30"/>
        </w:rPr>
        <w:t>19, 21</w:t>
      </w:r>
      <w:r w:rsidR="00A9577C">
        <w:rPr>
          <w:b/>
          <w:bCs/>
          <w:sz w:val="30"/>
          <w:szCs w:val="30"/>
        </w:rPr>
        <w:t>,</w:t>
      </w:r>
      <w:r w:rsidRPr="00194D55">
        <w:rPr>
          <w:b/>
          <w:bCs/>
          <w:sz w:val="30"/>
          <w:szCs w:val="30"/>
        </w:rPr>
        <w:t xml:space="preserve"> 22 </w:t>
      </w:r>
      <w:r w:rsidR="00A9577C">
        <w:rPr>
          <w:b/>
          <w:bCs/>
          <w:sz w:val="30"/>
          <w:szCs w:val="30"/>
        </w:rPr>
        <w:t xml:space="preserve">and 25 </w:t>
      </w:r>
      <w:r w:rsidRPr="00194D55">
        <w:rPr>
          <w:b/>
          <w:bCs/>
          <w:sz w:val="30"/>
          <w:szCs w:val="30"/>
        </w:rPr>
        <w:t xml:space="preserve">of the </w:t>
      </w:r>
      <w:r>
        <w:rPr>
          <w:b/>
          <w:bCs/>
          <w:sz w:val="30"/>
          <w:szCs w:val="30"/>
        </w:rPr>
        <w:t>Covenant</w:t>
      </w:r>
    </w:p>
    <w:p w14:paraId="5A8660D2" w14:textId="77777777" w:rsidR="00C747BC" w:rsidRPr="003F771F" w:rsidRDefault="00C747BC" w:rsidP="00C747BC">
      <w:pPr>
        <w:spacing w:line="259" w:lineRule="auto"/>
        <w:rPr>
          <w:b/>
          <w:bCs/>
          <w:sz w:val="22"/>
          <w:szCs w:val="22"/>
        </w:rPr>
      </w:pPr>
    </w:p>
    <w:p w14:paraId="703D4D54" w14:textId="3E631393" w:rsidR="00C747BC" w:rsidRPr="00194D55" w:rsidRDefault="00C747BC" w:rsidP="00C747BC">
      <w:pPr>
        <w:spacing w:after="160" w:line="259" w:lineRule="auto"/>
        <w:rPr>
          <w:b/>
          <w:bCs/>
          <w:sz w:val="26"/>
          <w:szCs w:val="26"/>
        </w:rPr>
      </w:pPr>
      <w:r w:rsidRPr="00194D55">
        <w:rPr>
          <w:b/>
          <w:bCs/>
          <w:sz w:val="26"/>
          <w:szCs w:val="26"/>
        </w:rPr>
        <w:t>Peaceful assembly and AI-assisted surveillance</w:t>
      </w:r>
    </w:p>
    <w:p w14:paraId="7ACC75B7" w14:textId="77777777" w:rsidR="00C747BC" w:rsidRDefault="00C747BC" w:rsidP="00C747BC">
      <w:pPr>
        <w:spacing w:after="160" w:line="259" w:lineRule="auto"/>
        <w:jc w:val="both"/>
        <w:rPr>
          <w:sz w:val="22"/>
          <w:szCs w:val="22"/>
        </w:rPr>
      </w:pPr>
      <w:r w:rsidRPr="31AF699C">
        <w:rPr>
          <w:sz w:val="22"/>
          <w:szCs w:val="22"/>
        </w:rPr>
        <w:t>Recent amendments to the regulation of assemblies, petty offences and the use of digital and AI-assisted surveillance in Hungary have significantly restricted the conditions under which individuals may exercise their rights to freedom of peaceful assembly and association.</w:t>
      </w:r>
      <w:r>
        <w:rPr>
          <w:rStyle w:val="Lbjegyzet-hivatkozs"/>
          <w:sz w:val="22"/>
          <w:szCs w:val="22"/>
        </w:rPr>
        <w:footnoteReference w:id="66"/>
      </w:r>
      <w:r w:rsidRPr="31AF699C">
        <w:rPr>
          <w:sz w:val="22"/>
          <w:szCs w:val="22"/>
        </w:rPr>
        <w:t xml:space="preserve"> Adopted in 2025 and building on the 2021 anti-LGBTQI </w:t>
      </w:r>
      <w:r>
        <w:rPr>
          <w:sz w:val="22"/>
          <w:szCs w:val="22"/>
        </w:rPr>
        <w:t>“</w:t>
      </w:r>
      <w:r w:rsidRPr="31AF699C">
        <w:rPr>
          <w:sz w:val="22"/>
          <w:szCs w:val="22"/>
        </w:rPr>
        <w:t>Propaganda Law</w:t>
      </w:r>
      <w:r>
        <w:rPr>
          <w:sz w:val="22"/>
          <w:szCs w:val="22"/>
        </w:rPr>
        <w:t>”</w:t>
      </w:r>
      <w:r w:rsidRPr="31AF699C">
        <w:rPr>
          <w:sz w:val="22"/>
          <w:szCs w:val="22"/>
        </w:rPr>
        <w:t xml:space="preserve">, these amendments allow authorities to ban assemblies alleged to </w:t>
      </w:r>
      <w:r>
        <w:rPr>
          <w:sz w:val="22"/>
          <w:szCs w:val="22"/>
        </w:rPr>
        <w:t>“</w:t>
      </w:r>
      <w:r w:rsidRPr="31AF699C">
        <w:rPr>
          <w:sz w:val="22"/>
          <w:szCs w:val="22"/>
        </w:rPr>
        <w:t>promote</w:t>
      </w:r>
      <w:r>
        <w:rPr>
          <w:sz w:val="22"/>
          <w:szCs w:val="22"/>
        </w:rPr>
        <w:t>”</w:t>
      </w:r>
      <w:r w:rsidRPr="31AF699C">
        <w:rPr>
          <w:sz w:val="22"/>
          <w:szCs w:val="22"/>
        </w:rPr>
        <w:t xml:space="preserve"> homosexuality or gender variance, classify participation in such gatherings as a petty offence, and enforce fines as taxes without effective access to remedy. Crucially, the amendments extend the use of facial recognition technology to all petty-offence proceedings, vastly expanding the state’s surveillance powers. In practice, events deemed to be LGBTQI-related have been banned, and organisers of some of these events have been subjected to criminal investigations – demonstrating how the justice system is being instrumentalised to deter public participation and suppress dissenting voices.</w:t>
      </w:r>
    </w:p>
    <w:p w14:paraId="10CCE465" w14:textId="77777777" w:rsidR="00C747BC" w:rsidRPr="00194D55" w:rsidRDefault="00C747BC" w:rsidP="00C747BC">
      <w:pPr>
        <w:spacing w:after="160" w:line="259" w:lineRule="auto"/>
        <w:rPr>
          <w:sz w:val="22"/>
          <w:szCs w:val="22"/>
          <w:u w:val="single"/>
        </w:rPr>
      </w:pPr>
      <w:r w:rsidRPr="00194D55">
        <w:rPr>
          <w:i/>
          <w:iCs/>
          <w:sz w:val="22"/>
          <w:szCs w:val="22"/>
          <w:u w:val="single"/>
        </w:rPr>
        <w:t>Suggested questions to the State party:</w:t>
      </w:r>
    </w:p>
    <w:p w14:paraId="1F62B45C" w14:textId="77777777" w:rsidR="00C747BC" w:rsidRDefault="00C747BC" w:rsidP="00C747BC">
      <w:pPr>
        <w:pStyle w:val="Listaszerbekezds"/>
        <w:numPr>
          <w:ilvl w:val="0"/>
          <w:numId w:val="32"/>
        </w:numPr>
        <w:spacing w:after="80" w:line="259" w:lineRule="auto"/>
        <w:ind w:left="714" w:hanging="357"/>
        <w:contextualSpacing w:val="0"/>
        <w:jc w:val="both"/>
        <w:rPr>
          <w:sz w:val="22"/>
          <w:szCs w:val="22"/>
        </w:rPr>
      </w:pPr>
      <w:r w:rsidRPr="31AF699C">
        <w:rPr>
          <w:sz w:val="22"/>
          <w:szCs w:val="22"/>
        </w:rPr>
        <w:t xml:space="preserve">Explain how </w:t>
      </w:r>
      <w:r>
        <w:rPr>
          <w:sz w:val="22"/>
          <w:szCs w:val="22"/>
        </w:rPr>
        <w:t>Hungary</w:t>
      </w:r>
      <w:r w:rsidRPr="31AF699C">
        <w:rPr>
          <w:sz w:val="22"/>
          <w:szCs w:val="22"/>
        </w:rPr>
        <w:t xml:space="preserve"> ensures that the limitations on peaceful assembly introduced by the 2025 amendments comply with the principles of legality, necessity and proportionality under Article 21 of the Covenant, and that they are not applied in a discriminatory or arbitrary manner against certain groups, including sexual and gender minorities, in line with Articles 2 and 26.</w:t>
      </w:r>
    </w:p>
    <w:p w14:paraId="28ADF3B5" w14:textId="77777777" w:rsidR="00C747BC" w:rsidRPr="00DC22F5" w:rsidRDefault="00C747BC" w:rsidP="00C747BC">
      <w:pPr>
        <w:pStyle w:val="Listaszerbekezds"/>
        <w:numPr>
          <w:ilvl w:val="0"/>
          <w:numId w:val="32"/>
        </w:numPr>
        <w:spacing w:after="160" w:line="259" w:lineRule="auto"/>
        <w:contextualSpacing w:val="0"/>
        <w:jc w:val="both"/>
        <w:rPr>
          <w:sz w:val="22"/>
          <w:szCs w:val="22"/>
        </w:rPr>
      </w:pPr>
      <w:r w:rsidRPr="31AF699C">
        <w:rPr>
          <w:sz w:val="22"/>
          <w:szCs w:val="22"/>
        </w:rPr>
        <w:t>Clarify how the use of facial</w:t>
      </w:r>
      <w:r>
        <w:rPr>
          <w:sz w:val="22"/>
          <w:szCs w:val="22"/>
        </w:rPr>
        <w:t xml:space="preserve"> </w:t>
      </w:r>
      <w:r w:rsidRPr="31AF699C">
        <w:rPr>
          <w:sz w:val="22"/>
          <w:szCs w:val="22"/>
        </w:rPr>
        <w:t>recognition surveillance technologies in the context of assemblies complies with Articles 17, 19, 21 and 22 of the Covenant, including what safeguards, oversight, and remedies exist to prevent the mass or discriminatory identification and retention of biometric data of peaceful participants.</w:t>
      </w:r>
    </w:p>
    <w:p w14:paraId="537F606E" w14:textId="77777777" w:rsidR="00CE4FE2" w:rsidRPr="009231D7" w:rsidRDefault="00CE4FE2" w:rsidP="003B3555">
      <w:pPr>
        <w:spacing w:after="160" w:line="259" w:lineRule="auto"/>
        <w:jc w:val="both"/>
        <w:rPr>
          <w:rFonts w:asciiTheme="minorHAnsi" w:hAnsiTheme="minorHAnsi" w:cstheme="minorHAnsi"/>
          <w:b/>
          <w:bCs/>
          <w:sz w:val="22"/>
          <w:szCs w:val="22"/>
        </w:rPr>
      </w:pPr>
    </w:p>
    <w:p w14:paraId="614F83F0" w14:textId="09310E97" w:rsidR="00CE4FE2" w:rsidRPr="009231D7" w:rsidRDefault="00CE4FE2" w:rsidP="00CE4FE2">
      <w:pPr>
        <w:spacing w:after="160" w:line="259" w:lineRule="auto"/>
        <w:jc w:val="both"/>
        <w:rPr>
          <w:rFonts w:asciiTheme="minorHAnsi" w:hAnsiTheme="minorHAnsi" w:cstheme="minorHAnsi"/>
          <w:b/>
          <w:bCs/>
          <w:sz w:val="26"/>
          <w:szCs w:val="26"/>
        </w:rPr>
      </w:pPr>
      <w:r w:rsidRPr="009231D7">
        <w:rPr>
          <w:rFonts w:asciiTheme="minorHAnsi" w:hAnsiTheme="minorHAnsi" w:cstheme="minorHAnsi"/>
          <w:b/>
          <w:bCs/>
          <w:sz w:val="26"/>
          <w:szCs w:val="26"/>
        </w:rPr>
        <w:t>Shrinking civic space</w:t>
      </w:r>
    </w:p>
    <w:p w14:paraId="091E5F48" w14:textId="156AECA9" w:rsidR="00CE4FE2" w:rsidRPr="009231D7" w:rsidRDefault="63220470" w:rsidP="03AE4585">
      <w:pPr>
        <w:spacing w:after="160" w:line="259" w:lineRule="auto"/>
        <w:jc w:val="both"/>
        <w:rPr>
          <w:rFonts w:asciiTheme="minorHAnsi" w:hAnsiTheme="minorHAnsi" w:cstheme="minorBidi"/>
          <w:sz w:val="22"/>
          <w:szCs w:val="22"/>
        </w:rPr>
      </w:pPr>
      <w:r w:rsidRPr="03AE4585">
        <w:rPr>
          <w:rFonts w:asciiTheme="minorHAnsi" w:hAnsiTheme="minorHAnsi" w:cstheme="minorBidi"/>
          <w:sz w:val="22"/>
          <w:szCs w:val="22"/>
        </w:rPr>
        <w:t xml:space="preserve">The challenges independent CSOs </w:t>
      </w:r>
      <w:r w:rsidR="610A3CFD" w:rsidRPr="03AE4585">
        <w:rPr>
          <w:rFonts w:asciiTheme="minorHAnsi" w:hAnsiTheme="minorHAnsi" w:cstheme="minorBidi"/>
          <w:sz w:val="22"/>
          <w:szCs w:val="22"/>
        </w:rPr>
        <w:t xml:space="preserve">are </w:t>
      </w:r>
      <w:r w:rsidRPr="03AE4585">
        <w:rPr>
          <w:rFonts w:asciiTheme="minorHAnsi" w:hAnsiTheme="minorHAnsi" w:cstheme="minorBidi"/>
          <w:sz w:val="22"/>
          <w:szCs w:val="22"/>
        </w:rPr>
        <w:t xml:space="preserve">facing have increased since the </w:t>
      </w:r>
      <w:r w:rsidR="6CB578BA" w:rsidRPr="03AE4585">
        <w:rPr>
          <w:rFonts w:asciiTheme="minorHAnsi" w:hAnsiTheme="minorHAnsi" w:cstheme="minorBidi"/>
          <w:sz w:val="22"/>
          <w:szCs w:val="22"/>
        </w:rPr>
        <w:t>last</w:t>
      </w:r>
      <w:r w:rsidRPr="03AE4585">
        <w:rPr>
          <w:rFonts w:asciiTheme="minorHAnsi" w:hAnsiTheme="minorHAnsi" w:cstheme="minorBidi"/>
          <w:sz w:val="22"/>
          <w:szCs w:val="22"/>
        </w:rPr>
        <w:t xml:space="preserve"> Concluding Observations.</w:t>
      </w:r>
      <w:r w:rsidR="00D90E0E" w:rsidRPr="03AE4585">
        <w:rPr>
          <w:rStyle w:val="Lbjegyzet-hivatkozs"/>
          <w:rFonts w:asciiTheme="minorHAnsi" w:hAnsiTheme="minorHAnsi" w:cstheme="minorBidi"/>
          <w:sz w:val="22"/>
          <w:szCs w:val="22"/>
        </w:rPr>
        <w:footnoteReference w:id="67"/>
      </w:r>
      <w:r w:rsidRPr="03AE4585">
        <w:rPr>
          <w:rFonts w:asciiTheme="minorHAnsi" w:hAnsiTheme="minorHAnsi" w:cstheme="minorBidi"/>
          <w:sz w:val="22"/>
          <w:szCs w:val="22"/>
        </w:rPr>
        <w:t xml:space="preserve"> These include new legislative steps </w:t>
      </w:r>
      <w:r w:rsidR="1E81081F" w:rsidRPr="03AE4585">
        <w:rPr>
          <w:rFonts w:asciiTheme="minorHAnsi" w:hAnsiTheme="minorHAnsi" w:cstheme="minorBidi"/>
          <w:sz w:val="22"/>
          <w:szCs w:val="22"/>
        </w:rPr>
        <w:t xml:space="preserve">with </w:t>
      </w:r>
      <w:r w:rsidRPr="03AE4585">
        <w:rPr>
          <w:rFonts w:asciiTheme="minorHAnsi" w:hAnsiTheme="minorHAnsi" w:cstheme="minorBidi"/>
          <w:sz w:val="22"/>
          <w:szCs w:val="22"/>
        </w:rPr>
        <w:t xml:space="preserve">a restrictive and stigmatising impact on civil society environment; administrative measures designed to hamper the operation of CSOs; the constant shrinking of avenues of cooperation and dialogue with domestic authorities; an unfavourable environment in terms of funding and financial viability; as well as smear campaigns and stigmatising rhetoric used by government </w:t>
      </w:r>
      <w:r w:rsidR="64A65294" w:rsidRPr="03AE4585">
        <w:rPr>
          <w:rFonts w:asciiTheme="minorHAnsi" w:hAnsiTheme="minorHAnsi" w:cstheme="minorBidi"/>
          <w:sz w:val="22"/>
          <w:szCs w:val="22"/>
        </w:rPr>
        <w:t xml:space="preserve">and governing party </w:t>
      </w:r>
      <w:r w:rsidRPr="03AE4585">
        <w:rPr>
          <w:rFonts w:asciiTheme="minorHAnsi" w:hAnsiTheme="minorHAnsi" w:cstheme="minorBidi"/>
          <w:sz w:val="22"/>
          <w:szCs w:val="22"/>
        </w:rPr>
        <w:t>representative</w:t>
      </w:r>
      <w:r w:rsidR="64A65294" w:rsidRPr="03AE4585">
        <w:rPr>
          <w:rFonts w:asciiTheme="minorHAnsi" w:hAnsiTheme="minorHAnsi" w:cstheme="minorBidi"/>
          <w:sz w:val="22"/>
          <w:szCs w:val="22"/>
        </w:rPr>
        <w:t>s</w:t>
      </w:r>
      <w:r w:rsidRPr="03AE4585">
        <w:rPr>
          <w:rFonts w:asciiTheme="minorHAnsi" w:hAnsiTheme="minorHAnsi" w:cstheme="minorBidi"/>
          <w:sz w:val="22"/>
          <w:szCs w:val="22"/>
        </w:rPr>
        <w:t xml:space="preserve"> that question the legitimacy of CSO work, resulting in a chilling effect. These </w:t>
      </w:r>
      <w:r w:rsidR="610A3CFD" w:rsidRPr="03AE4585">
        <w:rPr>
          <w:rFonts w:asciiTheme="minorHAnsi" w:hAnsiTheme="minorHAnsi" w:cstheme="minorBidi"/>
          <w:sz w:val="22"/>
          <w:szCs w:val="22"/>
        </w:rPr>
        <w:t xml:space="preserve">governmental </w:t>
      </w:r>
      <w:r w:rsidRPr="03AE4585">
        <w:rPr>
          <w:rFonts w:asciiTheme="minorHAnsi" w:hAnsiTheme="minorHAnsi" w:cstheme="minorBidi"/>
          <w:sz w:val="22"/>
          <w:szCs w:val="22"/>
        </w:rPr>
        <w:t>steps severely hinder CSOs in carrying out their work in line with their mandate.</w:t>
      </w:r>
      <w:r w:rsidR="00D65C29" w:rsidRPr="03AE4585">
        <w:rPr>
          <w:rStyle w:val="Lbjegyzet-hivatkozs"/>
          <w:rFonts w:asciiTheme="minorHAnsi" w:hAnsiTheme="minorHAnsi" w:cstheme="minorBidi"/>
          <w:sz w:val="22"/>
          <w:szCs w:val="22"/>
        </w:rPr>
        <w:footnoteReference w:id="68"/>
      </w:r>
    </w:p>
    <w:p w14:paraId="64CF510C" w14:textId="7FD20E91" w:rsidR="00AF4EFF" w:rsidRPr="009231D7" w:rsidRDefault="610A3CFD" w:rsidP="03AE4585">
      <w:pPr>
        <w:spacing w:after="160" w:line="259" w:lineRule="auto"/>
        <w:jc w:val="both"/>
        <w:rPr>
          <w:rFonts w:asciiTheme="minorHAnsi" w:hAnsiTheme="minorHAnsi" w:cstheme="minorBidi"/>
          <w:sz w:val="22"/>
          <w:szCs w:val="22"/>
        </w:rPr>
      </w:pPr>
      <w:r w:rsidRPr="03AE4585">
        <w:rPr>
          <w:rFonts w:asciiTheme="minorHAnsi" w:hAnsiTheme="minorHAnsi" w:cstheme="minorBidi"/>
          <w:sz w:val="22"/>
          <w:szCs w:val="22"/>
        </w:rPr>
        <w:t>Although Act LXXVI of 2017 on the Transparency of Organi</w:t>
      </w:r>
      <w:r w:rsidR="6CB578BA" w:rsidRPr="03AE4585">
        <w:rPr>
          <w:rFonts w:asciiTheme="minorHAnsi" w:hAnsiTheme="minorHAnsi" w:cstheme="minorBidi"/>
          <w:sz w:val="22"/>
          <w:szCs w:val="22"/>
        </w:rPr>
        <w:t>s</w:t>
      </w:r>
      <w:r w:rsidRPr="03AE4585">
        <w:rPr>
          <w:rFonts w:asciiTheme="minorHAnsi" w:hAnsiTheme="minorHAnsi" w:cstheme="minorBidi"/>
          <w:sz w:val="22"/>
          <w:szCs w:val="22"/>
        </w:rPr>
        <w:t xml:space="preserve">ations Supported from Abroad </w:t>
      </w:r>
      <w:r w:rsidR="1F8CDD4F" w:rsidRPr="03AE4585">
        <w:rPr>
          <w:rFonts w:asciiTheme="minorHAnsi" w:hAnsiTheme="minorHAnsi" w:cstheme="minorBidi"/>
          <w:sz w:val="22"/>
          <w:szCs w:val="22"/>
        </w:rPr>
        <w:t xml:space="preserve">(about which </w:t>
      </w:r>
      <w:r w:rsidRPr="03AE4585">
        <w:rPr>
          <w:rFonts w:asciiTheme="minorHAnsi" w:hAnsiTheme="minorHAnsi" w:cstheme="minorBidi"/>
          <w:sz w:val="22"/>
          <w:szCs w:val="22"/>
        </w:rPr>
        <w:t>th</w:t>
      </w:r>
      <w:r w:rsidR="42D37742" w:rsidRPr="03AE4585">
        <w:rPr>
          <w:rFonts w:asciiTheme="minorHAnsi" w:hAnsiTheme="minorHAnsi" w:cstheme="minorBidi"/>
          <w:sz w:val="22"/>
          <w:szCs w:val="22"/>
        </w:rPr>
        <w:t>e</w:t>
      </w:r>
      <w:r w:rsidRPr="03AE4585">
        <w:rPr>
          <w:rFonts w:asciiTheme="minorHAnsi" w:hAnsiTheme="minorHAnsi" w:cstheme="minorBidi"/>
          <w:sz w:val="22"/>
          <w:szCs w:val="22"/>
        </w:rPr>
        <w:t xml:space="preserve"> Committee also expressed concerns</w:t>
      </w:r>
      <w:r w:rsidR="1F8CDD4F" w:rsidRPr="03AE4585">
        <w:rPr>
          <w:rFonts w:asciiTheme="minorHAnsi" w:hAnsiTheme="minorHAnsi" w:cstheme="minorBidi"/>
          <w:sz w:val="22"/>
          <w:szCs w:val="22"/>
        </w:rPr>
        <w:t xml:space="preserve">) </w:t>
      </w:r>
      <w:r w:rsidRPr="03AE4585">
        <w:rPr>
          <w:rFonts w:asciiTheme="minorHAnsi" w:hAnsiTheme="minorHAnsi" w:cstheme="minorBidi"/>
          <w:sz w:val="22"/>
          <w:szCs w:val="22"/>
        </w:rPr>
        <w:t xml:space="preserve">was abolished in 2021, after the CJEU </w:t>
      </w:r>
      <w:r w:rsidR="3578BDE9" w:rsidRPr="03AE4585">
        <w:rPr>
          <w:rFonts w:asciiTheme="minorHAnsi" w:hAnsiTheme="minorHAnsi" w:cstheme="minorBidi"/>
          <w:sz w:val="22"/>
          <w:szCs w:val="22"/>
        </w:rPr>
        <w:t xml:space="preserve">had </w:t>
      </w:r>
      <w:r w:rsidRPr="03AE4585">
        <w:rPr>
          <w:rFonts w:asciiTheme="minorHAnsi" w:hAnsiTheme="minorHAnsi" w:cstheme="minorBidi"/>
          <w:sz w:val="22"/>
          <w:szCs w:val="22"/>
        </w:rPr>
        <w:t>found that it violate</w:t>
      </w:r>
      <w:r w:rsidR="645A04A2" w:rsidRPr="03AE4585">
        <w:rPr>
          <w:rFonts w:asciiTheme="minorHAnsi" w:hAnsiTheme="minorHAnsi" w:cstheme="minorBidi"/>
          <w:sz w:val="22"/>
          <w:szCs w:val="22"/>
        </w:rPr>
        <w:t>d</w:t>
      </w:r>
      <w:r w:rsidRPr="03AE4585">
        <w:rPr>
          <w:rFonts w:asciiTheme="minorHAnsi" w:hAnsiTheme="minorHAnsi" w:cstheme="minorBidi"/>
          <w:sz w:val="22"/>
          <w:szCs w:val="22"/>
        </w:rPr>
        <w:t xml:space="preserve"> EU law, it was </w:t>
      </w:r>
      <w:r w:rsidR="645A04A2" w:rsidRPr="03AE4585">
        <w:rPr>
          <w:rFonts w:asciiTheme="minorHAnsi" w:hAnsiTheme="minorHAnsi" w:cstheme="minorBidi"/>
          <w:sz w:val="22"/>
          <w:szCs w:val="22"/>
        </w:rPr>
        <w:t>instantly</w:t>
      </w:r>
      <w:r w:rsidRPr="03AE4585">
        <w:rPr>
          <w:rFonts w:asciiTheme="minorHAnsi" w:hAnsiTheme="minorHAnsi" w:cstheme="minorBidi"/>
          <w:sz w:val="22"/>
          <w:szCs w:val="22"/>
        </w:rPr>
        <w:t xml:space="preserve"> replaced by </w:t>
      </w:r>
      <w:r w:rsidR="28B46681" w:rsidRPr="03AE4585">
        <w:rPr>
          <w:rFonts w:asciiTheme="minorHAnsi" w:hAnsiTheme="minorHAnsi" w:cstheme="minorBidi"/>
          <w:sz w:val="22"/>
          <w:szCs w:val="22"/>
        </w:rPr>
        <w:t xml:space="preserve">Act XLIX of 2021 on the Transparency of Organisations </w:t>
      </w:r>
      <w:r w:rsidR="28B46681" w:rsidRPr="03AE4585">
        <w:rPr>
          <w:rFonts w:asciiTheme="minorHAnsi" w:hAnsiTheme="minorHAnsi" w:cstheme="minorBidi"/>
          <w:sz w:val="22"/>
          <w:szCs w:val="22"/>
        </w:rPr>
        <w:lastRenderedPageBreak/>
        <w:t xml:space="preserve">Carrying out Activities Capable of Influencing Public Life, </w:t>
      </w:r>
      <w:r w:rsidR="645A04A2" w:rsidRPr="03AE4585">
        <w:rPr>
          <w:rFonts w:asciiTheme="minorHAnsi" w:hAnsiTheme="minorHAnsi" w:cstheme="minorBidi"/>
          <w:sz w:val="22"/>
          <w:szCs w:val="22"/>
        </w:rPr>
        <w:t xml:space="preserve">which subjects certain CSOs </w:t>
      </w:r>
      <w:r w:rsidR="645A04A2" w:rsidRPr="03AE4585">
        <w:rPr>
          <w:rFonts w:asciiTheme="minorHAnsi" w:hAnsiTheme="minorHAnsi" w:cstheme="minorBidi"/>
          <w:color w:val="000000"/>
          <w:sz w:val="22"/>
          <w:szCs w:val="22"/>
        </w:rPr>
        <w:t>to audits by the State Audit Office without adequate justification and legal safeguards.</w:t>
      </w:r>
      <w:r w:rsidR="00D65C29" w:rsidRPr="03AE4585">
        <w:rPr>
          <w:rFonts w:asciiTheme="minorHAnsi" w:hAnsiTheme="minorHAnsi" w:cstheme="minorBidi"/>
          <w:color w:val="000000"/>
          <w:sz w:val="22"/>
          <w:szCs w:val="22"/>
          <w:vertAlign w:val="superscript"/>
        </w:rPr>
        <w:footnoteReference w:id="69"/>
      </w:r>
    </w:p>
    <w:p w14:paraId="12F2BBBA" w14:textId="6118325E" w:rsidR="00D65C29" w:rsidRPr="009231D7" w:rsidRDefault="610A3CFD" w:rsidP="004D76C9">
      <w:pPr>
        <w:spacing w:after="160" w:line="259" w:lineRule="auto"/>
        <w:jc w:val="both"/>
        <w:rPr>
          <w:rFonts w:asciiTheme="minorHAnsi" w:hAnsiTheme="minorHAnsi" w:cstheme="minorHAnsi"/>
          <w:sz w:val="22"/>
          <w:szCs w:val="22"/>
        </w:rPr>
      </w:pPr>
      <w:r w:rsidRPr="03AE4585">
        <w:rPr>
          <w:rFonts w:asciiTheme="minorHAnsi" w:hAnsiTheme="minorHAnsi" w:cstheme="minorBidi"/>
          <w:sz w:val="22"/>
          <w:szCs w:val="22"/>
        </w:rPr>
        <w:t xml:space="preserve">Further restrictions were introduced in 2023 with the adoption of Act LXXXVIII of 2023 on the Protection of National Sovereignty, which established the Sovereignty Protection Office (SPO). The SPO is vested with </w:t>
      </w:r>
      <w:r w:rsidR="3D524F84" w:rsidRPr="03AE4585">
        <w:rPr>
          <w:rFonts w:asciiTheme="minorHAnsi" w:hAnsiTheme="minorHAnsi" w:cstheme="minorBidi"/>
          <w:sz w:val="22"/>
          <w:szCs w:val="22"/>
        </w:rPr>
        <w:t>e</w:t>
      </w:r>
      <w:r w:rsidRPr="03AE4585">
        <w:rPr>
          <w:rFonts w:asciiTheme="minorHAnsi" w:hAnsiTheme="minorHAnsi" w:cstheme="minorBidi"/>
          <w:sz w:val="22"/>
          <w:szCs w:val="22"/>
        </w:rPr>
        <w:t>xtensive investigative powers over individuals and legal entities, based on broadly and vaguely defined grounds. Intelligence services are required to cooperate with the SPO</w:t>
      </w:r>
      <w:r w:rsidR="3D524F84" w:rsidRPr="03AE4585">
        <w:rPr>
          <w:rFonts w:asciiTheme="minorHAnsi" w:hAnsiTheme="minorHAnsi" w:cstheme="minorBidi"/>
          <w:sz w:val="22"/>
          <w:szCs w:val="22"/>
        </w:rPr>
        <w:t>.</w:t>
      </w:r>
      <w:r w:rsidRPr="03AE4585">
        <w:rPr>
          <w:rFonts w:asciiTheme="minorHAnsi" w:hAnsiTheme="minorHAnsi" w:cstheme="minorBidi"/>
          <w:sz w:val="22"/>
          <w:szCs w:val="22"/>
        </w:rPr>
        <w:t xml:space="preserve"> </w:t>
      </w:r>
      <w:r w:rsidR="3D524F84" w:rsidRPr="03AE4585">
        <w:rPr>
          <w:rFonts w:asciiTheme="minorHAnsi" w:hAnsiTheme="minorHAnsi" w:cstheme="minorBidi"/>
          <w:sz w:val="22"/>
          <w:szCs w:val="22"/>
        </w:rPr>
        <w:t>I</w:t>
      </w:r>
      <w:r w:rsidRPr="03AE4585">
        <w:rPr>
          <w:rFonts w:asciiTheme="minorHAnsi" w:hAnsiTheme="minorHAnsi" w:cstheme="minorBidi"/>
          <w:sz w:val="22"/>
          <w:szCs w:val="22"/>
        </w:rPr>
        <w:t xml:space="preserve">nvestigations culminate in public reports, and the law provides no access to </w:t>
      </w:r>
      <w:r w:rsidR="278DBBE3" w:rsidRPr="03AE4585">
        <w:rPr>
          <w:rFonts w:asciiTheme="minorHAnsi" w:hAnsiTheme="minorHAnsi" w:cstheme="minorBidi"/>
          <w:sz w:val="22"/>
          <w:szCs w:val="22"/>
        </w:rPr>
        <w:t xml:space="preserve">speedy and </w:t>
      </w:r>
      <w:r w:rsidRPr="03AE4585">
        <w:rPr>
          <w:rFonts w:asciiTheme="minorHAnsi" w:hAnsiTheme="minorHAnsi" w:cstheme="minorBidi"/>
          <w:sz w:val="22"/>
          <w:szCs w:val="22"/>
        </w:rPr>
        <w:t>effective remedies.</w:t>
      </w:r>
      <w:r w:rsidR="000053DA" w:rsidRPr="03AE4585">
        <w:rPr>
          <w:rFonts w:asciiTheme="minorHAnsi" w:hAnsiTheme="minorHAnsi" w:cstheme="minorBidi"/>
          <w:color w:val="000000"/>
          <w:sz w:val="22"/>
          <w:szCs w:val="22"/>
          <w:vertAlign w:val="superscript"/>
        </w:rPr>
        <w:footnoteReference w:id="70"/>
      </w:r>
      <w:r w:rsidRPr="03AE4585">
        <w:rPr>
          <w:rFonts w:asciiTheme="minorHAnsi" w:hAnsiTheme="minorHAnsi" w:cstheme="minorBidi"/>
          <w:sz w:val="22"/>
          <w:szCs w:val="22"/>
        </w:rPr>
        <w:t xml:space="preserve"> </w:t>
      </w:r>
      <w:r w:rsidR="795A1A9E" w:rsidRPr="03AE4585">
        <w:rPr>
          <w:rFonts w:asciiTheme="minorHAnsi" w:hAnsiTheme="minorHAnsi" w:cstheme="minorBidi"/>
          <w:sz w:val="22"/>
          <w:szCs w:val="22"/>
        </w:rPr>
        <w:t>Using these powers, t</w:t>
      </w:r>
      <w:r w:rsidR="3D524F84" w:rsidRPr="03AE4585">
        <w:rPr>
          <w:rFonts w:asciiTheme="minorHAnsi" w:hAnsiTheme="minorHAnsi" w:cstheme="minorBidi"/>
          <w:sz w:val="22"/>
          <w:szCs w:val="22"/>
        </w:rPr>
        <w:t>he SPO launched investigations against leading watchdogs and media outle</w:t>
      </w:r>
      <w:r w:rsidR="795A1A9E" w:rsidRPr="03AE4585">
        <w:rPr>
          <w:rFonts w:asciiTheme="minorHAnsi" w:hAnsiTheme="minorHAnsi" w:cstheme="minorBidi"/>
          <w:sz w:val="22"/>
          <w:szCs w:val="22"/>
        </w:rPr>
        <w:t>ts</w:t>
      </w:r>
      <w:r w:rsidR="3D524F84" w:rsidRPr="03AE4585">
        <w:rPr>
          <w:rFonts w:asciiTheme="minorHAnsi" w:hAnsiTheme="minorHAnsi" w:cstheme="minorBidi"/>
          <w:sz w:val="22"/>
          <w:szCs w:val="22"/>
        </w:rPr>
        <w:t xml:space="preserve"> and is regularly por</w:t>
      </w:r>
      <w:r w:rsidR="795A1A9E" w:rsidRPr="03AE4585">
        <w:rPr>
          <w:rFonts w:asciiTheme="minorHAnsi" w:hAnsiTheme="minorHAnsi" w:cstheme="minorBidi"/>
          <w:sz w:val="22"/>
          <w:szCs w:val="22"/>
        </w:rPr>
        <w:t xml:space="preserve">traying independent CSOs as threats to national sovereignty. The Venice Commission found that the Act </w:t>
      </w:r>
      <w:r w:rsidR="64178610" w:rsidRPr="03AE4585">
        <w:rPr>
          <w:rFonts w:asciiTheme="minorHAnsi" w:hAnsiTheme="minorHAnsi" w:cstheme="minorBidi"/>
          <w:sz w:val="22"/>
          <w:szCs w:val="22"/>
        </w:rPr>
        <w:t>is “at odds with international standards” and “risks having a chilling effect on the free and democratic discussion”</w:t>
      </w:r>
      <w:r w:rsidR="795A1A9E" w:rsidRPr="03AE4585">
        <w:rPr>
          <w:rStyle w:val="Lbjegyzet-hivatkozs"/>
          <w:rFonts w:asciiTheme="minorHAnsi" w:hAnsiTheme="minorHAnsi" w:cstheme="minorBidi"/>
          <w:sz w:val="22"/>
          <w:szCs w:val="22"/>
          <w:vertAlign w:val="baseline"/>
        </w:rPr>
        <w:t>,</w:t>
      </w:r>
      <w:r w:rsidR="004D76C9" w:rsidRPr="03AE4585">
        <w:rPr>
          <w:rStyle w:val="Lbjegyzet-hivatkozs"/>
          <w:rFonts w:asciiTheme="minorHAnsi" w:hAnsiTheme="minorHAnsi" w:cstheme="minorBidi"/>
          <w:sz w:val="22"/>
          <w:szCs w:val="22"/>
        </w:rPr>
        <w:footnoteReference w:id="71"/>
      </w:r>
      <w:r w:rsidR="795A1A9E" w:rsidRPr="03AE4585">
        <w:rPr>
          <w:rFonts w:asciiTheme="minorHAnsi" w:hAnsiTheme="minorHAnsi" w:cstheme="minorBidi"/>
          <w:sz w:val="22"/>
          <w:szCs w:val="22"/>
        </w:rPr>
        <w:t xml:space="preserve"> and </w:t>
      </w:r>
      <w:r w:rsidRPr="03AE4585">
        <w:rPr>
          <w:rFonts w:asciiTheme="minorHAnsi" w:hAnsiTheme="minorHAnsi" w:cstheme="minorBidi"/>
          <w:sz w:val="22"/>
          <w:szCs w:val="22"/>
        </w:rPr>
        <w:t xml:space="preserve">the European Commission referred Hungary to the </w:t>
      </w:r>
      <w:r w:rsidR="3D524F84" w:rsidRPr="03AE4585">
        <w:rPr>
          <w:rFonts w:asciiTheme="minorHAnsi" w:hAnsiTheme="minorHAnsi" w:cstheme="minorBidi"/>
          <w:sz w:val="22"/>
          <w:szCs w:val="22"/>
        </w:rPr>
        <w:t>CJEU</w:t>
      </w:r>
      <w:r w:rsidRPr="03AE4585">
        <w:rPr>
          <w:rFonts w:asciiTheme="minorHAnsi" w:hAnsiTheme="minorHAnsi" w:cstheme="minorBidi"/>
          <w:sz w:val="22"/>
          <w:szCs w:val="22"/>
        </w:rPr>
        <w:t xml:space="preserve"> </w:t>
      </w:r>
      <w:r w:rsidR="6C396912" w:rsidRPr="03AE4585">
        <w:rPr>
          <w:rFonts w:asciiTheme="minorHAnsi" w:hAnsiTheme="minorHAnsi" w:cstheme="minorBidi"/>
          <w:sz w:val="22"/>
          <w:szCs w:val="22"/>
        </w:rPr>
        <w:t xml:space="preserve">over </w:t>
      </w:r>
      <w:r w:rsidRPr="03AE4585">
        <w:rPr>
          <w:rFonts w:asciiTheme="minorHAnsi" w:hAnsiTheme="minorHAnsi" w:cstheme="minorBidi"/>
          <w:sz w:val="22"/>
          <w:szCs w:val="22"/>
        </w:rPr>
        <w:t>the Act</w:t>
      </w:r>
      <w:r w:rsidR="645A04A2" w:rsidRPr="03AE4585">
        <w:rPr>
          <w:rFonts w:asciiTheme="minorHAnsi" w:hAnsiTheme="minorHAnsi" w:cstheme="minorBidi"/>
          <w:color w:val="000000"/>
          <w:sz w:val="22"/>
          <w:szCs w:val="22"/>
        </w:rPr>
        <w:t>.</w:t>
      </w:r>
      <w:r w:rsidR="00D65C29" w:rsidRPr="03AE4585">
        <w:rPr>
          <w:rFonts w:asciiTheme="minorHAnsi" w:hAnsiTheme="minorHAnsi" w:cstheme="minorBidi"/>
          <w:color w:val="000000"/>
          <w:sz w:val="22"/>
          <w:szCs w:val="22"/>
          <w:vertAlign w:val="superscript"/>
        </w:rPr>
        <w:footnoteReference w:id="72"/>
      </w:r>
    </w:p>
    <w:p w14:paraId="1F8FAB3D" w14:textId="50EE8ECF" w:rsidR="00AF4EFF" w:rsidRPr="009231D7" w:rsidRDefault="3271EE2A" w:rsidP="70772C0F">
      <w:pPr>
        <w:spacing w:after="160" w:line="259" w:lineRule="auto"/>
        <w:jc w:val="both"/>
        <w:rPr>
          <w:rFonts w:asciiTheme="minorHAnsi" w:hAnsiTheme="minorHAnsi" w:cstheme="minorBidi"/>
          <w:sz w:val="22"/>
          <w:szCs w:val="22"/>
        </w:rPr>
      </w:pPr>
      <w:r w:rsidRPr="70772C0F">
        <w:rPr>
          <w:rFonts w:asciiTheme="minorHAnsi" w:hAnsiTheme="minorHAnsi" w:cstheme="minorBidi"/>
          <w:sz w:val="22"/>
          <w:szCs w:val="22"/>
        </w:rPr>
        <w:t xml:space="preserve">Building on </w:t>
      </w:r>
      <w:r w:rsidR="18FAA7A5" w:rsidRPr="70772C0F">
        <w:rPr>
          <w:rFonts w:asciiTheme="minorHAnsi" w:hAnsiTheme="minorHAnsi" w:cstheme="minorBidi"/>
          <w:sz w:val="22"/>
          <w:szCs w:val="22"/>
        </w:rPr>
        <w:t>the 2023 law</w:t>
      </w:r>
      <w:r w:rsidRPr="70772C0F">
        <w:rPr>
          <w:rFonts w:asciiTheme="minorHAnsi" w:hAnsiTheme="minorHAnsi" w:cstheme="minorBidi"/>
          <w:sz w:val="22"/>
          <w:szCs w:val="22"/>
        </w:rPr>
        <w:t>, i</w:t>
      </w:r>
      <w:r w:rsidR="0AB631EB" w:rsidRPr="70772C0F">
        <w:rPr>
          <w:rFonts w:asciiTheme="minorHAnsi" w:hAnsiTheme="minorHAnsi" w:cstheme="minorBidi"/>
          <w:sz w:val="22"/>
          <w:szCs w:val="22"/>
        </w:rPr>
        <w:t>n May 2025</w:t>
      </w:r>
      <w:r w:rsidR="33F5E22D" w:rsidRPr="70772C0F">
        <w:rPr>
          <w:rFonts w:asciiTheme="minorHAnsi" w:hAnsiTheme="minorHAnsi" w:cstheme="minorBidi"/>
          <w:sz w:val="22"/>
          <w:szCs w:val="22"/>
        </w:rPr>
        <w:t xml:space="preserve"> an MP belonging to the governing majority</w:t>
      </w:r>
      <w:r w:rsidR="0AB631EB" w:rsidRPr="70772C0F">
        <w:rPr>
          <w:rFonts w:asciiTheme="minorHAnsi" w:hAnsiTheme="minorHAnsi" w:cstheme="minorBidi"/>
          <w:sz w:val="22"/>
          <w:szCs w:val="22"/>
        </w:rPr>
        <w:t xml:space="preserve"> tabled </w:t>
      </w:r>
      <w:bookmarkStart w:id="1" w:name="_Hlk216870220"/>
      <w:r w:rsidR="0AB631EB" w:rsidRPr="70772C0F">
        <w:rPr>
          <w:rFonts w:asciiTheme="minorHAnsi" w:hAnsiTheme="minorHAnsi" w:cstheme="minorBidi"/>
          <w:sz w:val="22"/>
          <w:szCs w:val="22"/>
        </w:rPr>
        <w:t>the Bill on the Transparency of Public Life</w:t>
      </w:r>
      <w:bookmarkEnd w:id="1"/>
      <w:r w:rsidR="0AB631EB" w:rsidRPr="70772C0F">
        <w:rPr>
          <w:rFonts w:asciiTheme="minorHAnsi" w:hAnsiTheme="minorHAnsi" w:cstheme="minorBidi"/>
          <w:sz w:val="22"/>
          <w:szCs w:val="22"/>
        </w:rPr>
        <w:t xml:space="preserve">, </w:t>
      </w:r>
      <w:r w:rsidR="693A3CDE" w:rsidRPr="70772C0F">
        <w:rPr>
          <w:rFonts w:asciiTheme="minorHAnsi" w:hAnsiTheme="minorHAnsi" w:cstheme="minorBidi"/>
          <w:sz w:val="22"/>
          <w:szCs w:val="22"/>
        </w:rPr>
        <w:t>which</w:t>
      </w:r>
      <w:r w:rsidR="0AB631EB" w:rsidRPr="70772C0F">
        <w:rPr>
          <w:rFonts w:asciiTheme="minorHAnsi" w:hAnsiTheme="minorHAnsi" w:cstheme="minorBidi"/>
          <w:sz w:val="22"/>
          <w:szCs w:val="22"/>
        </w:rPr>
        <w:t xml:space="preserve"> would allow the Government to blacklist CSOs, independent media, and even for-profit companies deemed “sovereignty risks”</w:t>
      </w:r>
      <w:r w:rsidR="5CE9DD4C" w:rsidRPr="70772C0F">
        <w:rPr>
          <w:rFonts w:asciiTheme="minorHAnsi" w:hAnsiTheme="minorHAnsi" w:cstheme="minorBidi"/>
          <w:sz w:val="22"/>
          <w:szCs w:val="22"/>
        </w:rPr>
        <w:t>;</w:t>
      </w:r>
      <w:r w:rsidR="0AB631EB" w:rsidRPr="70772C0F">
        <w:rPr>
          <w:rFonts w:asciiTheme="minorHAnsi" w:hAnsiTheme="minorHAnsi" w:cstheme="minorBidi"/>
          <w:sz w:val="22"/>
          <w:szCs w:val="22"/>
        </w:rPr>
        <w:t xml:space="preserve"> block or hinder to the extent of practical impossibility their funding from outside of Hungary while imposing administrative limitations on receiving domestic funding</w:t>
      </w:r>
      <w:r w:rsidR="693A3CDE" w:rsidRPr="70772C0F">
        <w:rPr>
          <w:rFonts w:asciiTheme="minorHAnsi" w:hAnsiTheme="minorHAnsi" w:cstheme="minorBidi"/>
          <w:sz w:val="22"/>
          <w:szCs w:val="22"/>
        </w:rPr>
        <w:t xml:space="preserve"> as well</w:t>
      </w:r>
      <w:r w:rsidR="5CE9DD4C" w:rsidRPr="70772C0F">
        <w:rPr>
          <w:rFonts w:asciiTheme="minorHAnsi" w:hAnsiTheme="minorHAnsi" w:cstheme="minorBidi"/>
          <w:sz w:val="22"/>
          <w:szCs w:val="22"/>
        </w:rPr>
        <w:t>;</w:t>
      </w:r>
      <w:r w:rsidR="0AB631EB" w:rsidRPr="70772C0F">
        <w:rPr>
          <w:rFonts w:asciiTheme="minorHAnsi" w:hAnsiTheme="minorHAnsi" w:cstheme="minorBidi"/>
          <w:sz w:val="22"/>
          <w:szCs w:val="22"/>
        </w:rPr>
        <w:t xml:space="preserve"> monitor bank accounts, </w:t>
      </w:r>
      <w:r w:rsidR="5CE9DD4C" w:rsidRPr="70772C0F">
        <w:rPr>
          <w:rFonts w:asciiTheme="minorHAnsi" w:hAnsiTheme="minorHAnsi" w:cstheme="minorBidi"/>
          <w:sz w:val="22"/>
          <w:szCs w:val="22"/>
        </w:rPr>
        <w:t xml:space="preserve">impose </w:t>
      </w:r>
      <w:r w:rsidR="0AB631EB" w:rsidRPr="70772C0F">
        <w:rPr>
          <w:rFonts w:asciiTheme="minorHAnsi" w:hAnsiTheme="minorHAnsi" w:cstheme="minorBidi"/>
          <w:sz w:val="22"/>
          <w:szCs w:val="22"/>
        </w:rPr>
        <w:t>fine</w:t>
      </w:r>
      <w:r w:rsidR="5CE9DD4C" w:rsidRPr="70772C0F">
        <w:rPr>
          <w:rFonts w:asciiTheme="minorHAnsi" w:hAnsiTheme="minorHAnsi" w:cstheme="minorBidi"/>
          <w:sz w:val="22"/>
          <w:szCs w:val="22"/>
        </w:rPr>
        <w:t>s;</w:t>
      </w:r>
      <w:r w:rsidR="0AB631EB" w:rsidRPr="70772C0F">
        <w:rPr>
          <w:rFonts w:asciiTheme="minorHAnsi" w:hAnsiTheme="minorHAnsi" w:cstheme="minorBidi"/>
          <w:sz w:val="22"/>
          <w:szCs w:val="22"/>
        </w:rPr>
        <w:t xml:space="preserve"> and suspend or dissolve targeted entities. The SPO would be tasked to propose which entities would be blacklisted, without appropriate legal remedies.</w:t>
      </w:r>
      <w:r w:rsidR="004D76C9" w:rsidRPr="70772C0F">
        <w:rPr>
          <w:rStyle w:val="Lbjegyzet-hivatkozs"/>
          <w:rFonts w:asciiTheme="minorHAnsi" w:hAnsiTheme="minorHAnsi" w:cstheme="minorBidi"/>
          <w:sz w:val="22"/>
          <w:szCs w:val="22"/>
        </w:rPr>
        <w:footnoteReference w:id="73"/>
      </w:r>
      <w:r w:rsidR="0AB631EB" w:rsidRPr="70772C0F">
        <w:rPr>
          <w:rFonts w:asciiTheme="minorHAnsi" w:hAnsiTheme="minorHAnsi" w:cstheme="minorBidi"/>
          <w:sz w:val="22"/>
          <w:szCs w:val="22"/>
        </w:rPr>
        <w:t xml:space="preserve"> </w:t>
      </w:r>
      <w:r w:rsidR="6039C125" w:rsidRPr="70772C0F">
        <w:rPr>
          <w:rFonts w:asciiTheme="minorHAnsi" w:hAnsiTheme="minorHAnsi" w:cstheme="minorBidi"/>
          <w:sz w:val="22"/>
          <w:szCs w:val="22"/>
        </w:rPr>
        <w:t>While its adoption was postponed in June 2025, the bill remains pending.</w:t>
      </w:r>
    </w:p>
    <w:p w14:paraId="1DA14502" w14:textId="6642C876" w:rsidR="00055B1C" w:rsidRPr="009231D7" w:rsidRDefault="005652FF" w:rsidP="6BAC57F3">
      <w:pPr>
        <w:spacing w:after="160" w:line="259" w:lineRule="auto"/>
        <w:jc w:val="both"/>
        <w:rPr>
          <w:rFonts w:asciiTheme="minorHAnsi" w:hAnsiTheme="minorHAnsi" w:cstheme="minorBidi"/>
          <w:sz w:val="22"/>
          <w:szCs w:val="22"/>
        </w:rPr>
      </w:pPr>
      <w:r w:rsidRPr="6BAC57F3">
        <w:rPr>
          <w:rFonts w:asciiTheme="minorHAnsi" w:hAnsiTheme="minorHAnsi" w:cstheme="minorBidi"/>
          <w:sz w:val="22"/>
          <w:szCs w:val="22"/>
        </w:rPr>
        <w:t>A variation of the</w:t>
      </w:r>
      <w:r w:rsidR="00D90E0E" w:rsidRPr="6BAC57F3">
        <w:rPr>
          <w:rFonts w:asciiTheme="minorHAnsi" w:hAnsiTheme="minorHAnsi" w:cstheme="minorBidi"/>
          <w:sz w:val="22"/>
          <w:szCs w:val="22"/>
        </w:rPr>
        <w:t xml:space="preserve"> “</w:t>
      </w:r>
      <w:r w:rsidR="00D65C29" w:rsidRPr="6BAC57F3">
        <w:rPr>
          <w:rFonts w:asciiTheme="minorHAnsi" w:hAnsiTheme="minorHAnsi" w:cstheme="minorBidi"/>
          <w:sz w:val="22"/>
          <w:szCs w:val="22"/>
        </w:rPr>
        <w:t>Stop Soros</w:t>
      </w:r>
      <w:r w:rsidR="00D90E0E" w:rsidRPr="6BAC57F3">
        <w:rPr>
          <w:rFonts w:asciiTheme="minorHAnsi" w:hAnsiTheme="minorHAnsi" w:cstheme="minorBidi"/>
          <w:sz w:val="22"/>
          <w:szCs w:val="22"/>
        </w:rPr>
        <w:t>”</w:t>
      </w:r>
      <w:r w:rsidR="00D65C29" w:rsidRPr="6BAC57F3">
        <w:rPr>
          <w:rFonts w:asciiTheme="minorHAnsi" w:hAnsiTheme="minorHAnsi" w:cstheme="minorBidi"/>
          <w:sz w:val="22"/>
          <w:szCs w:val="22"/>
        </w:rPr>
        <w:t xml:space="preserve"> package</w:t>
      </w:r>
      <w:r w:rsidR="00D90E0E" w:rsidRPr="6BAC57F3">
        <w:rPr>
          <w:rFonts w:asciiTheme="minorHAnsi" w:hAnsiTheme="minorHAnsi" w:cstheme="minorBidi"/>
          <w:sz w:val="22"/>
          <w:szCs w:val="22"/>
        </w:rPr>
        <w:t xml:space="preserve"> th</w:t>
      </w:r>
      <w:r w:rsidR="0024786C" w:rsidRPr="6BAC57F3">
        <w:rPr>
          <w:rFonts w:asciiTheme="minorHAnsi" w:hAnsiTheme="minorHAnsi" w:cstheme="minorBidi"/>
          <w:sz w:val="22"/>
          <w:szCs w:val="22"/>
        </w:rPr>
        <w:t>e</w:t>
      </w:r>
      <w:r w:rsidR="00D90E0E" w:rsidRPr="6BAC57F3">
        <w:rPr>
          <w:rFonts w:asciiTheme="minorHAnsi" w:hAnsiTheme="minorHAnsi" w:cstheme="minorBidi"/>
          <w:sz w:val="22"/>
          <w:szCs w:val="22"/>
        </w:rPr>
        <w:t xml:space="preserve"> Committee recommended Hungary to </w:t>
      </w:r>
      <w:r w:rsidR="00EC1C1A" w:rsidRPr="6BAC57F3">
        <w:rPr>
          <w:rFonts w:asciiTheme="minorHAnsi" w:hAnsiTheme="minorHAnsi" w:cstheme="minorBidi"/>
          <w:sz w:val="22"/>
          <w:szCs w:val="22"/>
        </w:rPr>
        <w:t>reject</w:t>
      </w:r>
      <w:r w:rsidR="00D90E0E" w:rsidRPr="6BAC57F3">
        <w:rPr>
          <w:rFonts w:asciiTheme="minorHAnsi" w:hAnsiTheme="minorHAnsi" w:cstheme="minorBidi"/>
          <w:sz w:val="22"/>
          <w:szCs w:val="22"/>
        </w:rPr>
        <w:t xml:space="preserve"> in its last Concluding Observations</w:t>
      </w:r>
      <w:r w:rsidR="00D90E0E" w:rsidRPr="6BAC57F3">
        <w:rPr>
          <w:rStyle w:val="Lbjegyzet-hivatkozs"/>
          <w:rFonts w:asciiTheme="minorHAnsi" w:hAnsiTheme="minorHAnsi" w:cstheme="minorBidi"/>
          <w:sz w:val="22"/>
          <w:szCs w:val="22"/>
        </w:rPr>
        <w:footnoteReference w:id="74"/>
      </w:r>
      <w:r w:rsidR="00D90E0E" w:rsidRPr="6BAC57F3">
        <w:rPr>
          <w:rFonts w:asciiTheme="minorHAnsi" w:hAnsiTheme="minorHAnsi" w:cstheme="minorBidi"/>
          <w:sz w:val="22"/>
          <w:szCs w:val="22"/>
        </w:rPr>
        <w:t xml:space="preserve"> w</w:t>
      </w:r>
      <w:r w:rsidRPr="6BAC57F3">
        <w:rPr>
          <w:rFonts w:asciiTheme="minorHAnsi" w:hAnsiTheme="minorHAnsi" w:cstheme="minorBidi"/>
          <w:sz w:val="22"/>
          <w:szCs w:val="22"/>
        </w:rPr>
        <w:t>as</w:t>
      </w:r>
      <w:r w:rsidR="00D90E0E" w:rsidRPr="6BAC57F3">
        <w:rPr>
          <w:rFonts w:asciiTheme="minorHAnsi" w:hAnsiTheme="minorHAnsi" w:cstheme="minorBidi"/>
          <w:sz w:val="22"/>
          <w:szCs w:val="22"/>
        </w:rPr>
        <w:t xml:space="preserve"> adopted</w:t>
      </w:r>
      <w:r w:rsidRPr="6BAC57F3">
        <w:rPr>
          <w:rFonts w:asciiTheme="minorHAnsi" w:hAnsiTheme="minorHAnsi" w:cstheme="minorBidi"/>
          <w:sz w:val="22"/>
          <w:szCs w:val="22"/>
        </w:rPr>
        <w:t xml:space="preserve"> </w:t>
      </w:r>
      <w:r w:rsidR="009B5989" w:rsidRPr="6BAC57F3">
        <w:rPr>
          <w:rFonts w:asciiTheme="minorHAnsi" w:hAnsiTheme="minorHAnsi" w:cstheme="minorBidi"/>
          <w:sz w:val="22"/>
          <w:szCs w:val="22"/>
        </w:rPr>
        <w:t xml:space="preserve">in June 2018 </w:t>
      </w:r>
      <w:r w:rsidRPr="6BAC57F3">
        <w:rPr>
          <w:rFonts w:asciiTheme="minorHAnsi" w:hAnsiTheme="minorHAnsi" w:cstheme="minorBidi"/>
          <w:sz w:val="22"/>
          <w:szCs w:val="22"/>
        </w:rPr>
        <w:t xml:space="preserve">(but </w:t>
      </w:r>
      <w:r w:rsidR="009B5989" w:rsidRPr="6BAC57F3">
        <w:rPr>
          <w:rFonts w:asciiTheme="minorHAnsi" w:hAnsiTheme="minorHAnsi" w:cstheme="minorBidi"/>
          <w:sz w:val="22"/>
          <w:szCs w:val="22"/>
        </w:rPr>
        <w:t xml:space="preserve">e.g. </w:t>
      </w:r>
      <w:r w:rsidRPr="6BAC57F3">
        <w:rPr>
          <w:rFonts w:asciiTheme="minorHAnsi" w:hAnsiTheme="minorHAnsi" w:cstheme="minorBidi"/>
          <w:sz w:val="22"/>
          <w:szCs w:val="22"/>
        </w:rPr>
        <w:t>the licensing of CSOs “supporting migration” was abandoned).</w:t>
      </w:r>
      <w:r w:rsidRPr="6BAC57F3">
        <w:rPr>
          <w:rStyle w:val="Lbjegyzet-hivatkozs"/>
          <w:rFonts w:asciiTheme="minorHAnsi" w:hAnsiTheme="minorHAnsi" w:cstheme="minorBidi"/>
          <w:sz w:val="22"/>
          <w:szCs w:val="22"/>
        </w:rPr>
        <w:footnoteReference w:id="75"/>
      </w:r>
      <w:r w:rsidR="00055B1C" w:rsidRPr="6BAC57F3">
        <w:rPr>
          <w:rFonts w:asciiTheme="minorHAnsi" w:hAnsiTheme="minorHAnsi" w:cstheme="minorBidi"/>
          <w:sz w:val="22"/>
          <w:szCs w:val="22"/>
        </w:rPr>
        <w:t xml:space="preserve"> </w:t>
      </w:r>
      <w:r w:rsidR="00351F70" w:rsidRPr="6BAC57F3">
        <w:rPr>
          <w:rFonts w:asciiTheme="minorHAnsi" w:hAnsiTheme="minorHAnsi" w:cstheme="minorBidi"/>
          <w:sz w:val="22"/>
          <w:szCs w:val="22"/>
        </w:rPr>
        <w:t>In</w:t>
      </w:r>
      <w:r w:rsidR="00EC3C2D" w:rsidRPr="6BAC57F3">
        <w:rPr>
          <w:rFonts w:asciiTheme="minorHAnsi" w:hAnsiTheme="minorHAnsi" w:cstheme="minorBidi"/>
          <w:sz w:val="22"/>
          <w:szCs w:val="22"/>
        </w:rPr>
        <w:t xml:space="preserve"> 2021</w:t>
      </w:r>
      <w:r w:rsidR="00351F70" w:rsidRPr="6BAC57F3">
        <w:rPr>
          <w:rFonts w:asciiTheme="minorHAnsi" w:hAnsiTheme="minorHAnsi" w:cstheme="minorBidi"/>
          <w:sz w:val="22"/>
          <w:szCs w:val="22"/>
        </w:rPr>
        <w:t xml:space="preserve">, </w:t>
      </w:r>
      <w:r w:rsidR="00EC3C2D" w:rsidRPr="6BAC57F3">
        <w:rPr>
          <w:rFonts w:asciiTheme="minorHAnsi" w:hAnsiTheme="minorHAnsi" w:cstheme="minorBidi"/>
          <w:sz w:val="22"/>
          <w:szCs w:val="22"/>
        </w:rPr>
        <w:t>t</w:t>
      </w:r>
      <w:r w:rsidR="00055B1C" w:rsidRPr="6BAC57F3">
        <w:rPr>
          <w:rFonts w:asciiTheme="minorHAnsi" w:hAnsiTheme="minorHAnsi" w:cstheme="minorBidi"/>
          <w:sz w:val="22"/>
          <w:szCs w:val="22"/>
        </w:rPr>
        <w:t xml:space="preserve">he CJEU found </w:t>
      </w:r>
      <w:r w:rsidR="00EC3C2D" w:rsidRPr="6BAC57F3">
        <w:rPr>
          <w:rFonts w:asciiTheme="minorHAnsi" w:hAnsiTheme="minorHAnsi" w:cstheme="minorBidi"/>
          <w:sz w:val="22"/>
          <w:szCs w:val="22"/>
        </w:rPr>
        <w:t xml:space="preserve">that </w:t>
      </w:r>
      <w:r w:rsidR="004F49FA" w:rsidRPr="6BAC57F3">
        <w:rPr>
          <w:rFonts w:asciiTheme="minorHAnsi" w:hAnsiTheme="minorHAnsi" w:cstheme="minorBidi"/>
          <w:sz w:val="22"/>
          <w:szCs w:val="22"/>
        </w:rPr>
        <w:t>its</w:t>
      </w:r>
      <w:r w:rsidR="00EC3C2D" w:rsidRPr="6BAC57F3">
        <w:rPr>
          <w:rFonts w:asciiTheme="minorHAnsi" w:hAnsiTheme="minorHAnsi" w:cstheme="minorBidi"/>
          <w:sz w:val="22"/>
          <w:szCs w:val="22"/>
        </w:rPr>
        <w:t xml:space="preserve"> elements criminalising the providing of assistance to asylum-seekers (</w:t>
      </w:r>
      <w:r w:rsidR="00EC3C2D" w:rsidRPr="6BAC57F3">
        <w:rPr>
          <w:rFonts w:asciiTheme="minorHAnsi" w:eastAsia="Corbel" w:hAnsiTheme="minorHAnsi" w:cstheme="minorBidi"/>
          <w:sz w:val="22"/>
          <w:szCs w:val="22"/>
        </w:rPr>
        <w:t>Section 353/A of the Criminal Code)</w:t>
      </w:r>
      <w:r w:rsidR="00EC3C2D" w:rsidRPr="6BAC57F3">
        <w:rPr>
          <w:rFonts w:asciiTheme="minorHAnsi" w:hAnsiTheme="minorHAnsi" w:cstheme="minorBidi"/>
          <w:sz w:val="22"/>
          <w:szCs w:val="22"/>
        </w:rPr>
        <w:t xml:space="preserve"> were </w:t>
      </w:r>
      <w:r w:rsidR="00EC3C2D" w:rsidRPr="6BAC57F3">
        <w:rPr>
          <w:rFonts w:asciiTheme="minorHAnsi" w:eastAsia="Corbel" w:hAnsiTheme="minorHAnsi" w:cstheme="minorBidi"/>
          <w:sz w:val="22"/>
          <w:szCs w:val="22"/>
        </w:rPr>
        <w:t>in breach of EU law.</w:t>
      </w:r>
      <w:r w:rsidR="00EC3C2D" w:rsidRPr="6BAC57F3">
        <w:rPr>
          <w:rFonts w:asciiTheme="minorHAnsi" w:eastAsia="Corbel" w:hAnsiTheme="minorHAnsi" w:cstheme="minorBidi"/>
          <w:sz w:val="22"/>
          <w:szCs w:val="22"/>
          <w:vertAlign w:val="superscript"/>
        </w:rPr>
        <w:footnoteReference w:id="76"/>
      </w:r>
      <w:r w:rsidR="00EC3C2D" w:rsidRPr="6BAC57F3">
        <w:rPr>
          <w:rFonts w:asciiTheme="minorHAnsi" w:eastAsia="Corbel" w:hAnsiTheme="minorHAnsi" w:cstheme="minorBidi"/>
          <w:sz w:val="22"/>
          <w:szCs w:val="22"/>
        </w:rPr>
        <w:t xml:space="preserve"> </w:t>
      </w:r>
      <w:r w:rsidR="00AD3C0C" w:rsidRPr="6BAC57F3">
        <w:rPr>
          <w:rFonts w:asciiTheme="minorHAnsi" w:eastAsia="Corbel" w:hAnsiTheme="minorHAnsi" w:cstheme="minorBidi"/>
          <w:sz w:val="22"/>
          <w:szCs w:val="22"/>
        </w:rPr>
        <w:t>As of</w:t>
      </w:r>
      <w:r w:rsidR="00AD3C0C" w:rsidRPr="6BAC57F3">
        <w:rPr>
          <w:rFonts w:asciiTheme="minorHAnsi" w:hAnsiTheme="minorHAnsi" w:cstheme="minorBidi"/>
          <w:sz w:val="22"/>
          <w:szCs w:val="22"/>
        </w:rPr>
        <w:t xml:space="preserve"> </w:t>
      </w:r>
      <w:r w:rsidR="00EC3C2D" w:rsidRPr="6BAC57F3">
        <w:rPr>
          <w:rFonts w:asciiTheme="minorHAnsi" w:eastAsia="Corbel" w:hAnsiTheme="minorHAnsi" w:cstheme="minorBidi"/>
          <w:sz w:val="22"/>
          <w:szCs w:val="22"/>
        </w:rPr>
        <w:t>1 January 2023</w:t>
      </w:r>
      <w:r w:rsidR="00AD3C0C" w:rsidRPr="6BAC57F3">
        <w:rPr>
          <w:rFonts w:asciiTheme="minorHAnsi" w:eastAsia="Corbel" w:hAnsiTheme="minorHAnsi" w:cstheme="minorBidi"/>
          <w:sz w:val="22"/>
          <w:szCs w:val="22"/>
        </w:rPr>
        <w:t>,</w:t>
      </w:r>
      <w:r w:rsidR="00AD3C0C" w:rsidRPr="6BAC57F3">
        <w:rPr>
          <w:rFonts w:asciiTheme="minorHAnsi" w:hAnsiTheme="minorHAnsi" w:cstheme="minorBidi"/>
          <w:sz w:val="22"/>
          <w:szCs w:val="22"/>
        </w:rPr>
        <w:t xml:space="preserve"> t</w:t>
      </w:r>
      <w:r w:rsidR="002504A7" w:rsidRPr="6BAC57F3">
        <w:rPr>
          <w:rFonts w:asciiTheme="minorHAnsi" w:hAnsiTheme="minorHAnsi" w:cstheme="minorBidi"/>
          <w:sz w:val="22"/>
          <w:szCs w:val="22"/>
        </w:rPr>
        <w:t>he original content of the impugned criminal provision was replaced by a different one,</w:t>
      </w:r>
      <w:r w:rsidR="005F545A" w:rsidRPr="6BAC57F3">
        <w:rPr>
          <w:rStyle w:val="Lbjegyzet-hivatkozs"/>
          <w:rFonts w:asciiTheme="minorHAnsi" w:hAnsiTheme="minorHAnsi" w:cstheme="minorBidi"/>
          <w:sz w:val="22"/>
          <w:szCs w:val="22"/>
        </w:rPr>
        <w:footnoteReference w:id="77"/>
      </w:r>
      <w:r w:rsidR="005F545A" w:rsidRPr="6BAC57F3">
        <w:rPr>
          <w:rFonts w:asciiTheme="minorHAnsi" w:hAnsiTheme="minorHAnsi" w:cstheme="minorBidi"/>
          <w:sz w:val="22"/>
          <w:szCs w:val="22"/>
        </w:rPr>
        <w:t xml:space="preserve"> </w:t>
      </w:r>
      <w:r w:rsidR="002504A7" w:rsidRPr="6BAC57F3">
        <w:rPr>
          <w:rFonts w:asciiTheme="minorHAnsi" w:hAnsiTheme="minorHAnsi" w:cstheme="minorBidi"/>
          <w:sz w:val="22"/>
          <w:szCs w:val="22"/>
        </w:rPr>
        <w:t xml:space="preserve">but the </w:t>
      </w:r>
      <w:r w:rsidR="00AD3C0C" w:rsidRPr="6BAC57F3">
        <w:rPr>
          <w:rFonts w:asciiTheme="minorHAnsi" w:hAnsiTheme="minorHAnsi" w:cstheme="minorBidi"/>
          <w:sz w:val="22"/>
          <w:szCs w:val="22"/>
        </w:rPr>
        <w:t>CJEU</w:t>
      </w:r>
      <w:r w:rsidR="002504A7" w:rsidRPr="6BAC57F3">
        <w:rPr>
          <w:rFonts w:asciiTheme="minorHAnsi" w:hAnsiTheme="minorHAnsi" w:cstheme="minorBidi"/>
          <w:sz w:val="22"/>
          <w:szCs w:val="22"/>
        </w:rPr>
        <w:t xml:space="preserve">’s key concern of deterring the provision of legal assistance to asylum-seekers </w:t>
      </w:r>
      <w:r w:rsidR="004A7E4B" w:rsidRPr="6BAC57F3">
        <w:rPr>
          <w:rFonts w:asciiTheme="minorHAnsi" w:hAnsiTheme="minorHAnsi" w:cstheme="minorBidi"/>
          <w:sz w:val="22"/>
          <w:szCs w:val="22"/>
        </w:rPr>
        <w:t>has not been adequately addressed by</w:t>
      </w:r>
      <w:r w:rsidR="00AD3C0C" w:rsidRPr="6BAC57F3">
        <w:rPr>
          <w:rFonts w:asciiTheme="minorHAnsi" w:hAnsiTheme="minorHAnsi" w:cstheme="minorBidi"/>
          <w:sz w:val="22"/>
          <w:szCs w:val="22"/>
        </w:rPr>
        <w:t xml:space="preserve"> th</w:t>
      </w:r>
      <w:r w:rsidRPr="6BAC57F3">
        <w:rPr>
          <w:rFonts w:asciiTheme="minorHAnsi" w:hAnsiTheme="minorHAnsi" w:cstheme="minorBidi"/>
          <w:sz w:val="22"/>
          <w:szCs w:val="22"/>
        </w:rPr>
        <w:t>e new</w:t>
      </w:r>
      <w:r w:rsidR="00AD3C0C" w:rsidRPr="6BAC57F3">
        <w:rPr>
          <w:rFonts w:asciiTheme="minorHAnsi" w:hAnsiTheme="minorHAnsi" w:cstheme="minorBidi"/>
          <w:sz w:val="22"/>
          <w:szCs w:val="22"/>
        </w:rPr>
        <w:t xml:space="preserve"> </w:t>
      </w:r>
      <w:r w:rsidRPr="6BAC57F3">
        <w:rPr>
          <w:rFonts w:asciiTheme="minorHAnsi" w:hAnsiTheme="minorHAnsi" w:cstheme="minorBidi"/>
          <w:sz w:val="22"/>
          <w:szCs w:val="22"/>
        </w:rPr>
        <w:t>wording</w:t>
      </w:r>
      <w:r w:rsidR="00AD3C0C" w:rsidRPr="6BAC57F3">
        <w:rPr>
          <w:rFonts w:asciiTheme="minorHAnsi" w:hAnsiTheme="minorHAnsi" w:cstheme="minorBidi"/>
          <w:sz w:val="22"/>
          <w:szCs w:val="22"/>
        </w:rPr>
        <w:t xml:space="preserve"> </w:t>
      </w:r>
      <w:r w:rsidR="004A7E4B" w:rsidRPr="6BAC57F3">
        <w:rPr>
          <w:rFonts w:asciiTheme="minorHAnsi" w:hAnsiTheme="minorHAnsi" w:cstheme="minorBidi"/>
          <w:sz w:val="22"/>
          <w:szCs w:val="22"/>
        </w:rPr>
        <w:t>either</w:t>
      </w:r>
      <w:r w:rsidR="002504A7" w:rsidRPr="6BAC57F3">
        <w:rPr>
          <w:rFonts w:asciiTheme="minorHAnsi" w:hAnsiTheme="minorHAnsi" w:cstheme="minorBidi"/>
          <w:sz w:val="22"/>
          <w:szCs w:val="22"/>
        </w:rPr>
        <w:t>.</w:t>
      </w:r>
      <w:r w:rsidR="00AD3C0C" w:rsidRPr="6BAC57F3">
        <w:rPr>
          <w:rFonts w:asciiTheme="minorHAnsi" w:hAnsiTheme="minorHAnsi" w:cstheme="minorBidi"/>
          <w:sz w:val="22"/>
          <w:szCs w:val="22"/>
        </w:rPr>
        <w:t xml:space="preserve"> </w:t>
      </w:r>
      <w:r w:rsidR="009B5989" w:rsidRPr="6BAC57F3">
        <w:rPr>
          <w:rFonts w:asciiTheme="minorHAnsi" w:hAnsiTheme="minorHAnsi" w:cstheme="minorBidi"/>
          <w:sz w:val="22"/>
          <w:szCs w:val="22"/>
        </w:rPr>
        <w:t xml:space="preserve">A </w:t>
      </w:r>
      <w:r w:rsidR="00055B1C" w:rsidRPr="6BAC57F3">
        <w:rPr>
          <w:rFonts w:asciiTheme="minorHAnsi" w:hAnsiTheme="minorHAnsi" w:cstheme="minorBidi"/>
          <w:sz w:val="22"/>
          <w:szCs w:val="22"/>
        </w:rPr>
        <w:t xml:space="preserve">25% </w:t>
      </w:r>
      <w:r w:rsidRPr="6BAC57F3">
        <w:rPr>
          <w:rFonts w:asciiTheme="minorHAnsi" w:hAnsiTheme="minorHAnsi" w:cstheme="minorBidi"/>
          <w:sz w:val="22"/>
          <w:szCs w:val="22"/>
        </w:rPr>
        <w:t xml:space="preserve">immigration </w:t>
      </w:r>
      <w:r w:rsidR="00055B1C" w:rsidRPr="6BAC57F3">
        <w:rPr>
          <w:rFonts w:asciiTheme="minorHAnsi" w:hAnsiTheme="minorHAnsi" w:cstheme="minorBidi"/>
          <w:sz w:val="22"/>
          <w:szCs w:val="22"/>
        </w:rPr>
        <w:t xml:space="preserve">tax </w:t>
      </w:r>
      <w:r w:rsidR="009B5989" w:rsidRPr="6BAC57F3">
        <w:rPr>
          <w:rFonts w:asciiTheme="minorHAnsi" w:eastAsia="Corbel" w:hAnsiTheme="minorHAnsi" w:cstheme="minorBidi"/>
        </w:rPr>
        <w:t xml:space="preserve">on </w:t>
      </w:r>
      <w:r w:rsidR="009B5989" w:rsidRPr="6BAC57F3">
        <w:rPr>
          <w:rFonts w:asciiTheme="minorHAnsi" w:eastAsia="Corbel" w:hAnsiTheme="minorHAnsi" w:cstheme="minorBidi"/>
          <w:sz w:val="22"/>
          <w:szCs w:val="22"/>
        </w:rPr>
        <w:t xml:space="preserve">donors if they provide funds for activities “facilitating” immigration or on grantees performing such activities (largely undefined by the law) in case the donor organisation fails to pay the tax </w:t>
      </w:r>
      <w:r w:rsidR="00055B1C" w:rsidRPr="6BAC57F3">
        <w:rPr>
          <w:rFonts w:asciiTheme="minorHAnsi" w:hAnsiTheme="minorHAnsi" w:cstheme="minorBidi"/>
          <w:sz w:val="22"/>
          <w:szCs w:val="22"/>
        </w:rPr>
        <w:t>remains in effect</w:t>
      </w:r>
      <w:r w:rsidRPr="6BAC57F3">
        <w:rPr>
          <w:rFonts w:asciiTheme="minorHAnsi" w:hAnsiTheme="minorHAnsi" w:cstheme="minorBidi"/>
          <w:sz w:val="22"/>
          <w:szCs w:val="22"/>
        </w:rPr>
        <w:t xml:space="preserve"> but has not yet been applied</w:t>
      </w:r>
      <w:r w:rsidR="003A143C" w:rsidRPr="6BAC57F3">
        <w:rPr>
          <w:rFonts w:asciiTheme="minorHAnsi" w:hAnsiTheme="minorHAnsi" w:cstheme="minorBidi"/>
          <w:sz w:val="22"/>
          <w:szCs w:val="22"/>
        </w:rPr>
        <w:t>.</w:t>
      </w:r>
      <w:r w:rsidR="003A143C" w:rsidRPr="6BAC57F3">
        <w:rPr>
          <w:rStyle w:val="Lbjegyzet-hivatkozs"/>
          <w:rFonts w:asciiTheme="minorHAnsi" w:hAnsiTheme="minorHAnsi" w:cstheme="minorBidi"/>
          <w:sz w:val="22"/>
          <w:szCs w:val="22"/>
        </w:rPr>
        <w:footnoteReference w:id="78"/>
      </w:r>
    </w:p>
    <w:p w14:paraId="57E72242" w14:textId="2D0BE77E" w:rsidR="000E0CC1" w:rsidRPr="009231D7" w:rsidRDefault="000E0CC1" w:rsidP="00CE4FE2">
      <w:pPr>
        <w:spacing w:after="160" w:line="259" w:lineRule="auto"/>
        <w:jc w:val="both"/>
        <w:rPr>
          <w:rFonts w:asciiTheme="minorHAnsi" w:hAnsiTheme="minorHAnsi" w:cstheme="minorHAnsi"/>
          <w:i/>
          <w:iCs/>
          <w:sz w:val="22"/>
          <w:szCs w:val="22"/>
          <w:u w:val="single"/>
        </w:rPr>
      </w:pPr>
      <w:r w:rsidRPr="009231D7">
        <w:rPr>
          <w:rFonts w:asciiTheme="minorHAnsi" w:hAnsiTheme="minorHAnsi" w:cstheme="minorHAnsi"/>
          <w:i/>
          <w:iCs/>
          <w:sz w:val="22"/>
          <w:szCs w:val="22"/>
          <w:u w:val="single"/>
        </w:rPr>
        <w:lastRenderedPageBreak/>
        <w:t>Suggested questions to the State party:</w:t>
      </w:r>
    </w:p>
    <w:p w14:paraId="5C57D8D5" w14:textId="0FF075FA" w:rsidR="000E0CC1" w:rsidRPr="009231D7" w:rsidRDefault="000E0CC1" w:rsidP="00035228">
      <w:pPr>
        <w:pStyle w:val="Listaszerbekezds"/>
        <w:numPr>
          <w:ilvl w:val="0"/>
          <w:numId w:val="3"/>
        </w:numPr>
        <w:spacing w:after="80" w:line="259" w:lineRule="auto"/>
        <w:ind w:left="714" w:hanging="357"/>
        <w:contextualSpacing w:val="0"/>
        <w:jc w:val="both"/>
        <w:rPr>
          <w:rFonts w:asciiTheme="minorHAnsi" w:hAnsiTheme="minorHAnsi" w:cstheme="minorHAnsi"/>
          <w:sz w:val="22"/>
          <w:szCs w:val="22"/>
        </w:rPr>
      </w:pPr>
      <w:r w:rsidRPr="009231D7">
        <w:rPr>
          <w:rFonts w:asciiTheme="minorHAnsi" w:hAnsiTheme="minorHAnsi" w:cstheme="minorHAnsi"/>
          <w:sz w:val="22"/>
          <w:szCs w:val="22"/>
        </w:rPr>
        <w:t>When will the Government take steps to</w:t>
      </w:r>
      <w:r w:rsidR="00B15D5A" w:rsidRPr="009231D7">
        <w:rPr>
          <w:rFonts w:asciiTheme="minorHAnsi" w:hAnsiTheme="minorHAnsi" w:cstheme="minorHAnsi"/>
          <w:sz w:val="22"/>
          <w:szCs w:val="22"/>
        </w:rPr>
        <w:t xml:space="preserve"> repeal</w:t>
      </w:r>
      <w:r w:rsidRPr="009231D7">
        <w:rPr>
          <w:rFonts w:asciiTheme="minorHAnsi" w:hAnsiTheme="minorHAnsi" w:cstheme="minorHAnsi"/>
          <w:sz w:val="22"/>
          <w:szCs w:val="22"/>
        </w:rPr>
        <w:t xml:space="preserve"> Act LXXXVIII of 2023, in line with the Venice Commission’s recommendatio</w:t>
      </w:r>
      <w:r w:rsidR="00B15D5A" w:rsidRPr="009231D7">
        <w:rPr>
          <w:rFonts w:asciiTheme="minorHAnsi" w:hAnsiTheme="minorHAnsi" w:cstheme="minorHAnsi"/>
          <w:sz w:val="22"/>
          <w:szCs w:val="22"/>
        </w:rPr>
        <w:t>n</w:t>
      </w:r>
      <w:r w:rsidRPr="009231D7">
        <w:rPr>
          <w:rFonts w:asciiTheme="minorHAnsi" w:hAnsiTheme="minorHAnsi" w:cstheme="minorHAnsi"/>
          <w:sz w:val="22"/>
          <w:szCs w:val="22"/>
        </w:rPr>
        <w:t>?</w:t>
      </w:r>
    </w:p>
    <w:p w14:paraId="037D031A" w14:textId="0348B037" w:rsidR="00E97B74" w:rsidRPr="009231D7" w:rsidRDefault="00E97B74" w:rsidP="00035228">
      <w:pPr>
        <w:pStyle w:val="Listaszerbekezds"/>
        <w:numPr>
          <w:ilvl w:val="0"/>
          <w:numId w:val="3"/>
        </w:numPr>
        <w:spacing w:after="80" w:line="259" w:lineRule="auto"/>
        <w:ind w:left="714" w:hanging="357"/>
        <w:contextualSpacing w:val="0"/>
        <w:jc w:val="both"/>
        <w:rPr>
          <w:rFonts w:asciiTheme="minorHAnsi" w:hAnsiTheme="minorHAnsi" w:cstheme="minorHAnsi"/>
          <w:sz w:val="22"/>
          <w:szCs w:val="22"/>
        </w:rPr>
      </w:pPr>
      <w:r w:rsidRPr="009231D7">
        <w:rPr>
          <w:rFonts w:asciiTheme="minorHAnsi" w:hAnsiTheme="minorHAnsi" w:cstheme="minorHAnsi"/>
          <w:sz w:val="22"/>
          <w:szCs w:val="22"/>
        </w:rPr>
        <w:t>When will the Government repeal the 25% immigration tax,</w:t>
      </w:r>
      <w:r w:rsidR="00D90E0E" w:rsidRPr="009231D7">
        <w:rPr>
          <w:rFonts w:asciiTheme="minorHAnsi" w:hAnsiTheme="minorHAnsi" w:cstheme="minorHAnsi"/>
          <w:sz w:val="22"/>
          <w:szCs w:val="22"/>
        </w:rPr>
        <w:t xml:space="preserve"> in line with this Committee’s recommendation?</w:t>
      </w:r>
    </w:p>
    <w:p w14:paraId="11A29C74" w14:textId="2EADEBDB" w:rsidR="007C1ED1" w:rsidRPr="009231D7" w:rsidRDefault="007C1ED1" w:rsidP="001D7BEB">
      <w:pPr>
        <w:pStyle w:val="Listaszerbekezds"/>
        <w:numPr>
          <w:ilvl w:val="0"/>
          <w:numId w:val="3"/>
        </w:numPr>
        <w:spacing w:after="160" w:line="259" w:lineRule="auto"/>
        <w:ind w:left="714" w:hanging="357"/>
        <w:contextualSpacing w:val="0"/>
        <w:jc w:val="both"/>
        <w:rPr>
          <w:rFonts w:asciiTheme="minorHAnsi" w:hAnsiTheme="minorHAnsi" w:cstheme="minorHAnsi"/>
          <w:sz w:val="22"/>
          <w:szCs w:val="22"/>
        </w:rPr>
      </w:pPr>
      <w:r w:rsidRPr="009231D7">
        <w:rPr>
          <w:rFonts w:asciiTheme="minorHAnsi" w:hAnsiTheme="minorHAnsi" w:cstheme="minorHAnsi"/>
          <w:sz w:val="22"/>
          <w:szCs w:val="22"/>
        </w:rPr>
        <w:t>Please explain h</w:t>
      </w:r>
      <w:r w:rsidR="000E0CC1" w:rsidRPr="009231D7">
        <w:rPr>
          <w:rFonts w:asciiTheme="minorHAnsi" w:hAnsiTheme="minorHAnsi" w:cstheme="minorHAnsi"/>
          <w:sz w:val="22"/>
          <w:szCs w:val="22"/>
        </w:rPr>
        <w:t>ow</w:t>
      </w:r>
      <w:r w:rsidRPr="009231D7">
        <w:rPr>
          <w:rFonts w:asciiTheme="minorHAnsi" w:hAnsiTheme="minorHAnsi" w:cstheme="minorHAnsi"/>
          <w:sz w:val="22"/>
          <w:szCs w:val="22"/>
        </w:rPr>
        <w:t xml:space="preserve"> Act XLIX of 2021, </w:t>
      </w:r>
      <w:r w:rsidR="00351F70" w:rsidRPr="009231D7">
        <w:rPr>
          <w:rFonts w:asciiTheme="minorHAnsi" w:hAnsiTheme="minorHAnsi" w:cstheme="minorHAnsi"/>
          <w:sz w:val="22"/>
          <w:szCs w:val="22"/>
        </w:rPr>
        <w:t>the “Stop Soros” package</w:t>
      </w:r>
      <w:r w:rsidRPr="009231D7">
        <w:rPr>
          <w:rFonts w:asciiTheme="minorHAnsi" w:hAnsiTheme="minorHAnsi" w:cstheme="minorHAnsi"/>
          <w:sz w:val="22"/>
          <w:szCs w:val="22"/>
        </w:rPr>
        <w:t xml:space="preserve">, </w:t>
      </w:r>
      <w:r w:rsidR="00D90E0E" w:rsidRPr="009231D7">
        <w:rPr>
          <w:rFonts w:asciiTheme="minorHAnsi" w:hAnsiTheme="minorHAnsi" w:cstheme="minorHAnsi"/>
          <w:sz w:val="22"/>
          <w:szCs w:val="22"/>
        </w:rPr>
        <w:t xml:space="preserve">Act LXXXVIII of 2023, </w:t>
      </w:r>
      <w:r w:rsidRPr="009231D7">
        <w:rPr>
          <w:rFonts w:asciiTheme="minorHAnsi" w:hAnsiTheme="minorHAnsi" w:cstheme="minorHAnsi"/>
          <w:sz w:val="22"/>
          <w:szCs w:val="22"/>
        </w:rPr>
        <w:t xml:space="preserve">and </w:t>
      </w:r>
      <w:r w:rsidR="000E0CC1" w:rsidRPr="009231D7">
        <w:rPr>
          <w:rFonts w:asciiTheme="minorHAnsi" w:hAnsiTheme="minorHAnsi" w:cstheme="minorHAnsi"/>
          <w:sz w:val="22"/>
          <w:szCs w:val="22"/>
        </w:rPr>
        <w:t>the Bill on the Transparency of Public Life</w:t>
      </w:r>
      <w:r w:rsidRPr="009231D7">
        <w:rPr>
          <w:rFonts w:asciiTheme="minorHAnsi" w:hAnsiTheme="minorHAnsi" w:cstheme="minorHAnsi"/>
          <w:sz w:val="22"/>
          <w:szCs w:val="22"/>
        </w:rPr>
        <w:t xml:space="preserve"> are </w:t>
      </w:r>
      <w:r w:rsidR="000E0CC1" w:rsidRPr="009231D7">
        <w:rPr>
          <w:rFonts w:asciiTheme="minorHAnsi" w:hAnsiTheme="minorHAnsi" w:cstheme="minorHAnsi"/>
          <w:sz w:val="22"/>
          <w:szCs w:val="22"/>
        </w:rPr>
        <w:t xml:space="preserve">compatible </w:t>
      </w:r>
      <w:r w:rsidR="00D90E0E" w:rsidRPr="009231D7">
        <w:rPr>
          <w:rFonts w:asciiTheme="minorHAnsi" w:hAnsiTheme="minorHAnsi" w:cstheme="minorHAnsi"/>
          <w:sz w:val="22"/>
          <w:szCs w:val="22"/>
        </w:rPr>
        <w:t xml:space="preserve">with this Committee’s recommendation that Hungary should “ensure that all legislation relating to NGOs is fully consistent with its international obligations under the </w:t>
      </w:r>
      <w:r w:rsidR="005E416C" w:rsidRPr="009231D7">
        <w:rPr>
          <w:rFonts w:asciiTheme="minorHAnsi" w:hAnsiTheme="minorHAnsi" w:cstheme="minorHAnsi"/>
          <w:sz w:val="22"/>
          <w:szCs w:val="22"/>
        </w:rPr>
        <w:t>Covenant</w:t>
      </w:r>
      <w:r w:rsidR="00D90E0E" w:rsidRPr="009231D7">
        <w:rPr>
          <w:rFonts w:asciiTheme="minorHAnsi" w:hAnsiTheme="minorHAnsi" w:cstheme="minorHAnsi"/>
          <w:sz w:val="22"/>
          <w:szCs w:val="22"/>
        </w:rPr>
        <w:t>, reflects the important role of NGOs in a democratic society and is designed to facilitate, not undermine, their operations”.</w:t>
      </w:r>
      <w:r w:rsidR="00DE7F0F" w:rsidRPr="009231D7">
        <w:rPr>
          <w:rStyle w:val="Lbjegyzet-hivatkozs"/>
          <w:rFonts w:asciiTheme="minorHAnsi" w:hAnsiTheme="minorHAnsi" w:cstheme="minorHAnsi"/>
          <w:sz w:val="22"/>
          <w:szCs w:val="22"/>
        </w:rPr>
        <w:footnoteReference w:id="79"/>
      </w:r>
    </w:p>
    <w:p w14:paraId="76F1058A" w14:textId="77777777" w:rsidR="001D7BEB" w:rsidRPr="009231D7" w:rsidRDefault="001D7BEB" w:rsidP="00977EC9">
      <w:pPr>
        <w:spacing w:after="80" w:line="259" w:lineRule="auto"/>
        <w:jc w:val="both"/>
        <w:rPr>
          <w:rFonts w:asciiTheme="minorHAnsi" w:hAnsiTheme="minorHAnsi" w:cstheme="minorHAnsi"/>
          <w:sz w:val="22"/>
          <w:szCs w:val="22"/>
        </w:rPr>
      </w:pPr>
    </w:p>
    <w:p w14:paraId="684E058D" w14:textId="0980EAF4" w:rsidR="00D65C29" w:rsidRPr="009231D7" w:rsidRDefault="00BD7194" w:rsidP="00CE4FE2">
      <w:pPr>
        <w:spacing w:after="160" w:line="259" w:lineRule="auto"/>
        <w:jc w:val="both"/>
        <w:rPr>
          <w:rFonts w:asciiTheme="minorHAnsi" w:hAnsiTheme="minorHAnsi" w:cstheme="minorHAnsi"/>
          <w:b/>
          <w:bCs/>
          <w:sz w:val="26"/>
          <w:szCs w:val="26"/>
        </w:rPr>
      </w:pPr>
      <w:r w:rsidRPr="009231D7">
        <w:rPr>
          <w:rFonts w:asciiTheme="minorHAnsi" w:hAnsiTheme="minorHAnsi" w:cstheme="minorHAnsi"/>
          <w:b/>
          <w:bCs/>
          <w:sz w:val="26"/>
          <w:szCs w:val="26"/>
        </w:rPr>
        <w:t>Weakened t</w:t>
      </w:r>
      <w:r w:rsidR="00D65C29" w:rsidRPr="009231D7">
        <w:rPr>
          <w:rFonts w:asciiTheme="minorHAnsi" w:hAnsiTheme="minorHAnsi" w:cstheme="minorHAnsi"/>
          <w:b/>
          <w:bCs/>
          <w:sz w:val="26"/>
          <w:szCs w:val="26"/>
        </w:rPr>
        <w:t>rade unions</w:t>
      </w:r>
    </w:p>
    <w:p w14:paraId="626E1478" w14:textId="6221375F" w:rsidR="000904B0" w:rsidRPr="009C1E2C" w:rsidRDefault="470C1246" w:rsidP="03AE4585">
      <w:pPr>
        <w:spacing w:after="160" w:line="259" w:lineRule="auto"/>
        <w:jc w:val="both"/>
        <w:rPr>
          <w:sz w:val="22"/>
          <w:szCs w:val="22"/>
        </w:rPr>
      </w:pPr>
      <w:r>
        <w:rPr>
          <w:sz w:val="22"/>
          <w:szCs w:val="22"/>
        </w:rPr>
        <w:t>T</w:t>
      </w:r>
      <w:r w:rsidR="0EC3ADD0" w:rsidRPr="0081622B">
        <w:rPr>
          <w:sz w:val="22"/>
          <w:szCs w:val="22"/>
        </w:rPr>
        <w:t xml:space="preserve">here have been </w:t>
      </w:r>
      <w:r w:rsidR="0EC3ADD0">
        <w:rPr>
          <w:sz w:val="22"/>
          <w:szCs w:val="22"/>
        </w:rPr>
        <w:t xml:space="preserve">instances </w:t>
      </w:r>
      <w:r w:rsidR="4C36DAF5" w:rsidRPr="10B45FB0">
        <w:rPr>
          <w:sz w:val="22"/>
          <w:szCs w:val="22"/>
        </w:rPr>
        <w:t>in which</w:t>
      </w:r>
      <w:r w:rsidR="1A49C04D">
        <w:rPr>
          <w:sz w:val="22"/>
          <w:szCs w:val="22"/>
        </w:rPr>
        <w:t xml:space="preserve"> </w:t>
      </w:r>
      <w:r w:rsidR="0EC3ADD0" w:rsidRPr="0081622B">
        <w:rPr>
          <w:sz w:val="22"/>
          <w:szCs w:val="22"/>
        </w:rPr>
        <w:t>the work of trade unions that spoke out on sensitive political issues</w:t>
      </w:r>
      <w:r w:rsidR="4AED77A6">
        <w:rPr>
          <w:sz w:val="22"/>
          <w:szCs w:val="22"/>
        </w:rPr>
        <w:t xml:space="preserve"> </w:t>
      </w:r>
      <w:r w:rsidR="0EC3ADD0" w:rsidRPr="0081622B">
        <w:rPr>
          <w:sz w:val="22"/>
          <w:szCs w:val="22"/>
        </w:rPr>
        <w:t>in the interest</w:t>
      </w:r>
      <w:r w:rsidR="37039ECA" w:rsidRPr="10B45FB0">
        <w:rPr>
          <w:sz w:val="22"/>
          <w:szCs w:val="22"/>
        </w:rPr>
        <w:t>s</w:t>
      </w:r>
      <w:r w:rsidR="0EC3ADD0" w:rsidRPr="0081622B">
        <w:rPr>
          <w:sz w:val="22"/>
          <w:szCs w:val="22"/>
        </w:rPr>
        <w:t xml:space="preserve"> of the employees they represented</w:t>
      </w:r>
      <w:r w:rsidR="1B838641">
        <w:rPr>
          <w:sz w:val="22"/>
          <w:szCs w:val="22"/>
        </w:rPr>
        <w:t xml:space="preserve"> ha</w:t>
      </w:r>
      <w:r w:rsidR="1A49C04D">
        <w:rPr>
          <w:sz w:val="22"/>
          <w:szCs w:val="22"/>
        </w:rPr>
        <w:t>s</w:t>
      </w:r>
      <w:r w:rsidR="1B838641">
        <w:rPr>
          <w:sz w:val="22"/>
          <w:szCs w:val="22"/>
        </w:rPr>
        <w:t xml:space="preserve"> been impeded</w:t>
      </w:r>
      <w:r w:rsidR="0EC3ADD0" w:rsidRPr="0081622B">
        <w:rPr>
          <w:sz w:val="22"/>
          <w:szCs w:val="22"/>
        </w:rPr>
        <w:t>.</w:t>
      </w:r>
      <w:r w:rsidR="1294F92E">
        <w:rPr>
          <w:sz w:val="22"/>
          <w:szCs w:val="22"/>
        </w:rPr>
        <w:t xml:space="preserve"> </w:t>
      </w:r>
      <w:r w:rsidR="6E12ED3F" w:rsidRPr="00B94740">
        <w:rPr>
          <w:sz w:val="22"/>
          <w:szCs w:val="22"/>
        </w:rPr>
        <w:t>The Government undert</w:t>
      </w:r>
      <w:r w:rsidR="5302FD49">
        <w:rPr>
          <w:sz w:val="22"/>
          <w:szCs w:val="22"/>
        </w:rPr>
        <w:t>ook</w:t>
      </w:r>
      <w:r w:rsidR="6E12ED3F" w:rsidRPr="00B94740">
        <w:rPr>
          <w:sz w:val="22"/>
          <w:szCs w:val="22"/>
        </w:rPr>
        <w:t xml:space="preserve"> a campaign aim</w:t>
      </w:r>
      <w:r w:rsidR="7D87839A" w:rsidRPr="10B45FB0">
        <w:rPr>
          <w:sz w:val="22"/>
          <w:szCs w:val="22"/>
        </w:rPr>
        <w:t>ed</w:t>
      </w:r>
      <w:r w:rsidR="6E12ED3F" w:rsidRPr="00B94740">
        <w:rPr>
          <w:sz w:val="22"/>
          <w:szCs w:val="22"/>
        </w:rPr>
        <w:t xml:space="preserve"> </w:t>
      </w:r>
      <w:r w:rsidR="216A5A60" w:rsidRPr="10B45FB0">
        <w:rPr>
          <w:sz w:val="22"/>
          <w:szCs w:val="22"/>
        </w:rPr>
        <w:t>at</w:t>
      </w:r>
      <w:r w:rsidR="6E12ED3F" w:rsidRPr="00B94740">
        <w:rPr>
          <w:sz w:val="22"/>
          <w:szCs w:val="22"/>
        </w:rPr>
        <w:t xml:space="preserve"> discredit</w:t>
      </w:r>
      <w:r w:rsidR="1B4C5952" w:rsidRPr="10B45FB0">
        <w:rPr>
          <w:sz w:val="22"/>
          <w:szCs w:val="22"/>
        </w:rPr>
        <w:t>ing</w:t>
      </w:r>
      <w:r w:rsidR="6E12ED3F" w:rsidRPr="00B94740">
        <w:rPr>
          <w:sz w:val="22"/>
          <w:szCs w:val="22"/>
        </w:rPr>
        <w:t xml:space="preserve"> </w:t>
      </w:r>
      <w:r w:rsidR="006243A3" w:rsidRPr="10B45FB0">
        <w:rPr>
          <w:sz w:val="22"/>
          <w:szCs w:val="22"/>
        </w:rPr>
        <w:t>e.g.</w:t>
      </w:r>
      <w:r w:rsidR="6E12ED3F">
        <w:rPr>
          <w:sz w:val="22"/>
          <w:szCs w:val="22"/>
        </w:rPr>
        <w:t xml:space="preserve"> </w:t>
      </w:r>
      <w:r w:rsidR="6E12ED3F" w:rsidRPr="00B94740">
        <w:rPr>
          <w:sz w:val="22"/>
          <w:szCs w:val="22"/>
        </w:rPr>
        <w:t>teachers’ trade unions calling for solution</w:t>
      </w:r>
      <w:r w:rsidR="38D30873" w:rsidRPr="10B45FB0">
        <w:rPr>
          <w:sz w:val="22"/>
          <w:szCs w:val="22"/>
        </w:rPr>
        <w:t>s</w:t>
      </w:r>
      <w:r w:rsidR="6E12ED3F" w:rsidRPr="00B94740">
        <w:rPr>
          <w:sz w:val="22"/>
          <w:szCs w:val="22"/>
        </w:rPr>
        <w:t xml:space="preserve"> to the serious problems within the education</w:t>
      </w:r>
      <w:r w:rsidR="234247EF">
        <w:rPr>
          <w:sz w:val="22"/>
          <w:szCs w:val="22"/>
        </w:rPr>
        <w:t xml:space="preserve"> system</w:t>
      </w:r>
      <w:r w:rsidR="1B555137">
        <w:rPr>
          <w:sz w:val="22"/>
          <w:szCs w:val="22"/>
        </w:rPr>
        <w:t>. A</w:t>
      </w:r>
      <w:r w:rsidR="31DF04E3">
        <w:rPr>
          <w:sz w:val="22"/>
          <w:szCs w:val="22"/>
        </w:rPr>
        <w:t>n e</w:t>
      </w:r>
      <w:r w:rsidR="70D13B57" w:rsidRPr="00121DCB">
        <w:rPr>
          <w:sz w:val="22"/>
          <w:szCs w:val="22"/>
        </w:rPr>
        <w:t xml:space="preserve">mergency </w:t>
      </w:r>
      <w:r w:rsidR="1294F92E">
        <w:rPr>
          <w:sz w:val="22"/>
          <w:szCs w:val="22"/>
        </w:rPr>
        <w:t xml:space="preserve">government </w:t>
      </w:r>
      <w:r w:rsidR="31DF04E3">
        <w:rPr>
          <w:sz w:val="22"/>
          <w:szCs w:val="22"/>
        </w:rPr>
        <w:t>decree</w:t>
      </w:r>
      <w:r w:rsidR="2C8C5C80">
        <w:rPr>
          <w:sz w:val="22"/>
          <w:szCs w:val="22"/>
        </w:rPr>
        <w:t xml:space="preserve"> </w:t>
      </w:r>
      <w:r w:rsidR="3FA81100">
        <w:rPr>
          <w:sz w:val="22"/>
          <w:szCs w:val="22"/>
        </w:rPr>
        <w:t>rendered</w:t>
      </w:r>
      <w:r w:rsidR="70D13B57" w:rsidRPr="00121DCB">
        <w:rPr>
          <w:sz w:val="22"/>
          <w:szCs w:val="22"/>
        </w:rPr>
        <w:t xml:space="preserve"> effective strike action</w:t>
      </w:r>
      <w:r w:rsidR="31DF04E3">
        <w:rPr>
          <w:sz w:val="22"/>
          <w:szCs w:val="22"/>
        </w:rPr>
        <w:t xml:space="preserve"> by teachers</w:t>
      </w:r>
      <w:r>
        <w:rPr>
          <w:sz w:val="22"/>
          <w:szCs w:val="22"/>
        </w:rPr>
        <w:t xml:space="preserve"> impossible</w:t>
      </w:r>
      <w:r w:rsidR="31DF04E3">
        <w:rPr>
          <w:sz w:val="22"/>
          <w:szCs w:val="22"/>
        </w:rPr>
        <w:t xml:space="preserve"> </w:t>
      </w:r>
      <w:r w:rsidR="70D13B57" w:rsidRPr="00121DCB">
        <w:rPr>
          <w:sz w:val="22"/>
          <w:szCs w:val="22"/>
        </w:rPr>
        <w:t>by determining mandatory minimum service levels.</w:t>
      </w:r>
      <w:r w:rsidR="00292685">
        <w:rPr>
          <w:rStyle w:val="Lbjegyzet-hivatkozs"/>
          <w:sz w:val="22"/>
          <w:szCs w:val="22"/>
        </w:rPr>
        <w:footnoteReference w:id="80"/>
      </w:r>
      <w:r w:rsidR="70D13B57" w:rsidRPr="00121DCB">
        <w:rPr>
          <w:sz w:val="22"/>
          <w:szCs w:val="22"/>
        </w:rPr>
        <w:t xml:space="preserve"> Additional legislation has constrained </w:t>
      </w:r>
      <w:r w:rsidR="581BD3D1">
        <w:rPr>
          <w:sz w:val="22"/>
          <w:szCs w:val="22"/>
        </w:rPr>
        <w:t xml:space="preserve">teachers’ </w:t>
      </w:r>
      <w:r w:rsidR="70D13B57" w:rsidRPr="00121DCB">
        <w:rPr>
          <w:sz w:val="22"/>
          <w:szCs w:val="22"/>
        </w:rPr>
        <w:t xml:space="preserve">unions’ ability to conclude collective agreements. </w:t>
      </w:r>
      <w:r w:rsidR="1D16C6F2" w:rsidRPr="03AE4585">
        <w:rPr>
          <w:rFonts w:asciiTheme="minorHAnsi" w:eastAsia="Corbel" w:hAnsiTheme="minorHAnsi" w:cstheme="minorBidi"/>
          <w:sz w:val="22"/>
          <w:szCs w:val="22"/>
        </w:rPr>
        <w:t>As of January 2024, an amendment banned the union check-off system for public administration workers, ending the requirement for employers to deduct membership fees from salaries free of charge. This change weaken</w:t>
      </w:r>
      <w:r w:rsidR="006243A3" w:rsidRPr="10B45FB0">
        <w:rPr>
          <w:rFonts w:asciiTheme="minorHAnsi" w:eastAsia="Corbel" w:hAnsiTheme="minorHAnsi" w:cstheme="minorBidi"/>
          <w:sz w:val="22"/>
          <w:szCs w:val="22"/>
        </w:rPr>
        <w:t>s</w:t>
      </w:r>
      <w:r w:rsidR="1D16C6F2" w:rsidRPr="03AE4585">
        <w:rPr>
          <w:rFonts w:asciiTheme="minorHAnsi" w:eastAsia="Corbel" w:hAnsiTheme="minorHAnsi" w:cstheme="minorBidi"/>
          <w:sz w:val="22"/>
          <w:szCs w:val="22"/>
        </w:rPr>
        <w:t xml:space="preserve"> unions by increasing administrative costs and causing a loss of both fees and members. </w:t>
      </w:r>
      <w:r w:rsidR="76F42A76" w:rsidRPr="10B45FB0">
        <w:rPr>
          <w:rFonts w:asciiTheme="minorHAnsi" w:eastAsia="Corbel" w:hAnsiTheme="minorHAnsi" w:cstheme="minorBidi"/>
          <w:sz w:val="22"/>
          <w:szCs w:val="22"/>
        </w:rPr>
        <w:t xml:space="preserve">The </w:t>
      </w:r>
      <w:r w:rsidR="1D16C6F2" w:rsidRPr="03AE4585">
        <w:rPr>
          <w:rFonts w:asciiTheme="minorHAnsi" w:eastAsia="Corbel" w:hAnsiTheme="minorHAnsi" w:cstheme="minorBidi"/>
          <w:sz w:val="22"/>
          <w:szCs w:val="22"/>
        </w:rPr>
        <w:t>ILO</w:t>
      </w:r>
      <w:r w:rsidR="7BDB5A38" w:rsidRPr="03AE4585">
        <w:rPr>
          <w:rFonts w:asciiTheme="minorHAnsi" w:eastAsia="Corbel" w:hAnsiTheme="minorHAnsi" w:cstheme="minorBidi"/>
          <w:sz w:val="22"/>
          <w:szCs w:val="22"/>
        </w:rPr>
        <w:t xml:space="preserve"> </w:t>
      </w:r>
      <w:r w:rsidR="7FD971A8" w:rsidRPr="03AE4585">
        <w:rPr>
          <w:rFonts w:asciiTheme="minorHAnsi" w:eastAsia="Corbel" w:hAnsiTheme="minorHAnsi" w:cstheme="minorBidi"/>
          <w:sz w:val="22"/>
          <w:szCs w:val="22"/>
        </w:rPr>
        <w:t xml:space="preserve">noted </w:t>
      </w:r>
      <w:r w:rsidR="1D16C6F2" w:rsidRPr="03AE4585">
        <w:rPr>
          <w:rFonts w:asciiTheme="minorHAnsi" w:eastAsia="Corbel" w:hAnsiTheme="minorHAnsi" w:cstheme="minorBidi"/>
          <w:sz w:val="22"/>
          <w:szCs w:val="22"/>
        </w:rPr>
        <w:t>thes</w:t>
      </w:r>
      <w:r w:rsidR="7FD971A8" w:rsidRPr="03AE4585">
        <w:rPr>
          <w:rFonts w:asciiTheme="minorHAnsi" w:eastAsia="Corbel" w:hAnsiTheme="minorHAnsi" w:cstheme="minorBidi"/>
          <w:sz w:val="22"/>
          <w:szCs w:val="22"/>
        </w:rPr>
        <w:t xml:space="preserve">e restrictions in law and practice </w:t>
      </w:r>
      <w:r w:rsidR="2447A9C8" w:rsidRPr="03AE4585">
        <w:rPr>
          <w:rFonts w:asciiTheme="minorHAnsi" w:eastAsia="Corbel" w:hAnsiTheme="minorHAnsi" w:cstheme="minorBidi"/>
          <w:sz w:val="22"/>
          <w:szCs w:val="22"/>
        </w:rPr>
        <w:t>with concern</w:t>
      </w:r>
      <w:r w:rsidR="1D16C6F2" w:rsidRPr="03AE4585">
        <w:rPr>
          <w:rFonts w:asciiTheme="minorHAnsi" w:eastAsia="Corbel" w:hAnsiTheme="minorHAnsi" w:cstheme="minorBidi"/>
          <w:sz w:val="22"/>
          <w:szCs w:val="22"/>
        </w:rPr>
        <w:t>.</w:t>
      </w:r>
      <w:r w:rsidR="000904B0" w:rsidRPr="03AE4585">
        <w:rPr>
          <w:rStyle w:val="Lbjegyzet-hivatkozs"/>
          <w:rFonts w:asciiTheme="minorHAnsi" w:eastAsia="Corbel" w:hAnsiTheme="minorHAnsi" w:cstheme="minorBidi"/>
          <w:sz w:val="22"/>
          <w:szCs w:val="22"/>
        </w:rPr>
        <w:footnoteReference w:id="81"/>
      </w:r>
      <w:r w:rsidR="1A7B106B" w:rsidRPr="009C1E2C">
        <w:rPr>
          <w:sz w:val="22"/>
          <w:szCs w:val="22"/>
        </w:rPr>
        <w:t xml:space="preserve"> </w:t>
      </w:r>
      <w:r w:rsidR="0AB6F41A">
        <w:rPr>
          <w:sz w:val="22"/>
          <w:szCs w:val="22"/>
        </w:rPr>
        <w:t>The</w:t>
      </w:r>
      <w:r w:rsidR="1A7B106B" w:rsidRPr="00121DCB">
        <w:rPr>
          <w:sz w:val="22"/>
          <w:szCs w:val="22"/>
        </w:rPr>
        <w:t xml:space="preserve"> Hungarian Medical Chamber</w:t>
      </w:r>
      <w:r w:rsidR="27AF4AD8">
        <w:rPr>
          <w:sz w:val="22"/>
          <w:szCs w:val="22"/>
        </w:rPr>
        <w:t xml:space="preserve"> was </w:t>
      </w:r>
      <w:r w:rsidR="1A7B106B" w:rsidRPr="00121DCB">
        <w:rPr>
          <w:sz w:val="22"/>
          <w:szCs w:val="22"/>
        </w:rPr>
        <w:t xml:space="preserve">significantly weakened </w:t>
      </w:r>
      <w:r w:rsidR="0AB6F41A">
        <w:rPr>
          <w:sz w:val="22"/>
          <w:szCs w:val="22"/>
        </w:rPr>
        <w:t xml:space="preserve">as a professional chamber </w:t>
      </w:r>
      <w:r w:rsidR="1A7B106B" w:rsidRPr="00121DCB">
        <w:rPr>
          <w:sz w:val="22"/>
          <w:szCs w:val="22"/>
        </w:rPr>
        <w:t xml:space="preserve">through expedited legislation following </w:t>
      </w:r>
      <w:r w:rsidR="0112D1E3">
        <w:rPr>
          <w:sz w:val="22"/>
          <w:szCs w:val="22"/>
        </w:rPr>
        <w:t xml:space="preserve">its </w:t>
      </w:r>
      <w:r w:rsidR="1A7B106B" w:rsidRPr="00121DCB">
        <w:rPr>
          <w:sz w:val="22"/>
          <w:szCs w:val="22"/>
        </w:rPr>
        <w:t>public criticism of government policy.</w:t>
      </w:r>
    </w:p>
    <w:p w14:paraId="6F19197B" w14:textId="1B92CD4B" w:rsidR="000904B0" w:rsidRPr="009231D7" w:rsidRDefault="000904B0" w:rsidP="000904B0">
      <w:pPr>
        <w:spacing w:after="160" w:line="259" w:lineRule="auto"/>
        <w:jc w:val="both"/>
        <w:rPr>
          <w:rFonts w:asciiTheme="minorHAnsi" w:hAnsiTheme="minorHAnsi" w:cstheme="minorHAnsi"/>
          <w:i/>
          <w:iCs/>
          <w:sz w:val="22"/>
          <w:szCs w:val="22"/>
          <w:u w:val="single"/>
        </w:rPr>
      </w:pPr>
      <w:r w:rsidRPr="009231D7">
        <w:rPr>
          <w:rFonts w:asciiTheme="minorHAnsi" w:hAnsiTheme="minorHAnsi" w:cstheme="minorHAnsi"/>
          <w:i/>
          <w:iCs/>
          <w:sz w:val="22"/>
          <w:szCs w:val="22"/>
          <w:u w:val="single"/>
        </w:rPr>
        <w:t>Suggested question to the State party:</w:t>
      </w:r>
    </w:p>
    <w:p w14:paraId="13FDC84B" w14:textId="5820F396" w:rsidR="005F545A" w:rsidRPr="00443E52" w:rsidRDefault="4CF168A9" w:rsidP="03AE4585">
      <w:pPr>
        <w:pStyle w:val="Listaszerbekezds"/>
        <w:numPr>
          <w:ilvl w:val="0"/>
          <w:numId w:val="6"/>
        </w:numPr>
        <w:spacing w:after="80" w:line="259" w:lineRule="auto"/>
        <w:ind w:left="714" w:hanging="357"/>
        <w:contextualSpacing w:val="0"/>
        <w:jc w:val="both"/>
        <w:rPr>
          <w:rFonts w:asciiTheme="minorHAnsi" w:eastAsiaTheme="minorEastAsia" w:hAnsiTheme="minorHAnsi" w:cstheme="minorBidi"/>
          <w:sz w:val="22"/>
          <w:szCs w:val="22"/>
        </w:rPr>
      </w:pPr>
      <w:r w:rsidRPr="00443E52">
        <w:rPr>
          <w:rFonts w:asciiTheme="minorHAnsi" w:eastAsiaTheme="minorEastAsia" w:hAnsiTheme="minorHAnsi" w:cstheme="minorBidi"/>
          <w:sz w:val="22"/>
          <w:szCs w:val="22"/>
        </w:rPr>
        <w:t>What was the aim of abolishing the union check-off system for public administration workers</w:t>
      </w:r>
      <w:r w:rsidR="2567DE28" w:rsidRPr="00443E52">
        <w:rPr>
          <w:rFonts w:asciiTheme="minorHAnsi" w:eastAsiaTheme="minorEastAsia" w:hAnsiTheme="minorHAnsi" w:cstheme="minorBidi"/>
          <w:sz w:val="22"/>
          <w:szCs w:val="22"/>
        </w:rPr>
        <w:t>, and have ILO’s related conclusion</w:t>
      </w:r>
      <w:r w:rsidR="0C9CCDE4" w:rsidRPr="00443E52">
        <w:rPr>
          <w:rFonts w:asciiTheme="minorHAnsi" w:eastAsiaTheme="minorEastAsia" w:hAnsiTheme="minorHAnsi" w:cstheme="minorBidi"/>
          <w:sz w:val="22"/>
          <w:szCs w:val="22"/>
        </w:rPr>
        <w:t>s</w:t>
      </w:r>
      <w:r w:rsidR="2567DE28" w:rsidRPr="00443E52">
        <w:rPr>
          <w:rFonts w:asciiTheme="minorHAnsi" w:eastAsiaTheme="minorEastAsia" w:hAnsiTheme="minorHAnsi" w:cstheme="minorBidi"/>
          <w:sz w:val="22"/>
          <w:szCs w:val="22"/>
        </w:rPr>
        <w:t xml:space="preserve"> been complied with?</w:t>
      </w:r>
    </w:p>
    <w:p w14:paraId="738C8DED" w14:textId="70EB5527" w:rsidR="00534724" w:rsidRPr="00443E52" w:rsidRDefault="5793E349" w:rsidP="03AE4585">
      <w:pPr>
        <w:pStyle w:val="Listaszerbekezds"/>
        <w:numPr>
          <w:ilvl w:val="0"/>
          <w:numId w:val="6"/>
        </w:numPr>
        <w:spacing w:after="160" w:line="259" w:lineRule="auto"/>
        <w:jc w:val="both"/>
        <w:rPr>
          <w:rFonts w:asciiTheme="minorHAnsi" w:eastAsiaTheme="minorEastAsia" w:hAnsiTheme="minorHAnsi" w:cstheme="minorBidi"/>
          <w:sz w:val="22"/>
          <w:szCs w:val="22"/>
        </w:rPr>
      </w:pPr>
      <w:r w:rsidRPr="00443E52">
        <w:rPr>
          <w:rFonts w:asciiTheme="minorHAnsi" w:eastAsiaTheme="minorEastAsia" w:hAnsiTheme="minorHAnsi" w:cstheme="minorBidi"/>
          <w:sz w:val="22"/>
          <w:szCs w:val="22"/>
        </w:rPr>
        <w:t>When will Hungary restore the rights of teachers’ trade unions?</w:t>
      </w:r>
    </w:p>
    <w:p w14:paraId="37FA72DB" w14:textId="77777777" w:rsidR="001D7BEB" w:rsidRPr="009231D7" w:rsidRDefault="001D7BEB" w:rsidP="00977EC9">
      <w:pPr>
        <w:spacing w:after="80" w:line="259" w:lineRule="auto"/>
        <w:jc w:val="both"/>
        <w:rPr>
          <w:rFonts w:asciiTheme="minorHAnsi" w:eastAsia="Corbel" w:hAnsiTheme="minorHAnsi" w:cstheme="minorHAnsi"/>
          <w:sz w:val="22"/>
          <w:szCs w:val="22"/>
        </w:rPr>
      </w:pPr>
    </w:p>
    <w:p w14:paraId="23479548" w14:textId="5A7D4CF2" w:rsidR="003A143C" w:rsidRPr="009231D7" w:rsidRDefault="003A143C" w:rsidP="00CE4FE2">
      <w:pPr>
        <w:spacing w:after="160" w:line="259" w:lineRule="auto"/>
        <w:jc w:val="both"/>
        <w:rPr>
          <w:rFonts w:asciiTheme="minorHAnsi" w:hAnsiTheme="minorHAnsi" w:cstheme="minorHAnsi"/>
          <w:b/>
          <w:bCs/>
          <w:sz w:val="26"/>
          <w:szCs w:val="26"/>
        </w:rPr>
      </w:pPr>
      <w:r w:rsidRPr="009231D7">
        <w:rPr>
          <w:rFonts w:asciiTheme="minorHAnsi" w:hAnsiTheme="minorHAnsi" w:cstheme="minorHAnsi"/>
          <w:b/>
          <w:bCs/>
          <w:sz w:val="26"/>
          <w:szCs w:val="26"/>
        </w:rPr>
        <w:t>Right to vote</w:t>
      </w:r>
    </w:p>
    <w:p w14:paraId="483F316F" w14:textId="755A199B" w:rsidR="00214EDA" w:rsidRPr="009231D7" w:rsidRDefault="00214EDA" w:rsidP="00B533C6">
      <w:pPr>
        <w:spacing w:after="160" w:line="259" w:lineRule="auto"/>
        <w:jc w:val="both"/>
        <w:rPr>
          <w:rFonts w:asciiTheme="minorHAnsi" w:hAnsiTheme="minorHAnsi" w:cstheme="minorHAnsi"/>
          <w:sz w:val="22"/>
          <w:szCs w:val="22"/>
        </w:rPr>
      </w:pPr>
      <w:r w:rsidRPr="009231D7">
        <w:rPr>
          <w:rFonts w:asciiTheme="minorHAnsi" w:hAnsiTheme="minorHAnsi" w:cstheme="minorHAnsi"/>
          <w:sz w:val="22"/>
          <w:szCs w:val="22"/>
        </w:rPr>
        <w:t xml:space="preserve">Hungary will hold </w:t>
      </w:r>
      <w:r w:rsidR="008161D8" w:rsidRPr="009231D7">
        <w:rPr>
          <w:rFonts w:asciiTheme="minorHAnsi" w:hAnsiTheme="minorHAnsi" w:cstheme="minorHAnsi"/>
          <w:sz w:val="22"/>
          <w:szCs w:val="22"/>
        </w:rPr>
        <w:t xml:space="preserve">its next </w:t>
      </w:r>
      <w:r w:rsidRPr="009231D7">
        <w:rPr>
          <w:rFonts w:asciiTheme="minorHAnsi" w:hAnsiTheme="minorHAnsi" w:cstheme="minorHAnsi"/>
          <w:sz w:val="22"/>
          <w:szCs w:val="22"/>
        </w:rPr>
        <w:t>parliamentary elections in 2026, and there is a serious likelihood that they will be marred, yet again, by grave violations of international standards for democratic elections.</w:t>
      </w:r>
      <w:r w:rsidR="008161D8" w:rsidRPr="009231D7">
        <w:rPr>
          <w:rStyle w:val="Lbjegyzet-hivatkozs"/>
          <w:rFonts w:asciiTheme="minorHAnsi" w:hAnsiTheme="minorHAnsi" w:cstheme="minorHAnsi"/>
          <w:sz w:val="22"/>
          <w:szCs w:val="22"/>
        </w:rPr>
        <w:footnoteReference w:id="82"/>
      </w:r>
    </w:p>
    <w:p w14:paraId="4E901127" w14:textId="4FFE441B" w:rsidR="00214EDA" w:rsidRPr="009231D7" w:rsidRDefault="00214EDA" w:rsidP="00214EDA">
      <w:pPr>
        <w:spacing w:after="160" w:line="259" w:lineRule="auto"/>
        <w:jc w:val="both"/>
        <w:rPr>
          <w:rFonts w:asciiTheme="minorHAnsi" w:hAnsiTheme="minorHAnsi" w:cstheme="minorHAnsi"/>
          <w:sz w:val="22"/>
          <w:szCs w:val="22"/>
        </w:rPr>
      </w:pPr>
      <w:r w:rsidRPr="009231D7">
        <w:rPr>
          <w:rFonts w:asciiTheme="minorHAnsi" w:hAnsiTheme="minorHAnsi" w:cstheme="minorHAnsi"/>
          <w:sz w:val="22"/>
          <w:szCs w:val="22"/>
        </w:rPr>
        <w:lastRenderedPageBreak/>
        <w:t xml:space="preserve">Since the 2022 parliamentary elections, Hungary has introduced multiple legal and institutional changes affecting the electoral framework. While some reforms </w:t>
      </w:r>
      <w:r w:rsidR="00730011" w:rsidRPr="009231D7">
        <w:rPr>
          <w:rFonts w:asciiTheme="minorHAnsi" w:hAnsiTheme="minorHAnsi" w:cstheme="minorHAnsi"/>
          <w:sz w:val="22"/>
          <w:szCs w:val="22"/>
        </w:rPr>
        <w:t xml:space="preserve">have </w:t>
      </w:r>
      <w:r w:rsidRPr="009231D7">
        <w:rPr>
          <w:rFonts w:asciiTheme="minorHAnsi" w:hAnsiTheme="minorHAnsi" w:cstheme="minorHAnsi"/>
          <w:sz w:val="22"/>
          <w:szCs w:val="22"/>
        </w:rPr>
        <w:t xml:space="preserve">addressed technical matters, others have weakened checks and balances, reduced transparency, and further entrenched advantages for the governing party. Key measures include the redrawing of single-member constituencies without consultation, the abolition of campaign spending limits, changes to the composition of the National Election Commission, </w:t>
      </w:r>
      <w:r w:rsidR="00AA4378" w:rsidRPr="009231D7">
        <w:rPr>
          <w:rFonts w:asciiTheme="minorHAnsi" w:hAnsiTheme="minorHAnsi" w:cstheme="minorHAnsi"/>
          <w:sz w:val="22"/>
          <w:szCs w:val="22"/>
        </w:rPr>
        <w:t xml:space="preserve">and </w:t>
      </w:r>
      <w:r w:rsidRPr="009231D7">
        <w:rPr>
          <w:rFonts w:asciiTheme="minorHAnsi" w:hAnsiTheme="minorHAnsi" w:cstheme="minorHAnsi"/>
          <w:sz w:val="22"/>
          <w:szCs w:val="22"/>
        </w:rPr>
        <w:t>criminalising the “illegal influencing of the will of voters”.</w:t>
      </w:r>
      <w:r w:rsidR="00C90260" w:rsidRPr="009231D7">
        <w:rPr>
          <w:rStyle w:val="Lbjegyzet-hivatkozs"/>
          <w:rFonts w:asciiTheme="minorHAnsi" w:hAnsiTheme="minorHAnsi" w:cstheme="minorHAnsi"/>
          <w:sz w:val="22"/>
          <w:szCs w:val="22"/>
        </w:rPr>
        <w:footnoteReference w:id="83"/>
      </w:r>
    </w:p>
    <w:p w14:paraId="689E73E7" w14:textId="05630110" w:rsidR="00D666E3" w:rsidRPr="009231D7" w:rsidRDefault="7C77C3D9" w:rsidP="03AE4585">
      <w:pPr>
        <w:spacing w:after="160" w:line="259" w:lineRule="auto"/>
        <w:jc w:val="both"/>
        <w:rPr>
          <w:rFonts w:asciiTheme="minorHAnsi" w:hAnsiTheme="minorHAnsi" w:cstheme="minorBidi"/>
          <w:sz w:val="22"/>
          <w:szCs w:val="22"/>
        </w:rPr>
      </w:pPr>
      <w:r w:rsidRPr="03AE4585">
        <w:rPr>
          <w:rFonts w:asciiTheme="minorHAnsi" w:hAnsiTheme="minorHAnsi" w:cstheme="minorBidi"/>
          <w:sz w:val="22"/>
          <w:szCs w:val="22"/>
        </w:rPr>
        <w:t xml:space="preserve">Campaign practices increasingly blur the distinction between state and </w:t>
      </w:r>
      <w:r w:rsidR="43FF7CD6" w:rsidRPr="03AE4585">
        <w:rPr>
          <w:rFonts w:asciiTheme="minorHAnsi" w:hAnsiTheme="minorHAnsi" w:cstheme="minorBidi"/>
          <w:sz w:val="22"/>
          <w:szCs w:val="22"/>
        </w:rPr>
        <w:t xml:space="preserve">the governing </w:t>
      </w:r>
      <w:r w:rsidRPr="03AE4585">
        <w:rPr>
          <w:rFonts w:asciiTheme="minorHAnsi" w:hAnsiTheme="minorHAnsi" w:cstheme="minorBidi"/>
          <w:sz w:val="22"/>
          <w:szCs w:val="22"/>
        </w:rPr>
        <w:t xml:space="preserve">party, with government-funded communications serving partisan purposes. Oversight remains weak, and asymmetries in campaign finance have deepened due to </w:t>
      </w:r>
      <w:r w:rsidR="511D75C0" w:rsidRPr="03AE4585">
        <w:rPr>
          <w:rFonts w:asciiTheme="minorHAnsi" w:hAnsiTheme="minorHAnsi" w:cstheme="minorBidi"/>
          <w:sz w:val="22"/>
          <w:szCs w:val="22"/>
        </w:rPr>
        <w:t xml:space="preserve">the abolition of </w:t>
      </w:r>
      <w:r w:rsidRPr="03AE4585">
        <w:rPr>
          <w:rFonts w:asciiTheme="minorHAnsi" w:hAnsiTheme="minorHAnsi" w:cstheme="minorBidi"/>
          <w:sz w:val="22"/>
          <w:szCs w:val="22"/>
        </w:rPr>
        <w:t>spending</w:t>
      </w:r>
      <w:r w:rsidR="511D75C0" w:rsidRPr="03AE4585">
        <w:rPr>
          <w:rFonts w:asciiTheme="minorHAnsi" w:hAnsiTheme="minorHAnsi" w:cstheme="minorBidi"/>
          <w:sz w:val="22"/>
          <w:szCs w:val="22"/>
        </w:rPr>
        <w:t xml:space="preserve"> limits</w:t>
      </w:r>
      <w:r w:rsidR="6922F069" w:rsidRPr="03AE4585">
        <w:rPr>
          <w:rFonts w:asciiTheme="minorHAnsi" w:hAnsiTheme="minorHAnsi" w:cstheme="minorBidi"/>
          <w:sz w:val="22"/>
          <w:szCs w:val="22"/>
        </w:rPr>
        <w:t xml:space="preserve"> </w:t>
      </w:r>
      <w:r w:rsidRPr="03AE4585">
        <w:rPr>
          <w:rFonts w:asciiTheme="minorHAnsi" w:hAnsiTheme="minorHAnsi" w:cstheme="minorBidi"/>
          <w:sz w:val="22"/>
          <w:szCs w:val="22"/>
        </w:rPr>
        <w:t xml:space="preserve">and </w:t>
      </w:r>
      <w:r w:rsidR="511D75C0" w:rsidRPr="03AE4585">
        <w:rPr>
          <w:rFonts w:asciiTheme="minorHAnsi" w:hAnsiTheme="minorHAnsi" w:cstheme="minorBidi"/>
          <w:sz w:val="22"/>
          <w:szCs w:val="22"/>
        </w:rPr>
        <w:t>weak</w:t>
      </w:r>
      <w:r w:rsidRPr="03AE4585">
        <w:rPr>
          <w:rFonts w:asciiTheme="minorHAnsi" w:hAnsiTheme="minorHAnsi" w:cstheme="minorBidi"/>
          <w:sz w:val="22"/>
          <w:szCs w:val="22"/>
        </w:rPr>
        <w:t xml:space="preserve"> supervision of third-party actors.</w:t>
      </w:r>
      <w:r w:rsidR="511D75C0" w:rsidRPr="03AE4585">
        <w:rPr>
          <w:rFonts w:asciiTheme="minorHAnsi" w:hAnsiTheme="minorHAnsi" w:cstheme="minorBidi"/>
          <w:sz w:val="22"/>
          <w:szCs w:val="22"/>
        </w:rPr>
        <w:t xml:space="preserve"> </w:t>
      </w:r>
      <w:r w:rsidR="13CD12D5" w:rsidRPr="03AE4585">
        <w:rPr>
          <w:rFonts w:asciiTheme="minorHAnsi" w:hAnsiTheme="minorHAnsi" w:cstheme="minorBidi"/>
          <w:sz w:val="22"/>
          <w:szCs w:val="22"/>
        </w:rPr>
        <w:t>Media concentration</w:t>
      </w:r>
      <w:r w:rsidR="7E35A6AC" w:rsidRPr="03AE4585">
        <w:rPr>
          <w:rFonts w:asciiTheme="minorHAnsi" w:hAnsiTheme="minorHAnsi" w:cstheme="minorBidi"/>
          <w:sz w:val="22"/>
          <w:szCs w:val="22"/>
        </w:rPr>
        <w:t xml:space="preserve">, </w:t>
      </w:r>
      <w:r w:rsidR="13CD12D5" w:rsidRPr="03AE4585">
        <w:rPr>
          <w:rFonts w:asciiTheme="minorHAnsi" w:hAnsiTheme="minorHAnsi" w:cstheme="minorBidi"/>
          <w:sz w:val="22"/>
          <w:szCs w:val="22"/>
        </w:rPr>
        <w:t xml:space="preserve">a strong bias in state media, and the absence of an independent media regulator continue to undermine pluralism. </w:t>
      </w:r>
      <w:r w:rsidRPr="03AE4585">
        <w:rPr>
          <w:rFonts w:asciiTheme="minorHAnsi" w:hAnsiTheme="minorHAnsi" w:cstheme="minorBidi"/>
          <w:sz w:val="22"/>
          <w:szCs w:val="22"/>
        </w:rPr>
        <w:t>Online campaigning lacks transparency and</w:t>
      </w:r>
      <w:r w:rsidR="13CD12D5" w:rsidRPr="03AE4585">
        <w:rPr>
          <w:rFonts w:asciiTheme="minorHAnsi" w:hAnsiTheme="minorHAnsi" w:cstheme="minorBidi"/>
          <w:sz w:val="22"/>
          <w:szCs w:val="22"/>
        </w:rPr>
        <w:t xml:space="preserve"> the governing party</w:t>
      </w:r>
      <w:r w:rsidRPr="03AE4585">
        <w:rPr>
          <w:rFonts w:asciiTheme="minorHAnsi" w:hAnsiTheme="minorHAnsi" w:cstheme="minorBidi"/>
          <w:sz w:val="22"/>
          <w:szCs w:val="22"/>
        </w:rPr>
        <w:t xml:space="preserve"> increasingly relies on sponsored content</w:t>
      </w:r>
      <w:r w:rsidR="172F0E1A" w:rsidRPr="03AE4585">
        <w:rPr>
          <w:rFonts w:asciiTheme="minorHAnsi" w:hAnsiTheme="minorHAnsi" w:cstheme="minorBidi"/>
          <w:sz w:val="22"/>
          <w:szCs w:val="22"/>
        </w:rPr>
        <w:t xml:space="preserve"> </w:t>
      </w:r>
      <w:r w:rsidRPr="03AE4585">
        <w:rPr>
          <w:rFonts w:asciiTheme="minorHAnsi" w:hAnsiTheme="minorHAnsi" w:cstheme="minorBidi"/>
          <w:sz w:val="22"/>
          <w:szCs w:val="22"/>
        </w:rPr>
        <w:t>and AI-generated disinformation. Institutional shortcomings persist across electoral bodies and oversight institutions, raising concerns about impartiality and access to remedies.</w:t>
      </w:r>
    </w:p>
    <w:p w14:paraId="44B0AA94" w14:textId="596A9EDA" w:rsidR="00214EDA" w:rsidRPr="009231D7" w:rsidRDefault="00214EDA" w:rsidP="00214EDA">
      <w:pPr>
        <w:spacing w:after="160" w:line="259" w:lineRule="auto"/>
        <w:jc w:val="both"/>
        <w:rPr>
          <w:rFonts w:asciiTheme="minorHAnsi" w:hAnsiTheme="minorHAnsi" w:cstheme="minorHAnsi"/>
          <w:sz w:val="22"/>
          <w:szCs w:val="22"/>
        </w:rPr>
      </w:pPr>
      <w:r w:rsidRPr="009231D7">
        <w:rPr>
          <w:rFonts w:asciiTheme="minorHAnsi" w:hAnsiTheme="minorHAnsi" w:cstheme="minorHAnsi"/>
          <w:sz w:val="22"/>
          <w:szCs w:val="22"/>
        </w:rPr>
        <w:t xml:space="preserve">Participation gaps remain </w:t>
      </w:r>
      <w:r w:rsidR="00674851" w:rsidRPr="009231D7">
        <w:rPr>
          <w:rFonts w:asciiTheme="minorHAnsi" w:hAnsiTheme="minorHAnsi" w:cstheme="minorHAnsi"/>
          <w:sz w:val="22"/>
          <w:szCs w:val="22"/>
        </w:rPr>
        <w:t>unaddressed</w:t>
      </w:r>
      <w:r w:rsidRPr="009231D7">
        <w:rPr>
          <w:rFonts w:asciiTheme="minorHAnsi" w:hAnsiTheme="minorHAnsi" w:cstheme="minorHAnsi"/>
          <w:sz w:val="22"/>
          <w:szCs w:val="22"/>
        </w:rPr>
        <w:t>, particularly for national minorities</w:t>
      </w:r>
      <w:r w:rsidR="00674851" w:rsidRPr="009231D7">
        <w:rPr>
          <w:rFonts w:asciiTheme="minorHAnsi" w:hAnsiTheme="minorHAnsi" w:cstheme="minorHAnsi"/>
          <w:sz w:val="22"/>
          <w:szCs w:val="22"/>
        </w:rPr>
        <w:t xml:space="preserve"> (ignoring an ECtHR judgment</w:t>
      </w:r>
      <w:r w:rsidR="00E95D76" w:rsidRPr="009231D7">
        <w:rPr>
          <w:rStyle w:val="Lbjegyzet-hivatkozs"/>
          <w:rFonts w:asciiTheme="minorHAnsi" w:hAnsiTheme="minorHAnsi" w:cstheme="minorHAnsi"/>
          <w:sz w:val="22"/>
          <w:szCs w:val="22"/>
        </w:rPr>
        <w:footnoteReference w:id="84"/>
      </w:r>
      <w:r w:rsidR="00674851" w:rsidRPr="009231D7">
        <w:rPr>
          <w:rFonts w:asciiTheme="minorHAnsi" w:hAnsiTheme="minorHAnsi" w:cstheme="minorHAnsi"/>
          <w:sz w:val="22"/>
          <w:szCs w:val="22"/>
        </w:rPr>
        <w:t>)</w:t>
      </w:r>
      <w:r w:rsidRPr="009231D7">
        <w:rPr>
          <w:rFonts w:asciiTheme="minorHAnsi" w:hAnsiTheme="minorHAnsi" w:cstheme="minorHAnsi"/>
          <w:sz w:val="22"/>
          <w:szCs w:val="22"/>
        </w:rPr>
        <w:t>, Roma, women, LGBTQI</w:t>
      </w:r>
      <w:r w:rsidR="00BD7194" w:rsidRPr="009231D7">
        <w:rPr>
          <w:rFonts w:asciiTheme="minorHAnsi" w:hAnsiTheme="minorHAnsi" w:cstheme="minorHAnsi"/>
          <w:sz w:val="22"/>
          <w:szCs w:val="22"/>
        </w:rPr>
        <w:t>+</w:t>
      </w:r>
      <w:r w:rsidRPr="009231D7">
        <w:rPr>
          <w:rFonts w:asciiTheme="minorHAnsi" w:hAnsiTheme="minorHAnsi" w:cstheme="minorHAnsi"/>
          <w:sz w:val="22"/>
          <w:szCs w:val="22"/>
        </w:rPr>
        <w:t xml:space="preserve"> pe</w:t>
      </w:r>
      <w:r w:rsidR="00BD7194" w:rsidRPr="009231D7">
        <w:rPr>
          <w:rFonts w:asciiTheme="minorHAnsi" w:hAnsiTheme="minorHAnsi" w:cstheme="minorHAnsi"/>
          <w:sz w:val="22"/>
          <w:szCs w:val="22"/>
        </w:rPr>
        <w:t>rsons</w:t>
      </w:r>
      <w:r w:rsidRPr="009231D7">
        <w:rPr>
          <w:rFonts w:asciiTheme="minorHAnsi" w:hAnsiTheme="minorHAnsi" w:cstheme="minorHAnsi"/>
          <w:sz w:val="22"/>
          <w:szCs w:val="22"/>
        </w:rPr>
        <w:t>, and pe</w:t>
      </w:r>
      <w:r w:rsidR="00BD7194" w:rsidRPr="009231D7">
        <w:rPr>
          <w:rFonts w:asciiTheme="minorHAnsi" w:hAnsiTheme="minorHAnsi" w:cstheme="minorHAnsi"/>
          <w:sz w:val="22"/>
          <w:szCs w:val="22"/>
        </w:rPr>
        <w:t>rsons</w:t>
      </w:r>
      <w:r w:rsidRPr="009231D7">
        <w:rPr>
          <w:rFonts w:asciiTheme="minorHAnsi" w:hAnsiTheme="minorHAnsi" w:cstheme="minorHAnsi"/>
          <w:sz w:val="22"/>
          <w:szCs w:val="22"/>
        </w:rPr>
        <w:t xml:space="preserve"> with disabilities. At the local level, clientelism, misuse of </w:t>
      </w:r>
      <w:r w:rsidR="00674851" w:rsidRPr="009231D7">
        <w:rPr>
          <w:rFonts w:asciiTheme="minorHAnsi" w:hAnsiTheme="minorHAnsi" w:cstheme="minorHAnsi"/>
          <w:sz w:val="22"/>
          <w:szCs w:val="22"/>
        </w:rPr>
        <w:t xml:space="preserve">municipal </w:t>
      </w:r>
      <w:r w:rsidRPr="009231D7">
        <w:rPr>
          <w:rFonts w:asciiTheme="minorHAnsi" w:hAnsiTheme="minorHAnsi" w:cstheme="minorHAnsi"/>
          <w:sz w:val="22"/>
          <w:szCs w:val="22"/>
        </w:rPr>
        <w:t>resources, and electoral fraud risks persist.</w:t>
      </w:r>
    </w:p>
    <w:p w14:paraId="69DA7BDA" w14:textId="77777777" w:rsidR="00674851" w:rsidRPr="009231D7" w:rsidRDefault="00674851" w:rsidP="00674851">
      <w:pPr>
        <w:spacing w:after="160" w:line="259" w:lineRule="auto"/>
        <w:jc w:val="both"/>
        <w:rPr>
          <w:rFonts w:asciiTheme="minorHAnsi" w:hAnsiTheme="minorHAnsi" w:cstheme="minorHAnsi"/>
          <w:i/>
          <w:iCs/>
          <w:sz w:val="22"/>
          <w:szCs w:val="22"/>
          <w:u w:val="single"/>
        </w:rPr>
      </w:pPr>
      <w:r w:rsidRPr="009231D7">
        <w:rPr>
          <w:rFonts w:asciiTheme="minorHAnsi" w:hAnsiTheme="minorHAnsi" w:cstheme="minorHAnsi"/>
          <w:i/>
          <w:iCs/>
          <w:sz w:val="22"/>
          <w:szCs w:val="22"/>
          <w:u w:val="single"/>
        </w:rPr>
        <w:t>Suggested questions to the State party:</w:t>
      </w:r>
    </w:p>
    <w:p w14:paraId="2879927C" w14:textId="150AC3F1" w:rsidR="001F796D" w:rsidRPr="009231D7" w:rsidRDefault="001F796D" w:rsidP="001F796D">
      <w:pPr>
        <w:pStyle w:val="Listaszerbekezds"/>
        <w:numPr>
          <w:ilvl w:val="0"/>
          <w:numId w:val="12"/>
        </w:numPr>
        <w:spacing w:after="80" w:line="259" w:lineRule="auto"/>
        <w:ind w:left="714" w:hanging="357"/>
        <w:contextualSpacing w:val="0"/>
        <w:jc w:val="both"/>
        <w:rPr>
          <w:sz w:val="22"/>
          <w:szCs w:val="22"/>
        </w:rPr>
      </w:pPr>
      <w:r w:rsidRPr="009231D7">
        <w:rPr>
          <w:sz w:val="22"/>
          <w:szCs w:val="22"/>
        </w:rPr>
        <w:t xml:space="preserve">When and how will the Government implement the recommendations </w:t>
      </w:r>
      <w:r w:rsidR="00910524" w:rsidRPr="009231D7">
        <w:rPr>
          <w:sz w:val="22"/>
          <w:szCs w:val="22"/>
        </w:rPr>
        <w:t xml:space="preserve">of </w:t>
      </w:r>
      <w:r w:rsidRPr="009231D7">
        <w:rPr>
          <w:sz w:val="22"/>
          <w:szCs w:val="22"/>
        </w:rPr>
        <w:t>OSCE/ODIHR and the Venice Commission regarding the electoral system and the right to vote?</w:t>
      </w:r>
    </w:p>
    <w:p w14:paraId="20B9900A" w14:textId="07F3A124" w:rsidR="00E95D76" w:rsidRPr="009231D7" w:rsidRDefault="00E95D76" w:rsidP="00BD7194">
      <w:pPr>
        <w:pStyle w:val="Listaszerbekezds"/>
        <w:numPr>
          <w:ilvl w:val="0"/>
          <w:numId w:val="12"/>
        </w:numPr>
        <w:spacing w:after="80" w:line="259" w:lineRule="auto"/>
        <w:ind w:left="714" w:hanging="357"/>
        <w:contextualSpacing w:val="0"/>
        <w:jc w:val="both"/>
        <w:rPr>
          <w:sz w:val="22"/>
          <w:szCs w:val="22"/>
        </w:rPr>
      </w:pPr>
      <w:r w:rsidRPr="009231D7">
        <w:rPr>
          <w:sz w:val="22"/>
          <w:szCs w:val="22"/>
        </w:rPr>
        <w:t>What measures has the Government taken, and what further steps will it take, to replace the national minority electoral system found by the ECtHR to violate the European Convention on Human Rights with one that complies?</w:t>
      </w:r>
    </w:p>
    <w:p w14:paraId="4BDF9FA6" w14:textId="1C467D54" w:rsidR="00214EDA" w:rsidRDefault="00E95D76" w:rsidP="00BD7194">
      <w:pPr>
        <w:pStyle w:val="Listaszerbekezds"/>
        <w:numPr>
          <w:ilvl w:val="0"/>
          <w:numId w:val="12"/>
        </w:numPr>
        <w:spacing w:after="160" w:line="259" w:lineRule="auto"/>
        <w:ind w:left="714" w:hanging="357"/>
        <w:contextualSpacing w:val="0"/>
        <w:jc w:val="both"/>
        <w:rPr>
          <w:sz w:val="22"/>
          <w:szCs w:val="22"/>
        </w:rPr>
      </w:pPr>
      <w:r w:rsidRPr="009231D7">
        <w:rPr>
          <w:sz w:val="22"/>
          <w:szCs w:val="22"/>
        </w:rPr>
        <w:t>What guarantees that the separation of the state, the Government and the governing parties will be implemented more effectively during the 2026 elections than before?</w:t>
      </w:r>
    </w:p>
    <w:p w14:paraId="028E7044" w14:textId="77777777" w:rsidR="00977EC9" w:rsidRDefault="00977EC9" w:rsidP="00977EC9">
      <w:pPr>
        <w:spacing w:after="160" w:line="259" w:lineRule="auto"/>
        <w:jc w:val="both"/>
        <w:rPr>
          <w:sz w:val="22"/>
          <w:szCs w:val="22"/>
        </w:rPr>
      </w:pPr>
    </w:p>
    <w:p w14:paraId="3C659B17" w14:textId="1D91EAB4" w:rsidR="00977EC9" w:rsidRPr="00977EC9" w:rsidRDefault="439C35E4" w:rsidP="00977EC9">
      <w:pPr>
        <w:spacing w:after="160" w:line="259" w:lineRule="auto"/>
        <w:jc w:val="center"/>
        <w:rPr>
          <w:sz w:val="22"/>
          <w:szCs w:val="22"/>
        </w:rPr>
      </w:pPr>
      <w:r w:rsidRPr="03AE4585">
        <w:rPr>
          <w:sz w:val="22"/>
          <w:szCs w:val="22"/>
        </w:rPr>
        <w:t>***</w:t>
      </w:r>
    </w:p>
    <w:sectPr w:rsidR="00977EC9" w:rsidRPr="00977EC9" w:rsidSect="005379AA">
      <w:headerReference w:type="default" r:id="rId15"/>
      <w:footerReference w:type="default" r:id="rId16"/>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750469" w14:textId="77777777" w:rsidR="00F118E9" w:rsidRPr="009231D7" w:rsidRDefault="00F118E9" w:rsidP="00CE4FE2">
      <w:r w:rsidRPr="009231D7">
        <w:separator/>
      </w:r>
    </w:p>
  </w:endnote>
  <w:endnote w:type="continuationSeparator" w:id="0">
    <w:p w14:paraId="1AEB4A2F" w14:textId="77777777" w:rsidR="00F118E9" w:rsidRPr="009231D7" w:rsidRDefault="00F118E9" w:rsidP="00CE4FE2">
      <w:r w:rsidRPr="009231D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ABC Ginto Nord">
    <w:panose1 w:val="020B0004030202060204"/>
    <w:charset w:val="00"/>
    <w:family w:val="swiss"/>
    <w:notTrueType/>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899231"/>
      <w:docPartObj>
        <w:docPartGallery w:val="Page Numbers (Bottom of Page)"/>
        <w:docPartUnique/>
      </w:docPartObj>
    </w:sdtPr>
    <w:sdtEndPr>
      <w:rPr>
        <w:sz w:val="22"/>
        <w:szCs w:val="22"/>
      </w:rPr>
    </w:sdtEndPr>
    <w:sdtContent>
      <w:p w14:paraId="1B8E1EFE" w14:textId="1028F610" w:rsidR="000C292E" w:rsidRPr="009231D7" w:rsidRDefault="000C292E" w:rsidP="000C292E">
        <w:pPr>
          <w:pStyle w:val="llb"/>
          <w:jc w:val="center"/>
          <w:rPr>
            <w:sz w:val="22"/>
            <w:szCs w:val="22"/>
          </w:rPr>
        </w:pPr>
        <w:r w:rsidRPr="009231D7">
          <w:rPr>
            <w:sz w:val="22"/>
            <w:szCs w:val="22"/>
          </w:rPr>
          <w:fldChar w:fldCharType="begin"/>
        </w:r>
        <w:r w:rsidRPr="009231D7">
          <w:rPr>
            <w:sz w:val="22"/>
            <w:szCs w:val="22"/>
          </w:rPr>
          <w:instrText>PAGE   \* MERGEFORMAT</w:instrText>
        </w:r>
        <w:r w:rsidRPr="009231D7">
          <w:rPr>
            <w:sz w:val="22"/>
            <w:szCs w:val="22"/>
          </w:rPr>
          <w:fldChar w:fldCharType="separate"/>
        </w:r>
        <w:r w:rsidRPr="009231D7">
          <w:rPr>
            <w:sz w:val="22"/>
            <w:szCs w:val="22"/>
          </w:rPr>
          <w:t>2</w:t>
        </w:r>
        <w:r w:rsidRPr="009231D7">
          <w:rPr>
            <w:sz w:val="22"/>
            <w:szCs w:val="22"/>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9C50DF" w14:textId="77777777" w:rsidR="00F118E9" w:rsidRPr="009231D7" w:rsidRDefault="00F118E9" w:rsidP="00CE4FE2">
      <w:r w:rsidRPr="009231D7">
        <w:separator/>
      </w:r>
    </w:p>
  </w:footnote>
  <w:footnote w:type="continuationSeparator" w:id="0">
    <w:p w14:paraId="0673F79E" w14:textId="77777777" w:rsidR="00F118E9" w:rsidRPr="009231D7" w:rsidRDefault="00F118E9" w:rsidP="00CE4FE2">
      <w:r w:rsidRPr="009231D7">
        <w:continuationSeparator/>
      </w:r>
    </w:p>
  </w:footnote>
  <w:footnote w:id="1">
    <w:p w14:paraId="56AD6391" w14:textId="448AEE80" w:rsidR="007C2E5D" w:rsidRPr="00AF4741" w:rsidRDefault="007C2E5D" w:rsidP="00AF4741">
      <w:pPr>
        <w:pStyle w:val="Lbjegyzetszveg"/>
        <w:rPr>
          <w:rFonts w:asciiTheme="minorHAnsi" w:hAnsiTheme="minorHAnsi" w:cstheme="minorHAnsi"/>
          <w:sz w:val="18"/>
          <w:szCs w:val="18"/>
        </w:rPr>
      </w:pPr>
      <w:r w:rsidRPr="00AF4741">
        <w:rPr>
          <w:rStyle w:val="Lbjegyzet-hivatkozs"/>
          <w:rFonts w:asciiTheme="minorHAnsi" w:hAnsiTheme="minorHAnsi" w:cstheme="minorHAnsi"/>
          <w:sz w:val="18"/>
          <w:szCs w:val="18"/>
        </w:rPr>
        <w:footnoteRef/>
      </w:r>
      <w:r w:rsidRPr="00AF4741">
        <w:rPr>
          <w:rFonts w:asciiTheme="minorHAnsi" w:hAnsiTheme="minorHAnsi" w:cstheme="minorHAnsi"/>
          <w:sz w:val="18"/>
          <w:szCs w:val="18"/>
        </w:rPr>
        <w:t xml:space="preserve"> </w:t>
      </w:r>
      <w:r w:rsidRPr="00AF4741">
        <w:rPr>
          <w:rFonts w:asciiTheme="minorHAnsi" w:eastAsia="Times New Roman" w:hAnsiTheme="minorHAnsi" w:cstheme="minorHAnsi"/>
          <w:sz w:val="18"/>
          <w:szCs w:val="18"/>
          <w:lang w:eastAsia="en-GB"/>
        </w:rPr>
        <w:t>CCPR/C/HUN/CO/6, §</w:t>
      </w:r>
      <w:r w:rsidR="009A3A3E" w:rsidRPr="00AF4741">
        <w:rPr>
          <w:rFonts w:asciiTheme="minorHAnsi" w:eastAsia="Times New Roman" w:hAnsiTheme="minorHAnsi" w:cstheme="minorHAnsi"/>
          <w:sz w:val="18"/>
          <w:szCs w:val="18"/>
          <w:lang w:eastAsia="en-GB"/>
        </w:rPr>
        <w:t>5.</w:t>
      </w:r>
    </w:p>
  </w:footnote>
  <w:footnote w:id="2">
    <w:p w14:paraId="07CB2601" w14:textId="596D7BB8" w:rsidR="00B01F98" w:rsidRPr="00AF4741" w:rsidRDefault="00B01F98" w:rsidP="00AF4741">
      <w:pPr>
        <w:pStyle w:val="Lbjegyzetszveg"/>
        <w:rPr>
          <w:rFonts w:asciiTheme="minorHAnsi" w:hAnsiTheme="minorHAnsi" w:cstheme="minorHAnsi"/>
          <w:sz w:val="18"/>
          <w:szCs w:val="18"/>
        </w:rPr>
      </w:pPr>
      <w:r w:rsidRPr="00AF4741">
        <w:rPr>
          <w:rStyle w:val="Lbjegyzet-hivatkozs"/>
          <w:rFonts w:asciiTheme="minorHAnsi" w:hAnsiTheme="minorHAnsi" w:cstheme="minorHAnsi"/>
          <w:sz w:val="18"/>
          <w:szCs w:val="18"/>
        </w:rPr>
        <w:footnoteRef/>
      </w:r>
      <w:r w:rsidRPr="00AF4741">
        <w:rPr>
          <w:rFonts w:asciiTheme="minorHAnsi" w:hAnsiTheme="minorHAnsi" w:cstheme="minorHAnsi"/>
          <w:sz w:val="18"/>
          <w:szCs w:val="18"/>
        </w:rPr>
        <w:t xml:space="preserve"> The Fundamental Law is available here in English: </w:t>
      </w:r>
      <w:hyperlink r:id="rId1" w:history="1">
        <w:r w:rsidRPr="00AF4741">
          <w:rPr>
            <w:rStyle w:val="Hiperhivatkozs"/>
            <w:rFonts w:asciiTheme="minorHAnsi" w:hAnsiTheme="minorHAnsi" w:cstheme="minorHAnsi"/>
            <w:sz w:val="18"/>
            <w:szCs w:val="18"/>
          </w:rPr>
          <w:t>https://njt.hu/jogszabaly/en/2011-4301-02-00</w:t>
        </w:r>
      </w:hyperlink>
      <w:r w:rsidRPr="00AF4741">
        <w:rPr>
          <w:rFonts w:asciiTheme="minorHAnsi" w:hAnsiTheme="minorHAnsi" w:cstheme="minorHAnsi"/>
          <w:sz w:val="18"/>
          <w:szCs w:val="18"/>
        </w:rPr>
        <w:t xml:space="preserve">. </w:t>
      </w:r>
    </w:p>
  </w:footnote>
  <w:footnote w:id="3">
    <w:p w14:paraId="3C29ADDE" w14:textId="402C3917" w:rsidR="005F1CC4" w:rsidRPr="00AF4741" w:rsidRDefault="005F1CC4" w:rsidP="00AF4741">
      <w:pPr>
        <w:pStyle w:val="Lbjegyzetszveg"/>
        <w:rPr>
          <w:rFonts w:asciiTheme="minorHAnsi" w:hAnsiTheme="minorHAnsi" w:cstheme="minorHAnsi"/>
          <w:sz w:val="18"/>
          <w:szCs w:val="18"/>
        </w:rPr>
      </w:pPr>
      <w:r w:rsidRPr="00AF4741">
        <w:rPr>
          <w:rStyle w:val="Lbjegyzet-hivatkozs"/>
          <w:rFonts w:asciiTheme="minorHAnsi" w:hAnsiTheme="minorHAnsi" w:cstheme="minorHAnsi"/>
          <w:sz w:val="18"/>
          <w:szCs w:val="18"/>
        </w:rPr>
        <w:footnoteRef/>
      </w:r>
      <w:r w:rsidRPr="00AF4741">
        <w:rPr>
          <w:rFonts w:asciiTheme="minorHAnsi" w:hAnsiTheme="minorHAnsi" w:cstheme="minorHAnsi"/>
          <w:sz w:val="18"/>
          <w:szCs w:val="18"/>
        </w:rPr>
        <w:t xml:space="preserve"> For details, see: Hungarian Helsinki Committee, </w:t>
      </w:r>
      <w:r w:rsidRPr="00AF4741">
        <w:rPr>
          <w:rFonts w:asciiTheme="minorHAnsi" w:hAnsiTheme="minorHAnsi" w:cstheme="minorHAnsi"/>
          <w:i/>
          <w:iCs/>
          <w:sz w:val="18"/>
          <w:szCs w:val="18"/>
        </w:rPr>
        <w:t>Flash report: What happened in the last 48 hours in Hungary and how it affects the rule of law and human rights,</w:t>
      </w:r>
      <w:r w:rsidRPr="00AF4741">
        <w:rPr>
          <w:rFonts w:asciiTheme="minorHAnsi" w:hAnsiTheme="minorHAnsi" w:cstheme="minorHAnsi"/>
          <w:sz w:val="18"/>
          <w:szCs w:val="18"/>
        </w:rPr>
        <w:t xml:space="preserve"> 12 November 2020, </w:t>
      </w:r>
      <w:hyperlink r:id="rId2" w:history="1">
        <w:r w:rsidRPr="00AF4741">
          <w:rPr>
            <w:rStyle w:val="Hiperhivatkozs"/>
            <w:rFonts w:asciiTheme="minorHAnsi" w:hAnsiTheme="minorHAnsi" w:cstheme="minorHAnsi"/>
            <w:sz w:val="18"/>
            <w:szCs w:val="18"/>
          </w:rPr>
          <w:t>https://helsinki.hu/wp-content/uploads/HHC_RoL_flash_report_Hungary_12112020.pdf</w:t>
        </w:r>
      </w:hyperlink>
      <w:r w:rsidR="00536CCF" w:rsidRPr="00AF4741">
        <w:rPr>
          <w:rFonts w:asciiTheme="minorHAnsi" w:hAnsiTheme="minorHAnsi" w:cstheme="minorHAnsi"/>
          <w:sz w:val="18"/>
          <w:szCs w:val="18"/>
        </w:rPr>
        <w:t xml:space="preserve">; Gábor Mészáros: </w:t>
      </w:r>
      <w:r w:rsidR="00536CCF" w:rsidRPr="00AF4741">
        <w:rPr>
          <w:rStyle w:val="markedcontent"/>
          <w:rFonts w:asciiTheme="minorHAnsi" w:hAnsiTheme="minorHAnsi" w:cstheme="minorHAnsi"/>
          <w:i/>
          <w:iCs/>
          <w:sz w:val="18"/>
          <w:szCs w:val="18"/>
        </w:rPr>
        <w:t>Exceptional Governmental Measures</w:t>
      </w:r>
      <w:r w:rsidR="00536CCF" w:rsidRPr="00AF4741">
        <w:rPr>
          <w:rFonts w:asciiTheme="minorHAnsi" w:hAnsiTheme="minorHAnsi" w:cstheme="minorHAnsi"/>
          <w:i/>
          <w:iCs/>
          <w:sz w:val="18"/>
          <w:szCs w:val="18"/>
        </w:rPr>
        <w:t xml:space="preserve"> </w:t>
      </w:r>
      <w:r w:rsidR="00536CCF" w:rsidRPr="00AF4741">
        <w:rPr>
          <w:rStyle w:val="markedcontent"/>
          <w:rFonts w:asciiTheme="minorHAnsi" w:hAnsiTheme="minorHAnsi" w:cstheme="minorHAnsi"/>
          <w:i/>
          <w:iCs/>
          <w:sz w:val="18"/>
          <w:szCs w:val="18"/>
        </w:rPr>
        <w:t>without Constitutional Restraints</w:t>
      </w:r>
      <w:r w:rsidR="00536CCF" w:rsidRPr="00AF4741">
        <w:rPr>
          <w:rStyle w:val="markedcontent"/>
          <w:rFonts w:asciiTheme="minorHAnsi" w:hAnsiTheme="minorHAnsi" w:cstheme="minorHAnsi"/>
          <w:sz w:val="18"/>
          <w:szCs w:val="18"/>
        </w:rPr>
        <w:t xml:space="preserve">, </w:t>
      </w:r>
      <w:hyperlink r:id="rId3" w:history="1">
        <w:r w:rsidR="00536CCF" w:rsidRPr="00AF4741">
          <w:rPr>
            <w:rStyle w:val="Hiperhivatkozs"/>
            <w:rFonts w:asciiTheme="minorHAnsi" w:hAnsiTheme="minorHAnsi" w:cstheme="minorHAnsi"/>
            <w:sz w:val="18"/>
            <w:szCs w:val="18"/>
          </w:rPr>
          <w:t>https://helsinki.hu/en/wp-content/uploads/sites/2/2023/01/Meszaros_special_legal_order_02112022.pdf</w:t>
        </w:r>
      </w:hyperlink>
      <w:r w:rsidR="00C82C88" w:rsidRPr="00AF4741">
        <w:rPr>
          <w:rFonts w:asciiTheme="minorHAnsi" w:hAnsiTheme="minorHAnsi" w:cstheme="minorHAnsi"/>
          <w:sz w:val="18"/>
          <w:szCs w:val="18"/>
        </w:rPr>
        <w:t>. Cf.</w:t>
      </w:r>
      <w:r w:rsidR="00CA7132" w:rsidRPr="00AF4741">
        <w:rPr>
          <w:rFonts w:asciiTheme="minorHAnsi" w:hAnsiTheme="minorHAnsi" w:cstheme="minorHAnsi"/>
          <w:sz w:val="18"/>
          <w:szCs w:val="18"/>
        </w:rPr>
        <w:t xml:space="preserve"> </w:t>
      </w:r>
      <w:r w:rsidR="006819F3" w:rsidRPr="00AF4741">
        <w:rPr>
          <w:rFonts w:asciiTheme="minorHAnsi" w:hAnsiTheme="minorHAnsi" w:cstheme="minorHAnsi"/>
          <w:sz w:val="18"/>
          <w:szCs w:val="18"/>
        </w:rPr>
        <w:t xml:space="preserve">European Commission for Democracy Through Law (Venice Commission), </w:t>
      </w:r>
      <w:r w:rsidR="006819F3" w:rsidRPr="00AF4741">
        <w:rPr>
          <w:rFonts w:asciiTheme="minorHAnsi" w:hAnsiTheme="minorHAnsi" w:cstheme="minorHAnsi"/>
          <w:i/>
          <w:iCs/>
          <w:sz w:val="18"/>
          <w:szCs w:val="18"/>
        </w:rPr>
        <w:t>Hungary – Opinion on the constitutional amendments adopted by the Hungarian parliament in December 2020,</w:t>
      </w:r>
      <w:r w:rsidR="006819F3" w:rsidRPr="00AF4741">
        <w:rPr>
          <w:rFonts w:asciiTheme="minorHAnsi" w:hAnsiTheme="minorHAnsi" w:cstheme="minorHAnsi"/>
          <w:sz w:val="18"/>
          <w:szCs w:val="18"/>
        </w:rPr>
        <w:t xml:space="preserve"> 2 July 2021, CDL-AD(2021)029, </w:t>
      </w:r>
      <w:hyperlink r:id="rId4" w:history="1">
        <w:r w:rsidR="006819F3" w:rsidRPr="00AF4741">
          <w:rPr>
            <w:rStyle w:val="Hiperhivatkozs"/>
            <w:rFonts w:asciiTheme="minorHAnsi" w:hAnsiTheme="minorHAnsi" w:cstheme="minorHAnsi"/>
            <w:sz w:val="18"/>
            <w:szCs w:val="18"/>
          </w:rPr>
          <w:t>https://www.venice.coe.int/webforms/documents/default.aspx?pdffile=CDL-AD(2021)029-e</w:t>
        </w:r>
      </w:hyperlink>
      <w:r w:rsidR="006819F3" w:rsidRPr="00AF4741">
        <w:rPr>
          <w:rFonts w:asciiTheme="minorHAnsi" w:hAnsiTheme="minorHAnsi" w:cstheme="minorHAnsi"/>
          <w:sz w:val="18"/>
          <w:szCs w:val="18"/>
        </w:rPr>
        <w:t>.</w:t>
      </w:r>
    </w:p>
  </w:footnote>
  <w:footnote w:id="4">
    <w:p w14:paraId="62309B83" w14:textId="6452C966" w:rsidR="003C31D5" w:rsidRPr="00AF4741" w:rsidRDefault="003C31D5" w:rsidP="00AF4741">
      <w:pPr>
        <w:rPr>
          <w:rFonts w:asciiTheme="minorHAnsi" w:hAnsiTheme="minorHAnsi" w:cstheme="minorHAnsi"/>
          <w:sz w:val="18"/>
          <w:szCs w:val="18"/>
        </w:rPr>
      </w:pPr>
      <w:r w:rsidRPr="00AF4741">
        <w:rPr>
          <w:rStyle w:val="Lbjegyzet-hivatkozs"/>
          <w:rFonts w:asciiTheme="minorHAnsi" w:hAnsiTheme="minorHAnsi" w:cstheme="minorHAnsi"/>
          <w:sz w:val="18"/>
          <w:szCs w:val="18"/>
        </w:rPr>
        <w:footnoteRef/>
      </w:r>
      <w:r w:rsidRPr="00AF4741">
        <w:rPr>
          <w:rFonts w:asciiTheme="minorHAnsi" w:hAnsiTheme="minorHAnsi" w:cstheme="minorHAnsi"/>
          <w:sz w:val="18"/>
          <w:szCs w:val="18"/>
        </w:rPr>
        <w:t xml:space="preserve"> For details, see: </w:t>
      </w:r>
      <w:r w:rsidR="006962CA" w:rsidRPr="00AF4741">
        <w:rPr>
          <w:rFonts w:asciiTheme="minorHAnsi" w:hAnsiTheme="minorHAnsi" w:cstheme="minorHAnsi"/>
          <w:sz w:val="18"/>
          <w:szCs w:val="18"/>
        </w:rPr>
        <w:t xml:space="preserve">Hungarian Helsinki Committee, </w:t>
      </w:r>
      <w:r w:rsidR="006962CA" w:rsidRPr="00AF4741">
        <w:rPr>
          <w:rFonts w:asciiTheme="minorHAnsi" w:hAnsiTheme="minorHAnsi" w:cstheme="minorHAnsi"/>
          <w:i/>
          <w:iCs/>
          <w:sz w:val="18"/>
          <w:szCs w:val="18"/>
        </w:rPr>
        <w:t>The 10</w:t>
      </w:r>
      <w:r w:rsidR="006962CA" w:rsidRPr="00AF4741">
        <w:rPr>
          <w:rFonts w:asciiTheme="minorHAnsi" w:hAnsiTheme="minorHAnsi" w:cstheme="minorHAnsi"/>
          <w:i/>
          <w:iCs/>
          <w:sz w:val="18"/>
          <w:szCs w:val="18"/>
          <w:vertAlign w:val="superscript"/>
        </w:rPr>
        <w:t>th</w:t>
      </w:r>
      <w:r w:rsidR="006962CA" w:rsidRPr="00AF4741">
        <w:rPr>
          <w:rFonts w:asciiTheme="minorHAnsi" w:hAnsiTheme="minorHAnsi" w:cstheme="minorHAnsi"/>
          <w:i/>
          <w:iCs/>
          <w:sz w:val="18"/>
          <w:szCs w:val="18"/>
        </w:rPr>
        <w:t xml:space="preserve"> Amendment to the Fundamental Law: the Hungarian Government is using the war in Ukraine as a pretext to keep its excessive regulatory powers</w:t>
      </w:r>
      <w:r w:rsidR="006962CA" w:rsidRPr="00AF4741">
        <w:rPr>
          <w:rFonts w:asciiTheme="minorHAnsi" w:hAnsiTheme="minorHAnsi" w:cstheme="minorHAnsi"/>
          <w:sz w:val="18"/>
          <w:szCs w:val="18"/>
        </w:rPr>
        <w:t xml:space="preserve">, 5 May 2022, </w:t>
      </w:r>
      <w:hyperlink r:id="rId5" w:history="1">
        <w:r w:rsidR="006962CA" w:rsidRPr="00AF4741">
          <w:rPr>
            <w:rStyle w:val="Hiperhivatkozs"/>
            <w:rFonts w:asciiTheme="minorHAnsi" w:hAnsiTheme="minorHAnsi" w:cstheme="minorHAnsi"/>
            <w:sz w:val="18"/>
            <w:szCs w:val="18"/>
          </w:rPr>
          <w:t>https://helsinki.hu/en/wp-content/uploads/sites/2/2022/05/HHC_HU_10th_const_amendment_05052022.pdf</w:t>
        </w:r>
      </w:hyperlink>
      <w:r w:rsidRPr="00AF4741">
        <w:rPr>
          <w:rFonts w:asciiTheme="minorHAnsi" w:hAnsiTheme="minorHAnsi" w:cstheme="minorHAnsi"/>
          <w:sz w:val="18"/>
          <w:szCs w:val="18"/>
        </w:rPr>
        <w:t xml:space="preserve">. </w:t>
      </w:r>
    </w:p>
  </w:footnote>
  <w:footnote w:id="5">
    <w:p w14:paraId="215027B1" w14:textId="434FFC68" w:rsidR="00925EAB" w:rsidRPr="00AF4741" w:rsidRDefault="00925EAB" w:rsidP="00AF4741">
      <w:pPr>
        <w:rPr>
          <w:rFonts w:asciiTheme="minorHAnsi" w:eastAsia="Corbel" w:hAnsiTheme="minorHAnsi" w:cstheme="minorHAnsi"/>
          <w:sz w:val="18"/>
          <w:szCs w:val="18"/>
        </w:rPr>
      </w:pPr>
      <w:r w:rsidRPr="00AF4741">
        <w:rPr>
          <w:rFonts w:asciiTheme="minorHAnsi" w:hAnsiTheme="minorHAnsi" w:cstheme="minorHAnsi"/>
          <w:sz w:val="18"/>
          <w:szCs w:val="18"/>
          <w:vertAlign w:val="superscript"/>
        </w:rPr>
        <w:footnoteRef/>
      </w:r>
      <w:r w:rsidRPr="00AF4741">
        <w:rPr>
          <w:rFonts w:asciiTheme="minorHAnsi" w:eastAsia="Corbel" w:hAnsiTheme="minorHAnsi" w:cstheme="minorHAnsi"/>
          <w:sz w:val="18"/>
          <w:szCs w:val="18"/>
        </w:rPr>
        <w:t xml:space="preserve"> </w:t>
      </w:r>
      <w:r w:rsidR="00FD25D3" w:rsidRPr="00AF4741">
        <w:rPr>
          <w:rFonts w:asciiTheme="minorHAnsi" w:eastAsia="Corbel" w:hAnsiTheme="minorHAnsi" w:cstheme="minorHAnsi"/>
          <w:sz w:val="18"/>
          <w:szCs w:val="18"/>
        </w:rPr>
        <w:t xml:space="preserve">For details, see: Hungarian Helsinki Committee, </w:t>
      </w:r>
      <w:r w:rsidR="00FD25D3" w:rsidRPr="00AF4741">
        <w:rPr>
          <w:rFonts w:asciiTheme="minorHAnsi" w:eastAsia="Corbel" w:hAnsiTheme="minorHAnsi" w:cstheme="minorHAnsi"/>
          <w:i/>
          <w:iCs/>
          <w:sz w:val="18"/>
          <w:szCs w:val="18"/>
        </w:rPr>
        <w:t>Exclusion and threatening dissenters on a constitutional level – Information note on the 15</w:t>
      </w:r>
      <w:r w:rsidR="00FD25D3" w:rsidRPr="00AF4741">
        <w:rPr>
          <w:rFonts w:asciiTheme="minorHAnsi" w:eastAsia="Corbel" w:hAnsiTheme="minorHAnsi" w:cstheme="minorHAnsi"/>
          <w:i/>
          <w:iCs/>
          <w:sz w:val="18"/>
          <w:szCs w:val="18"/>
          <w:vertAlign w:val="superscript"/>
        </w:rPr>
        <w:t>th</w:t>
      </w:r>
      <w:r w:rsidR="00FD25D3" w:rsidRPr="00AF4741">
        <w:rPr>
          <w:rFonts w:asciiTheme="minorHAnsi" w:eastAsia="Corbel" w:hAnsiTheme="minorHAnsi" w:cstheme="minorHAnsi"/>
          <w:i/>
          <w:iCs/>
          <w:sz w:val="18"/>
          <w:szCs w:val="18"/>
        </w:rPr>
        <w:t xml:space="preserve"> Amendment to Hungary’s Fundamental Law and accompanying laws</w:t>
      </w:r>
      <w:r w:rsidR="00FD25D3" w:rsidRPr="00AF4741">
        <w:rPr>
          <w:rFonts w:asciiTheme="minorHAnsi" w:eastAsia="Corbel" w:hAnsiTheme="minorHAnsi" w:cstheme="minorHAnsi"/>
          <w:sz w:val="18"/>
          <w:szCs w:val="18"/>
        </w:rPr>
        <w:t xml:space="preserve">, 19 March 2025, </w:t>
      </w:r>
      <w:hyperlink r:id="rId6">
        <w:r w:rsidR="00FD25D3" w:rsidRPr="00AF4741">
          <w:rPr>
            <w:rFonts w:asciiTheme="minorHAnsi" w:eastAsia="Corbel" w:hAnsiTheme="minorHAnsi" w:cstheme="minorHAnsi"/>
            <w:color w:val="0070C0"/>
            <w:sz w:val="18"/>
            <w:szCs w:val="18"/>
            <w:u w:val="single"/>
          </w:rPr>
          <w:t>https://helsinki.hu/en/wp-content/uploads/sites/2/2025/03/HHC_info_note_15th_Amendment_19032025.pdf</w:t>
        </w:r>
      </w:hyperlink>
      <w:r w:rsidR="008C7A8C" w:rsidRPr="00AF4741">
        <w:rPr>
          <w:rFonts w:asciiTheme="minorHAnsi" w:eastAsia="Corbel" w:hAnsiTheme="minorHAnsi" w:cstheme="minorHAnsi"/>
          <w:sz w:val="18"/>
          <w:szCs w:val="18"/>
        </w:rPr>
        <w:t xml:space="preserve">; </w:t>
      </w:r>
      <w:r w:rsidR="007B1E6C" w:rsidRPr="00AF4741">
        <w:rPr>
          <w:rFonts w:asciiTheme="minorHAnsi" w:eastAsia="Corbel" w:hAnsiTheme="minorHAnsi" w:cstheme="minorHAnsi"/>
          <w:sz w:val="18"/>
          <w:szCs w:val="18"/>
        </w:rPr>
        <w:t xml:space="preserve">Amnesty International Hungary – Hungarian Helsinki Committee – K-Monitor – Transparency International Hungary, </w:t>
      </w:r>
      <w:r w:rsidR="008C7A8C" w:rsidRPr="00AF4741">
        <w:rPr>
          <w:rFonts w:asciiTheme="minorHAnsi" w:eastAsia="Corbel" w:hAnsiTheme="minorHAnsi" w:cstheme="minorHAnsi"/>
          <w:i/>
          <w:iCs/>
          <w:sz w:val="18"/>
          <w:szCs w:val="18"/>
        </w:rPr>
        <w:t>Assessment of Hungary’s compliance with conditions to access European Union funds</w:t>
      </w:r>
      <w:r w:rsidR="008C7A8C" w:rsidRPr="00AF4741">
        <w:rPr>
          <w:rFonts w:asciiTheme="minorHAnsi" w:eastAsia="Corbel" w:hAnsiTheme="minorHAnsi" w:cstheme="minorHAnsi"/>
          <w:sz w:val="18"/>
          <w:szCs w:val="18"/>
        </w:rPr>
        <w:t xml:space="preserve">, November 2025, </w:t>
      </w:r>
      <w:hyperlink r:id="rId7" w:history="1">
        <w:r w:rsidR="008C7A8C" w:rsidRPr="00AF4741">
          <w:rPr>
            <w:rStyle w:val="Hiperhivatkozs"/>
            <w:rFonts w:asciiTheme="minorHAnsi" w:eastAsia="Corbel" w:hAnsiTheme="minorHAnsi" w:cstheme="minorHAnsi"/>
            <w:sz w:val="18"/>
            <w:szCs w:val="18"/>
          </w:rPr>
          <w:t>https://helsinki.hu/en/wp-content/uploads/sites/2/2025/12/HU_EU_funds_assessment_2025.pdf</w:t>
        </w:r>
      </w:hyperlink>
      <w:r w:rsidR="008C7A8C" w:rsidRPr="00AF4741">
        <w:rPr>
          <w:rFonts w:asciiTheme="minorHAnsi" w:eastAsia="Corbel" w:hAnsiTheme="minorHAnsi" w:cstheme="minorHAnsi"/>
          <w:sz w:val="18"/>
          <w:szCs w:val="18"/>
        </w:rPr>
        <w:t xml:space="preserve">, pp. 68–69. </w:t>
      </w:r>
      <w:r w:rsidR="00FD25D3" w:rsidRPr="00AF4741">
        <w:rPr>
          <w:rFonts w:asciiTheme="minorHAnsi" w:eastAsia="Corbel" w:hAnsiTheme="minorHAnsi" w:cstheme="minorHAnsi"/>
          <w:sz w:val="18"/>
          <w:szCs w:val="18"/>
        </w:rPr>
        <w:t xml:space="preserve">Cf. </w:t>
      </w:r>
      <w:r w:rsidRPr="00AF4741">
        <w:rPr>
          <w:rFonts w:asciiTheme="minorHAnsi" w:eastAsia="Corbel" w:hAnsiTheme="minorHAnsi" w:cstheme="minorHAnsi"/>
          <w:sz w:val="18"/>
          <w:szCs w:val="18"/>
        </w:rPr>
        <w:t xml:space="preserve">European Commission for Democracy Through Law (Venice Commission), </w:t>
      </w:r>
      <w:r w:rsidRPr="00AF4741">
        <w:rPr>
          <w:rFonts w:asciiTheme="minorHAnsi" w:eastAsia="Corbel" w:hAnsiTheme="minorHAnsi" w:cstheme="minorHAnsi"/>
          <w:i/>
          <w:iCs/>
          <w:sz w:val="18"/>
          <w:szCs w:val="18"/>
        </w:rPr>
        <w:t>Hungary – Opinion on the compatibility with international human rights standards of the Fifteenth Amendment to the Fundamental Law of Hungary,</w:t>
      </w:r>
      <w:r w:rsidRPr="00AF4741">
        <w:rPr>
          <w:rFonts w:asciiTheme="minorHAnsi" w:eastAsia="Corbel" w:hAnsiTheme="minorHAnsi" w:cstheme="minorHAnsi"/>
          <w:sz w:val="18"/>
          <w:szCs w:val="18"/>
        </w:rPr>
        <w:t xml:space="preserve"> 13 October 2025, </w:t>
      </w:r>
      <w:r w:rsidR="001572CF" w:rsidRPr="00AF4741">
        <w:rPr>
          <w:rFonts w:asciiTheme="minorHAnsi" w:eastAsia="Corbel" w:hAnsiTheme="minorHAnsi" w:cstheme="minorHAnsi"/>
          <w:sz w:val="18"/>
          <w:szCs w:val="18"/>
        </w:rPr>
        <w:t xml:space="preserve">CDL-AD(2025)043, </w:t>
      </w:r>
      <w:hyperlink r:id="rId8" w:history="1">
        <w:r w:rsidR="008C7A8C" w:rsidRPr="00AF4741">
          <w:rPr>
            <w:rStyle w:val="Hiperhivatkozs"/>
            <w:rFonts w:asciiTheme="minorHAnsi" w:eastAsia="Corbel" w:hAnsiTheme="minorHAnsi" w:cstheme="minorHAnsi"/>
            <w:sz w:val="18"/>
            <w:szCs w:val="18"/>
          </w:rPr>
          <w:t>https://www.venice.coe.int/webforms/documents/default.aspx?pdffile=CDL-AD(2025)043-e</w:t>
        </w:r>
      </w:hyperlink>
      <w:r w:rsidRPr="00AF4741">
        <w:rPr>
          <w:rFonts w:asciiTheme="minorHAnsi" w:eastAsia="Corbel" w:hAnsiTheme="minorHAnsi" w:cstheme="minorHAnsi"/>
          <w:sz w:val="18"/>
          <w:szCs w:val="18"/>
        </w:rPr>
        <w:t xml:space="preserve">. </w:t>
      </w:r>
    </w:p>
  </w:footnote>
  <w:footnote w:id="6">
    <w:p w14:paraId="1796C8D7" w14:textId="20EC7DD1" w:rsidR="00B01F98" w:rsidRPr="00AF4741" w:rsidRDefault="00B01F98" w:rsidP="00AF4741">
      <w:pPr>
        <w:pStyle w:val="Lbjegyzetszveg"/>
        <w:rPr>
          <w:rFonts w:asciiTheme="minorHAnsi" w:hAnsiTheme="minorHAnsi" w:cstheme="minorHAnsi"/>
          <w:sz w:val="18"/>
          <w:szCs w:val="18"/>
        </w:rPr>
      </w:pPr>
      <w:r w:rsidRPr="00AF4741">
        <w:rPr>
          <w:rStyle w:val="Lbjegyzet-hivatkozs"/>
          <w:rFonts w:asciiTheme="minorHAnsi" w:hAnsiTheme="minorHAnsi" w:cstheme="minorHAnsi"/>
          <w:sz w:val="18"/>
          <w:szCs w:val="18"/>
        </w:rPr>
        <w:footnoteRef/>
      </w:r>
      <w:r w:rsidRPr="00AF4741">
        <w:rPr>
          <w:rFonts w:asciiTheme="minorHAnsi" w:hAnsiTheme="minorHAnsi" w:cstheme="minorHAnsi"/>
          <w:sz w:val="18"/>
          <w:szCs w:val="18"/>
        </w:rPr>
        <w:t xml:space="preserve"> </w:t>
      </w:r>
      <w:r w:rsidRPr="00AF4741">
        <w:rPr>
          <w:rFonts w:asciiTheme="minorHAnsi" w:eastAsia="Times New Roman" w:hAnsiTheme="minorHAnsi" w:cstheme="minorHAnsi"/>
          <w:sz w:val="18"/>
          <w:szCs w:val="18"/>
          <w:lang w:eastAsia="en-GB"/>
        </w:rPr>
        <w:t>CCPR/C/HUN/CO/6, §§5–6.</w:t>
      </w:r>
      <w:r w:rsidR="001572CF" w:rsidRPr="00AF4741">
        <w:rPr>
          <w:rFonts w:asciiTheme="minorHAnsi" w:eastAsia="Times New Roman" w:hAnsiTheme="minorHAnsi" w:cstheme="minorHAnsi"/>
          <w:sz w:val="18"/>
          <w:szCs w:val="18"/>
          <w:lang w:eastAsia="en-GB"/>
        </w:rPr>
        <w:t xml:space="preserve"> and</w:t>
      </w:r>
      <w:r w:rsidRPr="00AF4741">
        <w:rPr>
          <w:rFonts w:asciiTheme="minorHAnsi" w:eastAsia="Times New Roman" w:hAnsiTheme="minorHAnsi" w:cstheme="minorHAnsi"/>
          <w:sz w:val="18"/>
          <w:szCs w:val="18"/>
          <w:lang w:eastAsia="en-GB"/>
        </w:rPr>
        <w:t xml:space="preserve"> 11–12.</w:t>
      </w:r>
    </w:p>
  </w:footnote>
  <w:footnote w:id="7">
    <w:p w14:paraId="6862F54A" w14:textId="73642315" w:rsidR="00410A93" w:rsidRPr="00AF4741" w:rsidRDefault="00410A93" w:rsidP="00AF4741">
      <w:pPr>
        <w:pStyle w:val="Lbjegyzetszveg"/>
        <w:rPr>
          <w:rFonts w:asciiTheme="minorHAnsi" w:hAnsiTheme="minorHAnsi" w:cstheme="minorHAnsi"/>
          <w:sz w:val="18"/>
          <w:szCs w:val="18"/>
        </w:rPr>
      </w:pPr>
      <w:r w:rsidRPr="00AF4741">
        <w:rPr>
          <w:rStyle w:val="Lbjegyzet-hivatkozs"/>
          <w:rFonts w:asciiTheme="minorHAnsi" w:hAnsiTheme="minorHAnsi" w:cstheme="minorHAnsi"/>
          <w:sz w:val="18"/>
          <w:szCs w:val="18"/>
        </w:rPr>
        <w:footnoteRef/>
      </w:r>
      <w:r w:rsidRPr="00AF4741">
        <w:rPr>
          <w:rFonts w:asciiTheme="minorHAnsi" w:hAnsiTheme="minorHAnsi" w:cstheme="minorHAnsi"/>
          <w:sz w:val="18"/>
          <w:szCs w:val="18"/>
        </w:rPr>
        <w:t xml:space="preserve"> See e.g.: </w:t>
      </w:r>
      <w:r w:rsidRPr="00AF4741">
        <w:rPr>
          <w:rFonts w:asciiTheme="minorHAnsi" w:hAnsiTheme="minorHAnsi" w:cstheme="minorHAnsi"/>
          <w:i/>
          <w:iCs/>
          <w:sz w:val="18"/>
          <w:szCs w:val="18"/>
        </w:rPr>
        <w:t>Contributions of Hungarian CSOs to the European Commission’s Rule of Law Report</w:t>
      </w:r>
      <w:r w:rsidRPr="00AF4741">
        <w:rPr>
          <w:rFonts w:asciiTheme="minorHAnsi" w:hAnsiTheme="minorHAnsi" w:cstheme="minorHAnsi"/>
          <w:sz w:val="18"/>
          <w:szCs w:val="18"/>
        </w:rPr>
        <w:t xml:space="preserve">, January 2025, </w:t>
      </w:r>
      <w:hyperlink r:id="rId9" w:history="1">
        <w:r w:rsidRPr="00AF4741">
          <w:rPr>
            <w:rStyle w:val="Hiperhivatkozs"/>
            <w:rFonts w:asciiTheme="minorHAnsi" w:hAnsiTheme="minorHAnsi" w:cstheme="minorHAnsi"/>
            <w:sz w:val="18"/>
            <w:szCs w:val="18"/>
          </w:rPr>
          <w:t>https://helsinki.hu/en/wp-content/uploads/sites/2/2025/01/HUN_CSO_contribution_EC_RoL_Report_2025.pdf</w:t>
        </w:r>
      </w:hyperlink>
      <w:r w:rsidRPr="00AF4741">
        <w:rPr>
          <w:rFonts w:asciiTheme="minorHAnsi" w:hAnsiTheme="minorHAnsi" w:cstheme="minorHAnsi"/>
          <w:sz w:val="18"/>
          <w:szCs w:val="18"/>
        </w:rPr>
        <w:t>, pp.</w:t>
      </w:r>
      <w:r w:rsidR="00291366" w:rsidRPr="00AF4741">
        <w:rPr>
          <w:rFonts w:asciiTheme="minorHAnsi" w:hAnsiTheme="minorHAnsi" w:cstheme="minorHAnsi"/>
          <w:sz w:val="18"/>
          <w:szCs w:val="18"/>
        </w:rPr>
        <w:t xml:space="preserve"> 77–79.</w:t>
      </w:r>
    </w:p>
  </w:footnote>
  <w:footnote w:id="8">
    <w:p w14:paraId="0C1334EC" w14:textId="09F70E6F" w:rsidR="00410A93" w:rsidRPr="00AF4741" w:rsidRDefault="00410A93" w:rsidP="00AF4741">
      <w:pPr>
        <w:pStyle w:val="Lbjegyzetszveg"/>
        <w:rPr>
          <w:rFonts w:asciiTheme="minorHAnsi" w:eastAsia="Corbel" w:hAnsiTheme="minorHAnsi" w:cstheme="minorHAnsi"/>
          <w:sz w:val="18"/>
          <w:szCs w:val="18"/>
        </w:rPr>
      </w:pPr>
      <w:r w:rsidRPr="00AF4741">
        <w:rPr>
          <w:rStyle w:val="Lbjegyzet-hivatkozs"/>
          <w:rFonts w:asciiTheme="minorHAnsi" w:hAnsiTheme="minorHAnsi" w:cstheme="minorHAnsi"/>
          <w:sz w:val="18"/>
          <w:szCs w:val="18"/>
        </w:rPr>
        <w:footnoteRef/>
      </w:r>
      <w:r w:rsidRPr="00AF4741">
        <w:rPr>
          <w:rFonts w:asciiTheme="minorHAnsi" w:hAnsiTheme="minorHAnsi" w:cstheme="minorHAnsi"/>
          <w:sz w:val="18"/>
          <w:szCs w:val="18"/>
        </w:rPr>
        <w:t xml:space="preserve"> </w:t>
      </w:r>
      <w:r w:rsidR="00360B26" w:rsidRPr="00AF4741">
        <w:rPr>
          <w:rFonts w:asciiTheme="minorHAnsi" w:hAnsiTheme="minorHAnsi" w:cstheme="minorHAnsi"/>
          <w:sz w:val="18"/>
          <w:szCs w:val="18"/>
        </w:rPr>
        <w:t xml:space="preserve">Cf. </w:t>
      </w:r>
      <w:r w:rsidRPr="00AF4741">
        <w:rPr>
          <w:rFonts w:asciiTheme="minorHAnsi" w:eastAsia="Corbel" w:hAnsiTheme="minorHAnsi" w:cstheme="minorHAnsi"/>
          <w:sz w:val="18"/>
          <w:szCs w:val="18"/>
        </w:rPr>
        <w:t>European Commission for Democracy Through Law (Venice Commission),</w:t>
      </w:r>
      <w:r w:rsidR="00360B26" w:rsidRPr="00AF4741">
        <w:rPr>
          <w:rFonts w:asciiTheme="minorHAnsi" w:eastAsia="Corbel" w:hAnsiTheme="minorHAnsi" w:cstheme="minorHAnsi"/>
          <w:sz w:val="18"/>
          <w:szCs w:val="18"/>
        </w:rPr>
        <w:t xml:space="preserve"> </w:t>
      </w:r>
      <w:r w:rsidR="00360B26" w:rsidRPr="00AF4741">
        <w:rPr>
          <w:rFonts w:asciiTheme="minorHAnsi" w:eastAsia="Corbel" w:hAnsiTheme="minorHAnsi" w:cstheme="minorHAnsi"/>
          <w:i/>
          <w:iCs/>
          <w:sz w:val="18"/>
          <w:szCs w:val="18"/>
        </w:rPr>
        <w:t>Hungary – Opinion on the constitutional and legislative amendments concerning the requirements to be appointed Prosecutor General and Constitutional Court Judge of Hungary, as well as the appointment and retirement of judges</w:t>
      </w:r>
      <w:r w:rsidR="00360B26" w:rsidRPr="00AF4741">
        <w:rPr>
          <w:rFonts w:asciiTheme="minorHAnsi" w:eastAsia="Corbel" w:hAnsiTheme="minorHAnsi" w:cstheme="minorHAnsi"/>
          <w:sz w:val="18"/>
          <w:szCs w:val="18"/>
        </w:rPr>
        <w:t xml:space="preserve">, 16 June 2025, CDL-AD(2025)028, </w:t>
      </w:r>
      <w:hyperlink r:id="rId10" w:history="1">
        <w:r w:rsidR="00360B26" w:rsidRPr="00AF4741">
          <w:rPr>
            <w:rStyle w:val="Hiperhivatkozs"/>
            <w:rFonts w:asciiTheme="minorHAnsi" w:eastAsia="Corbel" w:hAnsiTheme="minorHAnsi" w:cstheme="minorHAnsi"/>
            <w:sz w:val="18"/>
            <w:szCs w:val="18"/>
          </w:rPr>
          <w:t>https://www.venice.coe.int/webforms/documents/default.aspx?pdffile=CDL-AD(2025)028-e</w:t>
        </w:r>
      </w:hyperlink>
      <w:r w:rsidR="00360B26" w:rsidRPr="00AF4741">
        <w:rPr>
          <w:rFonts w:asciiTheme="minorHAnsi" w:eastAsia="Corbel" w:hAnsiTheme="minorHAnsi" w:cstheme="minorHAnsi"/>
          <w:sz w:val="18"/>
          <w:szCs w:val="18"/>
        </w:rPr>
        <w:t>.</w:t>
      </w:r>
    </w:p>
  </w:footnote>
  <w:footnote w:id="9">
    <w:p w14:paraId="15AC1E17" w14:textId="2BA3822F" w:rsidR="00ED34A0" w:rsidRPr="00AF4741" w:rsidRDefault="00ED34A0" w:rsidP="00AF4741">
      <w:pPr>
        <w:pStyle w:val="Lbjegyzetszveg"/>
        <w:rPr>
          <w:rFonts w:asciiTheme="minorHAnsi" w:hAnsiTheme="minorHAnsi" w:cstheme="minorHAnsi"/>
          <w:sz w:val="18"/>
          <w:szCs w:val="18"/>
        </w:rPr>
      </w:pPr>
      <w:r w:rsidRPr="00AF4741">
        <w:rPr>
          <w:rStyle w:val="Lbjegyzet-hivatkozs"/>
          <w:rFonts w:asciiTheme="minorHAnsi" w:hAnsiTheme="minorHAnsi" w:cstheme="minorHAnsi"/>
          <w:sz w:val="18"/>
          <w:szCs w:val="18"/>
        </w:rPr>
        <w:footnoteRef/>
      </w:r>
      <w:r w:rsidRPr="00AF4741">
        <w:rPr>
          <w:rFonts w:asciiTheme="minorHAnsi" w:hAnsiTheme="minorHAnsi" w:cstheme="minorHAnsi"/>
          <w:sz w:val="18"/>
          <w:szCs w:val="18"/>
        </w:rPr>
        <w:t xml:space="preserve"> </w:t>
      </w:r>
      <w:r w:rsidRPr="00AF4741">
        <w:rPr>
          <w:rFonts w:asciiTheme="minorHAnsi" w:eastAsia="Times New Roman" w:hAnsiTheme="minorHAnsi" w:cstheme="minorHAnsi"/>
          <w:sz w:val="18"/>
          <w:szCs w:val="18"/>
          <w:lang w:eastAsia="en-GB"/>
        </w:rPr>
        <w:t>CCPR/C/HUN/CO/6, §12.</w:t>
      </w:r>
    </w:p>
  </w:footnote>
  <w:footnote w:id="10">
    <w:p w14:paraId="073FE25B" w14:textId="3AC614F3" w:rsidR="00ED34A0" w:rsidRPr="00AF4741" w:rsidRDefault="00ED34A0" w:rsidP="00AF4741">
      <w:pPr>
        <w:pStyle w:val="Lbjegyzetszveg"/>
        <w:rPr>
          <w:rFonts w:asciiTheme="minorHAnsi" w:hAnsiTheme="minorHAnsi" w:cstheme="minorHAnsi"/>
          <w:sz w:val="18"/>
          <w:szCs w:val="18"/>
        </w:rPr>
      </w:pPr>
      <w:r w:rsidRPr="00AF4741">
        <w:rPr>
          <w:rStyle w:val="Lbjegyzet-hivatkozs"/>
          <w:rFonts w:asciiTheme="minorHAnsi" w:hAnsiTheme="minorHAnsi" w:cstheme="minorHAnsi"/>
          <w:sz w:val="18"/>
          <w:szCs w:val="18"/>
        </w:rPr>
        <w:footnoteRef/>
      </w:r>
      <w:r w:rsidRPr="00AF4741">
        <w:rPr>
          <w:rFonts w:asciiTheme="minorHAnsi" w:hAnsiTheme="minorHAnsi" w:cstheme="minorHAnsi"/>
          <w:sz w:val="18"/>
          <w:szCs w:val="18"/>
        </w:rPr>
        <w:t xml:space="preserve"> </w:t>
      </w:r>
      <w:r w:rsidRPr="00AF4741">
        <w:rPr>
          <w:rFonts w:asciiTheme="minorHAnsi" w:eastAsia="Times New Roman" w:hAnsiTheme="minorHAnsi" w:cstheme="minorHAnsi"/>
          <w:sz w:val="18"/>
          <w:szCs w:val="18"/>
          <w:lang w:eastAsia="en-GB"/>
        </w:rPr>
        <w:t>CCPR/C/HUN/CO/6, §6.</w:t>
      </w:r>
    </w:p>
  </w:footnote>
  <w:footnote w:id="11">
    <w:p w14:paraId="3210E43B" w14:textId="5C1E79E1" w:rsidR="009575AA" w:rsidRPr="00AF4741" w:rsidRDefault="009575AA" w:rsidP="00AF4741">
      <w:pPr>
        <w:pStyle w:val="Lbjegyzetszveg"/>
        <w:rPr>
          <w:rFonts w:asciiTheme="minorHAnsi" w:hAnsiTheme="minorHAnsi" w:cstheme="minorHAnsi"/>
          <w:sz w:val="18"/>
          <w:szCs w:val="18"/>
        </w:rPr>
      </w:pPr>
      <w:r w:rsidRPr="00AF4741">
        <w:rPr>
          <w:rStyle w:val="Lbjegyzet-hivatkozs"/>
          <w:rFonts w:asciiTheme="minorHAnsi" w:hAnsiTheme="minorHAnsi" w:cstheme="minorHAnsi"/>
          <w:sz w:val="18"/>
          <w:szCs w:val="18"/>
        </w:rPr>
        <w:footnoteRef/>
      </w:r>
      <w:r w:rsidRPr="00AF4741">
        <w:rPr>
          <w:rFonts w:asciiTheme="minorHAnsi" w:hAnsiTheme="minorHAnsi" w:cstheme="minorHAnsi"/>
          <w:sz w:val="18"/>
          <w:szCs w:val="18"/>
        </w:rPr>
        <w:t xml:space="preserve"> </w:t>
      </w:r>
      <w:r w:rsidR="009A3A3E" w:rsidRPr="00AF4741">
        <w:rPr>
          <w:rFonts w:asciiTheme="minorHAnsi" w:eastAsia="Times New Roman" w:hAnsiTheme="minorHAnsi" w:cstheme="minorHAnsi"/>
          <w:sz w:val="18"/>
          <w:szCs w:val="18"/>
          <w:lang w:eastAsia="en-GB"/>
        </w:rPr>
        <w:t>CCPR/C/HUN/CO/6</w:t>
      </w:r>
      <w:r w:rsidRPr="00AF4741">
        <w:rPr>
          <w:rFonts w:asciiTheme="minorHAnsi" w:eastAsia="Times New Roman" w:hAnsiTheme="minorHAnsi" w:cstheme="minorHAnsi"/>
          <w:sz w:val="18"/>
          <w:szCs w:val="18"/>
          <w:lang w:eastAsia="en-GB"/>
        </w:rPr>
        <w:t>, §§7–8.</w:t>
      </w:r>
    </w:p>
  </w:footnote>
  <w:footnote w:id="12">
    <w:p w14:paraId="3397FCEE" w14:textId="69D59790" w:rsidR="00885D98" w:rsidRPr="00AF4741" w:rsidRDefault="00885D98" w:rsidP="00AF4741">
      <w:pPr>
        <w:pStyle w:val="Lbjegyzetszveg"/>
        <w:rPr>
          <w:rFonts w:asciiTheme="minorHAnsi" w:hAnsiTheme="minorHAnsi" w:cstheme="minorHAnsi"/>
          <w:sz w:val="18"/>
          <w:szCs w:val="18"/>
        </w:rPr>
      </w:pPr>
      <w:r w:rsidRPr="00AF4741">
        <w:rPr>
          <w:rStyle w:val="Lbjegyzet-hivatkozs"/>
          <w:rFonts w:asciiTheme="minorHAnsi" w:hAnsiTheme="minorHAnsi" w:cstheme="minorHAnsi"/>
          <w:sz w:val="18"/>
          <w:szCs w:val="18"/>
        </w:rPr>
        <w:footnoteRef/>
      </w:r>
      <w:r w:rsidRPr="00AF4741">
        <w:rPr>
          <w:rFonts w:asciiTheme="minorHAnsi" w:hAnsiTheme="minorHAnsi" w:cstheme="minorHAnsi"/>
          <w:sz w:val="18"/>
          <w:szCs w:val="18"/>
        </w:rPr>
        <w:t xml:space="preserve"> For an overview, see: </w:t>
      </w:r>
      <w:r w:rsidR="009E3E9E" w:rsidRPr="00AF4741">
        <w:rPr>
          <w:rFonts w:asciiTheme="minorHAnsi" w:hAnsiTheme="minorHAnsi" w:cstheme="minorHAnsi"/>
          <w:sz w:val="18"/>
          <w:szCs w:val="18"/>
        </w:rPr>
        <w:t xml:space="preserve">Hungarian Helsinki Committee, </w:t>
      </w:r>
      <w:r w:rsidR="003F04A7" w:rsidRPr="00AF4741">
        <w:rPr>
          <w:rFonts w:asciiTheme="minorHAnsi" w:hAnsiTheme="minorHAnsi" w:cstheme="minorHAnsi"/>
          <w:i/>
          <w:iCs/>
          <w:sz w:val="18"/>
          <w:szCs w:val="18"/>
        </w:rPr>
        <w:t>Deficiencies of the Law-Making Process in Hungary</w:t>
      </w:r>
      <w:r w:rsidR="003F04A7" w:rsidRPr="00AF4741">
        <w:rPr>
          <w:rFonts w:asciiTheme="minorHAnsi" w:hAnsiTheme="minorHAnsi" w:cstheme="minorHAnsi"/>
          <w:sz w:val="18"/>
          <w:szCs w:val="18"/>
        </w:rPr>
        <w:t xml:space="preserve">, </w:t>
      </w:r>
      <w:r w:rsidR="009E3E9E" w:rsidRPr="00AF4741">
        <w:rPr>
          <w:rFonts w:asciiTheme="minorHAnsi" w:hAnsiTheme="minorHAnsi" w:cstheme="minorHAnsi"/>
          <w:sz w:val="18"/>
          <w:szCs w:val="18"/>
        </w:rPr>
        <w:t xml:space="preserve">2025, </w:t>
      </w:r>
      <w:hyperlink r:id="rId11" w:history="1">
        <w:r w:rsidR="009E3E9E" w:rsidRPr="00AF4741">
          <w:rPr>
            <w:rStyle w:val="Hiperhivatkozs"/>
            <w:rFonts w:asciiTheme="minorHAnsi" w:hAnsiTheme="minorHAnsi" w:cstheme="minorHAnsi"/>
            <w:sz w:val="18"/>
            <w:szCs w:val="18"/>
          </w:rPr>
          <w:t>https://helsinki.hu/en/wp-content/uploads/sites/2/2025/08/HHC_law-making_process_mapping_paper_2025.pdf</w:t>
        </w:r>
      </w:hyperlink>
      <w:r w:rsidR="009E3E9E" w:rsidRPr="00AF4741">
        <w:rPr>
          <w:rFonts w:asciiTheme="minorHAnsi" w:hAnsiTheme="minorHAnsi" w:cstheme="minorHAnsi"/>
          <w:b/>
          <w:bCs/>
          <w:sz w:val="18"/>
          <w:szCs w:val="18"/>
        </w:rPr>
        <w:t>.</w:t>
      </w:r>
    </w:p>
  </w:footnote>
  <w:footnote w:id="13">
    <w:p w14:paraId="6B60B427" w14:textId="18369125" w:rsidR="0086090C" w:rsidRPr="00AF4741" w:rsidRDefault="0086090C" w:rsidP="00AF4741">
      <w:pPr>
        <w:pStyle w:val="Lbjegyzetszveg"/>
        <w:rPr>
          <w:rFonts w:asciiTheme="minorHAnsi" w:hAnsiTheme="minorHAnsi" w:cstheme="minorHAnsi"/>
          <w:sz w:val="18"/>
          <w:szCs w:val="18"/>
        </w:rPr>
      </w:pPr>
      <w:r w:rsidRPr="00AF4741">
        <w:rPr>
          <w:rStyle w:val="Lbjegyzet-hivatkozs"/>
          <w:rFonts w:asciiTheme="minorHAnsi" w:hAnsiTheme="minorHAnsi" w:cstheme="minorHAnsi"/>
          <w:sz w:val="18"/>
          <w:szCs w:val="18"/>
        </w:rPr>
        <w:footnoteRef/>
      </w:r>
      <w:r w:rsidR="00372DBA" w:rsidRPr="00AF4741">
        <w:rPr>
          <w:rFonts w:asciiTheme="minorHAnsi" w:eastAsia="Times New Roman" w:hAnsiTheme="minorHAnsi" w:cstheme="minorHAnsi"/>
          <w:sz w:val="18"/>
          <w:szCs w:val="18"/>
          <w:lang w:eastAsia="en-GB"/>
        </w:rPr>
        <w:t xml:space="preserve"> </w:t>
      </w:r>
      <w:r w:rsidR="009A3A3E" w:rsidRPr="00AF4741">
        <w:rPr>
          <w:rFonts w:asciiTheme="minorHAnsi" w:eastAsia="Times New Roman" w:hAnsiTheme="minorHAnsi" w:cstheme="minorHAnsi"/>
          <w:sz w:val="18"/>
          <w:szCs w:val="18"/>
          <w:lang w:eastAsia="en-GB"/>
        </w:rPr>
        <w:t>CCPR/C/HUN/CO/6</w:t>
      </w:r>
      <w:r w:rsidRPr="00AF4741">
        <w:rPr>
          <w:rFonts w:asciiTheme="minorHAnsi" w:eastAsia="Times New Roman" w:hAnsiTheme="minorHAnsi" w:cstheme="minorHAnsi"/>
          <w:sz w:val="18"/>
          <w:szCs w:val="18"/>
          <w:lang w:eastAsia="en-GB"/>
        </w:rPr>
        <w:t>, §8.</w:t>
      </w:r>
    </w:p>
  </w:footnote>
  <w:footnote w:id="14">
    <w:p w14:paraId="0394F133" w14:textId="616A623C" w:rsidR="007B345C" w:rsidRPr="00AF4741" w:rsidRDefault="007B345C" w:rsidP="00AF4741">
      <w:pPr>
        <w:pStyle w:val="Lbjegyzetszveg"/>
        <w:rPr>
          <w:rFonts w:asciiTheme="minorHAnsi" w:hAnsiTheme="minorHAnsi" w:cstheme="minorHAnsi"/>
          <w:sz w:val="18"/>
          <w:szCs w:val="18"/>
        </w:rPr>
      </w:pPr>
      <w:r w:rsidRPr="00AF4741">
        <w:rPr>
          <w:rStyle w:val="Lbjegyzet-hivatkozs"/>
          <w:rFonts w:asciiTheme="minorHAnsi" w:hAnsiTheme="minorHAnsi" w:cstheme="minorHAnsi"/>
          <w:sz w:val="18"/>
          <w:szCs w:val="18"/>
        </w:rPr>
        <w:footnoteRef/>
      </w:r>
      <w:r w:rsidRPr="00AF4741">
        <w:rPr>
          <w:rFonts w:asciiTheme="minorHAnsi" w:hAnsiTheme="minorHAnsi" w:cstheme="minorHAnsi"/>
          <w:sz w:val="18"/>
          <w:szCs w:val="18"/>
        </w:rPr>
        <w:t xml:space="preserve"> For detail</w:t>
      </w:r>
      <w:r w:rsidR="00AC35E7" w:rsidRPr="00AF4741">
        <w:rPr>
          <w:rFonts w:asciiTheme="minorHAnsi" w:hAnsiTheme="minorHAnsi" w:cstheme="minorHAnsi"/>
          <w:sz w:val="18"/>
          <w:szCs w:val="18"/>
        </w:rPr>
        <w:t>s</w:t>
      </w:r>
      <w:r w:rsidRPr="00AF4741">
        <w:rPr>
          <w:rFonts w:asciiTheme="minorHAnsi" w:hAnsiTheme="minorHAnsi" w:cstheme="minorHAnsi"/>
          <w:sz w:val="18"/>
          <w:szCs w:val="18"/>
        </w:rPr>
        <w:t xml:space="preserve">, see: </w:t>
      </w:r>
      <w:r w:rsidRPr="00AF4741">
        <w:rPr>
          <w:rFonts w:asciiTheme="minorHAnsi" w:eastAsia="Corbel" w:hAnsiTheme="minorHAnsi" w:cstheme="minorHAnsi"/>
          <w:sz w:val="18"/>
          <w:szCs w:val="18"/>
        </w:rPr>
        <w:t xml:space="preserve">Amnesty International Hungary – Hungarian Helsinki Committee – K-Monitor – Transparency International Hungary, </w:t>
      </w:r>
      <w:r w:rsidRPr="00AF4741">
        <w:rPr>
          <w:rFonts w:asciiTheme="minorHAnsi" w:eastAsia="Corbel" w:hAnsiTheme="minorHAnsi" w:cstheme="minorHAnsi"/>
          <w:i/>
          <w:iCs/>
          <w:sz w:val="18"/>
          <w:szCs w:val="18"/>
        </w:rPr>
        <w:t>Assessment of Hungary’s compliance with conditions to access European Union funds</w:t>
      </w:r>
      <w:r w:rsidRPr="00AF4741">
        <w:rPr>
          <w:rFonts w:asciiTheme="minorHAnsi" w:eastAsia="Corbel" w:hAnsiTheme="minorHAnsi" w:cstheme="minorHAnsi"/>
          <w:sz w:val="18"/>
          <w:szCs w:val="18"/>
        </w:rPr>
        <w:t xml:space="preserve">, November 2025, </w:t>
      </w:r>
      <w:hyperlink r:id="rId12" w:history="1">
        <w:r w:rsidRPr="00AF4741">
          <w:rPr>
            <w:rStyle w:val="Hiperhivatkozs"/>
            <w:rFonts w:asciiTheme="minorHAnsi" w:eastAsia="Corbel" w:hAnsiTheme="minorHAnsi" w:cstheme="minorHAnsi"/>
            <w:sz w:val="18"/>
            <w:szCs w:val="18"/>
          </w:rPr>
          <w:t>https://helsinki.hu/en/wp-content/uploads/sites/2/2025/12/HU_EU_funds_assessment_2025.pdf</w:t>
        </w:r>
      </w:hyperlink>
      <w:r w:rsidRPr="00AF4741">
        <w:rPr>
          <w:rFonts w:asciiTheme="minorHAnsi" w:eastAsia="Corbel" w:hAnsiTheme="minorHAnsi" w:cstheme="minorHAnsi"/>
          <w:sz w:val="18"/>
          <w:szCs w:val="18"/>
        </w:rPr>
        <w:t>, pp. 45–57.</w:t>
      </w:r>
    </w:p>
  </w:footnote>
  <w:footnote w:id="15">
    <w:p w14:paraId="78CA7A88" w14:textId="1FBD08D0" w:rsidR="00703499" w:rsidRPr="00AF4741" w:rsidRDefault="00703499" w:rsidP="00AF4741">
      <w:pPr>
        <w:pStyle w:val="Lbjegyzetszveg"/>
        <w:rPr>
          <w:rFonts w:asciiTheme="minorHAnsi" w:hAnsiTheme="minorHAnsi" w:cstheme="minorHAnsi"/>
          <w:sz w:val="18"/>
          <w:szCs w:val="18"/>
        </w:rPr>
      </w:pPr>
      <w:r w:rsidRPr="00AF4741">
        <w:rPr>
          <w:rStyle w:val="Lbjegyzet-hivatkozs"/>
          <w:rFonts w:asciiTheme="minorHAnsi" w:hAnsiTheme="minorHAnsi" w:cstheme="minorHAnsi"/>
          <w:sz w:val="18"/>
          <w:szCs w:val="18"/>
        </w:rPr>
        <w:footnoteRef/>
      </w:r>
      <w:r w:rsidRPr="00AF4741">
        <w:rPr>
          <w:rFonts w:asciiTheme="minorHAnsi" w:hAnsiTheme="minorHAnsi" w:cstheme="minorHAnsi"/>
          <w:sz w:val="18"/>
          <w:szCs w:val="18"/>
        </w:rPr>
        <w:t xml:space="preserve"> </w:t>
      </w:r>
      <w:r w:rsidRPr="00AF4741">
        <w:rPr>
          <w:rFonts w:asciiTheme="minorHAnsi" w:hAnsiTheme="minorHAnsi" w:cstheme="minorHAnsi"/>
          <w:i/>
          <w:iCs/>
          <w:sz w:val="18"/>
          <w:szCs w:val="18"/>
        </w:rPr>
        <w:t>Baka v. Hungary</w:t>
      </w:r>
      <w:r w:rsidRPr="00AF4741">
        <w:rPr>
          <w:rFonts w:asciiTheme="minorHAnsi" w:hAnsiTheme="minorHAnsi" w:cstheme="minorHAnsi"/>
          <w:sz w:val="18"/>
          <w:szCs w:val="18"/>
        </w:rPr>
        <w:t xml:space="preserve"> (Application no. 20261/12, Judgment of 23 June 2016). </w:t>
      </w:r>
      <w:r w:rsidR="00E62907" w:rsidRPr="00AF4741">
        <w:rPr>
          <w:rFonts w:asciiTheme="minorHAnsi" w:hAnsiTheme="minorHAnsi" w:cstheme="minorHAnsi"/>
          <w:sz w:val="18"/>
          <w:szCs w:val="18"/>
        </w:rPr>
        <w:t xml:space="preserve">Cf. the </w:t>
      </w:r>
      <w:r w:rsidRPr="00AF4741">
        <w:rPr>
          <w:rFonts w:asciiTheme="minorHAnsi" w:hAnsiTheme="minorHAnsi" w:cstheme="minorHAnsi"/>
          <w:sz w:val="18"/>
          <w:szCs w:val="18"/>
        </w:rPr>
        <w:t xml:space="preserve">decision of the Committee of Ministers of the Council of Europe of March 2025: </w:t>
      </w:r>
      <w:hyperlink r:id="rId13" w:history="1">
        <w:r w:rsidRPr="00AF4741">
          <w:rPr>
            <w:rStyle w:val="Hiperhivatkozs"/>
            <w:rFonts w:asciiTheme="minorHAnsi" w:hAnsiTheme="minorHAnsi" w:cstheme="minorHAnsi"/>
            <w:sz w:val="18"/>
            <w:szCs w:val="18"/>
          </w:rPr>
          <w:t>CM/Del/Dec(2025)1521/H46-15</w:t>
        </w:r>
      </w:hyperlink>
      <w:r w:rsidRPr="00AF4741">
        <w:rPr>
          <w:rFonts w:asciiTheme="minorHAnsi" w:hAnsiTheme="minorHAnsi" w:cstheme="minorHAnsi"/>
          <w:sz w:val="18"/>
          <w:szCs w:val="18"/>
        </w:rPr>
        <w:t xml:space="preserve">. </w:t>
      </w:r>
    </w:p>
  </w:footnote>
  <w:footnote w:id="16">
    <w:p w14:paraId="3823FEF1" w14:textId="51EEC0AB" w:rsidR="009231D7" w:rsidRPr="00AF4741" w:rsidRDefault="009231D7" w:rsidP="00AF4741">
      <w:pPr>
        <w:pStyle w:val="Lbjegyzetszveg"/>
        <w:rPr>
          <w:rFonts w:asciiTheme="minorHAnsi" w:hAnsiTheme="minorHAnsi" w:cstheme="minorHAnsi"/>
          <w:sz w:val="18"/>
          <w:szCs w:val="18"/>
        </w:rPr>
      </w:pPr>
      <w:r w:rsidRPr="00AF4741">
        <w:rPr>
          <w:rStyle w:val="Lbjegyzet-hivatkozs"/>
          <w:rFonts w:asciiTheme="minorHAnsi" w:hAnsiTheme="minorHAnsi" w:cstheme="minorHAnsi"/>
          <w:sz w:val="18"/>
          <w:szCs w:val="18"/>
        </w:rPr>
        <w:footnoteRef/>
      </w:r>
      <w:r w:rsidRPr="00AF4741">
        <w:rPr>
          <w:rFonts w:asciiTheme="minorHAnsi" w:hAnsiTheme="minorHAnsi" w:cstheme="minorHAnsi"/>
          <w:sz w:val="18"/>
          <w:szCs w:val="18"/>
        </w:rPr>
        <w:t xml:space="preserve"> See e.g.: </w:t>
      </w:r>
      <w:hyperlink r:id="rId14" w:history="1">
        <w:r w:rsidRPr="00AF4741">
          <w:rPr>
            <w:rStyle w:val="Hiperhivatkozs"/>
            <w:rFonts w:asciiTheme="minorHAnsi" w:eastAsia="Corbel" w:hAnsiTheme="minorHAnsi" w:cstheme="minorHAnsi"/>
            <w:sz w:val="18"/>
            <w:szCs w:val="18"/>
          </w:rPr>
          <w:t>https://helsinki.hu/en/wp-content/uploads/sites/2/2025/12/HU_EU_funds_assessment_2025.pdf</w:t>
        </w:r>
      </w:hyperlink>
      <w:r w:rsidRPr="00AF4741">
        <w:rPr>
          <w:rFonts w:asciiTheme="minorHAnsi" w:eastAsia="Corbel" w:hAnsiTheme="minorHAnsi" w:cstheme="minorHAnsi"/>
          <w:sz w:val="18"/>
          <w:szCs w:val="18"/>
        </w:rPr>
        <w:t xml:space="preserve">, </w:t>
      </w:r>
      <w:r w:rsidR="0064098A" w:rsidRPr="00AF4741">
        <w:rPr>
          <w:rFonts w:asciiTheme="minorHAnsi" w:eastAsia="Corbel" w:hAnsiTheme="minorHAnsi" w:cstheme="minorHAnsi"/>
          <w:sz w:val="18"/>
          <w:szCs w:val="18"/>
        </w:rPr>
        <w:t>pp. 56–57.</w:t>
      </w:r>
    </w:p>
  </w:footnote>
  <w:footnote w:id="17">
    <w:p w14:paraId="7B17386F" w14:textId="006AFB35" w:rsidR="00F32348" w:rsidRPr="00AF4741" w:rsidRDefault="00F32348" w:rsidP="00AF4741">
      <w:pPr>
        <w:pStyle w:val="Lbjegyzetszveg"/>
        <w:rPr>
          <w:rFonts w:asciiTheme="minorHAnsi" w:hAnsiTheme="minorHAnsi" w:cstheme="minorHAnsi"/>
          <w:sz w:val="18"/>
          <w:szCs w:val="18"/>
        </w:rPr>
      </w:pPr>
      <w:r w:rsidRPr="00AF4741">
        <w:rPr>
          <w:rStyle w:val="Lbjegyzet-hivatkozs"/>
          <w:rFonts w:asciiTheme="minorHAnsi" w:hAnsiTheme="minorHAnsi" w:cstheme="minorHAnsi"/>
          <w:sz w:val="18"/>
          <w:szCs w:val="18"/>
        </w:rPr>
        <w:footnoteRef/>
      </w:r>
      <w:r w:rsidRPr="00AF4741">
        <w:rPr>
          <w:rFonts w:asciiTheme="minorHAnsi" w:hAnsiTheme="minorHAnsi" w:cstheme="minorHAnsi"/>
          <w:sz w:val="18"/>
          <w:szCs w:val="18"/>
        </w:rPr>
        <w:t xml:space="preserve"> </w:t>
      </w:r>
      <w:r w:rsidRPr="00AF4741">
        <w:rPr>
          <w:rFonts w:asciiTheme="minorHAnsi" w:eastAsia="Times New Roman" w:hAnsiTheme="minorHAnsi" w:cstheme="minorHAnsi"/>
          <w:sz w:val="18"/>
          <w:szCs w:val="18"/>
          <w:lang w:eastAsia="en-GB"/>
        </w:rPr>
        <w:t>CCPR/C/HUN/CO/6, §</w:t>
      </w:r>
      <w:r w:rsidR="005F7832" w:rsidRPr="00AF4741">
        <w:rPr>
          <w:rFonts w:asciiTheme="minorHAnsi" w:eastAsia="Times New Roman" w:hAnsiTheme="minorHAnsi" w:cstheme="minorHAnsi"/>
          <w:sz w:val="18"/>
          <w:szCs w:val="18"/>
          <w:lang w:eastAsia="en-GB"/>
        </w:rPr>
        <w:t>12.</w:t>
      </w:r>
    </w:p>
  </w:footnote>
  <w:footnote w:id="18">
    <w:p w14:paraId="1229FB14" w14:textId="0412453D" w:rsidR="00154955" w:rsidRPr="00AF4741" w:rsidRDefault="00154955" w:rsidP="00AF4741">
      <w:pPr>
        <w:pStyle w:val="Lbjegyzetszveg"/>
        <w:rPr>
          <w:rFonts w:asciiTheme="minorHAnsi" w:hAnsiTheme="minorHAnsi" w:cstheme="minorHAnsi"/>
          <w:sz w:val="18"/>
          <w:szCs w:val="18"/>
        </w:rPr>
      </w:pPr>
      <w:r w:rsidRPr="00AF4741">
        <w:rPr>
          <w:rStyle w:val="Lbjegyzet-hivatkozs"/>
          <w:rFonts w:asciiTheme="minorHAnsi" w:hAnsiTheme="minorHAnsi" w:cstheme="minorHAnsi"/>
          <w:sz w:val="18"/>
          <w:szCs w:val="18"/>
        </w:rPr>
        <w:footnoteRef/>
      </w:r>
      <w:r w:rsidRPr="00AF4741">
        <w:rPr>
          <w:rFonts w:asciiTheme="minorHAnsi" w:hAnsiTheme="minorHAnsi" w:cstheme="minorHAnsi"/>
          <w:sz w:val="18"/>
          <w:szCs w:val="18"/>
        </w:rPr>
        <w:t xml:space="preserve"> </w:t>
      </w:r>
      <w:r w:rsidRPr="00AF4741">
        <w:rPr>
          <w:rFonts w:asciiTheme="minorHAnsi" w:eastAsia="Corbel" w:hAnsiTheme="minorHAnsi" w:cstheme="minorHAnsi"/>
          <w:sz w:val="18"/>
          <w:szCs w:val="18"/>
        </w:rPr>
        <w:t xml:space="preserve">Global Alliance of National Human Rights Institutions (GANHRI), </w:t>
      </w:r>
      <w:r w:rsidRPr="00AF4741">
        <w:rPr>
          <w:rFonts w:asciiTheme="minorHAnsi" w:eastAsia="Corbel" w:hAnsiTheme="minorHAnsi" w:cstheme="minorHAnsi"/>
          <w:i/>
          <w:sz w:val="18"/>
          <w:szCs w:val="18"/>
        </w:rPr>
        <w:t xml:space="preserve">Report and Recommendations of the Virtual Session of the Sub-Committee on Accreditation (SCA), </w:t>
      </w:r>
      <w:r w:rsidRPr="00AF4741">
        <w:rPr>
          <w:rFonts w:asciiTheme="minorHAnsi" w:eastAsia="Corbel" w:hAnsiTheme="minorHAnsi" w:cstheme="minorHAnsi"/>
          <w:sz w:val="18"/>
          <w:szCs w:val="18"/>
        </w:rPr>
        <w:t>14-25 March 2022,</w:t>
      </w:r>
      <w:hyperlink r:id="rId15">
        <w:r w:rsidRPr="00AF4741">
          <w:rPr>
            <w:rFonts w:asciiTheme="minorHAnsi" w:eastAsia="Corbel" w:hAnsiTheme="minorHAnsi" w:cstheme="minorHAnsi"/>
            <w:color w:val="1155CC"/>
            <w:sz w:val="18"/>
            <w:szCs w:val="18"/>
          </w:rPr>
          <w:t xml:space="preserve"> </w:t>
        </w:r>
      </w:hyperlink>
      <w:hyperlink r:id="rId16">
        <w:r w:rsidRPr="00AF4741">
          <w:rPr>
            <w:rFonts w:asciiTheme="minorHAnsi" w:eastAsia="Corbel" w:hAnsiTheme="minorHAnsi" w:cstheme="minorHAnsi"/>
            <w:color w:val="0070C0"/>
            <w:sz w:val="18"/>
            <w:szCs w:val="18"/>
            <w:u w:val="single"/>
          </w:rPr>
          <w:t>https://www.ohchr.org/sites/default/files/2022-04/SCA-Report-March-2022_E.pdf</w:t>
        </w:r>
      </w:hyperlink>
      <w:r w:rsidRPr="00AF4741">
        <w:rPr>
          <w:rFonts w:asciiTheme="minorHAnsi" w:eastAsia="Corbel" w:hAnsiTheme="minorHAnsi" w:cstheme="minorHAnsi"/>
          <w:sz w:val="18"/>
          <w:szCs w:val="18"/>
        </w:rPr>
        <w:t>, pp. 43</w:t>
      </w:r>
      <w:r w:rsidR="007B1E6C" w:rsidRPr="00AF4741">
        <w:rPr>
          <w:rFonts w:asciiTheme="minorHAnsi" w:eastAsia="Corbel" w:hAnsiTheme="minorHAnsi" w:cstheme="minorHAnsi"/>
          <w:sz w:val="18"/>
          <w:szCs w:val="18"/>
        </w:rPr>
        <w:t>–</w:t>
      </w:r>
      <w:r w:rsidRPr="00AF4741">
        <w:rPr>
          <w:rFonts w:asciiTheme="minorHAnsi" w:eastAsia="Corbel" w:hAnsiTheme="minorHAnsi" w:cstheme="minorHAnsi"/>
          <w:sz w:val="18"/>
          <w:szCs w:val="18"/>
        </w:rPr>
        <w:t>47.</w:t>
      </w:r>
    </w:p>
  </w:footnote>
  <w:footnote w:id="19">
    <w:p w14:paraId="5F228873" w14:textId="30C62E83" w:rsidR="00650293" w:rsidRPr="00AF4741" w:rsidRDefault="00650293" w:rsidP="00AF4741">
      <w:pPr>
        <w:rPr>
          <w:rFonts w:asciiTheme="minorHAnsi" w:eastAsia="Corbel" w:hAnsiTheme="minorHAnsi" w:cstheme="minorHAnsi"/>
          <w:sz w:val="18"/>
          <w:szCs w:val="18"/>
        </w:rPr>
      </w:pPr>
      <w:r w:rsidRPr="00AF4741">
        <w:rPr>
          <w:rStyle w:val="Lbjegyzet-hivatkozs"/>
          <w:rFonts w:asciiTheme="minorHAnsi" w:hAnsiTheme="minorHAnsi" w:cstheme="minorHAnsi"/>
          <w:sz w:val="18"/>
          <w:szCs w:val="18"/>
        </w:rPr>
        <w:footnoteRef/>
      </w:r>
      <w:r w:rsidRPr="00AF4741">
        <w:rPr>
          <w:rFonts w:asciiTheme="minorHAnsi" w:hAnsiTheme="minorHAnsi" w:cstheme="minorHAnsi"/>
          <w:sz w:val="18"/>
          <w:szCs w:val="18"/>
        </w:rPr>
        <w:t xml:space="preserve"> For </w:t>
      </w:r>
      <w:r w:rsidR="00682301" w:rsidRPr="00AF4741">
        <w:rPr>
          <w:rFonts w:asciiTheme="minorHAnsi" w:hAnsiTheme="minorHAnsi" w:cstheme="minorHAnsi"/>
          <w:sz w:val="18"/>
          <w:szCs w:val="18"/>
        </w:rPr>
        <w:t>details</w:t>
      </w:r>
      <w:r w:rsidRPr="00AF4741">
        <w:rPr>
          <w:rFonts w:asciiTheme="minorHAnsi" w:hAnsiTheme="minorHAnsi" w:cstheme="minorHAnsi"/>
          <w:sz w:val="18"/>
          <w:szCs w:val="18"/>
        </w:rPr>
        <w:t>, see</w:t>
      </w:r>
      <w:r w:rsidR="001C53DF" w:rsidRPr="00AF4741">
        <w:rPr>
          <w:rFonts w:asciiTheme="minorHAnsi" w:hAnsiTheme="minorHAnsi" w:cstheme="minorHAnsi"/>
          <w:sz w:val="18"/>
          <w:szCs w:val="18"/>
        </w:rPr>
        <w:t xml:space="preserve"> th</w:t>
      </w:r>
      <w:r w:rsidR="00682301" w:rsidRPr="00AF4741">
        <w:rPr>
          <w:rFonts w:asciiTheme="minorHAnsi" w:hAnsiTheme="minorHAnsi" w:cstheme="minorHAnsi"/>
          <w:sz w:val="18"/>
          <w:szCs w:val="18"/>
        </w:rPr>
        <w:t>is</w:t>
      </w:r>
      <w:r w:rsidR="001C53DF" w:rsidRPr="00AF4741">
        <w:rPr>
          <w:rFonts w:asciiTheme="minorHAnsi" w:hAnsiTheme="minorHAnsi" w:cstheme="minorHAnsi"/>
          <w:sz w:val="18"/>
          <w:szCs w:val="18"/>
        </w:rPr>
        <w:t xml:space="preserve"> paper by Hungarian CSOs: </w:t>
      </w:r>
      <w:r w:rsidR="001C53DF" w:rsidRPr="00AF4741">
        <w:rPr>
          <w:rFonts w:asciiTheme="minorHAnsi" w:eastAsia="Corbel" w:hAnsiTheme="minorHAnsi" w:cstheme="minorHAnsi"/>
          <w:i/>
          <w:sz w:val="18"/>
          <w:szCs w:val="18"/>
        </w:rPr>
        <w:t xml:space="preserve">Persisting Failure to Step Up for Human Rights – Background Paper on Hungary’s National Human Rights Institution, </w:t>
      </w:r>
      <w:r w:rsidR="001C53DF" w:rsidRPr="00AF4741">
        <w:rPr>
          <w:rFonts w:asciiTheme="minorHAnsi" w:eastAsia="Corbel" w:hAnsiTheme="minorHAnsi" w:cstheme="minorHAnsi"/>
          <w:sz w:val="18"/>
          <w:szCs w:val="18"/>
        </w:rPr>
        <w:t xml:space="preserve">17 June 2025, </w:t>
      </w:r>
      <w:hyperlink r:id="rId17" w:history="1">
        <w:r w:rsidR="001C53DF" w:rsidRPr="00AF4741">
          <w:rPr>
            <w:rStyle w:val="Hiperhivatkozs"/>
            <w:rFonts w:asciiTheme="minorHAnsi" w:eastAsia="Corbel" w:hAnsiTheme="minorHAnsi" w:cstheme="minorHAnsi"/>
            <w:sz w:val="18"/>
            <w:szCs w:val="18"/>
          </w:rPr>
          <w:t>https://helsinki.hu/en/wp-content/uploads/sites/2/2025/06/HU_NHRI_assessment_June2025.pdf</w:t>
        </w:r>
      </w:hyperlink>
      <w:r w:rsidR="001C53DF" w:rsidRPr="00AF4741">
        <w:rPr>
          <w:rFonts w:asciiTheme="minorHAnsi" w:eastAsia="Corbel" w:hAnsiTheme="minorHAnsi" w:cstheme="minorHAnsi"/>
          <w:sz w:val="18"/>
          <w:szCs w:val="18"/>
        </w:rPr>
        <w:t>.</w:t>
      </w:r>
    </w:p>
  </w:footnote>
  <w:footnote w:id="20">
    <w:p w14:paraId="45A919BB" w14:textId="5554154E" w:rsidR="00DB3838" w:rsidRPr="00AF4741" w:rsidRDefault="00DB3838" w:rsidP="00AF4741">
      <w:pPr>
        <w:pStyle w:val="Lbjegyzetszveg"/>
        <w:rPr>
          <w:rFonts w:asciiTheme="minorHAnsi" w:hAnsiTheme="minorHAnsi" w:cstheme="minorHAnsi"/>
          <w:sz w:val="18"/>
          <w:szCs w:val="18"/>
        </w:rPr>
      </w:pPr>
      <w:r w:rsidRPr="00AF4741">
        <w:rPr>
          <w:rFonts w:asciiTheme="minorHAnsi" w:hAnsiTheme="minorHAnsi" w:cstheme="minorHAnsi"/>
          <w:sz w:val="18"/>
          <w:szCs w:val="18"/>
          <w:vertAlign w:val="superscript"/>
        </w:rPr>
        <w:footnoteRef/>
      </w:r>
      <w:r w:rsidRPr="00AF4741">
        <w:rPr>
          <w:rFonts w:asciiTheme="minorHAnsi" w:eastAsia="Corbel" w:hAnsiTheme="minorHAnsi" w:cstheme="minorHAnsi"/>
          <w:sz w:val="18"/>
          <w:szCs w:val="18"/>
        </w:rPr>
        <w:t xml:space="preserve"> </w:t>
      </w:r>
      <w:r w:rsidR="001C53DF" w:rsidRPr="00AF4741">
        <w:rPr>
          <w:rFonts w:asciiTheme="minorHAnsi" w:eastAsia="Corbel" w:hAnsiTheme="minorHAnsi" w:cstheme="minorHAnsi"/>
          <w:sz w:val="18"/>
          <w:szCs w:val="18"/>
        </w:rPr>
        <w:t xml:space="preserve">For details, see: </w:t>
      </w:r>
      <w:proofErr w:type="spellStart"/>
      <w:r w:rsidRPr="00AF4741">
        <w:rPr>
          <w:rFonts w:asciiTheme="minorHAnsi" w:eastAsia="Corbel" w:hAnsiTheme="minorHAnsi" w:cstheme="minorHAnsi"/>
          <w:sz w:val="18"/>
          <w:szCs w:val="18"/>
        </w:rPr>
        <w:t>Háttér</w:t>
      </w:r>
      <w:proofErr w:type="spellEnd"/>
      <w:r w:rsidRPr="00AF4741">
        <w:rPr>
          <w:rFonts w:asciiTheme="minorHAnsi" w:eastAsia="Corbel" w:hAnsiTheme="minorHAnsi" w:cstheme="minorHAnsi"/>
          <w:sz w:val="18"/>
          <w:szCs w:val="18"/>
        </w:rPr>
        <w:t xml:space="preserve"> Society – Hungarian Helsinki Committee, </w:t>
      </w:r>
      <w:r w:rsidRPr="00AF4741">
        <w:rPr>
          <w:rFonts w:asciiTheme="minorHAnsi" w:eastAsia="Corbel" w:hAnsiTheme="minorHAnsi" w:cstheme="minorHAnsi"/>
          <w:i/>
          <w:sz w:val="18"/>
          <w:szCs w:val="18"/>
        </w:rPr>
        <w:t>The last piece of the puzzle? – Assessing the performance of Hungary’s national human rights institution</w:t>
      </w:r>
      <w:r w:rsidRPr="00AF4741">
        <w:rPr>
          <w:rFonts w:asciiTheme="minorHAnsi" w:eastAsia="Corbel" w:hAnsiTheme="minorHAnsi" w:cstheme="minorHAnsi"/>
          <w:sz w:val="18"/>
          <w:szCs w:val="18"/>
        </w:rPr>
        <w:t>, 2024,</w:t>
      </w:r>
      <w:hyperlink r:id="rId18">
        <w:r w:rsidRPr="00AF4741">
          <w:rPr>
            <w:rFonts w:asciiTheme="minorHAnsi" w:eastAsia="Corbel" w:hAnsiTheme="minorHAnsi" w:cstheme="minorHAnsi"/>
            <w:sz w:val="18"/>
            <w:szCs w:val="18"/>
          </w:rPr>
          <w:t xml:space="preserve"> </w:t>
        </w:r>
      </w:hyperlink>
      <w:hyperlink r:id="rId19" w:history="1">
        <w:r w:rsidR="00035228" w:rsidRPr="00AF4741">
          <w:rPr>
            <w:rStyle w:val="Hiperhivatkozs"/>
            <w:rFonts w:asciiTheme="minorHAnsi" w:eastAsia="Corbel" w:hAnsiTheme="minorHAnsi" w:cstheme="minorHAnsi"/>
            <w:sz w:val="18"/>
            <w:szCs w:val="18"/>
          </w:rPr>
          <w:t>https://helsinki.hu/en/wp-content/uploads/sites/2/2024/12/HHC_Assessment_of_Hungarian_NHRI_2024.pdf</w:t>
        </w:r>
      </w:hyperlink>
      <w:r w:rsidR="007C16A2" w:rsidRPr="00AF4741">
        <w:rPr>
          <w:rFonts w:asciiTheme="minorHAnsi" w:hAnsiTheme="minorHAnsi" w:cstheme="minorHAnsi"/>
          <w:sz w:val="18"/>
          <w:szCs w:val="18"/>
        </w:rPr>
        <w:t>,</w:t>
      </w:r>
      <w:r w:rsidR="007C16A2" w:rsidRPr="00AF4741">
        <w:rPr>
          <w:rFonts w:asciiTheme="minorHAnsi" w:eastAsia="Corbel" w:hAnsiTheme="minorHAnsi" w:cstheme="minorHAnsi"/>
          <w:sz w:val="18"/>
          <w:szCs w:val="18"/>
        </w:rPr>
        <w:t xml:space="preserve"> </w:t>
      </w:r>
      <w:hyperlink r:id="rId20" w:history="1">
        <w:r w:rsidR="007C16A2" w:rsidRPr="00AF4741">
          <w:rPr>
            <w:rStyle w:val="Hiperhivatkozs"/>
            <w:rFonts w:asciiTheme="minorHAnsi" w:eastAsia="Corbel" w:hAnsiTheme="minorHAnsi" w:cstheme="minorHAnsi"/>
            <w:sz w:val="18"/>
            <w:szCs w:val="18"/>
          </w:rPr>
          <w:t>https://helsinki.hu/en/wp-content/uploads/sites/2/2025/01/HHC_Assessment_of_Hungarian_NHRI_summary_2024.pdf</w:t>
        </w:r>
      </w:hyperlink>
      <w:r w:rsidR="001C53DF" w:rsidRPr="00AF4741">
        <w:rPr>
          <w:rFonts w:asciiTheme="minorHAnsi" w:eastAsia="Corbel" w:hAnsiTheme="minorHAnsi" w:cstheme="minorHAnsi"/>
          <w:sz w:val="18"/>
          <w:szCs w:val="18"/>
        </w:rPr>
        <w:t>.</w:t>
      </w:r>
    </w:p>
  </w:footnote>
  <w:footnote w:id="21">
    <w:p w14:paraId="1BE50630" w14:textId="248DEFF6" w:rsidR="00035228" w:rsidRPr="00AF4741" w:rsidRDefault="00035228" w:rsidP="6BAC57F3">
      <w:pPr>
        <w:pStyle w:val="Lbjegyzetszveg"/>
        <w:rPr>
          <w:rFonts w:asciiTheme="minorHAnsi" w:hAnsiTheme="minorHAnsi" w:cstheme="minorBidi"/>
          <w:sz w:val="18"/>
          <w:szCs w:val="18"/>
        </w:rPr>
      </w:pPr>
      <w:r w:rsidRPr="6BAC57F3">
        <w:rPr>
          <w:rStyle w:val="Lbjegyzet-hivatkozs"/>
          <w:rFonts w:asciiTheme="minorHAnsi" w:hAnsiTheme="minorHAnsi" w:cstheme="minorBidi"/>
          <w:sz w:val="18"/>
          <w:szCs w:val="18"/>
        </w:rPr>
        <w:footnoteRef/>
      </w:r>
      <w:r w:rsidR="6BAC57F3" w:rsidRPr="6BAC57F3">
        <w:rPr>
          <w:rFonts w:asciiTheme="minorHAnsi" w:hAnsiTheme="minorHAnsi" w:cstheme="minorBidi"/>
          <w:sz w:val="18"/>
          <w:szCs w:val="18"/>
        </w:rPr>
        <w:t xml:space="preserve"> </w:t>
      </w:r>
      <w:hyperlink r:id="rId21" w:history="1">
        <w:r w:rsidR="6BAC57F3" w:rsidRPr="6BAC57F3">
          <w:rPr>
            <w:rStyle w:val="Hiperhivatkozs"/>
            <w:rFonts w:asciiTheme="minorHAnsi" w:hAnsiTheme="minorHAnsi" w:cstheme="minorBidi"/>
            <w:sz w:val="18"/>
            <w:szCs w:val="18"/>
          </w:rPr>
          <w:t>https://helsinki.hu/en/hungarys-new-commissioner-for-fundamental-rights-should-be-selected-in-a-transparent-and-merit-based-procedure/</w:t>
        </w:r>
      </w:hyperlink>
      <w:r w:rsidRPr="6BAC57F3">
        <w:rPr>
          <w:rFonts w:asciiTheme="minorHAnsi" w:hAnsiTheme="minorHAnsi" w:cstheme="minorBidi"/>
          <w:sz w:val="18"/>
          <w:szCs w:val="18"/>
        </w:rPr>
        <w:t xml:space="preserve"> </w:t>
      </w:r>
    </w:p>
  </w:footnote>
  <w:footnote w:id="22">
    <w:p w14:paraId="4D9ADC86" w14:textId="77777777" w:rsidR="0096012A" w:rsidRPr="00AF4741" w:rsidRDefault="0096012A" w:rsidP="00AF4741">
      <w:pPr>
        <w:pStyle w:val="Lbjegyzetszveg"/>
        <w:rPr>
          <w:rFonts w:asciiTheme="minorHAnsi" w:hAnsiTheme="minorHAnsi" w:cstheme="minorHAnsi"/>
          <w:sz w:val="18"/>
          <w:szCs w:val="18"/>
        </w:rPr>
      </w:pPr>
      <w:r w:rsidRPr="00AF4741">
        <w:rPr>
          <w:rStyle w:val="Lbjegyzet-hivatkozs"/>
          <w:rFonts w:asciiTheme="minorHAnsi" w:hAnsiTheme="minorHAnsi" w:cstheme="minorHAnsi"/>
          <w:sz w:val="18"/>
          <w:szCs w:val="18"/>
        </w:rPr>
        <w:footnoteRef/>
      </w:r>
      <w:r w:rsidRPr="00AF4741">
        <w:rPr>
          <w:rFonts w:asciiTheme="minorHAnsi" w:hAnsiTheme="minorHAnsi" w:cstheme="minorHAnsi"/>
          <w:sz w:val="18"/>
          <w:szCs w:val="18"/>
        </w:rPr>
        <w:t xml:space="preserve"> See: </w:t>
      </w:r>
      <w:hyperlink r:id="rId22" w:history="1">
        <w:r w:rsidRPr="00AF4741">
          <w:rPr>
            <w:rStyle w:val="Hiperhivatkozs"/>
            <w:rFonts w:asciiTheme="minorHAnsi" w:hAnsiTheme="minorHAnsi" w:cstheme="minorHAnsi"/>
            <w:sz w:val="18"/>
            <w:szCs w:val="18"/>
          </w:rPr>
          <w:t>https://www.einnetwork.org/countries-overview</w:t>
        </w:r>
      </w:hyperlink>
      <w:r w:rsidRPr="00AF4741">
        <w:rPr>
          <w:rFonts w:asciiTheme="minorHAnsi" w:hAnsiTheme="minorHAnsi" w:cstheme="minorHAnsi"/>
          <w:sz w:val="18"/>
          <w:szCs w:val="18"/>
        </w:rPr>
        <w:t xml:space="preserve">. </w:t>
      </w:r>
    </w:p>
  </w:footnote>
  <w:footnote w:id="23">
    <w:p w14:paraId="490AD486" w14:textId="33A133E2" w:rsidR="0096012A" w:rsidRPr="00AF4741" w:rsidRDefault="0096012A" w:rsidP="00AF4741">
      <w:pPr>
        <w:rPr>
          <w:rFonts w:asciiTheme="minorHAnsi" w:hAnsiTheme="minorHAnsi" w:cstheme="minorHAnsi"/>
          <w:sz w:val="18"/>
          <w:szCs w:val="18"/>
          <w:vertAlign w:val="superscript"/>
        </w:rPr>
      </w:pPr>
      <w:r w:rsidRPr="00AF4741">
        <w:rPr>
          <w:rFonts w:asciiTheme="minorHAnsi" w:hAnsiTheme="minorHAnsi" w:cstheme="minorHAnsi"/>
          <w:sz w:val="18"/>
          <w:szCs w:val="18"/>
          <w:vertAlign w:val="superscript"/>
        </w:rPr>
        <w:footnoteRef/>
      </w:r>
      <w:r w:rsidRPr="00AF4741">
        <w:rPr>
          <w:rFonts w:asciiTheme="minorHAnsi" w:hAnsiTheme="minorHAnsi" w:cstheme="minorHAnsi"/>
          <w:sz w:val="18"/>
          <w:szCs w:val="18"/>
          <w:vertAlign w:val="superscript"/>
        </w:rPr>
        <w:t xml:space="preserve"> </w:t>
      </w:r>
      <w:r w:rsidRPr="00AF4741">
        <w:rPr>
          <w:rFonts w:asciiTheme="minorHAnsi" w:hAnsiTheme="minorHAnsi" w:cstheme="minorHAnsi"/>
          <w:sz w:val="18"/>
          <w:szCs w:val="18"/>
        </w:rPr>
        <w:t>For detail</w:t>
      </w:r>
      <w:r w:rsidR="007C16A2" w:rsidRPr="00AF4741">
        <w:rPr>
          <w:rFonts w:asciiTheme="minorHAnsi" w:hAnsiTheme="minorHAnsi" w:cstheme="minorHAnsi"/>
          <w:sz w:val="18"/>
          <w:szCs w:val="18"/>
        </w:rPr>
        <w:t>s</w:t>
      </w:r>
      <w:r w:rsidRPr="00AF4741">
        <w:rPr>
          <w:rFonts w:asciiTheme="minorHAnsi" w:hAnsiTheme="minorHAnsi" w:cstheme="minorHAnsi"/>
          <w:sz w:val="18"/>
          <w:szCs w:val="18"/>
        </w:rPr>
        <w:t xml:space="preserve">, see: Hungarian Helsinki Committee, </w:t>
      </w:r>
      <w:r w:rsidRPr="00AF4741">
        <w:rPr>
          <w:rFonts w:asciiTheme="minorHAnsi" w:hAnsiTheme="minorHAnsi" w:cstheme="minorHAnsi"/>
          <w:i/>
          <w:sz w:val="18"/>
          <w:szCs w:val="18"/>
        </w:rPr>
        <w:t xml:space="preserve">Non-Execution of Domestic and International Court Judgments in Hungary, </w:t>
      </w:r>
      <w:r w:rsidRPr="00AF4741">
        <w:rPr>
          <w:rFonts w:asciiTheme="minorHAnsi" w:hAnsiTheme="minorHAnsi" w:cstheme="minorHAnsi"/>
          <w:sz w:val="18"/>
          <w:szCs w:val="18"/>
        </w:rPr>
        <w:t>December 2021,</w:t>
      </w:r>
      <w:hyperlink r:id="rId23" w:history="1">
        <w:r w:rsidRPr="00AF4741">
          <w:rPr>
            <w:rStyle w:val="Hiperhivatkozs"/>
            <w:rFonts w:asciiTheme="minorHAnsi" w:hAnsiTheme="minorHAnsi" w:cstheme="minorHAnsi"/>
            <w:sz w:val="18"/>
            <w:szCs w:val="18"/>
          </w:rPr>
          <w:t xml:space="preserve"> </w:t>
        </w:r>
      </w:hyperlink>
      <w:hyperlink r:id="rId24" w:history="1">
        <w:r w:rsidRPr="00AF4741">
          <w:rPr>
            <w:rStyle w:val="Hiperhivatkozs"/>
            <w:rFonts w:asciiTheme="minorHAnsi" w:hAnsiTheme="minorHAnsi" w:cstheme="minorHAnsi"/>
            <w:sz w:val="18"/>
            <w:szCs w:val="18"/>
          </w:rPr>
          <w:t>https://helsinki.hu/en/wp-content/uploads/sites/2/2021/12/HHC_Non-Execution_of_Court_Judgments_2021.pdf</w:t>
        </w:r>
      </w:hyperlink>
      <w:r w:rsidRPr="00AF4741">
        <w:rPr>
          <w:rFonts w:asciiTheme="minorHAnsi" w:hAnsiTheme="minorHAnsi" w:cstheme="minorHAnsi"/>
          <w:sz w:val="18"/>
          <w:szCs w:val="18"/>
        </w:rPr>
        <w:t>, pp. 50</w:t>
      </w:r>
      <w:r w:rsidR="00265496" w:rsidRPr="00AF4741">
        <w:rPr>
          <w:rFonts w:asciiTheme="minorHAnsi" w:hAnsiTheme="minorHAnsi" w:cstheme="minorHAnsi"/>
          <w:sz w:val="18"/>
          <w:szCs w:val="18"/>
        </w:rPr>
        <w:t>–</w:t>
      </w:r>
      <w:r w:rsidRPr="00AF4741">
        <w:rPr>
          <w:rFonts w:asciiTheme="minorHAnsi" w:hAnsiTheme="minorHAnsi" w:cstheme="minorHAnsi"/>
          <w:sz w:val="18"/>
          <w:szCs w:val="18"/>
        </w:rPr>
        <w:t>54.</w:t>
      </w:r>
    </w:p>
  </w:footnote>
  <w:footnote w:id="24">
    <w:p w14:paraId="00192201" w14:textId="3B987D1F" w:rsidR="0024155C" w:rsidRPr="00AF4741" w:rsidRDefault="0096012A" w:rsidP="6BAC57F3">
      <w:pPr>
        <w:pStyle w:val="Lbjegyzetszveg"/>
        <w:rPr>
          <w:rFonts w:asciiTheme="minorHAnsi" w:hAnsiTheme="minorHAnsi" w:cstheme="minorBidi"/>
          <w:sz w:val="18"/>
          <w:szCs w:val="18"/>
        </w:rPr>
      </w:pPr>
      <w:r w:rsidRPr="6BAC57F3">
        <w:rPr>
          <w:rStyle w:val="Lbjegyzet-hivatkozs"/>
          <w:rFonts w:asciiTheme="minorHAnsi" w:hAnsiTheme="minorHAnsi" w:cstheme="minorBidi"/>
          <w:sz w:val="18"/>
          <w:szCs w:val="18"/>
        </w:rPr>
        <w:footnoteRef/>
      </w:r>
      <w:r w:rsidR="6BAC57F3" w:rsidRPr="6BAC57F3">
        <w:rPr>
          <w:rFonts w:asciiTheme="minorHAnsi" w:hAnsiTheme="minorHAnsi" w:cstheme="minorBidi"/>
          <w:sz w:val="18"/>
          <w:szCs w:val="18"/>
        </w:rPr>
        <w:t xml:space="preserve"> Democracy Reporting International – European Implementation Network, </w:t>
      </w:r>
      <w:r w:rsidR="6BAC57F3" w:rsidRPr="6BAC57F3">
        <w:rPr>
          <w:rFonts w:asciiTheme="minorHAnsi" w:hAnsiTheme="minorHAnsi" w:cstheme="minorBidi"/>
          <w:i/>
          <w:iCs/>
          <w:sz w:val="18"/>
          <w:szCs w:val="18"/>
        </w:rPr>
        <w:t>Justice Delayed and Justice Denied. Non-Implementation of European Courts Judgments and the Rule of Law</w:t>
      </w:r>
      <w:r w:rsidR="6BAC57F3" w:rsidRPr="6BAC57F3">
        <w:rPr>
          <w:rFonts w:asciiTheme="minorHAnsi" w:hAnsiTheme="minorHAnsi" w:cstheme="minorBidi"/>
          <w:sz w:val="18"/>
          <w:szCs w:val="18"/>
        </w:rPr>
        <w:t xml:space="preserve">, 2025, </w:t>
      </w:r>
      <w:hyperlink r:id="rId25" w:history="1">
        <w:r w:rsidR="6BAC57F3" w:rsidRPr="6BAC57F3">
          <w:rPr>
            <w:rStyle w:val="Hiperhivatkozs"/>
            <w:rFonts w:asciiTheme="minorHAnsi" w:hAnsiTheme="minorHAnsi" w:cstheme="minorBidi"/>
            <w:sz w:val="18"/>
            <w:szCs w:val="18"/>
          </w:rPr>
          <w:t>https://www.einnetwork.org/justice-delayed-justice-denied</w:t>
        </w:r>
      </w:hyperlink>
    </w:p>
  </w:footnote>
  <w:footnote w:id="25">
    <w:p w14:paraId="64FEE623" w14:textId="77777777" w:rsidR="00041D14" w:rsidRPr="00AF4741" w:rsidRDefault="00041D14" w:rsidP="00AF4741">
      <w:pPr>
        <w:pStyle w:val="Lbjegyzetszveg"/>
        <w:rPr>
          <w:rFonts w:asciiTheme="minorHAnsi" w:hAnsiTheme="minorHAnsi" w:cstheme="minorHAnsi"/>
          <w:sz w:val="18"/>
          <w:szCs w:val="18"/>
        </w:rPr>
      </w:pPr>
      <w:r w:rsidRPr="00AF4741">
        <w:rPr>
          <w:rStyle w:val="Lbjegyzet-hivatkozs"/>
          <w:rFonts w:asciiTheme="minorHAnsi" w:hAnsiTheme="minorHAnsi" w:cstheme="minorHAnsi"/>
          <w:sz w:val="18"/>
          <w:szCs w:val="18"/>
        </w:rPr>
        <w:footnoteRef/>
      </w:r>
      <w:r w:rsidRPr="00AF4741">
        <w:rPr>
          <w:rFonts w:asciiTheme="minorHAnsi" w:hAnsiTheme="minorHAnsi" w:cstheme="minorHAnsi"/>
          <w:sz w:val="18"/>
          <w:szCs w:val="18"/>
        </w:rPr>
        <w:t xml:space="preserve"> </w:t>
      </w:r>
      <w:r w:rsidRPr="00AF4741">
        <w:rPr>
          <w:rFonts w:asciiTheme="minorHAnsi" w:eastAsia="Times New Roman" w:hAnsiTheme="minorHAnsi" w:cstheme="minorHAnsi"/>
          <w:sz w:val="18"/>
          <w:szCs w:val="18"/>
          <w:lang w:eastAsia="en-GB"/>
        </w:rPr>
        <w:t>CCPR/C/HUN/CO/6, §§45–48., 55–56. and 60.</w:t>
      </w:r>
    </w:p>
  </w:footnote>
  <w:footnote w:id="26">
    <w:p w14:paraId="21CFB53E" w14:textId="2C29A753" w:rsidR="00041D14" w:rsidRPr="00AF4741" w:rsidRDefault="00041D14" w:rsidP="6BAC57F3">
      <w:pPr>
        <w:pStyle w:val="Lbjegyzetszveg"/>
        <w:rPr>
          <w:rFonts w:asciiTheme="minorHAnsi" w:hAnsiTheme="minorHAnsi" w:cstheme="minorBidi"/>
          <w:sz w:val="18"/>
          <w:szCs w:val="18"/>
        </w:rPr>
      </w:pPr>
      <w:r w:rsidRPr="6BAC57F3">
        <w:rPr>
          <w:rStyle w:val="Lbjegyzet-hivatkozs"/>
          <w:rFonts w:asciiTheme="minorHAnsi" w:hAnsiTheme="minorHAnsi" w:cstheme="minorBidi"/>
          <w:sz w:val="18"/>
          <w:szCs w:val="18"/>
        </w:rPr>
        <w:footnoteRef/>
      </w:r>
      <w:r w:rsidR="6BAC57F3" w:rsidRPr="6BAC57F3">
        <w:rPr>
          <w:rFonts w:asciiTheme="minorHAnsi" w:hAnsiTheme="minorHAnsi" w:cstheme="minorBidi"/>
          <w:sz w:val="18"/>
          <w:szCs w:val="18"/>
        </w:rPr>
        <w:t xml:space="preserve"> For an overview of the procedure, see: Hungarian Helsinki Committee, </w:t>
      </w:r>
      <w:r w:rsidR="6BAC57F3" w:rsidRPr="6BAC57F3">
        <w:rPr>
          <w:rFonts w:asciiTheme="minorHAnsi" w:hAnsiTheme="minorHAnsi" w:cstheme="minorBidi"/>
          <w:i/>
          <w:iCs/>
          <w:sz w:val="18"/>
          <w:szCs w:val="18"/>
        </w:rPr>
        <w:t xml:space="preserve">Hungary de facto removes itself from the Common European Asylum System, </w:t>
      </w:r>
      <w:r w:rsidR="6BAC57F3" w:rsidRPr="6BAC57F3">
        <w:rPr>
          <w:rFonts w:asciiTheme="minorHAnsi" w:hAnsiTheme="minorHAnsi" w:cstheme="minorBidi"/>
          <w:sz w:val="18"/>
          <w:szCs w:val="18"/>
        </w:rPr>
        <w:t xml:space="preserve">12 August 2020, </w:t>
      </w:r>
      <w:hyperlink r:id="rId26" w:history="1">
        <w:r w:rsidR="6BAC57F3" w:rsidRPr="6BAC57F3">
          <w:rPr>
            <w:rStyle w:val="Hiperhivatkozs"/>
            <w:rFonts w:asciiTheme="minorHAnsi" w:hAnsiTheme="minorHAnsi" w:cstheme="minorBidi"/>
            <w:sz w:val="18"/>
            <w:szCs w:val="18"/>
          </w:rPr>
          <w:t>https://helsinki.hu/wp-content/uploads/new-Hungarian-asylum-system-HHC-Aug-2020.pdf</w:t>
        </w:r>
      </w:hyperlink>
      <w:r w:rsidR="6BAC57F3" w:rsidRPr="6BAC57F3">
        <w:rPr>
          <w:rFonts w:asciiTheme="minorHAnsi" w:hAnsiTheme="minorHAnsi" w:cstheme="minorBidi"/>
          <w:sz w:val="18"/>
          <w:szCs w:val="18"/>
        </w:rPr>
        <w:t xml:space="preserve">; for an overview of the practical implementation of the embassy procedure, see: Hungarian Helsinki Committee, </w:t>
      </w:r>
      <w:r w:rsidR="6BAC57F3" w:rsidRPr="6BAC57F3">
        <w:rPr>
          <w:rFonts w:asciiTheme="minorHAnsi" w:hAnsiTheme="minorHAnsi" w:cstheme="minorBidi"/>
          <w:i/>
          <w:iCs/>
          <w:sz w:val="18"/>
          <w:szCs w:val="18"/>
        </w:rPr>
        <w:t xml:space="preserve">No access to asylum – Hungary’s dysfunctional embassy system in theory and practice, </w:t>
      </w:r>
      <w:r w:rsidR="6BAC57F3" w:rsidRPr="6BAC57F3">
        <w:rPr>
          <w:rFonts w:asciiTheme="minorHAnsi" w:hAnsiTheme="minorHAnsi" w:cstheme="minorBidi"/>
          <w:sz w:val="18"/>
          <w:szCs w:val="18"/>
        </w:rPr>
        <w:t xml:space="preserve">December 2021, </w:t>
      </w:r>
      <w:hyperlink r:id="rId27" w:history="1">
        <w:r w:rsidR="6BAC57F3" w:rsidRPr="6BAC57F3">
          <w:rPr>
            <w:rStyle w:val="Hiperhivatkozs"/>
            <w:rFonts w:asciiTheme="minorHAnsi" w:hAnsiTheme="minorHAnsi" w:cstheme="minorBidi"/>
            <w:sz w:val="18"/>
            <w:szCs w:val="18"/>
          </w:rPr>
          <w:t>https://helsinki.hu/en/wp-content/uploads/sites/2/2021/12/No-access-to-asylum-1.11.2021.pdf</w:t>
        </w:r>
      </w:hyperlink>
      <w:r w:rsidR="6BAC57F3" w:rsidRPr="6BAC57F3">
        <w:rPr>
          <w:rFonts w:asciiTheme="minorHAnsi" w:hAnsiTheme="minorHAnsi" w:cstheme="minorBidi"/>
          <w:sz w:val="18"/>
          <w:szCs w:val="18"/>
        </w:rPr>
        <w:t xml:space="preserve">; for the latest statistical data, see: European Council on Refugees and Exiles – Hungarian Helsinki Committee, </w:t>
      </w:r>
      <w:r w:rsidR="6BAC57F3" w:rsidRPr="6BAC57F3">
        <w:rPr>
          <w:rFonts w:asciiTheme="minorHAnsi" w:hAnsiTheme="minorHAnsi" w:cstheme="minorBidi"/>
          <w:i/>
          <w:iCs/>
          <w:sz w:val="18"/>
          <w:szCs w:val="18"/>
        </w:rPr>
        <w:t>Asylum Information Database, Hungary, May 2025 update</w:t>
      </w:r>
      <w:r w:rsidR="6BAC57F3" w:rsidRPr="6BAC57F3">
        <w:rPr>
          <w:rFonts w:asciiTheme="minorHAnsi" w:hAnsiTheme="minorHAnsi" w:cstheme="minorBidi"/>
          <w:sz w:val="18"/>
          <w:szCs w:val="18"/>
        </w:rPr>
        <w:t xml:space="preserve">, </w:t>
      </w:r>
      <w:hyperlink r:id="rId28" w:history="1">
        <w:r w:rsidR="6BAC57F3" w:rsidRPr="6BAC57F3">
          <w:rPr>
            <w:rStyle w:val="Hiperhivatkozs"/>
            <w:rFonts w:asciiTheme="minorHAnsi" w:hAnsiTheme="minorHAnsi" w:cstheme="minorBidi"/>
            <w:sz w:val="18"/>
            <w:szCs w:val="18"/>
          </w:rPr>
          <w:t>https://asylumineurope.org/wp-content/uploads/2025/05/AIDA-HU_2024-Update.pdf</w:t>
        </w:r>
      </w:hyperlink>
      <w:r w:rsidR="6BAC57F3" w:rsidRPr="6BAC57F3">
        <w:rPr>
          <w:rFonts w:asciiTheme="minorHAnsi" w:hAnsiTheme="minorHAnsi" w:cstheme="minorBidi"/>
          <w:sz w:val="18"/>
          <w:szCs w:val="18"/>
        </w:rPr>
        <w:t>, particularly pp. 9., 16., 19–22.</w:t>
      </w:r>
    </w:p>
  </w:footnote>
  <w:footnote w:id="27">
    <w:p w14:paraId="3868CDE9" w14:textId="77777777" w:rsidR="00041D14" w:rsidRPr="00AF4741" w:rsidRDefault="00041D14" w:rsidP="00AF4741">
      <w:pPr>
        <w:pStyle w:val="Lbjegyzetszveg"/>
        <w:rPr>
          <w:rFonts w:asciiTheme="minorHAnsi" w:hAnsiTheme="minorHAnsi" w:cstheme="minorHAnsi"/>
          <w:sz w:val="18"/>
          <w:szCs w:val="18"/>
        </w:rPr>
      </w:pPr>
      <w:r w:rsidRPr="00AF4741">
        <w:rPr>
          <w:rStyle w:val="Lbjegyzet-hivatkozs"/>
          <w:rFonts w:asciiTheme="minorHAnsi" w:hAnsiTheme="minorHAnsi" w:cstheme="minorHAnsi"/>
          <w:sz w:val="18"/>
          <w:szCs w:val="18"/>
        </w:rPr>
        <w:footnoteRef/>
      </w:r>
      <w:r w:rsidRPr="00AF4741">
        <w:rPr>
          <w:rFonts w:asciiTheme="minorHAnsi" w:hAnsiTheme="minorHAnsi" w:cstheme="minorHAnsi"/>
          <w:sz w:val="18"/>
          <w:szCs w:val="18"/>
        </w:rPr>
        <w:t xml:space="preserve"> CCPR/C/HUN/CO6, §§47–48.</w:t>
      </w:r>
    </w:p>
  </w:footnote>
  <w:footnote w:id="28">
    <w:p w14:paraId="27B03AF0" w14:textId="77777777" w:rsidR="00041D14" w:rsidRPr="00AF4741" w:rsidRDefault="00041D14" w:rsidP="00AF4741">
      <w:pPr>
        <w:pStyle w:val="Lbjegyzetszveg"/>
        <w:rPr>
          <w:rFonts w:asciiTheme="minorHAnsi" w:hAnsiTheme="minorHAnsi" w:cstheme="minorHAnsi"/>
          <w:sz w:val="18"/>
          <w:szCs w:val="18"/>
        </w:rPr>
      </w:pPr>
      <w:r w:rsidRPr="00AF4741">
        <w:rPr>
          <w:rStyle w:val="Lbjegyzet-hivatkozs"/>
          <w:rFonts w:asciiTheme="minorHAnsi" w:hAnsiTheme="minorHAnsi" w:cstheme="minorHAnsi"/>
          <w:sz w:val="18"/>
          <w:szCs w:val="18"/>
        </w:rPr>
        <w:footnoteRef/>
      </w:r>
      <w:r w:rsidRPr="00AF4741">
        <w:rPr>
          <w:rFonts w:asciiTheme="minorHAnsi" w:hAnsiTheme="minorHAnsi" w:cstheme="minorHAnsi"/>
          <w:sz w:val="18"/>
          <w:szCs w:val="18"/>
        </w:rPr>
        <w:t xml:space="preserve"> For a comprehensive overview, see HHC’s submission to the UN Special Rapporteur on the Human Rights of Migrants: </w:t>
      </w:r>
      <w:hyperlink r:id="rId29" w:history="1">
        <w:r w:rsidRPr="00AF4741">
          <w:rPr>
            <w:rStyle w:val="Hiperhivatkozs"/>
            <w:rFonts w:asciiTheme="minorHAnsi" w:hAnsiTheme="minorHAnsi" w:cstheme="minorHAnsi"/>
            <w:sz w:val="18"/>
            <w:szCs w:val="18"/>
          </w:rPr>
          <w:t>https://helsinki.hu/wp-content/uploads/HHC_UNSR-migration_pushbacks.pdf</w:t>
        </w:r>
      </w:hyperlink>
      <w:r w:rsidRPr="00AF4741">
        <w:rPr>
          <w:rFonts w:asciiTheme="minorHAnsi" w:hAnsiTheme="minorHAnsi" w:cstheme="minorHAnsi"/>
          <w:sz w:val="18"/>
          <w:szCs w:val="18"/>
        </w:rPr>
        <w:t xml:space="preserve">, and HHC’s submission to the CPT: </w:t>
      </w:r>
      <w:hyperlink r:id="rId30" w:history="1">
        <w:r w:rsidRPr="00AF4741">
          <w:rPr>
            <w:rStyle w:val="Hiperhivatkozs"/>
            <w:rFonts w:asciiTheme="minorHAnsi" w:hAnsiTheme="minorHAnsi" w:cstheme="minorHAnsi"/>
            <w:sz w:val="18"/>
            <w:szCs w:val="18"/>
          </w:rPr>
          <w:t>https://helsinki.hu/en/wp-content/uploads/sites/2/2023/05/HHC_Refugee-Program_CPT2023.pdf</w:t>
        </w:r>
      </w:hyperlink>
      <w:r w:rsidRPr="00AF4741">
        <w:rPr>
          <w:rFonts w:asciiTheme="minorHAnsi" w:hAnsiTheme="minorHAnsi" w:cstheme="minorHAnsi"/>
          <w:sz w:val="18"/>
          <w:szCs w:val="18"/>
        </w:rPr>
        <w:t xml:space="preserve">, especially pp. 12–25. </w:t>
      </w:r>
    </w:p>
  </w:footnote>
  <w:footnote w:id="29">
    <w:p w14:paraId="2ED1D41E" w14:textId="2F515069" w:rsidR="00041D14" w:rsidRPr="00AF4741" w:rsidRDefault="00041D14" w:rsidP="6BAC57F3">
      <w:pPr>
        <w:pStyle w:val="Lbjegyzetszveg"/>
        <w:rPr>
          <w:rFonts w:asciiTheme="minorHAnsi" w:hAnsiTheme="minorHAnsi" w:cstheme="minorBidi"/>
          <w:sz w:val="18"/>
          <w:szCs w:val="18"/>
        </w:rPr>
      </w:pPr>
      <w:r w:rsidRPr="6BAC57F3">
        <w:rPr>
          <w:rStyle w:val="Lbjegyzet-hivatkozs"/>
          <w:rFonts w:asciiTheme="minorHAnsi" w:hAnsiTheme="minorHAnsi" w:cstheme="minorBidi"/>
          <w:sz w:val="18"/>
          <w:szCs w:val="18"/>
        </w:rPr>
        <w:footnoteRef/>
      </w:r>
      <w:r w:rsidR="6BAC57F3" w:rsidRPr="6BAC57F3">
        <w:rPr>
          <w:rFonts w:asciiTheme="minorHAnsi" w:hAnsiTheme="minorHAnsi" w:cstheme="minorBidi"/>
          <w:sz w:val="18"/>
          <w:szCs w:val="18"/>
        </w:rPr>
        <w:t xml:space="preserve"> Case C-808/18</w:t>
      </w:r>
    </w:p>
  </w:footnote>
  <w:footnote w:id="30">
    <w:p w14:paraId="42C34EF3" w14:textId="77777777" w:rsidR="00041D14" w:rsidRPr="00AF4741" w:rsidRDefault="00041D14" w:rsidP="00AF4741">
      <w:pPr>
        <w:pStyle w:val="Lbjegyzetszveg"/>
        <w:rPr>
          <w:rFonts w:asciiTheme="minorHAnsi" w:hAnsiTheme="minorHAnsi" w:cstheme="minorHAnsi"/>
          <w:sz w:val="18"/>
          <w:szCs w:val="18"/>
        </w:rPr>
      </w:pPr>
      <w:r w:rsidRPr="00AF4741">
        <w:rPr>
          <w:rStyle w:val="Lbjegyzet-hivatkozs"/>
          <w:rFonts w:asciiTheme="minorHAnsi" w:hAnsiTheme="minorHAnsi" w:cstheme="minorHAnsi"/>
          <w:sz w:val="18"/>
          <w:szCs w:val="18"/>
        </w:rPr>
        <w:footnoteRef/>
      </w:r>
      <w:r w:rsidRPr="00AF4741">
        <w:rPr>
          <w:rFonts w:asciiTheme="minorHAnsi" w:hAnsiTheme="minorHAnsi" w:cstheme="minorHAnsi"/>
          <w:sz w:val="18"/>
          <w:szCs w:val="18"/>
        </w:rPr>
        <w:t xml:space="preserve"> For cases at the ECtHR and their implementation, see the </w:t>
      </w:r>
      <w:r w:rsidRPr="00AF4741">
        <w:rPr>
          <w:rFonts w:asciiTheme="minorHAnsi" w:hAnsiTheme="minorHAnsi" w:cstheme="minorHAnsi"/>
          <w:i/>
          <w:iCs/>
          <w:sz w:val="18"/>
          <w:szCs w:val="18"/>
        </w:rPr>
        <w:t>Shahzad v. Hungary (no 1)</w:t>
      </w:r>
      <w:r w:rsidRPr="00AF4741">
        <w:rPr>
          <w:rFonts w:asciiTheme="minorHAnsi" w:hAnsiTheme="minorHAnsi" w:cstheme="minorHAnsi"/>
          <w:sz w:val="18"/>
          <w:szCs w:val="18"/>
        </w:rPr>
        <w:t xml:space="preserve"> group of cases: </w:t>
      </w:r>
      <w:hyperlink r:id="rId31" w:history="1">
        <w:r w:rsidRPr="00AF4741">
          <w:rPr>
            <w:rStyle w:val="Hiperhivatkozs"/>
            <w:rFonts w:asciiTheme="minorHAnsi" w:hAnsiTheme="minorHAnsi" w:cstheme="minorHAnsi"/>
            <w:sz w:val="18"/>
            <w:szCs w:val="18"/>
          </w:rPr>
          <w:t>https://hudoc.exec.coe.int/?i=004-58700</w:t>
        </w:r>
      </w:hyperlink>
      <w:r w:rsidRPr="00AF4741">
        <w:rPr>
          <w:rFonts w:asciiTheme="minorHAnsi" w:hAnsiTheme="minorHAnsi" w:cstheme="minorHAnsi"/>
          <w:sz w:val="18"/>
          <w:szCs w:val="18"/>
        </w:rPr>
        <w:t xml:space="preserve">. </w:t>
      </w:r>
    </w:p>
  </w:footnote>
  <w:footnote w:id="31">
    <w:p w14:paraId="59B8A820" w14:textId="361288AD" w:rsidR="00041D14" w:rsidRPr="00AF4741" w:rsidRDefault="00041D14" w:rsidP="6BAC57F3">
      <w:pPr>
        <w:pStyle w:val="Lbjegyzetszveg"/>
        <w:rPr>
          <w:rFonts w:asciiTheme="minorHAnsi" w:hAnsiTheme="minorHAnsi" w:cstheme="minorBidi"/>
          <w:sz w:val="18"/>
          <w:szCs w:val="18"/>
        </w:rPr>
      </w:pPr>
      <w:r w:rsidRPr="6BAC57F3">
        <w:rPr>
          <w:rStyle w:val="Lbjegyzet-hivatkozs"/>
          <w:rFonts w:asciiTheme="minorHAnsi" w:hAnsiTheme="minorHAnsi" w:cstheme="minorBidi"/>
          <w:sz w:val="18"/>
          <w:szCs w:val="18"/>
        </w:rPr>
        <w:footnoteRef/>
      </w:r>
      <w:r w:rsidR="6BAC57F3" w:rsidRPr="6BAC57F3">
        <w:rPr>
          <w:rFonts w:asciiTheme="minorHAnsi" w:hAnsiTheme="minorHAnsi" w:cstheme="minorBidi"/>
          <w:sz w:val="18"/>
          <w:szCs w:val="18"/>
        </w:rPr>
        <w:t xml:space="preserve"> For details, see: European Council on Refugees and Exiles – Hungarian Helsinki Committee, </w:t>
      </w:r>
      <w:r w:rsidR="6BAC57F3" w:rsidRPr="6BAC57F3">
        <w:rPr>
          <w:rFonts w:asciiTheme="minorHAnsi" w:hAnsiTheme="minorHAnsi" w:cstheme="minorBidi"/>
          <w:i/>
          <w:iCs/>
          <w:sz w:val="18"/>
          <w:szCs w:val="18"/>
        </w:rPr>
        <w:t xml:space="preserve">Temporary Protection in Hungary, </w:t>
      </w:r>
      <w:hyperlink r:id="rId32" w:history="1">
        <w:r w:rsidR="6BAC57F3" w:rsidRPr="6BAC57F3">
          <w:rPr>
            <w:rStyle w:val="Hiperhivatkozs"/>
            <w:rFonts w:asciiTheme="minorHAnsi" w:hAnsiTheme="minorHAnsi" w:cstheme="minorBidi"/>
            <w:sz w:val="18"/>
            <w:szCs w:val="18"/>
          </w:rPr>
          <w:t>https://asylumineurope.org/wp-content/uploads/2025/05/AIDA-HU_Temporary-Protection_2024.pdf</w:t>
        </w:r>
      </w:hyperlink>
      <w:r w:rsidR="6BAC57F3" w:rsidRPr="6BAC57F3">
        <w:rPr>
          <w:rFonts w:asciiTheme="minorHAnsi" w:hAnsiTheme="minorHAnsi" w:cstheme="minorBidi"/>
          <w:sz w:val="18"/>
          <w:szCs w:val="18"/>
        </w:rPr>
        <w:t>, especially pp. 5–6. on the personal scope.</w:t>
      </w:r>
    </w:p>
  </w:footnote>
  <w:footnote w:id="32">
    <w:p w14:paraId="1C16CA64" w14:textId="77777777" w:rsidR="00041D14" w:rsidRPr="00AF4741" w:rsidRDefault="00041D14" w:rsidP="00AF4741">
      <w:pPr>
        <w:pStyle w:val="Lbjegyzetszveg"/>
        <w:rPr>
          <w:rFonts w:asciiTheme="minorHAnsi" w:hAnsiTheme="minorHAnsi" w:cstheme="minorHAnsi"/>
          <w:sz w:val="18"/>
          <w:szCs w:val="18"/>
        </w:rPr>
      </w:pPr>
      <w:r w:rsidRPr="00AF4741">
        <w:rPr>
          <w:rStyle w:val="Lbjegyzet-hivatkozs"/>
          <w:rFonts w:asciiTheme="minorHAnsi" w:hAnsiTheme="minorHAnsi" w:cstheme="minorHAnsi"/>
          <w:sz w:val="18"/>
          <w:szCs w:val="18"/>
        </w:rPr>
        <w:footnoteRef/>
      </w:r>
      <w:r w:rsidRPr="00AF4741">
        <w:rPr>
          <w:rFonts w:asciiTheme="minorHAnsi" w:hAnsiTheme="minorHAnsi" w:cstheme="minorHAnsi"/>
          <w:sz w:val="18"/>
          <w:szCs w:val="18"/>
        </w:rPr>
        <w:t xml:space="preserve"> For details, see: Hungarian Helsinki Committee, </w:t>
      </w:r>
      <w:r w:rsidRPr="00AF4741">
        <w:rPr>
          <w:rFonts w:asciiTheme="minorHAnsi" w:hAnsiTheme="minorHAnsi" w:cstheme="minorHAnsi"/>
          <w:i/>
          <w:iCs/>
          <w:sz w:val="18"/>
          <w:szCs w:val="18"/>
        </w:rPr>
        <w:t xml:space="preserve">Destitution and homelessness: the situation of vulnerable Ukrainian beneficiaries of temporary protection, </w:t>
      </w:r>
      <w:r w:rsidRPr="00AF4741">
        <w:rPr>
          <w:rFonts w:asciiTheme="minorHAnsi" w:hAnsiTheme="minorHAnsi" w:cstheme="minorHAnsi"/>
          <w:sz w:val="18"/>
          <w:szCs w:val="18"/>
        </w:rPr>
        <w:t xml:space="preserve">3 September 2024, </w:t>
      </w:r>
      <w:hyperlink r:id="rId33" w:history="1">
        <w:r w:rsidRPr="00AF4741">
          <w:rPr>
            <w:rStyle w:val="Hiperhivatkozs"/>
            <w:rFonts w:asciiTheme="minorHAnsi" w:hAnsiTheme="minorHAnsi" w:cstheme="minorHAnsi"/>
            <w:sz w:val="18"/>
            <w:szCs w:val="18"/>
          </w:rPr>
          <w:t>https://helsinki.hu/en/destitution-and-homelessness/</w:t>
        </w:r>
      </w:hyperlink>
      <w:r w:rsidRPr="00AF4741">
        <w:rPr>
          <w:rFonts w:asciiTheme="minorHAnsi" w:hAnsiTheme="minorHAnsi" w:cstheme="minorHAnsi"/>
          <w:sz w:val="18"/>
          <w:szCs w:val="18"/>
        </w:rPr>
        <w:t xml:space="preserve">; European Council on Refugees and Exiles – Hungarian Helsinki Committee, </w:t>
      </w:r>
      <w:r w:rsidRPr="00AF4741">
        <w:rPr>
          <w:rFonts w:asciiTheme="minorHAnsi" w:hAnsiTheme="minorHAnsi" w:cstheme="minorHAnsi"/>
          <w:i/>
          <w:iCs/>
          <w:sz w:val="18"/>
          <w:szCs w:val="18"/>
        </w:rPr>
        <w:t xml:space="preserve">Temporary Protection in Hungary, </w:t>
      </w:r>
      <w:hyperlink r:id="rId34" w:history="1">
        <w:r w:rsidRPr="00AF4741">
          <w:rPr>
            <w:rStyle w:val="Hiperhivatkozs"/>
            <w:rFonts w:asciiTheme="minorHAnsi" w:hAnsiTheme="minorHAnsi" w:cstheme="minorHAnsi"/>
            <w:sz w:val="18"/>
            <w:szCs w:val="18"/>
          </w:rPr>
          <w:t>https://asylumineurope.org/wp-content/uploads/2025/05/AIDA-HU_Temporary-Protection_2024.pdf</w:t>
        </w:r>
      </w:hyperlink>
      <w:r w:rsidRPr="00AF4741">
        <w:rPr>
          <w:rFonts w:asciiTheme="minorHAnsi" w:hAnsiTheme="minorHAnsi" w:cstheme="minorHAnsi"/>
          <w:sz w:val="18"/>
          <w:szCs w:val="18"/>
        </w:rPr>
        <w:t>, especially pp. 37–41. on the housing situation.</w:t>
      </w:r>
    </w:p>
  </w:footnote>
  <w:footnote w:id="33">
    <w:p w14:paraId="315F0DFC" w14:textId="77777777" w:rsidR="00041D14" w:rsidRPr="00AF4741" w:rsidRDefault="00041D14" w:rsidP="00AF4741">
      <w:pPr>
        <w:pStyle w:val="Lbjegyzetszveg"/>
        <w:rPr>
          <w:rFonts w:asciiTheme="minorHAnsi" w:hAnsiTheme="minorHAnsi" w:cstheme="minorHAnsi"/>
          <w:sz w:val="18"/>
          <w:szCs w:val="18"/>
        </w:rPr>
      </w:pPr>
      <w:r w:rsidRPr="00AF4741">
        <w:rPr>
          <w:rStyle w:val="Lbjegyzet-hivatkozs"/>
          <w:rFonts w:asciiTheme="minorHAnsi" w:hAnsiTheme="minorHAnsi" w:cstheme="minorHAnsi"/>
          <w:sz w:val="18"/>
          <w:szCs w:val="18"/>
        </w:rPr>
        <w:footnoteRef/>
      </w:r>
      <w:r w:rsidRPr="00AF4741">
        <w:rPr>
          <w:rFonts w:asciiTheme="minorHAnsi" w:hAnsiTheme="minorHAnsi" w:cstheme="minorHAnsi"/>
          <w:sz w:val="18"/>
          <w:szCs w:val="18"/>
        </w:rPr>
        <w:t xml:space="preserve"> See the details of these lawsuits in European Council on Refugees and Exiles – Hungarian Helsinki Committee, </w:t>
      </w:r>
      <w:r w:rsidRPr="00AF4741">
        <w:rPr>
          <w:rFonts w:asciiTheme="minorHAnsi" w:hAnsiTheme="minorHAnsi" w:cstheme="minorHAnsi"/>
          <w:i/>
          <w:iCs/>
          <w:sz w:val="18"/>
          <w:szCs w:val="18"/>
        </w:rPr>
        <w:t xml:space="preserve">Temporary Protection in Hungary, </w:t>
      </w:r>
      <w:hyperlink r:id="rId35" w:history="1">
        <w:r w:rsidRPr="00AF4741">
          <w:rPr>
            <w:rStyle w:val="Hiperhivatkozs"/>
            <w:rFonts w:asciiTheme="minorHAnsi" w:hAnsiTheme="minorHAnsi" w:cstheme="minorHAnsi"/>
            <w:sz w:val="18"/>
            <w:szCs w:val="18"/>
          </w:rPr>
          <w:t>https://asylumineurope.org/wp-content/uploads/2025/05/AIDA-HU_Temporary-Protection_2024.pdf</w:t>
        </w:r>
      </w:hyperlink>
      <w:r w:rsidRPr="00AF4741">
        <w:rPr>
          <w:rFonts w:asciiTheme="minorHAnsi" w:hAnsiTheme="minorHAnsi" w:cstheme="minorHAnsi"/>
          <w:sz w:val="18"/>
          <w:szCs w:val="18"/>
        </w:rPr>
        <w:t xml:space="preserve">, pp. 40–41. At the time of this submission, the lawsuits are still pending. </w:t>
      </w:r>
    </w:p>
  </w:footnote>
  <w:footnote w:id="34">
    <w:p w14:paraId="05C722C9" w14:textId="77777777" w:rsidR="002D3333" w:rsidRPr="00AF4741" w:rsidRDefault="002D3333" w:rsidP="00AF4741">
      <w:pPr>
        <w:rPr>
          <w:rFonts w:asciiTheme="minorHAnsi" w:hAnsiTheme="minorHAnsi" w:cstheme="minorHAnsi"/>
          <w:sz w:val="18"/>
          <w:szCs w:val="18"/>
        </w:rPr>
      </w:pPr>
      <w:r w:rsidRPr="00AF4741">
        <w:rPr>
          <w:rFonts w:asciiTheme="minorHAnsi" w:hAnsiTheme="minorHAnsi" w:cstheme="minorHAnsi"/>
          <w:sz w:val="18"/>
          <w:szCs w:val="18"/>
          <w:vertAlign w:val="superscript"/>
        </w:rPr>
        <w:footnoteRef/>
      </w:r>
      <w:r w:rsidRPr="00AF4741">
        <w:rPr>
          <w:rFonts w:asciiTheme="minorHAnsi" w:hAnsiTheme="minorHAnsi" w:cstheme="minorHAnsi"/>
          <w:sz w:val="18"/>
          <w:szCs w:val="18"/>
        </w:rPr>
        <w:t xml:space="preserve"> CCPR/C/HUN/CO/6, §§41–42.</w:t>
      </w:r>
    </w:p>
  </w:footnote>
  <w:footnote w:id="35">
    <w:p w14:paraId="438E3663" w14:textId="77777777" w:rsidR="002D3333" w:rsidRPr="00AF4741" w:rsidRDefault="002D3333" w:rsidP="00AF4741">
      <w:pPr>
        <w:rPr>
          <w:rFonts w:asciiTheme="minorHAnsi" w:hAnsiTheme="minorHAnsi" w:cstheme="minorHAnsi"/>
          <w:sz w:val="18"/>
          <w:szCs w:val="18"/>
        </w:rPr>
      </w:pPr>
      <w:r w:rsidRPr="00AF4741">
        <w:rPr>
          <w:rFonts w:asciiTheme="minorHAnsi" w:hAnsiTheme="minorHAnsi" w:cstheme="minorHAnsi"/>
          <w:sz w:val="18"/>
          <w:szCs w:val="18"/>
          <w:vertAlign w:val="superscript"/>
        </w:rPr>
        <w:footnoteRef/>
      </w:r>
      <w:r w:rsidRPr="00AF4741">
        <w:rPr>
          <w:rFonts w:asciiTheme="minorHAnsi" w:hAnsiTheme="minorHAnsi" w:cstheme="minorHAnsi"/>
          <w:sz w:val="18"/>
          <w:szCs w:val="18"/>
        </w:rPr>
        <w:t xml:space="preserve"> See also the Interim Resolution of the Committee of Ministers of the Council of Europe, </w:t>
      </w:r>
      <w:hyperlink r:id="rId36">
        <w:r w:rsidRPr="00AF4741">
          <w:rPr>
            <w:rStyle w:val="Hiperhivatkozs"/>
            <w:rFonts w:asciiTheme="minorHAnsi" w:hAnsiTheme="minorHAnsi" w:cstheme="minorHAnsi"/>
            <w:sz w:val="18"/>
            <w:szCs w:val="18"/>
          </w:rPr>
          <w:t>CM/</w:t>
        </w:r>
        <w:proofErr w:type="spellStart"/>
        <w:proofErr w:type="gramStart"/>
        <w:r w:rsidRPr="00AF4741">
          <w:rPr>
            <w:rStyle w:val="Hiperhivatkozs"/>
            <w:rFonts w:asciiTheme="minorHAnsi" w:hAnsiTheme="minorHAnsi" w:cstheme="minorHAnsi"/>
            <w:sz w:val="18"/>
            <w:szCs w:val="18"/>
          </w:rPr>
          <w:t>ResDH</w:t>
        </w:r>
        <w:proofErr w:type="spellEnd"/>
        <w:r w:rsidRPr="00AF4741">
          <w:rPr>
            <w:rStyle w:val="Hiperhivatkozs"/>
            <w:rFonts w:asciiTheme="minorHAnsi" w:hAnsiTheme="minorHAnsi" w:cstheme="minorHAnsi"/>
            <w:sz w:val="18"/>
            <w:szCs w:val="18"/>
          </w:rPr>
          <w:t>(</w:t>
        </w:r>
        <w:proofErr w:type="gramEnd"/>
        <w:r w:rsidRPr="00AF4741">
          <w:rPr>
            <w:rStyle w:val="Hiperhivatkozs"/>
            <w:rFonts w:asciiTheme="minorHAnsi" w:hAnsiTheme="minorHAnsi" w:cstheme="minorHAnsi"/>
            <w:sz w:val="18"/>
            <w:szCs w:val="18"/>
          </w:rPr>
          <w:t>2025)32</w:t>
        </w:r>
      </w:hyperlink>
      <w:r w:rsidRPr="00AF4741">
        <w:rPr>
          <w:rFonts w:asciiTheme="minorHAnsi" w:hAnsiTheme="minorHAnsi" w:cstheme="minorHAnsi"/>
          <w:sz w:val="18"/>
          <w:szCs w:val="18"/>
        </w:rPr>
        <w:t>, 6 March 2025.</w:t>
      </w:r>
    </w:p>
  </w:footnote>
  <w:footnote w:id="36">
    <w:p w14:paraId="41C944BD" w14:textId="77777777" w:rsidR="002D3333" w:rsidRPr="00AF4741" w:rsidRDefault="002D3333" w:rsidP="00AF4741">
      <w:pPr>
        <w:rPr>
          <w:rFonts w:asciiTheme="minorHAnsi" w:hAnsiTheme="minorHAnsi" w:cstheme="minorHAnsi"/>
          <w:sz w:val="18"/>
          <w:szCs w:val="18"/>
        </w:rPr>
      </w:pPr>
      <w:r w:rsidRPr="00AF4741">
        <w:rPr>
          <w:rFonts w:asciiTheme="minorHAnsi" w:hAnsiTheme="minorHAnsi" w:cstheme="minorHAnsi"/>
          <w:sz w:val="18"/>
          <w:szCs w:val="18"/>
          <w:vertAlign w:val="superscript"/>
        </w:rPr>
        <w:footnoteRef/>
      </w:r>
      <w:r w:rsidRPr="00AF4741">
        <w:rPr>
          <w:rFonts w:asciiTheme="minorHAnsi" w:hAnsiTheme="minorHAnsi" w:cstheme="minorHAnsi"/>
          <w:sz w:val="18"/>
          <w:szCs w:val="18"/>
        </w:rPr>
        <w:t xml:space="preserve"> Response no. 30500/2878/2025 of the National Prison Administration (NPA) to the HHC’s FOI request on 8 July 2025.</w:t>
      </w:r>
    </w:p>
  </w:footnote>
  <w:footnote w:id="37">
    <w:p w14:paraId="615ED928" w14:textId="77777777" w:rsidR="002D3333" w:rsidRPr="00AF4741" w:rsidRDefault="002D3333" w:rsidP="00AF4741">
      <w:pPr>
        <w:rPr>
          <w:rFonts w:asciiTheme="minorHAnsi" w:hAnsiTheme="minorHAnsi" w:cstheme="minorHAnsi"/>
          <w:sz w:val="18"/>
          <w:szCs w:val="18"/>
        </w:rPr>
      </w:pPr>
      <w:r w:rsidRPr="00AF4741">
        <w:rPr>
          <w:rFonts w:asciiTheme="minorHAnsi" w:hAnsiTheme="minorHAnsi" w:cstheme="minorHAnsi"/>
          <w:sz w:val="18"/>
          <w:szCs w:val="18"/>
          <w:vertAlign w:val="superscript"/>
        </w:rPr>
        <w:footnoteRef/>
      </w:r>
      <w:r w:rsidRPr="00AF4741">
        <w:rPr>
          <w:rFonts w:asciiTheme="minorHAnsi" w:hAnsiTheme="minorHAnsi" w:cstheme="minorHAnsi"/>
          <w:sz w:val="18"/>
          <w:szCs w:val="18"/>
        </w:rPr>
        <w:t xml:space="preserve"> Ibid.</w:t>
      </w:r>
    </w:p>
  </w:footnote>
  <w:footnote w:id="38">
    <w:p w14:paraId="0EBDACD9" w14:textId="77777777" w:rsidR="002D3333" w:rsidRPr="00AF4741" w:rsidRDefault="002D3333" w:rsidP="00AF4741">
      <w:pPr>
        <w:rPr>
          <w:rFonts w:asciiTheme="minorHAnsi" w:hAnsiTheme="minorHAnsi" w:cstheme="minorHAnsi"/>
          <w:sz w:val="18"/>
          <w:szCs w:val="18"/>
        </w:rPr>
      </w:pPr>
      <w:r w:rsidRPr="00AF4741">
        <w:rPr>
          <w:rFonts w:asciiTheme="minorHAnsi" w:hAnsiTheme="minorHAnsi" w:cstheme="minorHAnsi"/>
          <w:sz w:val="18"/>
          <w:szCs w:val="18"/>
          <w:vertAlign w:val="superscript"/>
        </w:rPr>
        <w:footnoteRef/>
      </w:r>
      <w:r w:rsidRPr="00AF4741">
        <w:rPr>
          <w:rFonts w:asciiTheme="minorHAnsi" w:hAnsiTheme="minorHAnsi" w:cstheme="minorHAnsi"/>
          <w:sz w:val="18"/>
          <w:szCs w:val="18"/>
        </w:rPr>
        <w:t xml:space="preserve"> Response no. 30500/3951/2024 of the NPA to the HHC’s FOI request on 9 August 2024.</w:t>
      </w:r>
    </w:p>
  </w:footnote>
  <w:footnote w:id="39">
    <w:p w14:paraId="1D9CC817" w14:textId="77777777" w:rsidR="002D3333" w:rsidRPr="00AF4741" w:rsidRDefault="002D3333" w:rsidP="00AF4741">
      <w:pPr>
        <w:rPr>
          <w:rFonts w:asciiTheme="minorHAnsi" w:hAnsiTheme="minorHAnsi" w:cstheme="minorHAnsi"/>
          <w:sz w:val="18"/>
          <w:szCs w:val="18"/>
          <w:lang w:val="hu-HU"/>
        </w:rPr>
      </w:pPr>
      <w:r w:rsidRPr="00AF4741">
        <w:rPr>
          <w:rFonts w:asciiTheme="minorHAnsi" w:hAnsiTheme="minorHAnsi" w:cstheme="minorHAnsi"/>
          <w:sz w:val="18"/>
          <w:szCs w:val="18"/>
          <w:vertAlign w:val="superscript"/>
        </w:rPr>
        <w:footnoteRef/>
      </w:r>
      <w:r w:rsidRPr="00AF4741">
        <w:rPr>
          <w:rFonts w:asciiTheme="minorHAnsi" w:hAnsiTheme="minorHAnsi" w:cstheme="minorHAnsi"/>
          <w:sz w:val="18"/>
          <w:szCs w:val="18"/>
        </w:rPr>
        <w:t xml:space="preserve"> See the HHC’s latest Rule 9.2 communication in the </w:t>
      </w:r>
      <w:r w:rsidRPr="00AF4741">
        <w:rPr>
          <w:rFonts w:asciiTheme="minorHAnsi" w:hAnsiTheme="minorHAnsi" w:cstheme="minorHAnsi"/>
          <w:i/>
          <w:iCs/>
          <w:sz w:val="18"/>
          <w:szCs w:val="18"/>
        </w:rPr>
        <w:t>Gubacsi v. Hungary</w:t>
      </w:r>
      <w:r w:rsidRPr="00AF4741">
        <w:rPr>
          <w:rFonts w:asciiTheme="minorHAnsi" w:hAnsiTheme="minorHAnsi" w:cstheme="minorHAnsi"/>
          <w:sz w:val="18"/>
          <w:szCs w:val="18"/>
        </w:rPr>
        <w:t xml:space="preserve"> group of cases: </w:t>
      </w:r>
      <w:hyperlink r:id="rId37">
        <w:r w:rsidRPr="00AF4741">
          <w:rPr>
            <w:rStyle w:val="Hiperhivatkozs"/>
            <w:rFonts w:asciiTheme="minorHAnsi" w:hAnsiTheme="minorHAnsi" w:cstheme="minorHAnsi"/>
            <w:sz w:val="18"/>
            <w:szCs w:val="18"/>
          </w:rPr>
          <w:t>DH-DD(2024)1177</w:t>
        </w:r>
      </w:hyperlink>
      <w:r w:rsidRPr="00AF4741">
        <w:rPr>
          <w:rFonts w:asciiTheme="minorHAnsi" w:hAnsiTheme="minorHAnsi" w:cstheme="minorHAnsi"/>
          <w:sz w:val="18"/>
          <w:szCs w:val="18"/>
        </w:rPr>
        <w:t xml:space="preserve">, 16 October 2024; Addendum: </w:t>
      </w:r>
      <w:hyperlink r:id="rId38">
        <w:r w:rsidRPr="00AF4741">
          <w:rPr>
            <w:rStyle w:val="Hiperhivatkozs"/>
            <w:rFonts w:asciiTheme="minorHAnsi" w:hAnsiTheme="minorHAnsi" w:cstheme="minorHAnsi"/>
            <w:sz w:val="18"/>
            <w:szCs w:val="18"/>
          </w:rPr>
          <w:t>DH-DD(2024)1245</w:t>
        </w:r>
      </w:hyperlink>
      <w:r w:rsidRPr="00AF4741">
        <w:rPr>
          <w:rFonts w:asciiTheme="minorHAnsi" w:hAnsiTheme="minorHAnsi" w:cstheme="minorHAnsi"/>
          <w:sz w:val="18"/>
          <w:szCs w:val="18"/>
        </w:rPr>
        <w:t xml:space="preserve">, 21 October 2024. See also: </w:t>
      </w:r>
      <w:r w:rsidRPr="00AF4741">
        <w:rPr>
          <w:rFonts w:asciiTheme="minorHAnsi" w:hAnsiTheme="minorHAnsi" w:cstheme="minorHAnsi"/>
          <w:i/>
          <w:iCs/>
          <w:sz w:val="18"/>
          <w:szCs w:val="18"/>
        </w:rPr>
        <w:t>Report to the Hungarian Government on the visit to Hungary carried out by the European Committee for the Prevention of Torture and Inhuman or Degrading Treatment or Punishment (CPT) from 16 to 26 May 2023</w:t>
      </w:r>
      <w:r w:rsidRPr="00AF4741">
        <w:rPr>
          <w:rFonts w:asciiTheme="minorHAnsi" w:hAnsiTheme="minorHAnsi" w:cstheme="minorHAnsi"/>
          <w:sz w:val="18"/>
          <w:szCs w:val="18"/>
        </w:rPr>
        <w:t xml:space="preserve"> (hereinafter: 2023 CPT Report), CPT/Inf (2024) 36, </w:t>
      </w:r>
      <w:hyperlink r:id="rId39" w:history="1">
        <w:r w:rsidRPr="00AF4741">
          <w:rPr>
            <w:rStyle w:val="Hiperhivatkozs"/>
            <w:rFonts w:asciiTheme="minorHAnsi" w:hAnsiTheme="minorHAnsi" w:cstheme="minorHAnsi"/>
            <w:sz w:val="18"/>
            <w:szCs w:val="18"/>
          </w:rPr>
          <w:t>https://rm.coe.int/1680b29ebd</w:t>
        </w:r>
      </w:hyperlink>
      <w:r w:rsidRPr="00AF4741">
        <w:rPr>
          <w:rFonts w:asciiTheme="minorHAnsi" w:hAnsiTheme="minorHAnsi" w:cstheme="minorHAnsi"/>
          <w:sz w:val="18"/>
          <w:szCs w:val="18"/>
        </w:rPr>
        <w:t>.</w:t>
      </w:r>
    </w:p>
  </w:footnote>
  <w:footnote w:id="40">
    <w:p w14:paraId="22B4EA3B" w14:textId="77777777" w:rsidR="002D3333" w:rsidRPr="00AF4741" w:rsidRDefault="002D3333" w:rsidP="00AF4741">
      <w:pPr>
        <w:rPr>
          <w:rFonts w:asciiTheme="minorHAnsi" w:hAnsiTheme="minorHAnsi" w:cstheme="minorHAnsi"/>
          <w:sz w:val="18"/>
          <w:szCs w:val="18"/>
        </w:rPr>
      </w:pPr>
      <w:r w:rsidRPr="00AF4741">
        <w:rPr>
          <w:rFonts w:asciiTheme="minorHAnsi" w:hAnsiTheme="minorHAnsi" w:cstheme="minorHAnsi"/>
          <w:sz w:val="18"/>
          <w:szCs w:val="18"/>
          <w:vertAlign w:val="superscript"/>
        </w:rPr>
        <w:footnoteRef/>
      </w:r>
      <w:r w:rsidRPr="00AF4741">
        <w:rPr>
          <w:rFonts w:asciiTheme="minorHAnsi" w:hAnsiTheme="minorHAnsi" w:cstheme="minorHAnsi"/>
          <w:sz w:val="18"/>
          <w:szCs w:val="18"/>
        </w:rPr>
        <w:t xml:space="preserve"> CCPR/C/HUN/CO/6, §§35–36.</w:t>
      </w:r>
    </w:p>
  </w:footnote>
  <w:footnote w:id="41">
    <w:p w14:paraId="118AA50A" w14:textId="77777777" w:rsidR="002D3333" w:rsidRPr="00AF4741" w:rsidRDefault="002D3333" w:rsidP="00AF4741">
      <w:pPr>
        <w:rPr>
          <w:rFonts w:asciiTheme="minorHAnsi" w:hAnsiTheme="minorHAnsi" w:cstheme="minorHAnsi"/>
          <w:sz w:val="18"/>
          <w:szCs w:val="18"/>
        </w:rPr>
      </w:pPr>
      <w:r w:rsidRPr="00AF4741">
        <w:rPr>
          <w:rFonts w:asciiTheme="minorHAnsi" w:hAnsiTheme="minorHAnsi" w:cstheme="minorHAnsi"/>
          <w:sz w:val="18"/>
          <w:szCs w:val="18"/>
          <w:vertAlign w:val="superscript"/>
        </w:rPr>
        <w:footnoteRef/>
      </w:r>
      <w:r w:rsidRPr="00AF4741">
        <w:rPr>
          <w:rFonts w:asciiTheme="minorHAnsi" w:hAnsiTheme="minorHAnsi" w:cstheme="minorHAnsi"/>
          <w:sz w:val="18"/>
          <w:szCs w:val="18"/>
        </w:rPr>
        <w:t xml:space="preserve"> Based on data provided by the Chief Prosecutor’s Office in response to HHC’s FOI requests (2020–2024). The ratio is calculated based on cases in which the prosecution reached a decision each year, not based on the number of criminal proceedings initiated that year. Notably, the rate of alleged “coercive interrogation” cases was 0% in three of the five years concerned.</w:t>
      </w:r>
    </w:p>
  </w:footnote>
  <w:footnote w:id="42">
    <w:p w14:paraId="0EEA2EAD" w14:textId="77777777" w:rsidR="002D3333" w:rsidRPr="00AF4741" w:rsidRDefault="002D3333" w:rsidP="00AF4741">
      <w:pPr>
        <w:rPr>
          <w:rFonts w:asciiTheme="minorHAnsi" w:hAnsiTheme="minorHAnsi" w:cstheme="minorHAnsi"/>
          <w:sz w:val="18"/>
          <w:szCs w:val="18"/>
        </w:rPr>
      </w:pPr>
      <w:r w:rsidRPr="00AF4741">
        <w:rPr>
          <w:rFonts w:asciiTheme="minorHAnsi" w:hAnsiTheme="minorHAnsi" w:cstheme="minorHAnsi"/>
          <w:sz w:val="18"/>
          <w:szCs w:val="18"/>
          <w:vertAlign w:val="superscript"/>
        </w:rPr>
        <w:footnoteRef/>
      </w:r>
      <w:r w:rsidRPr="00AF4741">
        <w:rPr>
          <w:rFonts w:asciiTheme="minorHAnsi" w:hAnsiTheme="minorHAnsi" w:cstheme="minorHAnsi"/>
          <w:sz w:val="18"/>
          <w:szCs w:val="18"/>
        </w:rPr>
        <w:t xml:space="preserve"> See the </w:t>
      </w:r>
      <w:r w:rsidRPr="00AF4741">
        <w:rPr>
          <w:rFonts w:asciiTheme="minorHAnsi" w:hAnsiTheme="minorHAnsi" w:cstheme="minorHAnsi"/>
          <w:i/>
          <w:iCs/>
          <w:sz w:val="18"/>
          <w:szCs w:val="18"/>
        </w:rPr>
        <w:t>Gubacsi v. Hungary</w:t>
      </w:r>
      <w:r w:rsidRPr="00AF4741">
        <w:rPr>
          <w:rFonts w:asciiTheme="minorHAnsi" w:hAnsiTheme="minorHAnsi" w:cstheme="minorHAnsi"/>
          <w:sz w:val="18"/>
          <w:szCs w:val="18"/>
        </w:rPr>
        <w:t xml:space="preserve"> group of cases: </w:t>
      </w:r>
      <w:hyperlink r:id="rId40" w:history="1">
        <w:r w:rsidRPr="00AF4741">
          <w:rPr>
            <w:rStyle w:val="Hiperhivatkozs"/>
            <w:rFonts w:asciiTheme="minorHAnsi" w:hAnsiTheme="minorHAnsi" w:cstheme="minorHAnsi"/>
            <w:sz w:val="18"/>
            <w:szCs w:val="18"/>
          </w:rPr>
          <w:t>https://hudoc.exec.coe.int/eng?i=004-10515</w:t>
        </w:r>
      </w:hyperlink>
      <w:r w:rsidRPr="00AF4741">
        <w:rPr>
          <w:rFonts w:asciiTheme="minorHAnsi" w:hAnsiTheme="minorHAnsi" w:cstheme="minorHAnsi"/>
          <w:sz w:val="18"/>
          <w:szCs w:val="18"/>
        </w:rPr>
        <w:t>.</w:t>
      </w:r>
    </w:p>
  </w:footnote>
  <w:footnote w:id="43">
    <w:p w14:paraId="490D659C" w14:textId="77777777" w:rsidR="002D3333" w:rsidRPr="00AF4741" w:rsidRDefault="002D3333" w:rsidP="00AF4741">
      <w:pPr>
        <w:rPr>
          <w:rFonts w:asciiTheme="minorHAnsi" w:hAnsiTheme="minorHAnsi" w:cstheme="minorHAnsi"/>
          <w:sz w:val="18"/>
          <w:szCs w:val="18"/>
        </w:rPr>
      </w:pPr>
      <w:r w:rsidRPr="00AF4741">
        <w:rPr>
          <w:rFonts w:asciiTheme="minorHAnsi" w:hAnsiTheme="minorHAnsi" w:cstheme="minorHAnsi"/>
          <w:sz w:val="18"/>
          <w:szCs w:val="18"/>
          <w:vertAlign w:val="superscript"/>
        </w:rPr>
        <w:footnoteRef/>
      </w:r>
      <w:r w:rsidRPr="00AF4741">
        <w:rPr>
          <w:rFonts w:asciiTheme="minorHAnsi" w:hAnsiTheme="minorHAnsi" w:cstheme="minorHAnsi"/>
          <w:sz w:val="18"/>
          <w:szCs w:val="18"/>
        </w:rPr>
        <w:t xml:space="preserve"> Hungarian Helsinki Committee, </w:t>
      </w:r>
      <w:r w:rsidRPr="00AF4741">
        <w:rPr>
          <w:rFonts w:asciiTheme="minorHAnsi" w:hAnsiTheme="minorHAnsi" w:cstheme="minorHAnsi"/>
          <w:i/>
          <w:iCs/>
          <w:sz w:val="18"/>
          <w:szCs w:val="18"/>
        </w:rPr>
        <w:t>Synthesis of ombudsman reports and institutional findings (2011-2025): Analytical overview of systemic abuse in closed institutions</w:t>
      </w:r>
      <w:r w:rsidRPr="00AF4741">
        <w:rPr>
          <w:rFonts w:asciiTheme="minorHAnsi" w:hAnsiTheme="minorHAnsi" w:cstheme="minorHAnsi"/>
          <w:sz w:val="18"/>
          <w:szCs w:val="18"/>
        </w:rPr>
        <w:t xml:space="preserve">, Annex I. Available in Hungarian at: </w:t>
      </w:r>
      <w:hyperlink r:id="rId41">
        <w:r w:rsidRPr="00AF4741">
          <w:rPr>
            <w:rStyle w:val="Hiperhivatkozs"/>
            <w:rFonts w:asciiTheme="minorHAnsi" w:hAnsiTheme="minorHAnsi" w:cstheme="minorHAnsi"/>
            <w:sz w:val="18"/>
            <w:szCs w:val="18"/>
          </w:rPr>
          <w:t>https://helsinki.hu/intezeti-bantalmazasok-ajbh/</w:t>
        </w:r>
      </w:hyperlink>
      <w:r w:rsidRPr="00AF4741">
        <w:rPr>
          <w:rFonts w:asciiTheme="minorHAnsi" w:hAnsiTheme="minorHAnsi" w:cstheme="minorHAnsi"/>
          <w:sz w:val="18"/>
          <w:szCs w:val="18"/>
        </w:rPr>
        <w:t>.</w:t>
      </w:r>
    </w:p>
  </w:footnote>
  <w:footnote w:id="44">
    <w:p w14:paraId="72E36C55" w14:textId="77777777" w:rsidR="00E94BDD" w:rsidRPr="00AF4741" w:rsidRDefault="00E94BDD" w:rsidP="00AF4741">
      <w:pPr>
        <w:pStyle w:val="Lbjegyzetszveg"/>
        <w:rPr>
          <w:rFonts w:asciiTheme="minorHAnsi" w:hAnsiTheme="minorHAnsi" w:cstheme="minorHAnsi"/>
          <w:sz w:val="18"/>
          <w:szCs w:val="18"/>
        </w:rPr>
      </w:pPr>
      <w:r w:rsidRPr="00AF4741">
        <w:rPr>
          <w:rStyle w:val="Lbjegyzet-hivatkozs"/>
          <w:rFonts w:asciiTheme="minorHAnsi" w:hAnsiTheme="minorHAnsi" w:cstheme="minorHAnsi"/>
          <w:sz w:val="18"/>
          <w:szCs w:val="18"/>
        </w:rPr>
        <w:footnoteRef/>
      </w:r>
      <w:r w:rsidRPr="00AF4741">
        <w:rPr>
          <w:rFonts w:asciiTheme="minorHAnsi" w:hAnsiTheme="minorHAnsi" w:cstheme="minorHAnsi"/>
          <w:sz w:val="18"/>
          <w:szCs w:val="18"/>
        </w:rPr>
        <w:t xml:space="preserve"> CCPR/C/HUN/CO6, §§46–48., 60.</w:t>
      </w:r>
    </w:p>
  </w:footnote>
  <w:footnote w:id="45">
    <w:p w14:paraId="19BFF317" w14:textId="77777777" w:rsidR="00E94BDD" w:rsidRPr="00AF4741" w:rsidRDefault="00E94BDD" w:rsidP="00AF4741">
      <w:pPr>
        <w:pStyle w:val="Lbjegyzetszveg"/>
        <w:rPr>
          <w:rFonts w:asciiTheme="minorHAnsi" w:hAnsiTheme="minorHAnsi" w:cstheme="minorHAnsi"/>
          <w:sz w:val="18"/>
          <w:szCs w:val="18"/>
        </w:rPr>
      </w:pPr>
      <w:r w:rsidRPr="00AF4741">
        <w:rPr>
          <w:rStyle w:val="Lbjegyzet-hivatkozs"/>
          <w:rFonts w:asciiTheme="minorHAnsi" w:hAnsiTheme="minorHAnsi" w:cstheme="minorHAnsi"/>
          <w:sz w:val="18"/>
          <w:szCs w:val="18"/>
        </w:rPr>
        <w:footnoteRef/>
      </w:r>
      <w:r w:rsidRPr="00AF4741">
        <w:rPr>
          <w:rFonts w:asciiTheme="minorHAnsi" w:hAnsiTheme="minorHAnsi" w:cstheme="minorHAnsi"/>
          <w:sz w:val="18"/>
          <w:szCs w:val="18"/>
        </w:rPr>
        <w:t xml:space="preserve"> See the </w:t>
      </w:r>
      <w:r w:rsidRPr="00AF4741">
        <w:rPr>
          <w:rFonts w:asciiTheme="minorHAnsi" w:hAnsiTheme="minorHAnsi" w:cstheme="minorHAnsi"/>
          <w:i/>
          <w:iCs/>
          <w:sz w:val="18"/>
          <w:szCs w:val="18"/>
        </w:rPr>
        <w:t>Shahzad v. Hungary (no. 2.)</w:t>
      </w:r>
      <w:r w:rsidRPr="00AF4741">
        <w:rPr>
          <w:rFonts w:asciiTheme="minorHAnsi" w:hAnsiTheme="minorHAnsi" w:cstheme="minorHAnsi"/>
          <w:sz w:val="18"/>
          <w:szCs w:val="18"/>
        </w:rPr>
        <w:t xml:space="preserve"> group of cases: </w:t>
      </w:r>
      <w:hyperlink r:id="rId42" w:history="1">
        <w:r w:rsidRPr="00AF4741">
          <w:rPr>
            <w:rStyle w:val="Hiperhivatkozs"/>
            <w:rFonts w:asciiTheme="minorHAnsi" w:hAnsiTheme="minorHAnsi" w:cstheme="minorHAnsi"/>
            <w:sz w:val="18"/>
            <w:szCs w:val="18"/>
          </w:rPr>
          <w:t>https://hudoc.exec.coe.int/?i=004-64770</w:t>
        </w:r>
      </w:hyperlink>
      <w:r w:rsidRPr="00AF4741">
        <w:rPr>
          <w:rFonts w:asciiTheme="minorHAnsi" w:hAnsiTheme="minorHAnsi" w:cstheme="minorHAnsi"/>
          <w:sz w:val="18"/>
          <w:szCs w:val="18"/>
        </w:rPr>
        <w:t xml:space="preserve"> and </w:t>
      </w:r>
      <w:proofErr w:type="spellStart"/>
      <w:r w:rsidRPr="00AF4741">
        <w:rPr>
          <w:rFonts w:asciiTheme="minorHAnsi" w:hAnsiTheme="minorHAnsi" w:cstheme="minorHAnsi"/>
          <w:i/>
          <w:iCs/>
          <w:sz w:val="18"/>
          <w:szCs w:val="18"/>
        </w:rPr>
        <w:t>Alhowais</w:t>
      </w:r>
      <w:proofErr w:type="spellEnd"/>
      <w:r w:rsidRPr="00AF4741">
        <w:rPr>
          <w:rFonts w:asciiTheme="minorHAnsi" w:hAnsiTheme="minorHAnsi" w:cstheme="minorHAnsi"/>
          <w:i/>
          <w:iCs/>
          <w:sz w:val="18"/>
          <w:szCs w:val="18"/>
        </w:rPr>
        <w:t xml:space="preserve"> v. Hungary: </w:t>
      </w:r>
      <w:hyperlink r:id="rId43" w:history="1">
        <w:r w:rsidRPr="00AF4741">
          <w:rPr>
            <w:rStyle w:val="Hiperhivatkozs"/>
            <w:rFonts w:asciiTheme="minorHAnsi" w:hAnsiTheme="minorHAnsi" w:cstheme="minorHAnsi"/>
            <w:sz w:val="18"/>
            <w:szCs w:val="18"/>
          </w:rPr>
          <w:t>https://hudoc.exec.coe.int/?i=004-63257</w:t>
        </w:r>
      </w:hyperlink>
      <w:r w:rsidRPr="00AF4741">
        <w:rPr>
          <w:rFonts w:asciiTheme="minorHAnsi" w:hAnsiTheme="minorHAnsi" w:cstheme="minorHAnsi"/>
          <w:sz w:val="18"/>
          <w:szCs w:val="18"/>
        </w:rPr>
        <w:t xml:space="preserve">. </w:t>
      </w:r>
    </w:p>
  </w:footnote>
  <w:footnote w:id="46">
    <w:p w14:paraId="73DD76B8" w14:textId="77777777" w:rsidR="00E94BDD" w:rsidRPr="00AF4741" w:rsidRDefault="00E94BDD" w:rsidP="00AF4741">
      <w:pPr>
        <w:pStyle w:val="Lbjegyzetszveg"/>
        <w:rPr>
          <w:rFonts w:asciiTheme="minorHAnsi" w:hAnsiTheme="minorHAnsi" w:cstheme="minorHAnsi"/>
          <w:sz w:val="18"/>
          <w:szCs w:val="18"/>
        </w:rPr>
      </w:pPr>
      <w:r w:rsidRPr="00AF4741">
        <w:rPr>
          <w:rStyle w:val="Lbjegyzet-hivatkozs"/>
          <w:rFonts w:asciiTheme="minorHAnsi" w:hAnsiTheme="minorHAnsi" w:cstheme="minorHAnsi"/>
          <w:sz w:val="18"/>
          <w:szCs w:val="18"/>
        </w:rPr>
        <w:footnoteRef/>
      </w:r>
      <w:r w:rsidRPr="00AF4741">
        <w:rPr>
          <w:rFonts w:asciiTheme="minorHAnsi" w:hAnsiTheme="minorHAnsi" w:cstheme="minorHAnsi"/>
          <w:sz w:val="18"/>
          <w:szCs w:val="18"/>
        </w:rPr>
        <w:t xml:space="preserve"> CCPR/C/HUN/CO/5, §14.; CCPR/C/HUN/CO6, §§35–36. and 47–48.</w:t>
      </w:r>
    </w:p>
  </w:footnote>
  <w:footnote w:id="47">
    <w:p w14:paraId="21FFE572" w14:textId="77777777" w:rsidR="002D3333" w:rsidRPr="00AF4741" w:rsidRDefault="002D3333" w:rsidP="00AF4741">
      <w:pPr>
        <w:rPr>
          <w:rFonts w:asciiTheme="minorHAnsi" w:hAnsiTheme="minorHAnsi" w:cstheme="minorHAnsi"/>
          <w:sz w:val="18"/>
          <w:szCs w:val="18"/>
        </w:rPr>
      </w:pPr>
      <w:r w:rsidRPr="00AF4741">
        <w:rPr>
          <w:rFonts w:asciiTheme="minorHAnsi" w:hAnsiTheme="minorHAnsi" w:cstheme="minorHAnsi"/>
          <w:sz w:val="18"/>
          <w:szCs w:val="18"/>
          <w:vertAlign w:val="superscript"/>
        </w:rPr>
        <w:footnoteRef/>
      </w:r>
      <w:r w:rsidRPr="00AF4741">
        <w:rPr>
          <w:rFonts w:asciiTheme="minorHAnsi" w:hAnsiTheme="minorHAnsi" w:cstheme="minorHAnsi"/>
          <w:sz w:val="18"/>
          <w:szCs w:val="18"/>
        </w:rPr>
        <w:t xml:space="preserve"> </w:t>
      </w:r>
      <w:hyperlink r:id="rId44" w:history="1">
        <w:r w:rsidRPr="00AF4741">
          <w:rPr>
            <w:rStyle w:val="Hiperhivatkozs"/>
            <w:rFonts w:asciiTheme="minorHAnsi" w:hAnsiTheme="minorHAnsi" w:cstheme="minorHAnsi"/>
            <w:sz w:val="18"/>
            <w:szCs w:val="18"/>
          </w:rPr>
          <w:t>CM/</w:t>
        </w:r>
        <w:proofErr w:type="spellStart"/>
        <w:proofErr w:type="gramStart"/>
        <w:r w:rsidRPr="00AF4741">
          <w:rPr>
            <w:rStyle w:val="Hiperhivatkozs"/>
            <w:rFonts w:asciiTheme="minorHAnsi" w:hAnsiTheme="minorHAnsi" w:cstheme="minorHAnsi"/>
            <w:sz w:val="18"/>
            <w:szCs w:val="18"/>
          </w:rPr>
          <w:t>ResDH</w:t>
        </w:r>
        <w:proofErr w:type="spellEnd"/>
        <w:r w:rsidRPr="00AF4741">
          <w:rPr>
            <w:rStyle w:val="Hiperhivatkozs"/>
            <w:rFonts w:asciiTheme="minorHAnsi" w:hAnsiTheme="minorHAnsi" w:cstheme="minorHAnsi"/>
            <w:sz w:val="18"/>
            <w:szCs w:val="18"/>
          </w:rPr>
          <w:t>(</w:t>
        </w:r>
        <w:proofErr w:type="gramEnd"/>
        <w:r w:rsidRPr="00AF4741">
          <w:rPr>
            <w:rStyle w:val="Hiperhivatkozs"/>
            <w:rFonts w:asciiTheme="minorHAnsi" w:hAnsiTheme="minorHAnsi" w:cstheme="minorHAnsi"/>
            <w:sz w:val="18"/>
            <w:szCs w:val="18"/>
          </w:rPr>
          <w:t>2024)202</w:t>
        </w:r>
      </w:hyperlink>
      <w:r w:rsidRPr="00AF4741">
        <w:rPr>
          <w:rFonts w:asciiTheme="minorHAnsi" w:hAnsiTheme="minorHAnsi" w:cstheme="minorHAnsi"/>
          <w:sz w:val="18"/>
          <w:szCs w:val="18"/>
        </w:rPr>
        <w:t>, 19 September 2024</w:t>
      </w:r>
    </w:p>
  </w:footnote>
  <w:footnote w:id="48">
    <w:p w14:paraId="7111FCBC" w14:textId="77777777" w:rsidR="002D3333" w:rsidRPr="00AF4741" w:rsidRDefault="002D3333" w:rsidP="00AF4741">
      <w:pPr>
        <w:pStyle w:val="Lbjegyzetszveg"/>
        <w:rPr>
          <w:rFonts w:asciiTheme="minorHAnsi" w:hAnsiTheme="minorHAnsi" w:cstheme="minorHAnsi"/>
          <w:sz w:val="18"/>
          <w:szCs w:val="18"/>
          <w:lang w:val="hu-HU"/>
        </w:rPr>
      </w:pPr>
      <w:r w:rsidRPr="00AF4741">
        <w:rPr>
          <w:rStyle w:val="Lbjegyzet-hivatkozs"/>
          <w:rFonts w:asciiTheme="minorHAnsi" w:hAnsiTheme="minorHAnsi" w:cstheme="minorHAnsi"/>
          <w:sz w:val="18"/>
          <w:szCs w:val="18"/>
        </w:rPr>
        <w:footnoteRef/>
      </w:r>
      <w:r w:rsidRPr="00AF4741">
        <w:rPr>
          <w:rFonts w:asciiTheme="minorHAnsi" w:hAnsiTheme="minorHAnsi" w:cstheme="minorHAnsi"/>
          <w:sz w:val="18"/>
          <w:szCs w:val="18"/>
        </w:rPr>
        <w:t xml:space="preserve"> 2023 CPT Report, §93.</w:t>
      </w:r>
    </w:p>
  </w:footnote>
  <w:footnote w:id="49">
    <w:p w14:paraId="5A19AC96" w14:textId="77777777" w:rsidR="002D3333" w:rsidRPr="00AF4741" w:rsidRDefault="002D3333" w:rsidP="00AF4741">
      <w:pPr>
        <w:pStyle w:val="Lbjegyzetszveg"/>
        <w:rPr>
          <w:rFonts w:asciiTheme="minorHAnsi" w:hAnsiTheme="minorHAnsi" w:cstheme="minorHAnsi"/>
          <w:sz w:val="18"/>
          <w:szCs w:val="18"/>
        </w:rPr>
      </w:pPr>
      <w:r w:rsidRPr="00AF4741">
        <w:rPr>
          <w:rStyle w:val="Lbjegyzet-hivatkozs"/>
          <w:rFonts w:asciiTheme="minorHAnsi" w:hAnsiTheme="minorHAnsi" w:cstheme="minorHAnsi"/>
          <w:sz w:val="18"/>
          <w:szCs w:val="18"/>
        </w:rPr>
        <w:footnoteRef/>
      </w:r>
      <w:r w:rsidRPr="00AF4741">
        <w:rPr>
          <w:rFonts w:asciiTheme="minorHAnsi" w:hAnsiTheme="minorHAnsi" w:cstheme="minorHAnsi"/>
          <w:sz w:val="18"/>
          <w:szCs w:val="18"/>
        </w:rPr>
        <w:t xml:space="preserve"> CCPR/C/HUN/CO/6, §§39–40.</w:t>
      </w:r>
    </w:p>
  </w:footnote>
  <w:footnote w:id="50">
    <w:p w14:paraId="25FECCBD" w14:textId="77777777" w:rsidR="002D3333" w:rsidRPr="00AF4741" w:rsidRDefault="002D3333" w:rsidP="00AF4741">
      <w:pPr>
        <w:pStyle w:val="Lbjegyzetszveg"/>
        <w:rPr>
          <w:rFonts w:asciiTheme="minorHAnsi" w:hAnsiTheme="minorHAnsi" w:cstheme="minorHAnsi"/>
          <w:sz w:val="18"/>
          <w:szCs w:val="18"/>
        </w:rPr>
      </w:pPr>
      <w:r w:rsidRPr="00AF4741">
        <w:rPr>
          <w:rStyle w:val="Lbjegyzet-hivatkozs"/>
          <w:rFonts w:asciiTheme="minorHAnsi" w:hAnsiTheme="minorHAnsi" w:cstheme="minorHAnsi"/>
          <w:sz w:val="18"/>
          <w:szCs w:val="18"/>
        </w:rPr>
        <w:footnoteRef/>
      </w:r>
      <w:r w:rsidRPr="00AF4741">
        <w:rPr>
          <w:rFonts w:asciiTheme="minorHAnsi" w:hAnsiTheme="minorHAnsi" w:cstheme="minorHAnsi"/>
          <w:sz w:val="18"/>
          <w:szCs w:val="18"/>
        </w:rPr>
        <w:t xml:space="preserve"> For details, see the HHC’s latest Rule 9.2 communication in the </w:t>
      </w:r>
      <w:r w:rsidRPr="00AF4741">
        <w:rPr>
          <w:rFonts w:asciiTheme="minorHAnsi" w:hAnsiTheme="minorHAnsi" w:cstheme="minorHAnsi"/>
          <w:i/>
          <w:iCs/>
          <w:sz w:val="18"/>
          <w:szCs w:val="18"/>
        </w:rPr>
        <w:t>László Magyar v. Hungary</w:t>
      </w:r>
      <w:r w:rsidRPr="00AF4741">
        <w:rPr>
          <w:rFonts w:asciiTheme="minorHAnsi" w:hAnsiTheme="minorHAnsi" w:cstheme="minorHAnsi"/>
          <w:sz w:val="18"/>
          <w:szCs w:val="18"/>
        </w:rPr>
        <w:t xml:space="preserve"> group of cases: </w:t>
      </w:r>
      <w:hyperlink r:id="rId45">
        <w:r w:rsidRPr="00AF4741">
          <w:rPr>
            <w:rStyle w:val="Hiperhivatkozs"/>
            <w:rFonts w:asciiTheme="minorHAnsi" w:hAnsiTheme="minorHAnsi" w:cstheme="minorHAnsi"/>
            <w:sz w:val="18"/>
            <w:szCs w:val="18"/>
          </w:rPr>
          <w:t>DH-DD(2025)506</w:t>
        </w:r>
      </w:hyperlink>
      <w:r w:rsidRPr="00AF4741">
        <w:rPr>
          <w:rFonts w:asciiTheme="minorHAnsi" w:hAnsiTheme="minorHAnsi" w:cstheme="minorHAnsi"/>
          <w:sz w:val="18"/>
          <w:szCs w:val="18"/>
        </w:rPr>
        <w:t>, 22 April 2025.</w:t>
      </w:r>
    </w:p>
  </w:footnote>
  <w:footnote w:id="51">
    <w:p w14:paraId="3B0124C2" w14:textId="77777777" w:rsidR="002D3333" w:rsidRPr="00AF4741" w:rsidRDefault="002D3333" w:rsidP="00AF4741">
      <w:pPr>
        <w:pStyle w:val="Lbjegyzetszveg"/>
        <w:rPr>
          <w:rFonts w:asciiTheme="minorHAnsi" w:hAnsiTheme="minorHAnsi" w:cstheme="minorHAnsi"/>
          <w:sz w:val="18"/>
          <w:szCs w:val="18"/>
        </w:rPr>
      </w:pPr>
      <w:r w:rsidRPr="00AF4741">
        <w:rPr>
          <w:rStyle w:val="Lbjegyzet-hivatkozs"/>
          <w:rFonts w:asciiTheme="minorHAnsi" w:hAnsiTheme="minorHAnsi" w:cstheme="minorHAnsi"/>
          <w:sz w:val="18"/>
          <w:szCs w:val="18"/>
        </w:rPr>
        <w:footnoteRef/>
      </w:r>
      <w:r w:rsidRPr="00AF4741">
        <w:rPr>
          <w:rFonts w:asciiTheme="minorHAnsi" w:hAnsiTheme="minorHAnsi" w:cstheme="minorHAnsi"/>
          <w:sz w:val="18"/>
          <w:szCs w:val="18"/>
        </w:rPr>
        <w:t xml:space="preserve"> Cf. </w:t>
      </w:r>
      <w:r w:rsidRPr="00AF4741">
        <w:rPr>
          <w:rFonts w:asciiTheme="minorHAnsi" w:hAnsiTheme="minorHAnsi" w:cstheme="minorHAnsi"/>
          <w:sz w:val="18"/>
          <w:szCs w:val="18"/>
          <w:lang w:eastAsia="en-GB"/>
        </w:rPr>
        <w:t>CCPR/C/HUN/CO/6, §40.</w:t>
      </w:r>
    </w:p>
  </w:footnote>
  <w:footnote w:id="52">
    <w:p w14:paraId="35EC05DC" w14:textId="77777777" w:rsidR="002D3333" w:rsidRPr="00AF4741" w:rsidRDefault="002D3333" w:rsidP="00AF4741">
      <w:pPr>
        <w:rPr>
          <w:rFonts w:asciiTheme="minorHAnsi" w:hAnsiTheme="minorHAnsi" w:cstheme="minorHAnsi"/>
          <w:sz w:val="18"/>
          <w:szCs w:val="18"/>
        </w:rPr>
      </w:pPr>
      <w:r w:rsidRPr="00AF4741">
        <w:rPr>
          <w:rFonts w:asciiTheme="minorHAnsi" w:hAnsiTheme="minorHAnsi" w:cstheme="minorHAnsi"/>
          <w:sz w:val="18"/>
          <w:szCs w:val="18"/>
          <w:vertAlign w:val="superscript"/>
        </w:rPr>
        <w:footnoteRef/>
      </w:r>
      <w:r w:rsidRPr="00AF4741">
        <w:rPr>
          <w:rFonts w:asciiTheme="minorHAnsi" w:hAnsiTheme="minorHAnsi" w:cstheme="minorHAnsi"/>
          <w:sz w:val="18"/>
          <w:szCs w:val="18"/>
        </w:rPr>
        <w:t xml:space="preserve"> For details, see the HHC’s latest Rule 9.2 communication in the </w:t>
      </w:r>
      <w:r w:rsidRPr="00AF4741">
        <w:rPr>
          <w:rFonts w:asciiTheme="minorHAnsi" w:hAnsiTheme="minorHAnsi" w:cstheme="minorHAnsi"/>
          <w:i/>
          <w:iCs/>
          <w:sz w:val="18"/>
          <w:szCs w:val="18"/>
        </w:rPr>
        <w:t>István Gábor Kovács</w:t>
      </w:r>
      <w:r w:rsidRPr="00AF4741">
        <w:rPr>
          <w:rFonts w:asciiTheme="minorHAnsi" w:hAnsiTheme="minorHAnsi" w:cstheme="minorHAnsi"/>
          <w:sz w:val="18"/>
          <w:szCs w:val="18"/>
        </w:rPr>
        <w:t xml:space="preserve"> and </w:t>
      </w:r>
      <w:r w:rsidRPr="00AF4741">
        <w:rPr>
          <w:rFonts w:asciiTheme="minorHAnsi" w:hAnsiTheme="minorHAnsi" w:cstheme="minorHAnsi"/>
          <w:i/>
          <w:iCs/>
          <w:sz w:val="18"/>
          <w:szCs w:val="18"/>
        </w:rPr>
        <w:t>Varga and Others v. Hungary</w:t>
      </w:r>
      <w:r w:rsidRPr="00AF4741">
        <w:rPr>
          <w:rFonts w:asciiTheme="minorHAnsi" w:hAnsiTheme="minorHAnsi" w:cstheme="minorHAnsi"/>
          <w:sz w:val="18"/>
          <w:szCs w:val="18"/>
        </w:rPr>
        <w:t xml:space="preserve"> group of cases: </w:t>
      </w:r>
      <w:hyperlink r:id="rId46">
        <w:r w:rsidRPr="00AF4741">
          <w:rPr>
            <w:rStyle w:val="Hiperhivatkozs"/>
            <w:rFonts w:asciiTheme="minorHAnsi" w:hAnsiTheme="minorHAnsi" w:cstheme="minorHAnsi"/>
            <w:sz w:val="18"/>
            <w:szCs w:val="18"/>
          </w:rPr>
          <w:t>DH-DD(2025)114</w:t>
        </w:r>
      </w:hyperlink>
      <w:r w:rsidRPr="00AF4741">
        <w:rPr>
          <w:rFonts w:asciiTheme="minorHAnsi" w:hAnsiTheme="minorHAnsi" w:cstheme="minorHAnsi"/>
          <w:sz w:val="18"/>
          <w:szCs w:val="18"/>
        </w:rPr>
        <w:t>, 29 January 2025.</w:t>
      </w:r>
    </w:p>
  </w:footnote>
  <w:footnote w:id="53">
    <w:p w14:paraId="3AA9AB87" w14:textId="77777777" w:rsidR="002D3333" w:rsidRPr="00AF4741" w:rsidRDefault="002D3333" w:rsidP="00AF4741">
      <w:pPr>
        <w:rPr>
          <w:rFonts w:asciiTheme="minorHAnsi" w:hAnsiTheme="minorHAnsi" w:cstheme="minorHAnsi"/>
          <w:sz w:val="18"/>
          <w:szCs w:val="18"/>
        </w:rPr>
      </w:pPr>
      <w:r w:rsidRPr="00AF4741">
        <w:rPr>
          <w:rFonts w:asciiTheme="minorHAnsi" w:hAnsiTheme="minorHAnsi" w:cstheme="minorHAnsi"/>
          <w:sz w:val="18"/>
          <w:szCs w:val="18"/>
          <w:vertAlign w:val="superscript"/>
        </w:rPr>
        <w:footnoteRef/>
      </w:r>
      <w:r w:rsidRPr="00AF4741">
        <w:rPr>
          <w:rFonts w:asciiTheme="minorHAnsi" w:hAnsiTheme="minorHAnsi" w:cstheme="minorHAnsi"/>
          <w:sz w:val="18"/>
          <w:szCs w:val="18"/>
        </w:rPr>
        <w:t xml:space="preserve"> 2023 CPT Report, §141.</w:t>
      </w:r>
    </w:p>
  </w:footnote>
  <w:footnote w:id="54">
    <w:p w14:paraId="1A263562" w14:textId="77777777" w:rsidR="002D3333" w:rsidRPr="00AF4741" w:rsidRDefault="002D3333" w:rsidP="00AF4741">
      <w:pPr>
        <w:rPr>
          <w:rFonts w:asciiTheme="minorHAnsi" w:hAnsiTheme="minorHAnsi" w:cstheme="minorHAnsi"/>
          <w:sz w:val="18"/>
          <w:szCs w:val="18"/>
        </w:rPr>
      </w:pPr>
      <w:r w:rsidRPr="00AF4741">
        <w:rPr>
          <w:rFonts w:asciiTheme="minorHAnsi" w:hAnsiTheme="minorHAnsi" w:cstheme="minorHAnsi"/>
          <w:sz w:val="18"/>
          <w:szCs w:val="18"/>
          <w:vertAlign w:val="superscript"/>
        </w:rPr>
        <w:footnoteRef/>
      </w:r>
      <w:r w:rsidRPr="00AF4741">
        <w:rPr>
          <w:rFonts w:asciiTheme="minorHAnsi" w:hAnsiTheme="minorHAnsi" w:cstheme="minorHAnsi"/>
          <w:sz w:val="18"/>
          <w:szCs w:val="18"/>
        </w:rPr>
        <w:t xml:space="preserve"> CCPR/C/HUN/CO/6, §§37–38.</w:t>
      </w:r>
    </w:p>
  </w:footnote>
  <w:footnote w:id="55">
    <w:p w14:paraId="65787955" w14:textId="77777777" w:rsidR="002F7662" w:rsidRPr="00AF4741" w:rsidRDefault="002F7662" w:rsidP="00AF4741">
      <w:pPr>
        <w:pStyle w:val="Lbjegyzetszveg"/>
        <w:rPr>
          <w:rFonts w:asciiTheme="minorHAnsi" w:hAnsiTheme="minorHAnsi" w:cstheme="minorHAnsi"/>
          <w:sz w:val="18"/>
          <w:szCs w:val="18"/>
        </w:rPr>
      </w:pPr>
      <w:r w:rsidRPr="00AF4741">
        <w:rPr>
          <w:rStyle w:val="Lbjegyzet-hivatkozs"/>
          <w:rFonts w:asciiTheme="minorHAnsi" w:hAnsiTheme="minorHAnsi" w:cstheme="minorHAnsi"/>
          <w:sz w:val="18"/>
          <w:szCs w:val="18"/>
        </w:rPr>
        <w:footnoteRef/>
      </w:r>
      <w:r w:rsidRPr="00AF4741">
        <w:rPr>
          <w:rFonts w:asciiTheme="minorHAnsi" w:hAnsiTheme="minorHAnsi" w:cstheme="minorHAnsi"/>
          <w:sz w:val="18"/>
          <w:szCs w:val="18"/>
        </w:rPr>
        <w:t xml:space="preserve"> See the </w:t>
      </w:r>
      <w:proofErr w:type="spellStart"/>
      <w:r w:rsidRPr="00AF4741">
        <w:rPr>
          <w:rFonts w:asciiTheme="minorHAnsi" w:hAnsiTheme="minorHAnsi" w:cstheme="minorHAnsi"/>
          <w:i/>
          <w:iCs/>
          <w:sz w:val="18"/>
          <w:szCs w:val="18"/>
        </w:rPr>
        <w:t>Lokpo</w:t>
      </w:r>
      <w:proofErr w:type="spellEnd"/>
      <w:r w:rsidRPr="00AF4741">
        <w:rPr>
          <w:rFonts w:asciiTheme="minorHAnsi" w:hAnsiTheme="minorHAnsi" w:cstheme="minorHAnsi"/>
          <w:i/>
          <w:iCs/>
          <w:sz w:val="18"/>
          <w:szCs w:val="18"/>
        </w:rPr>
        <w:t xml:space="preserve"> and Touré v. Hungary</w:t>
      </w:r>
      <w:r w:rsidRPr="00AF4741">
        <w:rPr>
          <w:rFonts w:asciiTheme="minorHAnsi" w:hAnsiTheme="minorHAnsi" w:cstheme="minorHAnsi"/>
          <w:sz w:val="18"/>
          <w:szCs w:val="18"/>
        </w:rPr>
        <w:t xml:space="preserve"> group of cases: </w:t>
      </w:r>
      <w:hyperlink r:id="rId47" w:history="1">
        <w:r w:rsidRPr="00AF4741">
          <w:rPr>
            <w:rStyle w:val="Hiperhivatkozs"/>
            <w:rFonts w:asciiTheme="minorHAnsi" w:hAnsiTheme="minorHAnsi" w:cstheme="minorHAnsi"/>
            <w:sz w:val="18"/>
            <w:szCs w:val="18"/>
          </w:rPr>
          <w:t>https://hudoc.exec.coe.int/?i=004-10637</w:t>
        </w:r>
      </w:hyperlink>
      <w:r w:rsidRPr="00AF4741">
        <w:rPr>
          <w:rFonts w:asciiTheme="minorHAnsi" w:hAnsiTheme="minorHAnsi" w:cstheme="minorHAnsi"/>
          <w:sz w:val="18"/>
          <w:szCs w:val="18"/>
        </w:rPr>
        <w:t xml:space="preserve"> and the </w:t>
      </w:r>
      <w:r w:rsidRPr="00AF4741">
        <w:rPr>
          <w:rFonts w:asciiTheme="minorHAnsi" w:hAnsiTheme="minorHAnsi" w:cstheme="minorHAnsi"/>
          <w:i/>
          <w:iCs/>
          <w:sz w:val="18"/>
          <w:szCs w:val="18"/>
        </w:rPr>
        <w:t xml:space="preserve">M.H. and S.B. </w:t>
      </w:r>
      <w:r w:rsidRPr="00AF4741">
        <w:rPr>
          <w:rFonts w:asciiTheme="minorHAnsi" w:hAnsiTheme="minorHAnsi" w:cstheme="minorHAnsi"/>
          <w:sz w:val="18"/>
          <w:szCs w:val="18"/>
        </w:rPr>
        <w:t xml:space="preserve">case: </w:t>
      </w:r>
      <w:hyperlink r:id="rId48" w:history="1">
        <w:r w:rsidRPr="00AF4741">
          <w:rPr>
            <w:rStyle w:val="Hiperhivatkozs"/>
            <w:rFonts w:asciiTheme="minorHAnsi" w:hAnsiTheme="minorHAnsi" w:cstheme="minorHAnsi"/>
            <w:sz w:val="18"/>
            <w:szCs w:val="18"/>
          </w:rPr>
          <w:t>https://hudoc.exec.coe.int/?i=004-66221</w:t>
        </w:r>
      </w:hyperlink>
      <w:r w:rsidRPr="00AF4741">
        <w:rPr>
          <w:rFonts w:asciiTheme="minorHAnsi" w:hAnsiTheme="minorHAnsi" w:cstheme="minorHAnsi"/>
          <w:sz w:val="18"/>
          <w:szCs w:val="18"/>
        </w:rPr>
        <w:t xml:space="preserve">. </w:t>
      </w:r>
    </w:p>
  </w:footnote>
  <w:footnote w:id="56">
    <w:p w14:paraId="46DAB430" w14:textId="77777777" w:rsidR="002D3333" w:rsidRPr="00AF4741" w:rsidRDefault="002D3333" w:rsidP="00AF4741">
      <w:pPr>
        <w:rPr>
          <w:rFonts w:asciiTheme="minorHAnsi" w:hAnsiTheme="minorHAnsi" w:cstheme="minorHAnsi"/>
          <w:sz w:val="18"/>
          <w:szCs w:val="18"/>
        </w:rPr>
      </w:pPr>
      <w:r w:rsidRPr="00AF4741">
        <w:rPr>
          <w:rFonts w:asciiTheme="minorHAnsi" w:hAnsiTheme="minorHAnsi" w:cstheme="minorHAnsi"/>
          <w:sz w:val="18"/>
          <w:szCs w:val="18"/>
          <w:vertAlign w:val="superscript"/>
        </w:rPr>
        <w:footnoteRef/>
      </w:r>
      <w:r w:rsidRPr="00AF4741">
        <w:rPr>
          <w:rFonts w:asciiTheme="minorHAnsi" w:hAnsiTheme="minorHAnsi" w:cstheme="minorHAnsi"/>
          <w:sz w:val="18"/>
          <w:szCs w:val="18"/>
        </w:rPr>
        <w:t xml:space="preserve"> See e.g.: </w:t>
      </w:r>
      <w:r w:rsidRPr="00AF4741">
        <w:rPr>
          <w:rFonts w:asciiTheme="minorHAnsi" w:hAnsiTheme="minorHAnsi" w:cstheme="minorHAnsi"/>
          <w:i/>
          <w:iCs/>
          <w:sz w:val="18"/>
          <w:szCs w:val="18"/>
        </w:rPr>
        <w:t xml:space="preserve">C-249/11 </w:t>
      </w:r>
      <w:proofErr w:type="spellStart"/>
      <w:r w:rsidRPr="00AF4741">
        <w:rPr>
          <w:rFonts w:asciiTheme="minorHAnsi" w:hAnsiTheme="minorHAnsi" w:cstheme="minorHAnsi"/>
          <w:i/>
          <w:iCs/>
          <w:sz w:val="18"/>
          <w:szCs w:val="18"/>
        </w:rPr>
        <w:t>Byankov</w:t>
      </w:r>
      <w:proofErr w:type="spellEnd"/>
      <w:r w:rsidRPr="00AF4741">
        <w:rPr>
          <w:rFonts w:asciiTheme="minorHAnsi" w:hAnsiTheme="minorHAnsi" w:cstheme="minorHAnsi"/>
          <w:sz w:val="18"/>
          <w:szCs w:val="18"/>
        </w:rPr>
        <w:t xml:space="preserve"> and </w:t>
      </w:r>
      <w:r w:rsidRPr="00AF4741">
        <w:rPr>
          <w:rFonts w:asciiTheme="minorHAnsi" w:hAnsiTheme="minorHAnsi" w:cstheme="minorHAnsi"/>
          <w:i/>
          <w:iCs/>
          <w:sz w:val="18"/>
          <w:szCs w:val="18"/>
        </w:rPr>
        <w:t>C-33/07 Jipa</w:t>
      </w:r>
      <w:r w:rsidRPr="00AF4741">
        <w:rPr>
          <w:rFonts w:asciiTheme="minorHAnsi" w:hAnsiTheme="minorHAnsi" w:cstheme="minorHAnsi"/>
          <w:sz w:val="18"/>
          <w:szCs w:val="18"/>
        </w:rPr>
        <w:t>.</w:t>
      </w:r>
    </w:p>
  </w:footnote>
  <w:footnote w:id="57">
    <w:p w14:paraId="4F3F6922" w14:textId="77777777" w:rsidR="002D3333" w:rsidRPr="00AF4741" w:rsidRDefault="002D3333" w:rsidP="00AF4741">
      <w:pPr>
        <w:pStyle w:val="Lbjegyzetszveg"/>
        <w:rPr>
          <w:rFonts w:asciiTheme="minorHAnsi" w:hAnsiTheme="minorHAnsi" w:cstheme="minorHAnsi"/>
          <w:sz w:val="18"/>
          <w:szCs w:val="18"/>
          <w:lang w:eastAsia="en-GB"/>
        </w:rPr>
      </w:pPr>
      <w:r w:rsidRPr="00AF4741">
        <w:rPr>
          <w:rStyle w:val="Lbjegyzet-hivatkozs"/>
          <w:rFonts w:asciiTheme="minorHAnsi" w:hAnsiTheme="minorHAnsi" w:cstheme="minorHAnsi"/>
          <w:sz w:val="18"/>
          <w:szCs w:val="18"/>
        </w:rPr>
        <w:footnoteRef/>
      </w:r>
      <w:r w:rsidRPr="00AF4741">
        <w:rPr>
          <w:rFonts w:asciiTheme="minorHAnsi" w:hAnsiTheme="minorHAnsi" w:cstheme="minorHAnsi"/>
          <w:sz w:val="18"/>
          <w:szCs w:val="18"/>
        </w:rPr>
        <w:t xml:space="preserve"> </w:t>
      </w:r>
      <w:r w:rsidRPr="00AF4741">
        <w:rPr>
          <w:rFonts w:asciiTheme="minorHAnsi" w:hAnsiTheme="minorHAnsi" w:cstheme="minorHAnsi"/>
          <w:sz w:val="18"/>
          <w:szCs w:val="18"/>
          <w:lang w:eastAsia="en-GB"/>
        </w:rPr>
        <w:t>CCPR/C/HUN/CO/6, §31.</w:t>
      </w:r>
    </w:p>
  </w:footnote>
  <w:footnote w:id="58">
    <w:p w14:paraId="4EB11312" w14:textId="77777777" w:rsidR="002D3333" w:rsidRPr="00AF4741" w:rsidRDefault="002D3333" w:rsidP="00AF4741">
      <w:pPr>
        <w:pStyle w:val="Lbjegyzetszveg"/>
        <w:rPr>
          <w:rFonts w:asciiTheme="minorHAnsi" w:hAnsiTheme="minorHAnsi" w:cstheme="minorHAnsi"/>
          <w:sz w:val="18"/>
          <w:szCs w:val="18"/>
        </w:rPr>
      </w:pPr>
      <w:r w:rsidRPr="00AF4741">
        <w:rPr>
          <w:rStyle w:val="Lbjegyzet-hivatkozs"/>
          <w:rFonts w:asciiTheme="minorHAnsi" w:hAnsiTheme="minorHAnsi" w:cstheme="minorHAnsi"/>
          <w:sz w:val="18"/>
          <w:szCs w:val="18"/>
        </w:rPr>
        <w:footnoteRef/>
      </w:r>
      <w:r w:rsidRPr="00AF4741">
        <w:rPr>
          <w:rFonts w:asciiTheme="minorHAnsi" w:hAnsiTheme="minorHAnsi" w:cstheme="minorHAnsi"/>
          <w:sz w:val="18"/>
          <w:szCs w:val="18"/>
        </w:rPr>
        <w:t xml:space="preserve"> </w:t>
      </w:r>
      <w:r w:rsidRPr="00AF4741">
        <w:rPr>
          <w:rFonts w:asciiTheme="minorHAnsi" w:hAnsiTheme="minorHAnsi" w:cstheme="minorHAnsi"/>
          <w:color w:val="000000"/>
          <w:sz w:val="18"/>
          <w:szCs w:val="18"/>
        </w:rPr>
        <w:t>Act XC of 2017 on the Code of Criminal Procedure</w:t>
      </w:r>
      <w:r w:rsidRPr="00AF4741">
        <w:rPr>
          <w:rFonts w:asciiTheme="minorHAnsi" w:hAnsiTheme="minorHAnsi" w:cstheme="minorHAnsi"/>
          <w:sz w:val="18"/>
          <w:szCs w:val="18"/>
        </w:rPr>
        <w:t>, Sections 46–49.</w:t>
      </w:r>
    </w:p>
  </w:footnote>
  <w:footnote w:id="59">
    <w:p w14:paraId="7A356B95" w14:textId="77777777" w:rsidR="002D3333" w:rsidRPr="00AF4741" w:rsidRDefault="002D3333" w:rsidP="00AF4741">
      <w:pPr>
        <w:pStyle w:val="Lbjegyzetszveg"/>
        <w:rPr>
          <w:rFonts w:asciiTheme="minorHAnsi" w:hAnsiTheme="minorHAnsi" w:cstheme="minorHAnsi"/>
          <w:sz w:val="18"/>
          <w:szCs w:val="18"/>
        </w:rPr>
      </w:pPr>
      <w:r w:rsidRPr="00AF4741">
        <w:rPr>
          <w:rStyle w:val="Lbjegyzet-hivatkozs"/>
          <w:rFonts w:asciiTheme="minorHAnsi" w:hAnsiTheme="minorHAnsi" w:cstheme="minorHAnsi"/>
          <w:sz w:val="18"/>
          <w:szCs w:val="18"/>
        </w:rPr>
        <w:footnoteRef/>
      </w:r>
      <w:r w:rsidRPr="00AF4741">
        <w:rPr>
          <w:rFonts w:asciiTheme="minorHAnsi" w:hAnsiTheme="minorHAnsi" w:cstheme="minorHAnsi"/>
          <w:sz w:val="18"/>
          <w:szCs w:val="18"/>
        </w:rPr>
        <w:t xml:space="preserve"> For more details on the practice and the lack of data, see the HHC’s Rule 9.2. communication to the Committee of Ministers of the Council of Europe: </w:t>
      </w:r>
      <w:hyperlink r:id="rId49">
        <w:r w:rsidRPr="00AF4741">
          <w:rPr>
            <w:rStyle w:val="Hiperhivatkozs"/>
            <w:rFonts w:asciiTheme="minorHAnsi" w:hAnsiTheme="minorHAnsi" w:cstheme="minorHAnsi"/>
            <w:sz w:val="18"/>
            <w:szCs w:val="18"/>
          </w:rPr>
          <w:t>https://helsinki.hu/en/wp-content/uploads/sites/2/2025/09/HHC_Rule_9_MHB_v_Hungary_31082025.pdf</w:t>
        </w:r>
      </w:hyperlink>
      <w:r w:rsidRPr="00AF4741">
        <w:rPr>
          <w:rFonts w:asciiTheme="minorHAnsi" w:hAnsiTheme="minorHAnsi" w:cstheme="minorHAnsi"/>
          <w:sz w:val="18"/>
          <w:szCs w:val="18"/>
        </w:rPr>
        <w:t>.</w:t>
      </w:r>
    </w:p>
  </w:footnote>
  <w:footnote w:id="60">
    <w:p w14:paraId="6E6D2F5C" w14:textId="77777777" w:rsidR="002D3333" w:rsidRPr="00AF4741" w:rsidRDefault="002D3333" w:rsidP="00AF4741">
      <w:pPr>
        <w:pStyle w:val="Lbjegyzetszveg"/>
        <w:rPr>
          <w:rFonts w:asciiTheme="minorHAnsi" w:hAnsiTheme="minorHAnsi" w:cstheme="minorHAnsi"/>
          <w:sz w:val="18"/>
          <w:szCs w:val="18"/>
        </w:rPr>
      </w:pPr>
      <w:r w:rsidRPr="00AF4741">
        <w:rPr>
          <w:rStyle w:val="Lbjegyzet-hivatkozs"/>
          <w:rFonts w:asciiTheme="minorHAnsi" w:hAnsiTheme="minorHAnsi" w:cstheme="minorHAnsi"/>
          <w:sz w:val="18"/>
          <w:szCs w:val="18"/>
        </w:rPr>
        <w:footnoteRef/>
      </w:r>
      <w:r w:rsidRPr="00AF4741">
        <w:rPr>
          <w:rFonts w:asciiTheme="minorHAnsi" w:hAnsiTheme="minorHAnsi" w:cstheme="minorHAnsi"/>
          <w:sz w:val="18"/>
          <w:szCs w:val="18"/>
        </w:rPr>
        <w:t xml:space="preserve"> Act LXXX of 2003 on Legal Aid, Sections 5, 7–9 and 19.</w:t>
      </w:r>
    </w:p>
  </w:footnote>
  <w:footnote w:id="61">
    <w:p w14:paraId="6DBEBC8D" w14:textId="77777777" w:rsidR="002D3333" w:rsidRPr="00AF4741" w:rsidRDefault="002D3333" w:rsidP="00AF4741">
      <w:pPr>
        <w:pStyle w:val="Lbjegyzetszveg"/>
        <w:rPr>
          <w:rFonts w:asciiTheme="minorHAnsi" w:hAnsiTheme="minorHAnsi" w:cstheme="minorHAnsi"/>
          <w:sz w:val="18"/>
          <w:szCs w:val="18"/>
        </w:rPr>
      </w:pPr>
      <w:r w:rsidRPr="00AF4741">
        <w:rPr>
          <w:rStyle w:val="Lbjegyzet-hivatkozs"/>
          <w:rFonts w:asciiTheme="minorHAnsi" w:hAnsiTheme="minorHAnsi" w:cstheme="minorHAnsi"/>
          <w:sz w:val="18"/>
          <w:szCs w:val="18"/>
        </w:rPr>
        <w:footnoteRef/>
      </w:r>
      <w:r w:rsidRPr="00AF4741">
        <w:rPr>
          <w:rFonts w:asciiTheme="minorHAnsi" w:hAnsiTheme="minorHAnsi" w:cstheme="minorHAnsi"/>
          <w:sz w:val="18"/>
          <w:szCs w:val="18"/>
        </w:rPr>
        <w:t xml:space="preserve"> </w:t>
      </w:r>
      <w:proofErr w:type="gramStart"/>
      <w:r w:rsidRPr="00AF4741">
        <w:rPr>
          <w:rFonts w:asciiTheme="minorHAnsi" w:hAnsiTheme="minorHAnsi" w:cstheme="minorHAnsi"/>
          <w:sz w:val="18"/>
          <w:szCs w:val="18"/>
        </w:rPr>
        <w:t>INFR(</w:t>
      </w:r>
      <w:proofErr w:type="gramEnd"/>
      <w:r w:rsidRPr="00AF4741">
        <w:rPr>
          <w:rFonts w:asciiTheme="minorHAnsi" w:hAnsiTheme="minorHAnsi" w:cstheme="minorHAnsi"/>
          <w:sz w:val="18"/>
          <w:szCs w:val="18"/>
        </w:rPr>
        <w:t xml:space="preserve">2025)2163, </w:t>
      </w:r>
      <w:hyperlink r:id="rId50">
        <w:r w:rsidRPr="00AF4741">
          <w:rPr>
            <w:rStyle w:val="Hiperhivatkozs"/>
            <w:rFonts w:asciiTheme="minorHAnsi" w:hAnsiTheme="minorHAnsi" w:cstheme="minorHAnsi"/>
            <w:sz w:val="18"/>
            <w:szCs w:val="18"/>
          </w:rPr>
          <w:t>https://ec.europa.eu/commission/presscorner/detail/en/inf_25_2481</w:t>
        </w:r>
      </w:hyperlink>
      <w:r w:rsidRPr="00AF4741">
        <w:rPr>
          <w:rFonts w:asciiTheme="minorHAnsi" w:hAnsiTheme="minorHAnsi" w:cstheme="minorHAnsi"/>
          <w:sz w:val="18"/>
          <w:szCs w:val="18"/>
        </w:rPr>
        <w:t>.</w:t>
      </w:r>
    </w:p>
  </w:footnote>
  <w:footnote w:id="62">
    <w:p w14:paraId="5AC672C1" w14:textId="3EE483CB" w:rsidR="00933D88" w:rsidRPr="00AF4741" w:rsidRDefault="00933D88" w:rsidP="6BAC57F3">
      <w:pPr>
        <w:pStyle w:val="Lbjegyzetszveg"/>
        <w:rPr>
          <w:rFonts w:asciiTheme="minorHAnsi" w:hAnsiTheme="minorHAnsi" w:cstheme="minorBidi"/>
          <w:sz w:val="18"/>
          <w:szCs w:val="18"/>
        </w:rPr>
      </w:pPr>
      <w:r w:rsidRPr="6BAC57F3">
        <w:rPr>
          <w:rStyle w:val="Lbjegyzet-hivatkozs"/>
          <w:rFonts w:asciiTheme="minorHAnsi" w:hAnsiTheme="minorHAnsi" w:cstheme="minorBidi"/>
          <w:sz w:val="18"/>
          <w:szCs w:val="18"/>
        </w:rPr>
        <w:footnoteRef/>
      </w:r>
      <w:r w:rsidR="6BAC57F3" w:rsidRPr="6BAC57F3">
        <w:rPr>
          <w:rFonts w:asciiTheme="minorHAnsi" w:hAnsiTheme="minorHAnsi" w:cstheme="minorBidi"/>
          <w:sz w:val="18"/>
          <w:szCs w:val="18"/>
        </w:rPr>
        <w:t xml:space="preserve"> For details, see: Hungarian Helsinki Committee, </w:t>
      </w:r>
      <w:r w:rsidR="6BAC57F3" w:rsidRPr="6BAC57F3">
        <w:rPr>
          <w:rFonts w:asciiTheme="minorHAnsi" w:hAnsiTheme="minorHAnsi" w:cstheme="minorBidi"/>
          <w:i/>
          <w:iCs/>
          <w:sz w:val="18"/>
          <w:szCs w:val="18"/>
        </w:rPr>
        <w:t>National Security Grounds for Exclusion from International Protection as a Carte Blanche: Hungarian asylum provisions not compliant with EU law</w:t>
      </w:r>
      <w:r w:rsidR="6BAC57F3" w:rsidRPr="6BAC57F3">
        <w:rPr>
          <w:rFonts w:asciiTheme="minorHAnsi" w:hAnsiTheme="minorHAnsi" w:cstheme="minorBidi"/>
          <w:sz w:val="18"/>
          <w:szCs w:val="18"/>
        </w:rPr>
        <w:t xml:space="preserve">, December 2021, </w:t>
      </w:r>
      <w:hyperlink r:id="rId51" w:history="1">
        <w:r w:rsidR="6BAC57F3" w:rsidRPr="6BAC57F3">
          <w:rPr>
            <w:rStyle w:val="Hiperhivatkozs"/>
            <w:rFonts w:asciiTheme="minorHAnsi" w:hAnsiTheme="minorHAnsi" w:cstheme="minorBidi"/>
            <w:sz w:val="18"/>
            <w:szCs w:val="18"/>
          </w:rPr>
          <w:t>https://helsinki.hu/en/wp-content/uploads/sites/2/2022/01/Info-Note_national-security_exclusion_FINAL.docx.pdf</w:t>
        </w:r>
      </w:hyperlink>
      <w:r w:rsidR="6BAC57F3" w:rsidRPr="6BAC57F3">
        <w:rPr>
          <w:rFonts w:asciiTheme="minorHAnsi" w:hAnsiTheme="minorHAnsi" w:cstheme="minorBidi"/>
          <w:sz w:val="18"/>
          <w:szCs w:val="18"/>
        </w:rPr>
        <w:t xml:space="preserve">; European Council on Refugees and Exiles – Hungarian Helsinki Committee, </w:t>
      </w:r>
      <w:r w:rsidR="6BAC57F3" w:rsidRPr="6BAC57F3">
        <w:rPr>
          <w:rFonts w:asciiTheme="minorHAnsi" w:hAnsiTheme="minorHAnsi" w:cstheme="minorBidi"/>
          <w:i/>
          <w:iCs/>
          <w:sz w:val="18"/>
          <w:szCs w:val="18"/>
        </w:rPr>
        <w:t>Asylum Information Database, Hungary, May 2025 update</w:t>
      </w:r>
      <w:r w:rsidR="6BAC57F3" w:rsidRPr="6BAC57F3">
        <w:rPr>
          <w:rFonts w:asciiTheme="minorHAnsi" w:hAnsiTheme="minorHAnsi" w:cstheme="minorBidi"/>
          <w:sz w:val="18"/>
          <w:szCs w:val="18"/>
        </w:rPr>
        <w:t xml:space="preserve">, </w:t>
      </w:r>
      <w:hyperlink r:id="rId52" w:history="1">
        <w:r w:rsidR="6BAC57F3" w:rsidRPr="6BAC57F3">
          <w:rPr>
            <w:rStyle w:val="Hiperhivatkozs"/>
            <w:rFonts w:asciiTheme="minorHAnsi" w:hAnsiTheme="minorHAnsi" w:cstheme="minorBidi"/>
            <w:sz w:val="18"/>
            <w:szCs w:val="18"/>
          </w:rPr>
          <w:t>https://asylumineurope.org/wp-content/uploads/2025/05/AIDA-HU_2024-Update.pdf</w:t>
        </w:r>
      </w:hyperlink>
      <w:r w:rsidR="6BAC57F3" w:rsidRPr="6BAC57F3">
        <w:rPr>
          <w:rFonts w:asciiTheme="minorHAnsi" w:hAnsiTheme="minorHAnsi" w:cstheme="minorBidi"/>
          <w:sz w:val="18"/>
          <w:szCs w:val="18"/>
        </w:rPr>
        <w:t>, pp. 112. and 128–129.</w:t>
      </w:r>
    </w:p>
  </w:footnote>
  <w:footnote w:id="63">
    <w:p w14:paraId="0A2D3174" w14:textId="161B5F8A" w:rsidR="00933D88" w:rsidRPr="00AF4741" w:rsidRDefault="00933D88" w:rsidP="6BAC57F3">
      <w:pPr>
        <w:pStyle w:val="Lbjegyzetszveg"/>
        <w:rPr>
          <w:rFonts w:asciiTheme="minorHAnsi" w:hAnsiTheme="minorHAnsi" w:cstheme="minorBidi"/>
          <w:sz w:val="18"/>
          <w:szCs w:val="18"/>
        </w:rPr>
      </w:pPr>
      <w:r w:rsidRPr="6BAC57F3">
        <w:rPr>
          <w:rStyle w:val="Lbjegyzet-hivatkozs"/>
          <w:rFonts w:asciiTheme="minorHAnsi" w:hAnsiTheme="minorHAnsi" w:cstheme="minorBidi"/>
          <w:sz w:val="18"/>
          <w:szCs w:val="18"/>
        </w:rPr>
        <w:footnoteRef/>
      </w:r>
      <w:r w:rsidR="6BAC57F3" w:rsidRPr="6BAC57F3">
        <w:rPr>
          <w:rFonts w:asciiTheme="minorHAnsi" w:hAnsiTheme="minorHAnsi" w:cstheme="minorBidi"/>
          <w:sz w:val="18"/>
          <w:szCs w:val="18"/>
        </w:rPr>
        <w:t xml:space="preserve"> Judgment in Joined Cases C-420/22 and C-528/22 (NW-PQ), </w:t>
      </w:r>
      <w:hyperlink r:id="rId53" w:history="1">
        <w:r w:rsidR="6BAC57F3" w:rsidRPr="6BAC57F3">
          <w:rPr>
            <w:rStyle w:val="Hiperhivatkozs"/>
            <w:rFonts w:asciiTheme="minorHAnsi" w:hAnsiTheme="minorHAnsi" w:cstheme="minorBidi"/>
            <w:sz w:val="18"/>
            <w:szCs w:val="18"/>
          </w:rPr>
          <w:t>https://eur-lex.europa.eu/legal-content/EN/TXT/HTML/?uri=CELEX:62022CJ0420</w:t>
        </w:r>
      </w:hyperlink>
      <w:r w:rsidR="6BAC57F3" w:rsidRPr="6BAC57F3">
        <w:rPr>
          <w:rFonts w:asciiTheme="minorHAnsi" w:hAnsiTheme="minorHAnsi" w:cstheme="minorBidi"/>
          <w:sz w:val="18"/>
          <w:szCs w:val="18"/>
        </w:rPr>
        <w:t>.</w:t>
      </w:r>
    </w:p>
  </w:footnote>
  <w:footnote w:id="64">
    <w:p w14:paraId="603B616C" w14:textId="77777777" w:rsidR="00366E16" w:rsidRPr="00AF4741" w:rsidRDefault="00366E16" w:rsidP="00AF4741">
      <w:pPr>
        <w:pStyle w:val="Lbjegyzetszveg"/>
        <w:rPr>
          <w:rFonts w:asciiTheme="minorHAnsi" w:hAnsiTheme="minorHAnsi" w:cstheme="minorHAnsi"/>
          <w:sz w:val="18"/>
          <w:szCs w:val="18"/>
        </w:rPr>
      </w:pPr>
      <w:r w:rsidRPr="00AF4741">
        <w:rPr>
          <w:rStyle w:val="Lbjegyzet-hivatkozs"/>
          <w:rFonts w:asciiTheme="minorHAnsi" w:hAnsiTheme="minorHAnsi" w:cstheme="minorHAnsi"/>
          <w:sz w:val="18"/>
          <w:szCs w:val="18"/>
        </w:rPr>
        <w:footnoteRef/>
      </w:r>
      <w:r w:rsidRPr="00AF4741">
        <w:rPr>
          <w:rFonts w:asciiTheme="minorHAnsi" w:hAnsiTheme="minorHAnsi" w:cstheme="minorHAnsi"/>
          <w:sz w:val="18"/>
          <w:szCs w:val="18"/>
        </w:rPr>
        <w:t xml:space="preserve"> CCPR/C/HUN/CO6, §§49–50.</w:t>
      </w:r>
    </w:p>
  </w:footnote>
  <w:footnote w:id="65">
    <w:p w14:paraId="61155FFF" w14:textId="77777777" w:rsidR="00366E16" w:rsidRPr="00AF4741" w:rsidRDefault="00366E16" w:rsidP="00AF4741">
      <w:pPr>
        <w:pStyle w:val="Lbjegyzetszveg"/>
        <w:rPr>
          <w:rFonts w:asciiTheme="minorHAnsi" w:hAnsiTheme="minorHAnsi" w:cstheme="minorHAnsi"/>
          <w:sz w:val="18"/>
          <w:szCs w:val="18"/>
        </w:rPr>
      </w:pPr>
      <w:r w:rsidRPr="00AF4741">
        <w:rPr>
          <w:rStyle w:val="Lbjegyzet-hivatkozs"/>
          <w:rFonts w:asciiTheme="minorHAnsi" w:hAnsiTheme="minorHAnsi" w:cstheme="minorHAnsi"/>
          <w:sz w:val="18"/>
          <w:szCs w:val="18"/>
        </w:rPr>
        <w:footnoteRef/>
      </w:r>
      <w:r w:rsidRPr="00AF4741">
        <w:rPr>
          <w:rFonts w:asciiTheme="minorHAnsi" w:hAnsiTheme="minorHAnsi" w:cstheme="minorHAnsi"/>
          <w:sz w:val="18"/>
          <w:szCs w:val="18"/>
        </w:rPr>
        <w:t xml:space="preserve"> For further details, see </w:t>
      </w:r>
      <w:r w:rsidRPr="00AF4741">
        <w:rPr>
          <w:rFonts w:asciiTheme="minorHAnsi" w:hAnsiTheme="minorHAnsi" w:cstheme="minorHAnsi"/>
          <w:i/>
          <w:iCs/>
          <w:sz w:val="18"/>
          <w:szCs w:val="18"/>
        </w:rPr>
        <w:t>M.H. and S.B. v. Hungary</w:t>
      </w:r>
      <w:r w:rsidRPr="00AF4741">
        <w:rPr>
          <w:rFonts w:asciiTheme="minorHAnsi" w:hAnsiTheme="minorHAnsi" w:cstheme="minorHAnsi"/>
          <w:sz w:val="18"/>
          <w:szCs w:val="18"/>
        </w:rPr>
        <w:t xml:space="preserve">: </w:t>
      </w:r>
      <w:hyperlink r:id="rId54" w:history="1">
        <w:r w:rsidRPr="00AF4741">
          <w:rPr>
            <w:rStyle w:val="Hiperhivatkozs"/>
            <w:rFonts w:asciiTheme="minorHAnsi" w:hAnsiTheme="minorHAnsi" w:cstheme="minorHAnsi"/>
            <w:sz w:val="18"/>
            <w:szCs w:val="18"/>
          </w:rPr>
          <w:t>https://hudoc.exec.coe.int/?i=004-66221</w:t>
        </w:r>
      </w:hyperlink>
      <w:r w:rsidRPr="00AF4741">
        <w:rPr>
          <w:rFonts w:asciiTheme="minorHAnsi" w:hAnsiTheme="minorHAnsi" w:cstheme="minorHAnsi"/>
          <w:sz w:val="18"/>
          <w:szCs w:val="18"/>
        </w:rPr>
        <w:t xml:space="preserve">. </w:t>
      </w:r>
    </w:p>
  </w:footnote>
  <w:footnote w:id="66">
    <w:p w14:paraId="346B28C4" w14:textId="77777777" w:rsidR="00C747BC" w:rsidRPr="00AF4741" w:rsidRDefault="00C747BC" w:rsidP="00AF4741">
      <w:pPr>
        <w:pStyle w:val="Lbjegyzetszveg"/>
        <w:rPr>
          <w:rFonts w:asciiTheme="minorHAnsi" w:hAnsiTheme="minorHAnsi" w:cstheme="minorHAnsi"/>
          <w:b/>
          <w:bCs/>
          <w:sz w:val="18"/>
          <w:szCs w:val="18"/>
          <w:lang w:val="hu-HU"/>
        </w:rPr>
      </w:pPr>
      <w:r w:rsidRPr="00AF4741">
        <w:rPr>
          <w:rStyle w:val="Lbjegyzet-hivatkozs"/>
          <w:rFonts w:asciiTheme="minorHAnsi" w:hAnsiTheme="minorHAnsi" w:cstheme="minorHAnsi"/>
          <w:sz w:val="18"/>
          <w:szCs w:val="18"/>
        </w:rPr>
        <w:footnoteRef/>
      </w:r>
      <w:r w:rsidRPr="00AF4741">
        <w:rPr>
          <w:rFonts w:asciiTheme="minorHAnsi" w:hAnsiTheme="minorHAnsi" w:cstheme="minorHAnsi"/>
          <w:sz w:val="18"/>
          <w:szCs w:val="18"/>
        </w:rPr>
        <w:t xml:space="preserve"> For details, see e.g. this civil society submission to the Special Rapporteur </w:t>
      </w:r>
      <w:r w:rsidRPr="00AF4741">
        <w:rPr>
          <w:rFonts w:asciiTheme="minorHAnsi" w:eastAsiaTheme="minorHAnsi" w:hAnsiTheme="minorHAnsi" w:cstheme="minorHAnsi"/>
          <w:sz w:val="18"/>
          <w:szCs w:val="18"/>
        </w:rPr>
        <w:t>on freedom of peaceful assembly and of association</w:t>
      </w:r>
      <w:r w:rsidRPr="00AF4741">
        <w:rPr>
          <w:rFonts w:asciiTheme="minorHAnsi" w:hAnsiTheme="minorHAnsi" w:cstheme="minorHAnsi"/>
          <w:sz w:val="18"/>
          <w:szCs w:val="18"/>
        </w:rPr>
        <w:t xml:space="preserve">: </w:t>
      </w:r>
      <w:hyperlink r:id="rId55" w:history="1">
        <w:r w:rsidRPr="00AF4741">
          <w:rPr>
            <w:rStyle w:val="Hiperhivatkozs"/>
            <w:rFonts w:asciiTheme="minorHAnsi" w:hAnsiTheme="minorHAnsi" w:cstheme="minorHAnsi"/>
            <w:sz w:val="18"/>
            <w:szCs w:val="18"/>
          </w:rPr>
          <w:t>https://helsinki.hu/en/wp-content/uploads/sites/2/2025/11/Submission_HS-HCLU-HHC_UN-SR-on-Freefom-of-Preaceful-Assemlby_Impact-of-Digital-and-AI-Assisted-Surveillance_07112025.pdf</w:t>
        </w:r>
      </w:hyperlink>
      <w:r w:rsidRPr="00AF4741">
        <w:rPr>
          <w:rFonts w:asciiTheme="minorHAnsi" w:hAnsiTheme="minorHAnsi" w:cstheme="minorHAnsi"/>
          <w:sz w:val="18"/>
          <w:szCs w:val="18"/>
          <w:lang w:val="hu-HU"/>
        </w:rPr>
        <w:t>.</w:t>
      </w:r>
    </w:p>
  </w:footnote>
  <w:footnote w:id="67">
    <w:p w14:paraId="5FDA4CC7" w14:textId="2333CDAA" w:rsidR="00D90E0E" w:rsidRPr="00AF4741" w:rsidRDefault="00D90E0E" w:rsidP="00AF4741">
      <w:pPr>
        <w:pStyle w:val="Lbjegyzetszveg"/>
        <w:rPr>
          <w:rFonts w:asciiTheme="minorHAnsi" w:hAnsiTheme="minorHAnsi" w:cstheme="minorHAnsi"/>
          <w:sz w:val="18"/>
          <w:szCs w:val="18"/>
        </w:rPr>
      </w:pPr>
      <w:r w:rsidRPr="00AF4741">
        <w:rPr>
          <w:rStyle w:val="Lbjegyzet-hivatkozs"/>
          <w:rFonts w:asciiTheme="minorHAnsi" w:hAnsiTheme="minorHAnsi" w:cstheme="minorHAnsi"/>
          <w:sz w:val="18"/>
          <w:szCs w:val="18"/>
        </w:rPr>
        <w:footnoteRef/>
      </w:r>
      <w:r w:rsidR="009A3A3E" w:rsidRPr="00AF4741">
        <w:rPr>
          <w:rFonts w:asciiTheme="minorHAnsi" w:eastAsia="Times New Roman" w:hAnsiTheme="minorHAnsi" w:cstheme="minorHAnsi"/>
          <w:sz w:val="18"/>
          <w:szCs w:val="18"/>
          <w:lang w:eastAsia="en-GB"/>
        </w:rPr>
        <w:t xml:space="preserve"> CCPR/C/HUN/CO/6</w:t>
      </w:r>
      <w:r w:rsidRPr="00AF4741">
        <w:rPr>
          <w:rFonts w:asciiTheme="minorHAnsi" w:eastAsia="Times New Roman" w:hAnsiTheme="minorHAnsi" w:cstheme="minorHAnsi"/>
          <w:sz w:val="18"/>
          <w:szCs w:val="18"/>
          <w:lang w:eastAsia="en-GB"/>
        </w:rPr>
        <w:t xml:space="preserve">, </w:t>
      </w:r>
      <w:r w:rsidR="00DE7F0F" w:rsidRPr="00AF4741">
        <w:rPr>
          <w:rFonts w:asciiTheme="minorHAnsi" w:eastAsia="Times New Roman" w:hAnsiTheme="minorHAnsi" w:cstheme="minorHAnsi"/>
          <w:sz w:val="18"/>
          <w:szCs w:val="18"/>
          <w:lang w:eastAsia="en-GB"/>
        </w:rPr>
        <w:t>§§53–54.</w:t>
      </w:r>
    </w:p>
  </w:footnote>
  <w:footnote w:id="68">
    <w:p w14:paraId="25870346" w14:textId="72F9D568" w:rsidR="00D65C29" w:rsidRPr="00AF4741" w:rsidRDefault="00D65C29" w:rsidP="00AF4741">
      <w:pPr>
        <w:pStyle w:val="Lbjegyzetszveg"/>
        <w:rPr>
          <w:rFonts w:asciiTheme="minorHAnsi" w:hAnsiTheme="minorHAnsi" w:cstheme="minorHAnsi"/>
          <w:sz w:val="18"/>
          <w:szCs w:val="18"/>
        </w:rPr>
      </w:pPr>
      <w:r w:rsidRPr="00AF4741">
        <w:rPr>
          <w:rStyle w:val="Lbjegyzet-hivatkozs"/>
          <w:rFonts w:asciiTheme="minorHAnsi" w:hAnsiTheme="minorHAnsi" w:cstheme="minorHAnsi"/>
          <w:sz w:val="18"/>
          <w:szCs w:val="18"/>
        </w:rPr>
        <w:footnoteRef/>
      </w:r>
      <w:r w:rsidRPr="00AF4741">
        <w:rPr>
          <w:rFonts w:asciiTheme="minorHAnsi" w:hAnsiTheme="minorHAnsi" w:cstheme="minorHAnsi"/>
          <w:sz w:val="18"/>
          <w:szCs w:val="18"/>
        </w:rPr>
        <w:t xml:space="preserve"> For </w:t>
      </w:r>
      <w:r w:rsidR="00987731" w:rsidRPr="00AF4741">
        <w:rPr>
          <w:rFonts w:asciiTheme="minorHAnsi" w:hAnsiTheme="minorHAnsi" w:cstheme="minorHAnsi"/>
          <w:sz w:val="18"/>
          <w:szCs w:val="18"/>
        </w:rPr>
        <w:t>details</w:t>
      </w:r>
      <w:r w:rsidRPr="00AF4741">
        <w:rPr>
          <w:rFonts w:asciiTheme="minorHAnsi" w:hAnsiTheme="minorHAnsi" w:cstheme="minorHAnsi"/>
          <w:sz w:val="18"/>
          <w:szCs w:val="18"/>
        </w:rPr>
        <w:t xml:space="preserve">, see e.g.: </w:t>
      </w:r>
      <w:r w:rsidR="004D76C9" w:rsidRPr="00AF4741">
        <w:rPr>
          <w:rFonts w:asciiTheme="minorHAnsi" w:hAnsiTheme="minorHAnsi" w:cstheme="minorHAnsi"/>
          <w:i/>
          <w:iCs/>
          <w:sz w:val="18"/>
          <w:szCs w:val="18"/>
        </w:rPr>
        <w:t>Contributions of Hungarian CSOs to the</w:t>
      </w:r>
      <w:r w:rsidR="00DE7F0F" w:rsidRPr="00AF4741">
        <w:rPr>
          <w:rFonts w:asciiTheme="minorHAnsi" w:hAnsiTheme="minorHAnsi" w:cstheme="minorHAnsi"/>
          <w:i/>
          <w:iCs/>
          <w:sz w:val="18"/>
          <w:szCs w:val="18"/>
        </w:rPr>
        <w:t xml:space="preserve"> European Commission’s Rule of Law Report</w:t>
      </w:r>
      <w:r w:rsidR="00DE7F0F" w:rsidRPr="00AF4741">
        <w:rPr>
          <w:rFonts w:asciiTheme="minorHAnsi" w:hAnsiTheme="minorHAnsi" w:cstheme="minorHAnsi"/>
          <w:sz w:val="18"/>
          <w:szCs w:val="18"/>
        </w:rPr>
        <w:t>, January 2025,</w:t>
      </w:r>
      <w:r w:rsidR="004D76C9" w:rsidRPr="00AF4741">
        <w:rPr>
          <w:rFonts w:asciiTheme="minorHAnsi" w:hAnsiTheme="minorHAnsi" w:cstheme="minorHAnsi"/>
          <w:sz w:val="18"/>
          <w:szCs w:val="18"/>
        </w:rPr>
        <w:t xml:space="preserve"> </w:t>
      </w:r>
      <w:hyperlink r:id="rId56" w:history="1">
        <w:r w:rsidR="007D6482" w:rsidRPr="00AF4741">
          <w:rPr>
            <w:rStyle w:val="Hiperhivatkozs"/>
            <w:rFonts w:asciiTheme="minorHAnsi" w:hAnsiTheme="minorHAnsi" w:cstheme="minorHAnsi"/>
            <w:sz w:val="18"/>
            <w:szCs w:val="18"/>
          </w:rPr>
          <w:t>https://helsinki.hu/en/wp-content/uploads/sites/2/2025/01/HUN_CSO_contribution_EC_RoL_Report_2025.pdf</w:t>
        </w:r>
      </w:hyperlink>
      <w:r w:rsidR="007D6482" w:rsidRPr="00AF4741">
        <w:rPr>
          <w:rFonts w:asciiTheme="minorHAnsi" w:hAnsiTheme="minorHAnsi" w:cstheme="minorHAnsi"/>
          <w:sz w:val="18"/>
          <w:szCs w:val="18"/>
        </w:rPr>
        <w:t xml:space="preserve">, pp. 87–91. </w:t>
      </w:r>
    </w:p>
  </w:footnote>
  <w:footnote w:id="69">
    <w:p w14:paraId="5A75A491" w14:textId="150D2740" w:rsidR="00D65C29" w:rsidRPr="00AF4741" w:rsidRDefault="00D65C29" w:rsidP="00AF4741">
      <w:pPr>
        <w:pBdr>
          <w:top w:val="nil"/>
          <w:left w:val="nil"/>
          <w:bottom w:val="nil"/>
          <w:right w:val="nil"/>
          <w:between w:val="nil"/>
        </w:pBdr>
        <w:rPr>
          <w:rFonts w:asciiTheme="minorHAnsi" w:hAnsiTheme="minorHAnsi" w:cstheme="minorHAnsi"/>
          <w:color w:val="000000"/>
          <w:sz w:val="18"/>
          <w:szCs w:val="18"/>
        </w:rPr>
      </w:pPr>
      <w:r w:rsidRPr="00AF4741">
        <w:rPr>
          <w:rFonts w:asciiTheme="minorHAnsi" w:hAnsiTheme="minorHAnsi" w:cstheme="minorHAnsi"/>
          <w:sz w:val="18"/>
          <w:szCs w:val="18"/>
          <w:vertAlign w:val="superscript"/>
        </w:rPr>
        <w:footnoteRef/>
      </w:r>
      <w:r w:rsidRPr="00AF4741">
        <w:rPr>
          <w:rFonts w:asciiTheme="minorHAnsi" w:hAnsiTheme="minorHAnsi" w:cstheme="minorHAnsi"/>
          <w:color w:val="000000"/>
          <w:sz w:val="18"/>
          <w:szCs w:val="18"/>
        </w:rPr>
        <w:t xml:space="preserve"> </w:t>
      </w:r>
      <w:r w:rsidR="00375FAA" w:rsidRPr="00AF4741">
        <w:rPr>
          <w:rFonts w:asciiTheme="minorHAnsi" w:hAnsiTheme="minorHAnsi" w:cstheme="minorHAnsi"/>
          <w:color w:val="000000"/>
          <w:sz w:val="18"/>
          <w:szCs w:val="18"/>
        </w:rPr>
        <w:t xml:space="preserve">For </w:t>
      </w:r>
      <w:r w:rsidRPr="00AF4741">
        <w:rPr>
          <w:rFonts w:asciiTheme="minorHAnsi" w:hAnsiTheme="minorHAnsi" w:cstheme="minorHAnsi"/>
          <w:color w:val="000000"/>
          <w:sz w:val="18"/>
          <w:szCs w:val="18"/>
        </w:rPr>
        <w:t>detail</w:t>
      </w:r>
      <w:r w:rsidR="00375FAA" w:rsidRPr="00AF4741">
        <w:rPr>
          <w:rFonts w:asciiTheme="minorHAnsi" w:hAnsiTheme="minorHAnsi" w:cstheme="minorHAnsi"/>
          <w:color w:val="000000"/>
          <w:sz w:val="18"/>
          <w:szCs w:val="18"/>
        </w:rPr>
        <w:t>s, see</w:t>
      </w:r>
      <w:r w:rsidRPr="00AF4741">
        <w:rPr>
          <w:rFonts w:asciiTheme="minorHAnsi" w:hAnsiTheme="minorHAnsi" w:cstheme="minorHAnsi"/>
          <w:color w:val="000000"/>
          <w:sz w:val="18"/>
          <w:szCs w:val="18"/>
        </w:rPr>
        <w:t>: Hungarian Helsinki Committee</w:t>
      </w:r>
      <w:r w:rsidRPr="00AF4741">
        <w:rPr>
          <w:rFonts w:asciiTheme="minorHAnsi" w:hAnsiTheme="minorHAnsi" w:cstheme="minorHAnsi"/>
          <w:i/>
          <w:color w:val="000000"/>
          <w:sz w:val="18"/>
          <w:szCs w:val="18"/>
        </w:rPr>
        <w:t xml:space="preserve">, </w:t>
      </w:r>
      <w:proofErr w:type="spellStart"/>
      <w:r w:rsidRPr="00AF4741">
        <w:rPr>
          <w:rFonts w:asciiTheme="minorHAnsi" w:hAnsiTheme="minorHAnsi" w:cstheme="minorHAnsi"/>
          <w:i/>
          <w:color w:val="000000"/>
          <w:sz w:val="18"/>
          <w:szCs w:val="18"/>
        </w:rPr>
        <w:t>LexNGO</w:t>
      </w:r>
      <w:proofErr w:type="spellEnd"/>
      <w:r w:rsidRPr="00AF4741">
        <w:rPr>
          <w:rFonts w:asciiTheme="minorHAnsi" w:hAnsiTheme="minorHAnsi" w:cstheme="minorHAnsi"/>
          <w:i/>
          <w:color w:val="000000"/>
          <w:sz w:val="18"/>
          <w:szCs w:val="18"/>
        </w:rPr>
        <w:t xml:space="preserve"> 2021 – a look into Hungary’s second anti-NGO law on its first anniversary</w:t>
      </w:r>
      <w:r w:rsidRPr="00AF4741">
        <w:rPr>
          <w:rFonts w:asciiTheme="minorHAnsi" w:hAnsiTheme="minorHAnsi" w:cstheme="minorHAnsi"/>
          <w:color w:val="000000"/>
          <w:sz w:val="18"/>
          <w:szCs w:val="18"/>
        </w:rPr>
        <w:t xml:space="preserve">, 12 May 2022, </w:t>
      </w:r>
      <w:hyperlink r:id="rId57">
        <w:r w:rsidRPr="00AF4741">
          <w:rPr>
            <w:rFonts w:asciiTheme="minorHAnsi" w:hAnsiTheme="minorHAnsi" w:cstheme="minorHAnsi"/>
            <w:color w:val="0563C1"/>
            <w:sz w:val="18"/>
            <w:szCs w:val="18"/>
            <w:u w:val="single"/>
          </w:rPr>
          <w:t>https://helsinki.hu/en/wp-content/uploads/sites/2/2022/05/HHC_LexNGO2021_info_note.pdf</w:t>
        </w:r>
      </w:hyperlink>
      <w:r w:rsidRPr="00AF4741">
        <w:rPr>
          <w:rFonts w:asciiTheme="minorHAnsi" w:hAnsiTheme="minorHAnsi" w:cstheme="minorHAnsi"/>
          <w:color w:val="000000"/>
          <w:sz w:val="18"/>
          <w:szCs w:val="18"/>
        </w:rPr>
        <w:t>.</w:t>
      </w:r>
    </w:p>
  </w:footnote>
  <w:footnote w:id="70">
    <w:p w14:paraId="4009726F" w14:textId="77DBC19D" w:rsidR="000053DA" w:rsidRPr="00AF4741" w:rsidRDefault="000053DA" w:rsidP="00AF4741">
      <w:pPr>
        <w:pBdr>
          <w:top w:val="nil"/>
          <w:left w:val="nil"/>
          <w:bottom w:val="nil"/>
          <w:right w:val="nil"/>
          <w:between w:val="nil"/>
        </w:pBdr>
        <w:rPr>
          <w:rFonts w:asciiTheme="minorHAnsi" w:hAnsiTheme="minorHAnsi" w:cstheme="minorHAnsi"/>
          <w:color w:val="000000"/>
          <w:sz w:val="18"/>
          <w:szCs w:val="18"/>
        </w:rPr>
      </w:pPr>
      <w:r w:rsidRPr="00AF4741">
        <w:rPr>
          <w:rFonts w:asciiTheme="minorHAnsi" w:hAnsiTheme="minorHAnsi" w:cstheme="minorHAnsi"/>
          <w:sz w:val="18"/>
          <w:szCs w:val="18"/>
          <w:vertAlign w:val="superscript"/>
        </w:rPr>
        <w:footnoteRef/>
      </w:r>
      <w:r w:rsidRPr="00AF4741">
        <w:rPr>
          <w:rFonts w:asciiTheme="minorHAnsi" w:hAnsiTheme="minorHAnsi" w:cstheme="minorHAnsi"/>
          <w:color w:val="000000"/>
          <w:sz w:val="18"/>
          <w:szCs w:val="18"/>
        </w:rPr>
        <w:t xml:space="preserve"> For details, see: </w:t>
      </w:r>
      <w:hyperlink r:id="rId58">
        <w:r w:rsidRPr="00AF4741">
          <w:rPr>
            <w:rFonts w:asciiTheme="minorHAnsi" w:hAnsiTheme="minorHAnsi" w:cstheme="minorHAnsi"/>
            <w:color w:val="0563C1"/>
            <w:sz w:val="18"/>
            <w:szCs w:val="18"/>
            <w:u w:val="single"/>
          </w:rPr>
          <w:t>https://helsinki.hu/en/sovereignty-protection-act-in-breach-of-eu-law/</w:t>
        </w:r>
      </w:hyperlink>
      <w:r w:rsidRPr="00AF4741">
        <w:rPr>
          <w:rFonts w:asciiTheme="minorHAnsi" w:hAnsiTheme="minorHAnsi" w:cstheme="minorHAnsi"/>
          <w:color w:val="000000"/>
          <w:sz w:val="18"/>
          <w:szCs w:val="18"/>
        </w:rPr>
        <w:t>.</w:t>
      </w:r>
    </w:p>
  </w:footnote>
  <w:footnote w:id="71">
    <w:p w14:paraId="3AC87CF6" w14:textId="770B827F" w:rsidR="004D76C9" w:rsidRPr="00AF4741" w:rsidRDefault="004D76C9" w:rsidP="03AE4585">
      <w:pPr>
        <w:pStyle w:val="Lbjegyzetszveg"/>
        <w:rPr>
          <w:rFonts w:asciiTheme="minorHAnsi" w:hAnsiTheme="minorHAnsi" w:cstheme="minorBidi"/>
          <w:b/>
          <w:bCs/>
          <w:sz w:val="18"/>
          <w:szCs w:val="18"/>
        </w:rPr>
      </w:pPr>
      <w:r w:rsidRPr="03AE4585">
        <w:rPr>
          <w:rStyle w:val="Lbjegyzet-hivatkozs"/>
          <w:rFonts w:asciiTheme="minorHAnsi" w:hAnsiTheme="minorHAnsi" w:cstheme="minorBidi"/>
          <w:sz w:val="18"/>
          <w:szCs w:val="18"/>
        </w:rPr>
        <w:footnoteRef/>
      </w:r>
      <w:r w:rsidR="03AE4585" w:rsidRPr="03AE4585">
        <w:rPr>
          <w:rFonts w:asciiTheme="minorHAnsi" w:hAnsiTheme="minorHAnsi" w:cstheme="minorBidi"/>
          <w:sz w:val="18"/>
          <w:szCs w:val="18"/>
        </w:rPr>
        <w:t xml:space="preserve"> European Commission for Democracy Through Law (Venice Commission), </w:t>
      </w:r>
      <w:r w:rsidR="03AE4585" w:rsidRPr="03AE4585">
        <w:rPr>
          <w:rFonts w:asciiTheme="minorHAnsi" w:hAnsiTheme="minorHAnsi" w:cstheme="minorBidi"/>
          <w:i/>
          <w:iCs/>
          <w:sz w:val="18"/>
          <w:szCs w:val="18"/>
        </w:rPr>
        <w:t>Hungary – Opinion on Act LXXXVIII of 2023 on the Protection of National Sovereignty</w:t>
      </w:r>
      <w:r w:rsidR="03AE4585" w:rsidRPr="03AE4585">
        <w:rPr>
          <w:rFonts w:asciiTheme="minorHAnsi" w:hAnsiTheme="minorHAnsi" w:cstheme="minorBidi"/>
          <w:sz w:val="18"/>
          <w:szCs w:val="18"/>
        </w:rPr>
        <w:t xml:space="preserve">, 18 March 2024, CDL-AD(2024)001, </w:t>
      </w:r>
      <w:hyperlink r:id="rId59" w:history="1">
        <w:r w:rsidR="03AE4585" w:rsidRPr="03AE4585">
          <w:rPr>
            <w:rStyle w:val="Hiperhivatkozs"/>
            <w:rFonts w:asciiTheme="minorHAnsi" w:hAnsiTheme="minorHAnsi" w:cstheme="minorBidi"/>
            <w:sz w:val="18"/>
            <w:szCs w:val="18"/>
          </w:rPr>
          <w:t>https://www.venice.coe.int/webforms/documents/default.aspx?pdffile=CDL-AD(2024)001-e</w:t>
        </w:r>
      </w:hyperlink>
    </w:p>
  </w:footnote>
  <w:footnote w:id="72">
    <w:p w14:paraId="16F1872A" w14:textId="4598FADC" w:rsidR="00D65C29" w:rsidRPr="00AF4741" w:rsidRDefault="00D65C29" w:rsidP="03AE4585">
      <w:pPr>
        <w:pBdr>
          <w:top w:val="nil"/>
          <w:left w:val="nil"/>
          <w:bottom w:val="nil"/>
          <w:right w:val="nil"/>
          <w:between w:val="nil"/>
        </w:pBdr>
        <w:rPr>
          <w:rFonts w:asciiTheme="minorHAnsi" w:hAnsiTheme="minorHAnsi" w:cstheme="minorBidi"/>
          <w:color w:val="000000"/>
          <w:sz w:val="18"/>
          <w:szCs w:val="18"/>
        </w:rPr>
      </w:pPr>
      <w:r w:rsidRPr="03AE4585">
        <w:rPr>
          <w:rFonts w:asciiTheme="minorHAnsi" w:hAnsiTheme="minorHAnsi" w:cstheme="minorBidi"/>
          <w:sz w:val="18"/>
          <w:szCs w:val="18"/>
          <w:vertAlign w:val="superscript"/>
        </w:rPr>
        <w:footnoteRef/>
      </w:r>
      <w:r w:rsidR="03AE4585" w:rsidRPr="03AE4585">
        <w:rPr>
          <w:rFonts w:asciiTheme="minorHAnsi" w:hAnsiTheme="minorHAnsi" w:cstheme="minorBidi"/>
          <w:color w:val="000000"/>
          <w:sz w:val="18"/>
          <w:szCs w:val="18"/>
        </w:rPr>
        <w:t xml:space="preserve"> </w:t>
      </w:r>
      <w:hyperlink r:id="rId60">
        <w:r w:rsidR="03AE4585" w:rsidRPr="03AE4585">
          <w:rPr>
            <w:rFonts w:asciiTheme="minorHAnsi" w:hAnsiTheme="minorHAnsi" w:cstheme="minorBidi"/>
            <w:color w:val="0563C1"/>
            <w:sz w:val="18"/>
            <w:szCs w:val="18"/>
            <w:u w:val="single"/>
          </w:rPr>
          <w:t>https://ec.europa.eu/commission/presscorner/detail/en/ip_24_4865</w:t>
        </w:r>
      </w:hyperlink>
    </w:p>
  </w:footnote>
  <w:footnote w:id="73">
    <w:p w14:paraId="0273CE43" w14:textId="5927A4B5" w:rsidR="004D76C9" w:rsidRPr="00AF4741" w:rsidRDefault="004D76C9" w:rsidP="00AF4741">
      <w:pPr>
        <w:pStyle w:val="Lbjegyzetszveg"/>
        <w:rPr>
          <w:rFonts w:asciiTheme="minorHAnsi" w:hAnsiTheme="minorHAnsi" w:cstheme="minorHAnsi"/>
          <w:sz w:val="18"/>
          <w:szCs w:val="18"/>
        </w:rPr>
      </w:pPr>
      <w:r w:rsidRPr="00AF4741">
        <w:rPr>
          <w:rStyle w:val="Lbjegyzet-hivatkozs"/>
          <w:rFonts w:asciiTheme="minorHAnsi" w:hAnsiTheme="minorHAnsi" w:cstheme="minorHAnsi"/>
          <w:sz w:val="18"/>
          <w:szCs w:val="18"/>
        </w:rPr>
        <w:footnoteRef/>
      </w:r>
      <w:r w:rsidRPr="00AF4741">
        <w:rPr>
          <w:rFonts w:asciiTheme="minorHAnsi" w:hAnsiTheme="minorHAnsi" w:cstheme="minorHAnsi"/>
          <w:sz w:val="18"/>
          <w:szCs w:val="18"/>
        </w:rPr>
        <w:t xml:space="preserve"> </w:t>
      </w:r>
      <w:r w:rsidRPr="00AF4741">
        <w:rPr>
          <w:rFonts w:asciiTheme="minorHAnsi" w:hAnsiTheme="minorHAnsi" w:cstheme="minorHAnsi"/>
          <w:color w:val="000000"/>
          <w:sz w:val="18"/>
          <w:szCs w:val="18"/>
        </w:rPr>
        <w:t>For</w:t>
      </w:r>
      <w:r w:rsidR="00AC35E7" w:rsidRPr="00AF4741">
        <w:rPr>
          <w:rFonts w:asciiTheme="minorHAnsi" w:hAnsiTheme="minorHAnsi" w:cstheme="minorHAnsi"/>
          <w:color w:val="000000"/>
          <w:sz w:val="18"/>
          <w:szCs w:val="18"/>
        </w:rPr>
        <w:t xml:space="preserve"> </w:t>
      </w:r>
      <w:r w:rsidRPr="00AF4741">
        <w:rPr>
          <w:rFonts w:asciiTheme="minorHAnsi" w:hAnsiTheme="minorHAnsi" w:cstheme="minorHAnsi"/>
          <w:color w:val="000000"/>
          <w:sz w:val="18"/>
          <w:szCs w:val="18"/>
        </w:rPr>
        <w:t xml:space="preserve">details, see: </w:t>
      </w:r>
      <w:hyperlink r:id="rId61">
        <w:r w:rsidRPr="00AF4741">
          <w:rPr>
            <w:rFonts w:asciiTheme="minorHAnsi" w:hAnsiTheme="minorHAnsi" w:cstheme="minorHAnsi"/>
            <w:color w:val="0563C1"/>
            <w:sz w:val="18"/>
            <w:szCs w:val="18"/>
            <w:u w:val="single"/>
          </w:rPr>
          <w:t>https://helsinki.hu/en/operation-starve-and-strangle-20250522/</w:t>
        </w:r>
      </w:hyperlink>
      <w:r w:rsidRPr="00AF4741">
        <w:rPr>
          <w:rFonts w:asciiTheme="minorHAnsi" w:hAnsiTheme="minorHAnsi" w:cstheme="minorHAnsi"/>
          <w:color w:val="000000"/>
          <w:sz w:val="18"/>
          <w:szCs w:val="18"/>
        </w:rPr>
        <w:t>.</w:t>
      </w:r>
    </w:p>
  </w:footnote>
  <w:footnote w:id="74">
    <w:p w14:paraId="71D6673F" w14:textId="1565A916" w:rsidR="00D90E0E" w:rsidRPr="00AF4741" w:rsidRDefault="00D90E0E" w:rsidP="00AF4741">
      <w:pPr>
        <w:pStyle w:val="Lbjegyzetszveg"/>
        <w:rPr>
          <w:rFonts w:asciiTheme="minorHAnsi" w:hAnsiTheme="minorHAnsi" w:cstheme="minorHAnsi"/>
          <w:sz w:val="18"/>
          <w:szCs w:val="18"/>
        </w:rPr>
      </w:pPr>
      <w:r w:rsidRPr="00AF4741">
        <w:rPr>
          <w:rStyle w:val="Lbjegyzet-hivatkozs"/>
          <w:rFonts w:asciiTheme="minorHAnsi" w:hAnsiTheme="minorHAnsi" w:cstheme="minorHAnsi"/>
          <w:sz w:val="18"/>
          <w:szCs w:val="18"/>
        </w:rPr>
        <w:footnoteRef/>
      </w:r>
      <w:r w:rsidR="00372DBA" w:rsidRPr="00AF4741">
        <w:rPr>
          <w:rFonts w:asciiTheme="minorHAnsi" w:eastAsia="Times New Roman" w:hAnsiTheme="minorHAnsi" w:cstheme="minorHAnsi"/>
          <w:sz w:val="18"/>
          <w:szCs w:val="18"/>
          <w:lang w:eastAsia="en-GB"/>
        </w:rPr>
        <w:t xml:space="preserve"> </w:t>
      </w:r>
      <w:r w:rsidR="009A3A3E" w:rsidRPr="00AF4741">
        <w:rPr>
          <w:rFonts w:asciiTheme="minorHAnsi" w:eastAsia="Times New Roman" w:hAnsiTheme="minorHAnsi" w:cstheme="minorHAnsi"/>
          <w:sz w:val="18"/>
          <w:szCs w:val="18"/>
          <w:lang w:eastAsia="en-GB"/>
        </w:rPr>
        <w:t>CCPR/C/HUN/CO/6</w:t>
      </w:r>
      <w:r w:rsidR="00DE7F0F" w:rsidRPr="00AF4741">
        <w:rPr>
          <w:rFonts w:asciiTheme="minorHAnsi" w:eastAsia="Times New Roman" w:hAnsiTheme="minorHAnsi" w:cstheme="minorHAnsi"/>
          <w:sz w:val="18"/>
          <w:szCs w:val="18"/>
          <w:lang w:eastAsia="en-GB"/>
        </w:rPr>
        <w:t>, §§55–56.</w:t>
      </w:r>
    </w:p>
  </w:footnote>
  <w:footnote w:id="75">
    <w:p w14:paraId="4747AB08" w14:textId="2D7D5597" w:rsidR="005652FF" w:rsidRPr="00AF4741" w:rsidRDefault="005652FF" w:rsidP="6BAC57F3">
      <w:pPr>
        <w:pStyle w:val="Lbjegyzetszveg"/>
        <w:rPr>
          <w:rFonts w:asciiTheme="minorHAnsi" w:hAnsiTheme="minorHAnsi" w:cstheme="minorBidi"/>
          <w:sz w:val="18"/>
          <w:szCs w:val="18"/>
        </w:rPr>
      </w:pPr>
      <w:r w:rsidRPr="6BAC57F3">
        <w:rPr>
          <w:rStyle w:val="Lbjegyzet-hivatkozs"/>
          <w:rFonts w:asciiTheme="minorHAnsi" w:hAnsiTheme="minorHAnsi" w:cstheme="minorBidi"/>
          <w:sz w:val="18"/>
          <w:szCs w:val="18"/>
        </w:rPr>
        <w:footnoteRef/>
      </w:r>
      <w:r w:rsidR="6BAC57F3" w:rsidRPr="6BAC57F3">
        <w:rPr>
          <w:rFonts w:asciiTheme="minorHAnsi" w:hAnsiTheme="minorHAnsi" w:cstheme="minorBidi"/>
          <w:sz w:val="18"/>
          <w:szCs w:val="18"/>
        </w:rPr>
        <w:t xml:space="preserve"> Cf. European Commission for Democracy Through Law (Venice Commission) – OSCE/ODIHR, </w:t>
      </w:r>
      <w:r w:rsidR="6BAC57F3" w:rsidRPr="6BAC57F3">
        <w:rPr>
          <w:rFonts w:asciiTheme="minorHAnsi" w:hAnsiTheme="minorHAnsi" w:cstheme="minorBidi"/>
          <w:i/>
          <w:iCs/>
          <w:sz w:val="18"/>
          <w:szCs w:val="18"/>
        </w:rPr>
        <w:t>Joint Opinion on the Provisions of the so-called “Stop Soros” draft Legislative Package which directly affect NGOs (in particular Draft Article 353A of the Criminal Code on Facilitating Illegal Migration)</w:t>
      </w:r>
      <w:r w:rsidR="6BAC57F3" w:rsidRPr="6BAC57F3">
        <w:rPr>
          <w:rFonts w:asciiTheme="minorHAnsi" w:hAnsiTheme="minorHAnsi" w:cstheme="minorBidi"/>
          <w:sz w:val="18"/>
          <w:szCs w:val="18"/>
        </w:rPr>
        <w:t xml:space="preserve">, 25 June 2018, CDL-AD(2018)013, </w:t>
      </w:r>
      <w:hyperlink r:id="rId62" w:history="1">
        <w:r w:rsidR="6BAC57F3" w:rsidRPr="6BAC57F3">
          <w:rPr>
            <w:rStyle w:val="Hiperhivatkozs"/>
            <w:rFonts w:asciiTheme="minorHAnsi" w:hAnsiTheme="minorHAnsi" w:cstheme="minorBidi"/>
            <w:sz w:val="18"/>
            <w:szCs w:val="18"/>
          </w:rPr>
          <w:t>https://www.venice.coe.int/webforms/documents/default.aspx?pdffile=CDL-AD(2018)013-e</w:t>
        </w:r>
      </w:hyperlink>
      <w:r w:rsidR="6BAC57F3" w:rsidRPr="6BAC57F3">
        <w:rPr>
          <w:rFonts w:asciiTheme="minorHAnsi" w:hAnsiTheme="minorHAnsi" w:cstheme="minorBidi"/>
          <w:sz w:val="18"/>
          <w:szCs w:val="18"/>
        </w:rPr>
        <w:t xml:space="preserve">. </w:t>
      </w:r>
    </w:p>
  </w:footnote>
  <w:footnote w:id="76">
    <w:p w14:paraId="3E2E1D5D" w14:textId="2186BCF4" w:rsidR="00EC3C2D" w:rsidRPr="00AF4741" w:rsidRDefault="00EC3C2D" w:rsidP="6BAC57F3">
      <w:pPr>
        <w:rPr>
          <w:rFonts w:asciiTheme="minorHAnsi" w:hAnsiTheme="minorHAnsi" w:cstheme="minorBidi"/>
          <w:sz w:val="18"/>
          <w:szCs w:val="18"/>
        </w:rPr>
      </w:pPr>
      <w:r w:rsidRPr="6BAC57F3">
        <w:rPr>
          <w:rFonts w:asciiTheme="minorHAnsi" w:hAnsiTheme="minorHAnsi" w:cstheme="minorBidi"/>
          <w:sz w:val="18"/>
          <w:szCs w:val="18"/>
          <w:vertAlign w:val="superscript"/>
        </w:rPr>
        <w:footnoteRef/>
      </w:r>
      <w:r w:rsidR="6BAC57F3" w:rsidRPr="6BAC57F3">
        <w:rPr>
          <w:rFonts w:asciiTheme="minorHAnsi" w:hAnsiTheme="minorHAnsi" w:cstheme="minorBidi"/>
          <w:sz w:val="18"/>
          <w:szCs w:val="18"/>
        </w:rPr>
        <w:t xml:space="preserve"> Judgment in Case C-821/19, </w:t>
      </w:r>
      <w:hyperlink r:id="rId63" w:history="1">
        <w:r w:rsidR="6BAC57F3" w:rsidRPr="6BAC57F3">
          <w:rPr>
            <w:rStyle w:val="Hiperhivatkozs"/>
            <w:rFonts w:asciiTheme="minorHAnsi" w:hAnsiTheme="minorHAnsi" w:cstheme="minorBidi"/>
            <w:sz w:val="18"/>
            <w:szCs w:val="18"/>
          </w:rPr>
          <w:t>https://eur-lex.europa.eu/legal-content/EN/TXT/?uri=celex:62019CJ0821</w:t>
        </w:r>
      </w:hyperlink>
      <w:r w:rsidRPr="6BAC57F3">
        <w:rPr>
          <w:rFonts w:asciiTheme="minorHAnsi" w:hAnsiTheme="minorHAnsi" w:cstheme="minorBidi"/>
          <w:sz w:val="18"/>
          <w:szCs w:val="18"/>
        </w:rPr>
        <w:t xml:space="preserve"> </w:t>
      </w:r>
    </w:p>
  </w:footnote>
  <w:footnote w:id="77">
    <w:p w14:paraId="47D572E2" w14:textId="1061FD43" w:rsidR="005F545A" w:rsidRPr="00AF4741" w:rsidRDefault="005F545A" w:rsidP="00AF4741">
      <w:pPr>
        <w:pStyle w:val="Lbjegyzetszveg"/>
        <w:rPr>
          <w:rFonts w:asciiTheme="minorHAnsi" w:hAnsiTheme="minorHAnsi" w:cstheme="minorHAnsi"/>
          <w:sz w:val="18"/>
          <w:szCs w:val="18"/>
        </w:rPr>
      </w:pPr>
      <w:r w:rsidRPr="00AF4741">
        <w:rPr>
          <w:rStyle w:val="Lbjegyzet-hivatkozs"/>
          <w:rFonts w:asciiTheme="minorHAnsi" w:hAnsiTheme="minorHAnsi" w:cstheme="minorHAnsi"/>
          <w:sz w:val="18"/>
          <w:szCs w:val="18"/>
        </w:rPr>
        <w:footnoteRef/>
      </w:r>
      <w:r w:rsidRPr="00AF4741">
        <w:rPr>
          <w:rFonts w:asciiTheme="minorHAnsi" w:hAnsiTheme="minorHAnsi" w:cstheme="minorHAnsi"/>
          <w:sz w:val="18"/>
          <w:szCs w:val="18"/>
        </w:rPr>
        <w:t xml:space="preserve"> </w:t>
      </w:r>
      <w:r w:rsidRPr="00AF4741">
        <w:rPr>
          <w:rFonts w:asciiTheme="minorHAnsi" w:eastAsia="Corbel" w:hAnsiTheme="minorHAnsi" w:cstheme="minorHAnsi"/>
          <w:sz w:val="18"/>
          <w:szCs w:val="18"/>
        </w:rPr>
        <w:t>See the HHC’s unofficial translation</w:t>
      </w:r>
      <w:r w:rsidR="000650EF" w:rsidRPr="00AF4741">
        <w:rPr>
          <w:rFonts w:asciiTheme="minorHAnsi" w:eastAsia="Corbel" w:hAnsiTheme="minorHAnsi" w:cstheme="minorHAnsi"/>
          <w:sz w:val="18"/>
          <w:szCs w:val="18"/>
        </w:rPr>
        <w:t xml:space="preserve"> here</w:t>
      </w:r>
      <w:r w:rsidRPr="00AF4741">
        <w:rPr>
          <w:rFonts w:asciiTheme="minorHAnsi" w:eastAsia="Corbel" w:hAnsiTheme="minorHAnsi" w:cstheme="minorHAnsi"/>
          <w:sz w:val="18"/>
          <w:szCs w:val="18"/>
        </w:rPr>
        <w:t>:</w:t>
      </w:r>
      <w:hyperlink r:id="rId64">
        <w:r w:rsidRPr="00AF4741">
          <w:rPr>
            <w:rFonts w:asciiTheme="minorHAnsi" w:eastAsia="Corbel" w:hAnsiTheme="minorHAnsi" w:cstheme="minorHAnsi"/>
            <w:color w:val="1155CC"/>
            <w:sz w:val="18"/>
            <w:szCs w:val="18"/>
          </w:rPr>
          <w:t xml:space="preserve"> </w:t>
        </w:r>
      </w:hyperlink>
      <w:hyperlink r:id="rId65" w:history="1">
        <w:r w:rsidR="00255A82" w:rsidRPr="00FD48EB">
          <w:rPr>
            <w:rStyle w:val="Hiperhivatkozs"/>
            <w:rFonts w:asciiTheme="minorHAnsi" w:eastAsia="Corbel" w:hAnsiTheme="minorHAnsi" w:cstheme="minorHAnsi"/>
            <w:sz w:val="18"/>
            <w:szCs w:val="18"/>
          </w:rPr>
          <w:t>https://helsinki.hu/en/wp-content/uploads/sites/2/2022/12/criminalisation_2022.pdf</w:t>
        </w:r>
      </w:hyperlink>
      <w:r w:rsidRPr="00AF4741">
        <w:rPr>
          <w:rFonts w:asciiTheme="minorHAnsi" w:hAnsiTheme="minorHAnsi" w:cstheme="minorHAnsi"/>
          <w:sz w:val="18"/>
          <w:szCs w:val="18"/>
        </w:rPr>
        <w:t>.</w:t>
      </w:r>
    </w:p>
  </w:footnote>
  <w:footnote w:id="78">
    <w:p w14:paraId="5F8B6739" w14:textId="35FC6F76" w:rsidR="003A143C" w:rsidRPr="00F23C33" w:rsidRDefault="003A143C" w:rsidP="00AF4741">
      <w:pPr>
        <w:pStyle w:val="Lbjegyzetszveg"/>
        <w:rPr>
          <w:rFonts w:asciiTheme="minorHAnsi" w:hAnsiTheme="minorHAnsi" w:cstheme="minorHAnsi"/>
          <w:sz w:val="18"/>
          <w:szCs w:val="18"/>
        </w:rPr>
      </w:pPr>
      <w:r w:rsidRPr="00AF4741">
        <w:rPr>
          <w:rStyle w:val="Lbjegyzet-hivatkozs"/>
          <w:rFonts w:asciiTheme="minorHAnsi" w:hAnsiTheme="minorHAnsi" w:cstheme="minorHAnsi"/>
          <w:sz w:val="18"/>
          <w:szCs w:val="18"/>
        </w:rPr>
        <w:footnoteRef/>
      </w:r>
      <w:r w:rsidRPr="00AF4741">
        <w:rPr>
          <w:rFonts w:asciiTheme="minorHAnsi" w:hAnsiTheme="minorHAnsi" w:cstheme="minorHAnsi"/>
          <w:sz w:val="18"/>
          <w:szCs w:val="18"/>
        </w:rPr>
        <w:t xml:space="preserve"> </w:t>
      </w:r>
      <w:r w:rsidR="009B5989" w:rsidRPr="00AF4741">
        <w:rPr>
          <w:rFonts w:asciiTheme="minorHAnsi" w:hAnsiTheme="minorHAnsi" w:cstheme="minorHAnsi"/>
          <w:sz w:val="18"/>
          <w:szCs w:val="18"/>
        </w:rPr>
        <w:t xml:space="preserve">Cf. European Commission for Democracy Through Law (Venice Commission) – OSCE/ODIHR, </w:t>
      </w:r>
      <w:r w:rsidR="009B5989" w:rsidRPr="00AF4741">
        <w:rPr>
          <w:rFonts w:asciiTheme="minorHAnsi" w:hAnsiTheme="minorHAnsi" w:cstheme="minorHAnsi"/>
          <w:i/>
          <w:iCs/>
          <w:sz w:val="18"/>
          <w:szCs w:val="18"/>
        </w:rPr>
        <w:t xml:space="preserve">Hungary – Joint Opinion on Section 253 on the special immigration tax of Act XLI of 20 July 2018 amending certain tax laws and other related laws and </w:t>
      </w:r>
      <w:r w:rsidR="009B5989" w:rsidRPr="00F23C33">
        <w:rPr>
          <w:rFonts w:asciiTheme="minorHAnsi" w:hAnsiTheme="minorHAnsi" w:cstheme="minorHAnsi"/>
          <w:i/>
          <w:iCs/>
          <w:sz w:val="18"/>
          <w:szCs w:val="18"/>
        </w:rPr>
        <w:t>on the immigration tax</w:t>
      </w:r>
      <w:r w:rsidR="009B5989" w:rsidRPr="00F23C33">
        <w:rPr>
          <w:rFonts w:asciiTheme="minorHAnsi" w:hAnsiTheme="minorHAnsi" w:cstheme="minorHAnsi"/>
          <w:sz w:val="18"/>
          <w:szCs w:val="18"/>
        </w:rPr>
        <w:t xml:space="preserve">, 18 December 2018, CDL-AD(2018)035, </w:t>
      </w:r>
      <w:hyperlink r:id="rId66" w:history="1">
        <w:r w:rsidR="009B5989" w:rsidRPr="00F23C33">
          <w:rPr>
            <w:rStyle w:val="Hiperhivatkozs"/>
            <w:rFonts w:asciiTheme="minorHAnsi" w:hAnsiTheme="minorHAnsi" w:cstheme="minorHAnsi"/>
            <w:sz w:val="18"/>
            <w:szCs w:val="18"/>
          </w:rPr>
          <w:t>https://www.venice.coe.int/webforms/documents/default.aspx?pdffile=CDL-AD(2018)035-e</w:t>
        </w:r>
      </w:hyperlink>
      <w:r w:rsidR="009B5989" w:rsidRPr="00F23C33">
        <w:rPr>
          <w:rFonts w:asciiTheme="minorHAnsi" w:hAnsiTheme="minorHAnsi" w:cstheme="minorHAnsi"/>
          <w:sz w:val="18"/>
          <w:szCs w:val="18"/>
        </w:rPr>
        <w:t>.</w:t>
      </w:r>
    </w:p>
  </w:footnote>
  <w:footnote w:id="79">
    <w:p w14:paraId="5B73FAEE" w14:textId="48E0CDCD" w:rsidR="00DE7F0F" w:rsidRPr="00F23C33" w:rsidRDefault="00DE7F0F" w:rsidP="00AF4741">
      <w:pPr>
        <w:pStyle w:val="Lbjegyzetszveg"/>
        <w:rPr>
          <w:rFonts w:asciiTheme="minorHAnsi" w:hAnsiTheme="minorHAnsi" w:cstheme="minorHAnsi"/>
          <w:sz w:val="18"/>
          <w:szCs w:val="18"/>
        </w:rPr>
      </w:pPr>
      <w:r w:rsidRPr="00F23C33">
        <w:rPr>
          <w:rStyle w:val="Lbjegyzet-hivatkozs"/>
          <w:rFonts w:asciiTheme="minorHAnsi" w:hAnsiTheme="minorHAnsi" w:cstheme="minorHAnsi"/>
          <w:sz w:val="18"/>
          <w:szCs w:val="18"/>
        </w:rPr>
        <w:footnoteRef/>
      </w:r>
      <w:r w:rsidR="00372DBA" w:rsidRPr="00F23C33">
        <w:rPr>
          <w:rFonts w:asciiTheme="minorHAnsi" w:eastAsia="Times New Roman" w:hAnsiTheme="minorHAnsi" w:cstheme="minorHAnsi"/>
          <w:sz w:val="18"/>
          <w:szCs w:val="18"/>
          <w:lang w:eastAsia="en-GB"/>
        </w:rPr>
        <w:t xml:space="preserve"> </w:t>
      </w:r>
      <w:r w:rsidR="009A3A3E" w:rsidRPr="00F23C33">
        <w:rPr>
          <w:rFonts w:asciiTheme="minorHAnsi" w:eastAsia="Times New Roman" w:hAnsiTheme="minorHAnsi" w:cstheme="minorHAnsi"/>
          <w:sz w:val="18"/>
          <w:szCs w:val="18"/>
          <w:lang w:eastAsia="en-GB"/>
        </w:rPr>
        <w:t>CCPR/C/HUN/CO/6</w:t>
      </w:r>
      <w:r w:rsidRPr="00F23C33">
        <w:rPr>
          <w:rFonts w:asciiTheme="minorHAnsi" w:eastAsia="Times New Roman" w:hAnsiTheme="minorHAnsi" w:cstheme="minorHAnsi"/>
          <w:sz w:val="18"/>
          <w:szCs w:val="18"/>
          <w:lang w:eastAsia="en-GB"/>
        </w:rPr>
        <w:t>, §56.</w:t>
      </w:r>
    </w:p>
  </w:footnote>
  <w:footnote w:id="80">
    <w:p w14:paraId="56BE6023" w14:textId="1ADD1393" w:rsidR="00292685" w:rsidRPr="00F23C33" w:rsidRDefault="00292685">
      <w:pPr>
        <w:pStyle w:val="Lbjegyzetszveg"/>
        <w:rPr>
          <w:sz w:val="18"/>
          <w:szCs w:val="18"/>
          <w:lang w:val="hu-HU"/>
        </w:rPr>
      </w:pPr>
      <w:r w:rsidRPr="00F23C33">
        <w:rPr>
          <w:rStyle w:val="Lbjegyzet-hivatkozs"/>
          <w:sz w:val="18"/>
          <w:szCs w:val="18"/>
        </w:rPr>
        <w:footnoteRef/>
      </w:r>
      <w:r w:rsidRPr="00F23C33">
        <w:rPr>
          <w:sz w:val="18"/>
          <w:szCs w:val="18"/>
        </w:rPr>
        <w:t xml:space="preserve"> </w:t>
      </w:r>
      <w:r w:rsidR="00F23C33">
        <w:rPr>
          <w:sz w:val="18"/>
          <w:szCs w:val="18"/>
        </w:rPr>
        <w:t xml:space="preserve">For details, see: </w:t>
      </w:r>
      <w:r w:rsidR="00B63F8B">
        <w:rPr>
          <w:sz w:val="18"/>
          <w:szCs w:val="18"/>
        </w:rPr>
        <w:t xml:space="preserve">Hungarian Helsinki Committee, </w:t>
      </w:r>
      <w:r w:rsidR="000E1182" w:rsidRPr="007973E3">
        <w:rPr>
          <w:i/>
          <w:iCs/>
          <w:sz w:val="18"/>
          <w:szCs w:val="18"/>
        </w:rPr>
        <w:t>Curtailing the rights of teachers in Hungary</w:t>
      </w:r>
      <w:r w:rsidR="000E1182">
        <w:rPr>
          <w:sz w:val="18"/>
          <w:szCs w:val="18"/>
        </w:rPr>
        <w:t>,</w:t>
      </w:r>
      <w:r w:rsidR="00B63F8B">
        <w:rPr>
          <w:sz w:val="18"/>
          <w:szCs w:val="18"/>
        </w:rPr>
        <w:t xml:space="preserve"> 23 March 2023,</w:t>
      </w:r>
      <w:r w:rsidR="000E1182">
        <w:rPr>
          <w:sz w:val="18"/>
          <w:szCs w:val="18"/>
        </w:rPr>
        <w:t xml:space="preserve"> </w:t>
      </w:r>
      <w:hyperlink r:id="rId67" w:history="1">
        <w:r w:rsidR="00B63F8B" w:rsidRPr="00FD3FBE">
          <w:rPr>
            <w:rStyle w:val="Hiperhivatkozs"/>
            <w:rFonts w:ascii="Calibri" w:hAnsi="Calibri"/>
            <w:sz w:val="18"/>
            <w:szCs w:val="18"/>
          </w:rPr>
          <w:t>https://helsinki.hu/en/wp-content/uploads/sites/2/2023/03/HHC_Hungary_teachers_23032023.pdf</w:t>
        </w:r>
      </w:hyperlink>
      <w:r w:rsidR="007973E3">
        <w:rPr>
          <w:sz w:val="18"/>
          <w:szCs w:val="18"/>
        </w:rPr>
        <w:t>.</w:t>
      </w:r>
    </w:p>
  </w:footnote>
  <w:footnote w:id="81">
    <w:p w14:paraId="6CDFA16E" w14:textId="1373887C" w:rsidR="000904B0" w:rsidRPr="00AF4741" w:rsidRDefault="000904B0" w:rsidP="03AE4585">
      <w:pPr>
        <w:pStyle w:val="Lbjegyzetszveg"/>
        <w:rPr>
          <w:rFonts w:asciiTheme="minorHAnsi" w:hAnsiTheme="minorHAnsi" w:cstheme="minorBidi"/>
          <w:sz w:val="18"/>
          <w:szCs w:val="18"/>
        </w:rPr>
      </w:pPr>
      <w:r w:rsidRPr="03AE4585">
        <w:rPr>
          <w:rStyle w:val="Lbjegyzet-hivatkozs"/>
          <w:rFonts w:asciiTheme="minorHAnsi" w:hAnsiTheme="minorHAnsi" w:cstheme="minorBidi"/>
          <w:sz w:val="18"/>
          <w:szCs w:val="18"/>
        </w:rPr>
        <w:footnoteRef/>
      </w:r>
      <w:r w:rsidR="03AE4585" w:rsidRPr="03AE4585">
        <w:rPr>
          <w:rFonts w:asciiTheme="minorHAnsi" w:hAnsiTheme="minorHAnsi" w:cstheme="minorBidi"/>
          <w:sz w:val="18"/>
          <w:szCs w:val="18"/>
        </w:rPr>
        <w:t xml:space="preserve"> ILC.113/CAN/PV.14/Hungary-C.87, </w:t>
      </w:r>
      <w:hyperlink r:id="rId68" w:history="1">
        <w:r w:rsidR="03AE4585" w:rsidRPr="03AE4585">
          <w:rPr>
            <w:rStyle w:val="Hiperhivatkozs"/>
            <w:rFonts w:asciiTheme="minorHAnsi" w:hAnsiTheme="minorHAnsi" w:cstheme="minorBidi"/>
            <w:sz w:val="18"/>
            <w:szCs w:val="18"/>
          </w:rPr>
          <w:t>https://www.ilo.org/sites/default/files/2025-06/ILC113-CAN-PV14-Hungary-Patchwork-%5BNORMES-250527-026%5D-EFS.pdf</w:t>
        </w:r>
      </w:hyperlink>
    </w:p>
  </w:footnote>
  <w:footnote w:id="82">
    <w:p w14:paraId="1C954A1E" w14:textId="14403431" w:rsidR="008161D8" w:rsidRPr="00AF4741" w:rsidRDefault="008161D8" w:rsidP="00AF4741">
      <w:pPr>
        <w:pStyle w:val="Lbjegyzetszveg"/>
        <w:rPr>
          <w:rFonts w:asciiTheme="minorHAnsi" w:hAnsiTheme="minorHAnsi" w:cstheme="minorHAnsi"/>
          <w:sz w:val="18"/>
          <w:szCs w:val="18"/>
        </w:rPr>
      </w:pPr>
      <w:r w:rsidRPr="00AF4741">
        <w:rPr>
          <w:rStyle w:val="Lbjegyzet-hivatkozs"/>
          <w:rFonts w:asciiTheme="minorHAnsi" w:hAnsiTheme="minorHAnsi" w:cstheme="minorHAnsi"/>
          <w:sz w:val="18"/>
          <w:szCs w:val="18"/>
        </w:rPr>
        <w:footnoteRef/>
      </w:r>
      <w:r w:rsidRPr="00AF4741">
        <w:rPr>
          <w:rFonts w:asciiTheme="minorHAnsi" w:hAnsiTheme="minorHAnsi" w:cstheme="minorHAnsi"/>
          <w:sz w:val="18"/>
          <w:szCs w:val="18"/>
        </w:rPr>
        <w:t xml:space="preserve"> For details, see: Hung</w:t>
      </w:r>
      <w:r w:rsidR="00D666E3" w:rsidRPr="00AF4741">
        <w:rPr>
          <w:rFonts w:asciiTheme="minorHAnsi" w:hAnsiTheme="minorHAnsi" w:cstheme="minorHAnsi"/>
          <w:sz w:val="18"/>
          <w:szCs w:val="18"/>
        </w:rPr>
        <w:t>a</w:t>
      </w:r>
      <w:r w:rsidRPr="00AF4741">
        <w:rPr>
          <w:rFonts w:asciiTheme="minorHAnsi" w:hAnsiTheme="minorHAnsi" w:cstheme="minorHAnsi"/>
          <w:sz w:val="18"/>
          <w:szCs w:val="18"/>
        </w:rPr>
        <w:t xml:space="preserve">rian Helsinki Committee, </w:t>
      </w:r>
      <w:r w:rsidR="009D0FB5" w:rsidRPr="00AF4741">
        <w:rPr>
          <w:rFonts w:asciiTheme="minorHAnsi" w:hAnsiTheme="minorHAnsi" w:cstheme="minorHAnsi"/>
          <w:i/>
          <w:iCs/>
          <w:sz w:val="18"/>
          <w:szCs w:val="18"/>
        </w:rPr>
        <w:t>Threat Assessment of the 2026 Hungarian Parliamentary Elections</w:t>
      </w:r>
      <w:r w:rsidRPr="00AF4741">
        <w:rPr>
          <w:rFonts w:asciiTheme="minorHAnsi" w:hAnsiTheme="minorHAnsi" w:cstheme="minorHAnsi"/>
          <w:sz w:val="18"/>
          <w:szCs w:val="18"/>
        </w:rPr>
        <w:t>,</w:t>
      </w:r>
      <w:r w:rsidR="009D0FB5" w:rsidRPr="00AF4741">
        <w:rPr>
          <w:rFonts w:asciiTheme="minorHAnsi" w:hAnsiTheme="minorHAnsi" w:cstheme="minorHAnsi"/>
          <w:sz w:val="18"/>
          <w:szCs w:val="18"/>
        </w:rPr>
        <w:t xml:space="preserve"> 14 December 2025,</w:t>
      </w:r>
      <w:r w:rsidRPr="00AF4741">
        <w:rPr>
          <w:rFonts w:asciiTheme="minorHAnsi" w:hAnsiTheme="minorHAnsi" w:cstheme="minorHAnsi"/>
          <w:sz w:val="18"/>
          <w:szCs w:val="18"/>
        </w:rPr>
        <w:t xml:space="preserve"> </w:t>
      </w:r>
      <w:hyperlink r:id="rId69" w:history="1">
        <w:r w:rsidR="00056DF7" w:rsidRPr="00AF4741">
          <w:rPr>
            <w:rStyle w:val="Hiperhivatkozs"/>
            <w:rFonts w:asciiTheme="minorHAnsi" w:hAnsiTheme="minorHAnsi" w:cstheme="minorHAnsi"/>
            <w:sz w:val="18"/>
            <w:szCs w:val="18"/>
          </w:rPr>
          <w:t>https://helsinki.hu/en/wp-content/uploads/sites/2/2025/12/2026_HU_Elections_Threat_Assessment_final_15122025.pdf</w:t>
        </w:r>
      </w:hyperlink>
      <w:r w:rsidR="00056DF7" w:rsidRPr="00AF4741">
        <w:rPr>
          <w:rFonts w:asciiTheme="minorHAnsi" w:hAnsiTheme="minorHAnsi" w:cstheme="minorHAnsi"/>
          <w:sz w:val="18"/>
          <w:szCs w:val="18"/>
        </w:rPr>
        <w:t xml:space="preserve">. </w:t>
      </w:r>
    </w:p>
  </w:footnote>
  <w:footnote w:id="83">
    <w:p w14:paraId="6887ABEE" w14:textId="56DE95AB" w:rsidR="00C90260" w:rsidRPr="00AF4741" w:rsidRDefault="00C90260" w:rsidP="00AF4741">
      <w:pPr>
        <w:pStyle w:val="Lbjegyzetszveg"/>
        <w:rPr>
          <w:rFonts w:asciiTheme="minorHAnsi" w:hAnsiTheme="minorHAnsi" w:cstheme="minorHAnsi"/>
          <w:sz w:val="18"/>
          <w:szCs w:val="18"/>
        </w:rPr>
      </w:pPr>
      <w:r w:rsidRPr="00AF4741">
        <w:rPr>
          <w:rStyle w:val="Lbjegyzet-hivatkozs"/>
          <w:rFonts w:asciiTheme="minorHAnsi" w:hAnsiTheme="minorHAnsi" w:cstheme="minorHAnsi"/>
          <w:sz w:val="18"/>
          <w:szCs w:val="18"/>
        </w:rPr>
        <w:footnoteRef/>
      </w:r>
      <w:r w:rsidRPr="00AF4741">
        <w:rPr>
          <w:rFonts w:asciiTheme="minorHAnsi" w:hAnsiTheme="minorHAnsi" w:cstheme="minorHAnsi"/>
          <w:sz w:val="18"/>
          <w:szCs w:val="18"/>
        </w:rPr>
        <w:t xml:space="preserve"> See e.g.: </w:t>
      </w:r>
      <w:hyperlink r:id="rId70" w:history="1">
        <w:r w:rsidR="00BC208F" w:rsidRPr="00AF4741">
          <w:rPr>
            <w:rStyle w:val="Hiperhivatkozs"/>
            <w:rFonts w:asciiTheme="minorHAnsi" w:hAnsiTheme="minorHAnsi" w:cstheme="minorHAnsi"/>
            <w:sz w:val="18"/>
            <w:szCs w:val="18"/>
          </w:rPr>
          <w:t>https://helsinki.hu/en/wp-content/uploads/sites/2/2025/02/Submission_HHC_UN-SR-on-Freedom-of-Association_Super-Election-Year_31012025.pdf</w:t>
        </w:r>
      </w:hyperlink>
      <w:r w:rsidR="00BC208F" w:rsidRPr="00AF4741">
        <w:rPr>
          <w:rFonts w:asciiTheme="minorHAnsi" w:hAnsiTheme="minorHAnsi" w:cstheme="minorHAnsi"/>
          <w:sz w:val="18"/>
          <w:szCs w:val="18"/>
        </w:rPr>
        <w:t xml:space="preserve">, p. 7. </w:t>
      </w:r>
    </w:p>
  </w:footnote>
  <w:footnote w:id="84">
    <w:p w14:paraId="1F2562CC" w14:textId="0B7FB02D" w:rsidR="00E95D76" w:rsidRPr="00AF4741" w:rsidRDefault="00E95D76" w:rsidP="00AF4741">
      <w:pPr>
        <w:pStyle w:val="Lbjegyzetszveg"/>
        <w:rPr>
          <w:rFonts w:asciiTheme="minorHAnsi" w:hAnsiTheme="minorHAnsi" w:cstheme="minorHAnsi"/>
          <w:sz w:val="18"/>
          <w:szCs w:val="18"/>
        </w:rPr>
      </w:pPr>
      <w:r w:rsidRPr="00AF4741">
        <w:rPr>
          <w:rStyle w:val="Lbjegyzet-hivatkozs"/>
          <w:rFonts w:asciiTheme="minorHAnsi" w:hAnsiTheme="minorHAnsi" w:cstheme="minorHAnsi"/>
          <w:sz w:val="18"/>
          <w:szCs w:val="18"/>
        </w:rPr>
        <w:footnoteRef/>
      </w:r>
      <w:r w:rsidRPr="00AF4741">
        <w:rPr>
          <w:rFonts w:asciiTheme="minorHAnsi" w:hAnsiTheme="minorHAnsi" w:cstheme="minorHAnsi"/>
          <w:sz w:val="18"/>
          <w:szCs w:val="18"/>
        </w:rPr>
        <w:t xml:space="preserve"> </w:t>
      </w:r>
      <w:proofErr w:type="spellStart"/>
      <w:r w:rsidRPr="00AF4741">
        <w:rPr>
          <w:rFonts w:asciiTheme="minorHAnsi" w:hAnsiTheme="minorHAnsi" w:cstheme="minorHAnsi"/>
          <w:i/>
          <w:iCs/>
          <w:sz w:val="18"/>
          <w:szCs w:val="18"/>
        </w:rPr>
        <w:t>Bakirdzi</w:t>
      </w:r>
      <w:proofErr w:type="spellEnd"/>
      <w:r w:rsidRPr="00AF4741">
        <w:rPr>
          <w:rFonts w:asciiTheme="minorHAnsi" w:hAnsiTheme="minorHAnsi" w:cstheme="minorHAnsi"/>
          <w:i/>
          <w:iCs/>
          <w:sz w:val="18"/>
          <w:szCs w:val="18"/>
        </w:rPr>
        <w:t xml:space="preserve"> </w:t>
      </w:r>
      <w:r w:rsidR="00010A53" w:rsidRPr="00AF4741">
        <w:rPr>
          <w:rFonts w:asciiTheme="minorHAnsi" w:hAnsiTheme="minorHAnsi" w:cstheme="minorHAnsi"/>
          <w:i/>
          <w:iCs/>
          <w:sz w:val="18"/>
          <w:szCs w:val="18"/>
        </w:rPr>
        <w:t xml:space="preserve">and E.C. </w:t>
      </w:r>
      <w:r w:rsidRPr="00AF4741">
        <w:rPr>
          <w:rFonts w:asciiTheme="minorHAnsi" w:hAnsiTheme="minorHAnsi" w:cstheme="minorHAnsi"/>
          <w:i/>
          <w:iCs/>
          <w:sz w:val="18"/>
          <w:szCs w:val="18"/>
        </w:rPr>
        <w:t>v. Hungary</w:t>
      </w:r>
      <w:r w:rsidRPr="00AF4741">
        <w:rPr>
          <w:rFonts w:asciiTheme="minorHAnsi" w:hAnsiTheme="minorHAnsi" w:cstheme="minorHAnsi"/>
          <w:sz w:val="18"/>
          <w:szCs w:val="18"/>
        </w:rPr>
        <w:t xml:space="preserve"> (</w:t>
      </w:r>
      <w:r w:rsidR="00010A53" w:rsidRPr="00AF4741">
        <w:rPr>
          <w:rFonts w:asciiTheme="minorHAnsi" w:hAnsiTheme="minorHAnsi" w:cstheme="minorHAnsi"/>
          <w:sz w:val="18"/>
          <w:szCs w:val="18"/>
        </w:rPr>
        <w:t>Applications nos. 49636/14 and 65678/14, Judgment of 10 November 2022</w:t>
      </w:r>
      <w:r w:rsidRPr="00AF4741">
        <w:rPr>
          <w:rFonts w:asciiTheme="minorHAnsi" w:hAnsiTheme="minorHAnsi" w:cstheme="minorHAnsi"/>
          <w:sz w:val="18"/>
          <w:szCs w:val="18"/>
        </w:rPr>
        <w:t>)</w:t>
      </w:r>
      <w:r w:rsidR="00C311A2" w:rsidRPr="00AF4741">
        <w:rPr>
          <w:rFonts w:asciiTheme="minorHAnsi" w:hAnsiTheme="minorHAnsi" w:cstheme="minorHAnsi"/>
          <w:sz w:val="18"/>
          <w:szCs w:val="18"/>
        </w:rPr>
        <w:t>.</w:t>
      </w:r>
      <w:r w:rsidRPr="00AF4741">
        <w:rPr>
          <w:rFonts w:asciiTheme="minorHAnsi" w:hAnsiTheme="minorHAnsi" w:cstheme="minorHAnsi"/>
          <w:sz w:val="18"/>
          <w:szCs w:val="18"/>
        </w:rPr>
        <w:t xml:space="preserve"> </w:t>
      </w:r>
      <w:r w:rsidR="00F4547B" w:rsidRPr="00AF4741">
        <w:rPr>
          <w:rFonts w:asciiTheme="minorHAnsi" w:hAnsiTheme="minorHAnsi" w:cstheme="minorHAnsi"/>
          <w:sz w:val="18"/>
          <w:szCs w:val="18"/>
        </w:rPr>
        <w:t xml:space="preserve">Cf. </w:t>
      </w:r>
      <w:r w:rsidRPr="00AF4741">
        <w:rPr>
          <w:rFonts w:asciiTheme="minorHAnsi" w:hAnsiTheme="minorHAnsi" w:cstheme="minorHAnsi"/>
          <w:sz w:val="18"/>
          <w:szCs w:val="18"/>
        </w:rPr>
        <w:t>the decision of the Committee of Ministers</w:t>
      </w:r>
      <w:r w:rsidR="00010A53" w:rsidRPr="00AF4741">
        <w:rPr>
          <w:rFonts w:asciiTheme="minorHAnsi" w:hAnsiTheme="minorHAnsi" w:cstheme="minorHAnsi"/>
          <w:sz w:val="18"/>
          <w:szCs w:val="18"/>
        </w:rPr>
        <w:t xml:space="preserve"> of the Council of Europe of March 2025: </w:t>
      </w:r>
      <w:hyperlink r:id="rId71" w:history="1">
        <w:r w:rsidR="00010A53" w:rsidRPr="00AF4741">
          <w:rPr>
            <w:rStyle w:val="Hiperhivatkozs"/>
            <w:rFonts w:asciiTheme="minorHAnsi" w:hAnsiTheme="minorHAnsi" w:cstheme="minorHAnsi"/>
            <w:sz w:val="18"/>
            <w:szCs w:val="18"/>
          </w:rPr>
          <w:t>CM/Del/Dec(2025)1521/H46-16</w:t>
        </w:r>
      </w:hyperlink>
      <w:r w:rsidR="00010A53" w:rsidRPr="00AF4741">
        <w:rPr>
          <w:rFonts w:asciiTheme="minorHAnsi" w:hAnsiTheme="minorHAnsi" w:cstheme="minorHAnsi"/>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C29A4B" w14:textId="26AFCFE1" w:rsidR="008D6529" w:rsidRDefault="008D6529">
    <w:pPr>
      <w:pStyle w:val="lfej"/>
    </w:pPr>
    <w:r w:rsidRPr="009231D7">
      <w:rPr>
        <w:noProof/>
      </w:rPr>
      <w:drawing>
        <wp:inline distT="0" distB="0" distL="0" distR="0" wp14:anchorId="41C6BE5C" wp14:editId="0E6A3BCC">
          <wp:extent cx="1448555" cy="517341"/>
          <wp:effectExtent l="0" t="0" r="0" b="0"/>
          <wp:docPr id="361624880" name="Kép 1" descr="A képen fekete, sötétség látható&#10;&#10;Előfordulhat, hogy az AI által létrehozott tartalom helytel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323478" name="Kép 1" descr="A képen fekete, sötétség látható&#10;&#10;Előfordulhat, hogy az AI által létrehozott tartalom helytelen."/>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56881" cy="520315"/>
                  </a:xfrm>
                  <a:prstGeom prst="rect">
                    <a:avLst/>
                  </a:prstGeom>
                  <a:noFill/>
                  <a:ln>
                    <a:noFill/>
                  </a:ln>
                </pic:spPr>
              </pic:pic>
            </a:graphicData>
          </a:graphic>
        </wp:inline>
      </w:drawing>
    </w:r>
  </w:p>
  <w:p w14:paraId="2B91DED6" w14:textId="77777777" w:rsidR="008D6529" w:rsidRDefault="008D6529">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007E6"/>
    <w:multiLevelType w:val="multilevel"/>
    <w:tmpl w:val="4FAE15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81599EE"/>
    <w:multiLevelType w:val="hybridMultilevel"/>
    <w:tmpl w:val="376A68F2"/>
    <w:lvl w:ilvl="0" w:tplc="905CB386">
      <w:start w:val="1"/>
      <w:numFmt w:val="decimal"/>
      <w:lvlText w:val="%1."/>
      <w:lvlJc w:val="left"/>
      <w:pPr>
        <w:ind w:left="720" w:hanging="360"/>
      </w:pPr>
    </w:lvl>
    <w:lvl w:ilvl="1" w:tplc="AE64B82C">
      <w:start w:val="1"/>
      <w:numFmt w:val="lowerLetter"/>
      <w:lvlText w:val="%2."/>
      <w:lvlJc w:val="left"/>
      <w:pPr>
        <w:ind w:left="1440" w:hanging="360"/>
      </w:pPr>
    </w:lvl>
    <w:lvl w:ilvl="2" w:tplc="DF460A52">
      <w:start w:val="1"/>
      <w:numFmt w:val="lowerRoman"/>
      <w:lvlText w:val="%3."/>
      <w:lvlJc w:val="right"/>
      <w:pPr>
        <w:ind w:left="2160" w:hanging="180"/>
      </w:pPr>
    </w:lvl>
    <w:lvl w:ilvl="3" w:tplc="270C7622">
      <w:start w:val="1"/>
      <w:numFmt w:val="decimal"/>
      <w:lvlText w:val="%4."/>
      <w:lvlJc w:val="left"/>
      <w:pPr>
        <w:ind w:left="2880" w:hanging="360"/>
      </w:pPr>
    </w:lvl>
    <w:lvl w:ilvl="4" w:tplc="7E9E1748">
      <w:start w:val="1"/>
      <w:numFmt w:val="lowerLetter"/>
      <w:lvlText w:val="%5."/>
      <w:lvlJc w:val="left"/>
      <w:pPr>
        <w:ind w:left="3600" w:hanging="360"/>
      </w:pPr>
    </w:lvl>
    <w:lvl w:ilvl="5" w:tplc="9C8063C2">
      <w:start w:val="1"/>
      <w:numFmt w:val="lowerRoman"/>
      <w:lvlText w:val="%6."/>
      <w:lvlJc w:val="right"/>
      <w:pPr>
        <w:ind w:left="4320" w:hanging="180"/>
      </w:pPr>
    </w:lvl>
    <w:lvl w:ilvl="6" w:tplc="75AE2C40">
      <w:start w:val="1"/>
      <w:numFmt w:val="decimal"/>
      <w:lvlText w:val="%7."/>
      <w:lvlJc w:val="left"/>
      <w:pPr>
        <w:ind w:left="5040" w:hanging="360"/>
      </w:pPr>
    </w:lvl>
    <w:lvl w:ilvl="7" w:tplc="E76EE88A">
      <w:start w:val="1"/>
      <w:numFmt w:val="lowerLetter"/>
      <w:lvlText w:val="%8."/>
      <w:lvlJc w:val="left"/>
      <w:pPr>
        <w:ind w:left="5760" w:hanging="360"/>
      </w:pPr>
    </w:lvl>
    <w:lvl w:ilvl="8" w:tplc="7F5091DC">
      <w:start w:val="1"/>
      <w:numFmt w:val="lowerRoman"/>
      <w:lvlText w:val="%9."/>
      <w:lvlJc w:val="right"/>
      <w:pPr>
        <w:ind w:left="6480" w:hanging="180"/>
      </w:pPr>
    </w:lvl>
  </w:abstractNum>
  <w:abstractNum w:abstractNumId="2" w15:restartNumberingAfterBreak="0">
    <w:nsid w:val="186043A6"/>
    <w:multiLevelType w:val="hybridMultilevel"/>
    <w:tmpl w:val="16204D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544F32"/>
    <w:multiLevelType w:val="hybridMultilevel"/>
    <w:tmpl w:val="E580FE1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1C20B76A"/>
    <w:multiLevelType w:val="hybridMultilevel"/>
    <w:tmpl w:val="C78A6B3A"/>
    <w:lvl w:ilvl="0" w:tplc="00700914">
      <w:start w:val="1"/>
      <w:numFmt w:val="decimal"/>
      <w:lvlText w:val="%1."/>
      <w:lvlJc w:val="left"/>
      <w:pPr>
        <w:ind w:left="720" w:hanging="360"/>
      </w:pPr>
    </w:lvl>
    <w:lvl w:ilvl="1" w:tplc="901890FC">
      <w:start w:val="1"/>
      <w:numFmt w:val="lowerLetter"/>
      <w:lvlText w:val="%2."/>
      <w:lvlJc w:val="left"/>
      <w:pPr>
        <w:ind w:left="1440" w:hanging="360"/>
      </w:pPr>
    </w:lvl>
    <w:lvl w:ilvl="2" w:tplc="A8380092">
      <w:start w:val="1"/>
      <w:numFmt w:val="lowerRoman"/>
      <w:lvlText w:val="%3."/>
      <w:lvlJc w:val="right"/>
      <w:pPr>
        <w:ind w:left="2160" w:hanging="180"/>
      </w:pPr>
    </w:lvl>
    <w:lvl w:ilvl="3" w:tplc="2FDA389A">
      <w:start w:val="1"/>
      <w:numFmt w:val="decimal"/>
      <w:lvlText w:val="%4."/>
      <w:lvlJc w:val="left"/>
      <w:pPr>
        <w:ind w:left="2880" w:hanging="360"/>
      </w:pPr>
    </w:lvl>
    <w:lvl w:ilvl="4" w:tplc="C8A4AEF2">
      <w:start w:val="1"/>
      <w:numFmt w:val="lowerLetter"/>
      <w:lvlText w:val="%5."/>
      <w:lvlJc w:val="left"/>
      <w:pPr>
        <w:ind w:left="3600" w:hanging="360"/>
      </w:pPr>
    </w:lvl>
    <w:lvl w:ilvl="5" w:tplc="2AB005EA">
      <w:start w:val="1"/>
      <w:numFmt w:val="lowerRoman"/>
      <w:lvlText w:val="%6."/>
      <w:lvlJc w:val="right"/>
      <w:pPr>
        <w:ind w:left="4320" w:hanging="180"/>
      </w:pPr>
    </w:lvl>
    <w:lvl w:ilvl="6" w:tplc="483CBAB0">
      <w:start w:val="1"/>
      <w:numFmt w:val="decimal"/>
      <w:lvlText w:val="%7."/>
      <w:lvlJc w:val="left"/>
      <w:pPr>
        <w:ind w:left="5040" w:hanging="360"/>
      </w:pPr>
    </w:lvl>
    <w:lvl w:ilvl="7" w:tplc="AC523392">
      <w:start w:val="1"/>
      <w:numFmt w:val="lowerLetter"/>
      <w:lvlText w:val="%8."/>
      <w:lvlJc w:val="left"/>
      <w:pPr>
        <w:ind w:left="5760" w:hanging="360"/>
      </w:pPr>
    </w:lvl>
    <w:lvl w:ilvl="8" w:tplc="C8EA30DA">
      <w:start w:val="1"/>
      <w:numFmt w:val="lowerRoman"/>
      <w:lvlText w:val="%9."/>
      <w:lvlJc w:val="right"/>
      <w:pPr>
        <w:ind w:left="6480" w:hanging="180"/>
      </w:pPr>
    </w:lvl>
  </w:abstractNum>
  <w:abstractNum w:abstractNumId="5" w15:restartNumberingAfterBreak="0">
    <w:nsid w:val="2BE65B84"/>
    <w:multiLevelType w:val="hybridMultilevel"/>
    <w:tmpl w:val="5A62E41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2D1543CF"/>
    <w:multiLevelType w:val="hybridMultilevel"/>
    <w:tmpl w:val="3EDE2C82"/>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31A2EA10"/>
    <w:multiLevelType w:val="multilevel"/>
    <w:tmpl w:val="C634336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8" w15:restartNumberingAfterBreak="0">
    <w:nsid w:val="36B90C58"/>
    <w:multiLevelType w:val="multilevel"/>
    <w:tmpl w:val="5E1A7F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387E6897"/>
    <w:multiLevelType w:val="multilevel"/>
    <w:tmpl w:val="670C8E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C140877"/>
    <w:multiLevelType w:val="hybridMultilevel"/>
    <w:tmpl w:val="AFB2CF24"/>
    <w:lvl w:ilvl="0" w:tplc="040E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3C41C2AF"/>
    <w:multiLevelType w:val="hybridMultilevel"/>
    <w:tmpl w:val="01243842"/>
    <w:lvl w:ilvl="0" w:tplc="885CC742">
      <w:start w:val="1"/>
      <w:numFmt w:val="decimal"/>
      <w:lvlText w:val="%1."/>
      <w:lvlJc w:val="left"/>
      <w:pPr>
        <w:ind w:left="720" w:hanging="360"/>
      </w:pPr>
    </w:lvl>
    <w:lvl w:ilvl="1" w:tplc="CBE840D6">
      <w:start w:val="1"/>
      <w:numFmt w:val="lowerLetter"/>
      <w:lvlText w:val="%2."/>
      <w:lvlJc w:val="left"/>
      <w:pPr>
        <w:ind w:left="1440" w:hanging="360"/>
      </w:pPr>
    </w:lvl>
    <w:lvl w:ilvl="2" w:tplc="B8F88124">
      <w:start w:val="1"/>
      <w:numFmt w:val="lowerRoman"/>
      <w:lvlText w:val="%3."/>
      <w:lvlJc w:val="right"/>
      <w:pPr>
        <w:ind w:left="2160" w:hanging="180"/>
      </w:pPr>
    </w:lvl>
    <w:lvl w:ilvl="3" w:tplc="DB02735C">
      <w:start w:val="1"/>
      <w:numFmt w:val="decimal"/>
      <w:lvlText w:val="%4."/>
      <w:lvlJc w:val="left"/>
      <w:pPr>
        <w:ind w:left="2880" w:hanging="360"/>
      </w:pPr>
    </w:lvl>
    <w:lvl w:ilvl="4" w:tplc="FC7489D6">
      <w:start w:val="1"/>
      <w:numFmt w:val="lowerLetter"/>
      <w:lvlText w:val="%5."/>
      <w:lvlJc w:val="left"/>
      <w:pPr>
        <w:ind w:left="3600" w:hanging="360"/>
      </w:pPr>
    </w:lvl>
    <w:lvl w:ilvl="5" w:tplc="82581342">
      <w:start w:val="1"/>
      <w:numFmt w:val="lowerRoman"/>
      <w:lvlText w:val="%6."/>
      <w:lvlJc w:val="right"/>
      <w:pPr>
        <w:ind w:left="4320" w:hanging="180"/>
      </w:pPr>
    </w:lvl>
    <w:lvl w:ilvl="6" w:tplc="2B6E878A">
      <w:start w:val="1"/>
      <w:numFmt w:val="decimal"/>
      <w:lvlText w:val="%7."/>
      <w:lvlJc w:val="left"/>
      <w:pPr>
        <w:ind w:left="5040" w:hanging="360"/>
      </w:pPr>
    </w:lvl>
    <w:lvl w:ilvl="7" w:tplc="3D3C791E">
      <w:start w:val="1"/>
      <w:numFmt w:val="lowerLetter"/>
      <w:lvlText w:val="%8."/>
      <w:lvlJc w:val="left"/>
      <w:pPr>
        <w:ind w:left="5760" w:hanging="360"/>
      </w:pPr>
    </w:lvl>
    <w:lvl w:ilvl="8" w:tplc="DB2603D6">
      <w:start w:val="1"/>
      <w:numFmt w:val="lowerRoman"/>
      <w:lvlText w:val="%9."/>
      <w:lvlJc w:val="right"/>
      <w:pPr>
        <w:ind w:left="6480" w:hanging="180"/>
      </w:pPr>
    </w:lvl>
  </w:abstractNum>
  <w:abstractNum w:abstractNumId="12" w15:restartNumberingAfterBreak="0">
    <w:nsid w:val="3F7E0EC0"/>
    <w:multiLevelType w:val="hybridMultilevel"/>
    <w:tmpl w:val="2F5E8C5E"/>
    <w:lvl w:ilvl="0" w:tplc="96FE10FC">
      <w:start w:val="1"/>
      <w:numFmt w:val="decimal"/>
      <w:lvlText w:val="%1."/>
      <w:lvlJc w:val="left"/>
      <w:pPr>
        <w:ind w:left="720" w:hanging="360"/>
      </w:pPr>
      <w:rPr>
        <w:rFonts w:hint="default"/>
        <w:b w:val="0"/>
        <w:bCs w:val="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41A9261E"/>
    <w:multiLevelType w:val="multilevel"/>
    <w:tmpl w:val="1F0A4E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44035CAE"/>
    <w:multiLevelType w:val="hybridMultilevel"/>
    <w:tmpl w:val="71C277F4"/>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5" w15:restartNumberingAfterBreak="0">
    <w:nsid w:val="44D84E23"/>
    <w:multiLevelType w:val="multilevel"/>
    <w:tmpl w:val="162031AE"/>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459C2A94"/>
    <w:multiLevelType w:val="hybridMultilevel"/>
    <w:tmpl w:val="601A1AA6"/>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7" w15:restartNumberingAfterBreak="0">
    <w:nsid w:val="46741CE8"/>
    <w:multiLevelType w:val="hybridMultilevel"/>
    <w:tmpl w:val="5552A1E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8" w15:restartNumberingAfterBreak="0">
    <w:nsid w:val="46975E27"/>
    <w:multiLevelType w:val="hybridMultilevel"/>
    <w:tmpl w:val="8B966C94"/>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9" w15:restartNumberingAfterBreak="0">
    <w:nsid w:val="49A6351A"/>
    <w:multiLevelType w:val="multilevel"/>
    <w:tmpl w:val="A7E2226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0" w15:restartNumberingAfterBreak="0">
    <w:nsid w:val="4F6E6265"/>
    <w:multiLevelType w:val="multilevel"/>
    <w:tmpl w:val="F61C1B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532D3646"/>
    <w:multiLevelType w:val="hybridMultilevel"/>
    <w:tmpl w:val="03041720"/>
    <w:lvl w:ilvl="0" w:tplc="833AB7BA">
      <w:start w:val="1"/>
      <w:numFmt w:val="decimal"/>
      <w:lvlText w:val="%1."/>
      <w:lvlJc w:val="left"/>
      <w:pPr>
        <w:ind w:left="720" w:hanging="360"/>
      </w:pPr>
      <w:rPr>
        <w:rFonts w:eastAsia="Times New Roman" w:hint="default"/>
        <w:b w:val="0"/>
        <w:sz w:val="22"/>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2" w15:restartNumberingAfterBreak="0">
    <w:nsid w:val="54EDE9FB"/>
    <w:multiLevelType w:val="hybridMultilevel"/>
    <w:tmpl w:val="849002F4"/>
    <w:lvl w:ilvl="0" w:tplc="8D9E8926">
      <w:start w:val="1"/>
      <w:numFmt w:val="decimal"/>
      <w:lvlText w:val="%1."/>
      <w:lvlJc w:val="left"/>
      <w:pPr>
        <w:ind w:left="720" w:hanging="360"/>
      </w:pPr>
    </w:lvl>
    <w:lvl w:ilvl="1" w:tplc="DB329F46">
      <w:start w:val="1"/>
      <w:numFmt w:val="lowerLetter"/>
      <w:lvlText w:val="%2."/>
      <w:lvlJc w:val="left"/>
      <w:pPr>
        <w:ind w:left="1440" w:hanging="360"/>
      </w:pPr>
    </w:lvl>
    <w:lvl w:ilvl="2" w:tplc="EB326522">
      <w:start w:val="1"/>
      <w:numFmt w:val="lowerRoman"/>
      <w:lvlText w:val="%3."/>
      <w:lvlJc w:val="right"/>
      <w:pPr>
        <w:ind w:left="2160" w:hanging="180"/>
      </w:pPr>
    </w:lvl>
    <w:lvl w:ilvl="3" w:tplc="248447BC">
      <w:start w:val="1"/>
      <w:numFmt w:val="decimal"/>
      <w:lvlText w:val="%4."/>
      <w:lvlJc w:val="left"/>
      <w:pPr>
        <w:ind w:left="2880" w:hanging="360"/>
      </w:pPr>
    </w:lvl>
    <w:lvl w:ilvl="4" w:tplc="6980DBD6">
      <w:start w:val="1"/>
      <w:numFmt w:val="lowerLetter"/>
      <w:lvlText w:val="%5."/>
      <w:lvlJc w:val="left"/>
      <w:pPr>
        <w:ind w:left="3600" w:hanging="360"/>
      </w:pPr>
    </w:lvl>
    <w:lvl w:ilvl="5" w:tplc="1E4250FC">
      <w:start w:val="1"/>
      <w:numFmt w:val="lowerRoman"/>
      <w:lvlText w:val="%6."/>
      <w:lvlJc w:val="right"/>
      <w:pPr>
        <w:ind w:left="4320" w:hanging="180"/>
      </w:pPr>
    </w:lvl>
    <w:lvl w:ilvl="6" w:tplc="2DB28060">
      <w:start w:val="1"/>
      <w:numFmt w:val="decimal"/>
      <w:lvlText w:val="%7."/>
      <w:lvlJc w:val="left"/>
      <w:pPr>
        <w:ind w:left="5040" w:hanging="360"/>
      </w:pPr>
    </w:lvl>
    <w:lvl w:ilvl="7" w:tplc="885EE75A">
      <w:start w:val="1"/>
      <w:numFmt w:val="lowerLetter"/>
      <w:lvlText w:val="%8."/>
      <w:lvlJc w:val="left"/>
      <w:pPr>
        <w:ind w:left="5760" w:hanging="360"/>
      </w:pPr>
    </w:lvl>
    <w:lvl w:ilvl="8" w:tplc="F1F49F40">
      <w:start w:val="1"/>
      <w:numFmt w:val="lowerRoman"/>
      <w:lvlText w:val="%9."/>
      <w:lvlJc w:val="right"/>
      <w:pPr>
        <w:ind w:left="6480" w:hanging="180"/>
      </w:pPr>
    </w:lvl>
  </w:abstractNum>
  <w:abstractNum w:abstractNumId="23" w15:restartNumberingAfterBreak="0">
    <w:nsid w:val="55B673A5"/>
    <w:multiLevelType w:val="hybridMultilevel"/>
    <w:tmpl w:val="B56A233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 w15:restartNumberingAfterBreak="0">
    <w:nsid w:val="598762D3"/>
    <w:multiLevelType w:val="hybridMultilevel"/>
    <w:tmpl w:val="072C70BE"/>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5" w15:restartNumberingAfterBreak="0">
    <w:nsid w:val="5D7B76E4"/>
    <w:multiLevelType w:val="hybridMultilevel"/>
    <w:tmpl w:val="A8B6006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6" w15:restartNumberingAfterBreak="0">
    <w:nsid w:val="5FAD3BF6"/>
    <w:multiLevelType w:val="multilevel"/>
    <w:tmpl w:val="06487A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018317E"/>
    <w:multiLevelType w:val="multilevel"/>
    <w:tmpl w:val="EE56DA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B101F4D"/>
    <w:multiLevelType w:val="multilevel"/>
    <w:tmpl w:val="2116D5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6C54109F"/>
    <w:multiLevelType w:val="multilevel"/>
    <w:tmpl w:val="973EB80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73F25B52"/>
    <w:multiLevelType w:val="multilevel"/>
    <w:tmpl w:val="350C99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76486C94"/>
    <w:multiLevelType w:val="multilevel"/>
    <w:tmpl w:val="6A0A9B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6B06767"/>
    <w:multiLevelType w:val="hybridMultilevel"/>
    <w:tmpl w:val="7EA04EF6"/>
    <w:lvl w:ilvl="0" w:tplc="BEFAF2EE">
      <w:start w:val="1"/>
      <w:numFmt w:val="decimal"/>
      <w:lvlText w:val="%1."/>
      <w:lvlJc w:val="left"/>
      <w:pPr>
        <w:ind w:left="720" w:hanging="360"/>
      </w:pPr>
    </w:lvl>
    <w:lvl w:ilvl="1" w:tplc="530C8682">
      <w:start w:val="1"/>
      <w:numFmt w:val="lowerLetter"/>
      <w:lvlText w:val="%2."/>
      <w:lvlJc w:val="left"/>
      <w:pPr>
        <w:ind w:left="1440" w:hanging="360"/>
      </w:pPr>
    </w:lvl>
    <w:lvl w:ilvl="2" w:tplc="995CF0D2">
      <w:start w:val="1"/>
      <w:numFmt w:val="lowerRoman"/>
      <w:lvlText w:val="%3."/>
      <w:lvlJc w:val="right"/>
      <w:pPr>
        <w:ind w:left="2160" w:hanging="180"/>
      </w:pPr>
    </w:lvl>
    <w:lvl w:ilvl="3" w:tplc="28AEE704">
      <w:start w:val="1"/>
      <w:numFmt w:val="decimal"/>
      <w:lvlText w:val="%4."/>
      <w:lvlJc w:val="left"/>
      <w:pPr>
        <w:ind w:left="2880" w:hanging="360"/>
      </w:pPr>
    </w:lvl>
    <w:lvl w:ilvl="4" w:tplc="2E689096">
      <w:start w:val="1"/>
      <w:numFmt w:val="lowerLetter"/>
      <w:lvlText w:val="%5."/>
      <w:lvlJc w:val="left"/>
      <w:pPr>
        <w:ind w:left="3600" w:hanging="360"/>
      </w:pPr>
    </w:lvl>
    <w:lvl w:ilvl="5" w:tplc="56C07B2C">
      <w:start w:val="1"/>
      <w:numFmt w:val="lowerRoman"/>
      <w:lvlText w:val="%6."/>
      <w:lvlJc w:val="right"/>
      <w:pPr>
        <w:ind w:left="4320" w:hanging="180"/>
      </w:pPr>
    </w:lvl>
    <w:lvl w:ilvl="6" w:tplc="C930C13A">
      <w:start w:val="1"/>
      <w:numFmt w:val="decimal"/>
      <w:lvlText w:val="%7."/>
      <w:lvlJc w:val="left"/>
      <w:pPr>
        <w:ind w:left="5040" w:hanging="360"/>
      </w:pPr>
    </w:lvl>
    <w:lvl w:ilvl="7" w:tplc="83B2C304">
      <w:start w:val="1"/>
      <w:numFmt w:val="lowerLetter"/>
      <w:lvlText w:val="%8."/>
      <w:lvlJc w:val="left"/>
      <w:pPr>
        <w:ind w:left="5760" w:hanging="360"/>
      </w:pPr>
    </w:lvl>
    <w:lvl w:ilvl="8" w:tplc="0032D40A">
      <w:start w:val="1"/>
      <w:numFmt w:val="lowerRoman"/>
      <w:lvlText w:val="%9."/>
      <w:lvlJc w:val="right"/>
      <w:pPr>
        <w:ind w:left="6480" w:hanging="180"/>
      </w:pPr>
    </w:lvl>
  </w:abstractNum>
  <w:abstractNum w:abstractNumId="33" w15:restartNumberingAfterBreak="0">
    <w:nsid w:val="77390CB6"/>
    <w:multiLevelType w:val="hybridMultilevel"/>
    <w:tmpl w:val="C924FB8C"/>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4" w15:restartNumberingAfterBreak="0">
    <w:nsid w:val="79AB6CF6"/>
    <w:multiLevelType w:val="hybridMultilevel"/>
    <w:tmpl w:val="D05E247A"/>
    <w:lvl w:ilvl="0" w:tplc="040E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7BA1EC20"/>
    <w:multiLevelType w:val="hybridMultilevel"/>
    <w:tmpl w:val="5CA0E1A8"/>
    <w:lvl w:ilvl="0" w:tplc="A9860DE4">
      <w:start w:val="1"/>
      <w:numFmt w:val="decimal"/>
      <w:lvlText w:val="%1."/>
      <w:lvlJc w:val="left"/>
      <w:pPr>
        <w:ind w:left="720" w:hanging="360"/>
      </w:pPr>
    </w:lvl>
    <w:lvl w:ilvl="1" w:tplc="5E64A3DA">
      <w:start w:val="1"/>
      <w:numFmt w:val="lowerLetter"/>
      <w:lvlText w:val="%2."/>
      <w:lvlJc w:val="left"/>
      <w:pPr>
        <w:ind w:left="1440" w:hanging="360"/>
      </w:pPr>
    </w:lvl>
    <w:lvl w:ilvl="2" w:tplc="5CE43180">
      <w:start w:val="1"/>
      <w:numFmt w:val="lowerRoman"/>
      <w:lvlText w:val="%3."/>
      <w:lvlJc w:val="right"/>
      <w:pPr>
        <w:ind w:left="2160" w:hanging="180"/>
      </w:pPr>
    </w:lvl>
    <w:lvl w:ilvl="3" w:tplc="6A1A056E">
      <w:start w:val="1"/>
      <w:numFmt w:val="decimal"/>
      <w:lvlText w:val="%4."/>
      <w:lvlJc w:val="left"/>
      <w:pPr>
        <w:ind w:left="2880" w:hanging="360"/>
      </w:pPr>
    </w:lvl>
    <w:lvl w:ilvl="4" w:tplc="96746BEC">
      <w:start w:val="1"/>
      <w:numFmt w:val="lowerLetter"/>
      <w:lvlText w:val="%5."/>
      <w:lvlJc w:val="left"/>
      <w:pPr>
        <w:ind w:left="3600" w:hanging="360"/>
      </w:pPr>
    </w:lvl>
    <w:lvl w:ilvl="5" w:tplc="B71C50AE">
      <w:start w:val="1"/>
      <w:numFmt w:val="lowerRoman"/>
      <w:lvlText w:val="%6."/>
      <w:lvlJc w:val="right"/>
      <w:pPr>
        <w:ind w:left="4320" w:hanging="180"/>
      </w:pPr>
    </w:lvl>
    <w:lvl w:ilvl="6" w:tplc="B3BA5F12">
      <w:start w:val="1"/>
      <w:numFmt w:val="decimal"/>
      <w:lvlText w:val="%7."/>
      <w:lvlJc w:val="left"/>
      <w:pPr>
        <w:ind w:left="5040" w:hanging="360"/>
      </w:pPr>
    </w:lvl>
    <w:lvl w:ilvl="7" w:tplc="8C44B762">
      <w:start w:val="1"/>
      <w:numFmt w:val="lowerLetter"/>
      <w:lvlText w:val="%8."/>
      <w:lvlJc w:val="left"/>
      <w:pPr>
        <w:ind w:left="5760" w:hanging="360"/>
      </w:pPr>
    </w:lvl>
    <w:lvl w:ilvl="8" w:tplc="BF5CA062">
      <w:start w:val="1"/>
      <w:numFmt w:val="lowerRoman"/>
      <w:lvlText w:val="%9."/>
      <w:lvlJc w:val="right"/>
      <w:pPr>
        <w:ind w:left="6480" w:hanging="180"/>
      </w:pPr>
    </w:lvl>
  </w:abstractNum>
  <w:abstractNum w:abstractNumId="36" w15:restartNumberingAfterBreak="0">
    <w:nsid w:val="7C88649D"/>
    <w:multiLevelType w:val="hybridMultilevel"/>
    <w:tmpl w:val="DF2C455C"/>
    <w:lvl w:ilvl="0" w:tplc="44E2EA7C">
      <w:start w:val="1"/>
      <w:numFmt w:val="decimal"/>
      <w:lvlText w:val="%1."/>
      <w:lvlJc w:val="left"/>
      <w:pPr>
        <w:ind w:left="720" w:hanging="360"/>
      </w:pPr>
    </w:lvl>
    <w:lvl w:ilvl="1" w:tplc="512C8F80">
      <w:start w:val="1"/>
      <w:numFmt w:val="lowerLetter"/>
      <w:lvlText w:val="%2."/>
      <w:lvlJc w:val="left"/>
      <w:pPr>
        <w:ind w:left="1440" w:hanging="360"/>
      </w:pPr>
    </w:lvl>
    <w:lvl w:ilvl="2" w:tplc="C0A40600">
      <w:start w:val="1"/>
      <w:numFmt w:val="lowerRoman"/>
      <w:lvlText w:val="%3."/>
      <w:lvlJc w:val="right"/>
      <w:pPr>
        <w:ind w:left="2160" w:hanging="180"/>
      </w:pPr>
    </w:lvl>
    <w:lvl w:ilvl="3" w:tplc="723AA04E">
      <w:start w:val="1"/>
      <w:numFmt w:val="decimal"/>
      <w:lvlText w:val="%4."/>
      <w:lvlJc w:val="left"/>
      <w:pPr>
        <w:ind w:left="2880" w:hanging="360"/>
      </w:pPr>
    </w:lvl>
    <w:lvl w:ilvl="4" w:tplc="6EA07320">
      <w:start w:val="1"/>
      <w:numFmt w:val="lowerLetter"/>
      <w:lvlText w:val="%5."/>
      <w:lvlJc w:val="left"/>
      <w:pPr>
        <w:ind w:left="3600" w:hanging="360"/>
      </w:pPr>
    </w:lvl>
    <w:lvl w:ilvl="5" w:tplc="EFCC2BF8">
      <w:start w:val="1"/>
      <w:numFmt w:val="lowerRoman"/>
      <w:lvlText w:val="%6."/>
      <w:lvlJc w:val="right"/>
      <w:pPr>
        <w:ind w:left="4320" w:hanging="180"/>
      </w:pPr>
    </w:lvl>
    <w:lvl w:ilvl="6" w:tplc="44889538">
      <w:start w:val="1"/>
      <w:numFmt w:val="decimal"/>
      <w:lvlText w:val="%7."/>
      <w:lvlJc w:val="left"/>
      <w:pPr>
        <w:ind w:left="5040" w:hanging="360"/>
      </w:pPr>
    </w:lvl>
    <w:lvl w:ilvl="7" w:tplc="F4B094E4">
      <w:start w:val="1"/>
      <w:numFmt w:val="lowerLetter"/>
      <w:lvlText w:val="%8."/>
      <w:lvlJc w:val="left"/>
      <w:pPr>
        <w:ind w:left="5760" w:hanging="360"/>
      </w:pPr>
    </w:lvl>
    <w:lvl w:ilvl="8" w:tplc="6DEA1960">
      <w:start w:val="1"/>
      <w:numFmt w:val="lowerRoman"/>
      <w:lvlText w:val="%9."/>
      <w:lvlJc w:val="right"/>
      <w:pPr>
        <w:ind w:left="6480" w:hanging="180"/>
      </w:pPr>
    </w:lvl>
  </w:abstractNum>
  <w:num w:numId="1" w16cid:durableId="1978797291">
    <w:abstractNumId w:val="29"/>
  </w:num>
  <w:num w:numId="2" w16cid:durableId="1234661637">
    <w:abstractNumId w:val="5"/>
  </w:num>
  <w:num w:numId="3" w16cid:durableId="1817718432">
    <w:abstractNumId w:val="34"/>
  </w:num>
  <w:num w:numId="4" w16cid:durableId="1377050839">
    <w:abstractNumId w:val="30"/>
  </w:num>
  <w:num w:numId="5" w16cid:durableId="985864148">
    <w:abstractNumId w:val="20"/>
  </w:num>
  <w:num w:numId="6" w16cid:durableId="1936790706">
    <w:abstractNumId w:val="17"/>
  </w:num>
  <w:num w:numId="7" w16cid:durableId="245965708">
    <w:abstractNumId w:val="8"/>
  </w:num>
  <w:num w:numId="8" w16cid:durableId="851645160">
    <w:abstractNumId w:val="15"/>
  </w:num>
  <w:num w:numId="9" w16cid:durableId="588776231">
    <w:abstractNumId w:val="28"/>
  </w:num>
  <w:num w:numId="10" w16cid:durableId="1122189331">
    <w:abstractNumId w:val="13"/>
  </w:num>
  <w:num w:numId="11" w16cid:durableId="1382092865">
    <w:abstractNumId w:val="18"/>
  </w:num>
  <w:num w:numId="12" w16cid:durableId="819273338">
    <w:abstractNumId w:val="33"/>
  </w:num>
  <w:num w:numId="13" w16cid:durableId="197013803">
    <w:abstractNumId w:val="0"/>
  </w:num>
  <w:num w:numId="14" w16cid:durableId="1990941312">
    <w:abstractNumId w:val="19"/>
  </w:num>
  <w:num w:numId="15" w16cid:durableId="1320621284">
    <w:abstractNumId w:val="6"/>
  </w:num>
  <w:num w:numId="16" w16cid:durableId="2001542812">
    <w:abstractNumId w:val="25"/>
  </w:num>
  <w:num w:numId="17" w16cid:durableId="1595283038">
    <w:abstractNumId w:val="10"/>
  </w:num>
  <w:num w:numId="18" w16cid:durableId="1228227687">
    <w:abstractNumId w:val="23"/>
  </w:num>
  <w:num w:numId="19" w16cid:durableId="2121337186">
    <w:abstractNumId w:val="3"/>
  </w:num>
  <w:num w:numId="20" w16cid:durableId="1617172390">
    <w:abstractNumId w:val="9"/>
  </w:num>
  <w:num w:numId="21" w16cid:durableId="116023010">
    <w:abstractNumId w:val="16"/>
  </w:num>
  <w:num w:numId="22" w16cid:durableId="2016689334">
    <w:abstractNumId w:val="14"/>
  </w:num>
  <w:num w:numId="23" w16cid:durableId="48384368">
    <w:abstractNumId w:val="36"/>
  </w:num>
  <w:num w:numId="24" w16cid:durableId="981159421">
    <w:abstractNumId w:val="1"/>
  </w:num>
  <w:num w:numId="25" w16cid:durableId="869029881">
    <w:abstractNumId w:val="4"/>
  </w:num>
  <w:num w:numId="26" w16cid:durableId="266236158">
    <w:abstractNumId w:val="11"/>
  </w:num>
  <w:num w:numId="27" w16cid:durableId="795371893">
    <w:abstractNumId w:val="32"/>
  </w:num>
  <w:num w:numId="28" w16cid:durableId="57827890">
    <w:abstractNumId w:val="22"/>
  </w:num>
  <w:num w:numId="29" w16cid:durableId="1789933940">
    <w:abstractNumId w:val="7"/>
  </w:num>
  <w:num w:numId="30" w16cid:durableId="2069449641">
    <w:abstractNumId w:val="24"/>
  </w:num>
  <w:num w:numId="31" w16cid:durableId="620036350">
    <w:abstractNumId w:val="12"/>
  </w:num>
  <w:num w:numId="32" w16cid:durableId="1864859251">
    <w:abstractNumId w:val="35"/>
  </w:num>
  <w:num w:numId="33" w16cid:durableId="1009065873">
    <w:abstractNumId w:val="31"/>
  </w:num>
  <w:num w:numId="34" w16cid:durableId="693922674">
    <w:abstractNumId w:val="21"/>
  </w:num>
  <w:num w:numId="35" w16cid:durableId="1622761274">
    <w:abstractNumId w:val="26"/>
  </w:num>
  <w:num w:numId="36" w16cid:durableId="459105891">
    <w:abstractNumId w:val="27"/>
  </w:num>
  <w:num w:numId="37" w16cid:durableId="19455754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0EEA"/>
    <w:rsid w:val="000003BE"/>
    <w:rsid w:val="000053DA"/>
    <w:rsid w:val="0001010A"/>
    <w:rsid w:val="00010A53"/>
    <w:rsid w:val="000113B0"/>
    <w:rsid w:val="000169EB"/>
    <w:rsid w:val="00026287"/>
    <w:rsid w:val="00035228"/>
    <w:rsid w:val="00035DBD"/>
    <w:rsid w:val="0003792B"/>
    <w:rsid w:val="00041D14"/>
    <w:rsid w:val="00044A69"/>
    <w:rsid w:val="00055B1C"/>
    <w:rsid w:val="00055E01"/>
    <w:rsid w:val="00056DF7"/>
    <w:rsid w:val="000574CE"/>
    <w:rsid w:val="0006127E"/>
    <w:rsid w:val="00061ED5"/>
    <w:rsid w:val="000650EF"/>
    <w:rsid w:val="0007704E"/>
    <w:rsid w:val="00083D3F"/>
    <w:rsid w:val="000853CD"/>
    <w:rsid w:val="00087C1F"/>
    <w:rsid w:val="000904B0"/>
    <w:rsid w:val="00097C65"/>
    <w:rsid w:val="00097EF4"/>
    <w:rsid w:val="000A2262"/>
    <w:rsid w:val="000B6B4C"/>
    <w:rsid w:val="000C292E"/>
    <w:rsid w:val="000D4A1F"/>
    <w:rsid w:val="000E0CC1"/>
    <w:rsid w:val="000E1182"/>
    <w:rsid w:val="000E267C"/>
    <w:rsid w:val="000F02F1"/>
    <w:rsid w:val="000F66F9"/>
    <w:rsid w:val="000F7141"/>
    <w:rsid w:val="00106E35"/>
    <w:rsid w:val="00121DCB"/>
    <w:rsid w:val="0012366A"/>
    <w:rsid w:val="0012381E"/>
    <w:rsid w:val="00131EE2"/>
    <w:rsid w:val="00133B60"/>
    <w:rsid w:val="00141496"/>
    <w:rsid w:val="0014742B"/>
    <w:rsid w:val="0015346A"/>
    <w:rsid w:val="00154955"/>
    <w:rsid w:val="001572CF"/>
    <w:rsid w:val="00166C52"/>
    <w:rsid w:val="00174627"/>
    <w:rsid w:val="00181812"/>
    <w:rsid w:val="00184F75"/>
    <w:rsid w:val="00185FC4"/>
    <w:rsid w:val="001902B4"/>
    <w:rsid w:val="00192A9B"/>
    <w:rsid w:val="001A549B"/>
    <w:rsid w:val="001B0C4F"/>
    <w:rsid w:val="001B6B32"/>
    <w:rsid w:val="001C53DF"/>
    <w:rsid w:val="001D7BEB"/>
    <w:rsid w:val="001E1401"/>
    <w:rsid w:val="001F796D"/>
    <w:rsid w:val="00204110"/>
    <w:rsid w:val="00214187"/>
    <w:rsid w:val="00214EDA"/>
    <w:rsid w:val="00220E03"/>
    <w:rsid w:val="00224B96"/>
    <w:rsid w:val="0024155C"/>
    <w:rsid w:val="0024786C"/>
    <w:rsid w:val="002504A7"/>
    <w:rsid w:val="00255A82"/>
    <w:rsid w:val="00256DD3"/>
    <w:rsid w:val="00265496"/>
    <w:rsid w:val="00284B38"/>
    <w:rsid w:val="002861D1"/>
    <w:rsid w:val="00286C43"/>
    <w:rsid w:val="00291366"/>
    <w:rsid w:val="00292685"/>
    <w:rsid w:val="002A7F56"/>
    <w:rsid w:val="002C7D76"/>
    <w:rsid w:val="002D3333"/>
    <w:rsid w:val="002D59DA"/>
    <w:rsid w:val="002E3230"/>
    <w:rsid w:val="002E48FD"/>
    <w:rsid w:val="002F043D"/>
    <w:rsid w:val="002F232C"/>
    <w:rsid w:val="002F7662"/>
    <w:rsid w:val="00316032"/>
    <w:rsid w:val="003173D3"/>
    <w:rsid w:val="00320EF7"/>
    <w:rsid w:val="0032443B"/>
    <w:rsid w:val="00350463"/>
    <w:rsid w:val="0035099F"/>
    <w:rsid w:val="00351F70"/>
    <w:rsid w:val="00353374"/>
    <w:rsid w:val="0035553A"/>
    <w:rsid w:val="00360B26"/>
    <w:rsid w:val="00360FC6"/>
    <w:rsid w:val="003638C4"/>
    <w:rsid w:val="00366E16"/>
    <w:rsid w:val="003729A2"/>
    <w:rsid w:val="00372DBA"/>
    <w:rsid w:val="00375FAA"/>
    <w:rsid w:val="00382E20"/>
    <w:rsid w:val="003A143C"/>
    <w:rsid w:val="003A7322"/>
    <w:rsid w:val="003B3555"/>
    <w:rsid w:val="003C31D5"/>
    <w:rsid w:val="003D0590"/>
    <w:rsid w:val="003E4C93"/>
    <w:rsid w:val="003F04A7"/>
    <w:rsid w:val="003F084D"/>
    <w:rsid w:val="00410A93"/>
    <w:rsid w:val="00417713"/>
    <w:rsid w:val="00420733"/>
    <w:rsid w:val="0042320E"/>
    <w:rsid w:val="004275A6"/>
    <w:rsid w:val="00436F87"/>
    <w:rsid w:val="00440D70"/>
    <w:rsid w:val="004436FE"/>
    <w:rsid w:val="00443E52"/>
    <w:rsid w:val="0045504D"/>
    <w:rsid w:val="004623E0"/>
    <w:rsid w:val="00464089"/>
    <w:rsid w:val="00476C67"/>
    <w:rsid w:val="00480C30"/>
    <w:rsid w:val="00486BBB"/>
    <w:rsid w:val="00491C46"/>
    <w:rsid w:val="00496733"/>
    <w:rsid w:val="004A7E4B"/>
    <w:rsid w:val="004B3D42"/>
    <w:rsid w:val="004B51A5"/>
    <w:rsid w:val="004C2ADC"/>
    <w:rsid w:val="004C5829"/>
    <w:rsid w:val="004C5860"/>
    <w:rsid w:val="004D1031"/>
    <w:rsid w:val="004D76C9"/>
    <w:rsid w:val="004E7013"/>
    <w:rsid w:val="004F49FA"/>
    <w:rsid w:val="004F7122"/>
    <w:rsid w:val="00501637"/>
    <w:rsid w:val="00503665"/>
    <w:rsid w:val="00516546"/>
    <w:rsid w:val="005261B3"/>
    <w:rsid w:val="00534724"/>
    <w:rsid w:val="00535DA9"/>
    <w:rsid w:val="00536CCF"/>
    <w:rsid w:val="005379AA"/>
    <w:rsid w:val="00550D2C"/>
    <w:rsid w:val="005566C4"/>
    <w:rsid w:val="00560B40"/>
    <w:rsid w:val="00562A86"/>
    <w:rsid w:val="005652FF"/>
    <w:rsid w:val="00571201"/>
    <w:rsid w:val="00583B6A"/>
    <w:rsid w:val="00597FD2"/>
    <w:rsid w:val="005A42D4"/>
    <w:rsid w:val="005A720F"/>
    <w:rsid w:val="005E0D96"/>
    <w:rsid w:val="005E3C20"/>
    <w:rsid w:val="005E416C"/>
    <w:rsid w:val="005F1CC4"/>
    <w:rsid w:val="005F545A"/>
    <w:rsid w:val="005F7832"/>
    <w:rsid w:val="00600C29"/>
    <w:rsid w:val="00621399"/>
    <w:rsid w:val="006242D8"/>
    <w:rsid w:val="006243A3"/>
    <w:rsid w:val="00631A33"/>
    <w:rsid w:val="00633542"/>
    <w:rsid w:val="0064098A"/>
    <w:rsid w:val="006460EF"/>
    <w:rsid w:val="00650293"/>
    <w:rsid w:val="00674851"/>
    <w:rsid w:val="00676DE1"/>
    <w:rsid w:val="00680AC0"/>
    <w:rsid w:val="006813DB"/>
    <w:rsid w:val="006819F3"/>
    <w:rsid w:val="00682301"/>
    <w:rsid w:val="00690492"/>
    <w:rsid w:val="006962CA"/>
    <w:rsid w:val="006968DF"/>
    <w:rsid w:val="006B01E5"/>
    <w:rsid w:val="006C4E2B"/>
    <w:rsid w:val="006C60A7"/>
    <w:rsid w:val="006C6C55"/>
    <w:rsid w:val="006D7FA6"/>
    <w:rsid w:val="006E1D9E"/>
    <w:rsid w:val="006E4C90"/>
    <w:rsid w:val="006F43EB"/>
    <w:rsid w:val="006F66C0"/>
    <w:rsid w:val="00703499"/>
    <w:rsid w:val="0070497E"/>
    <w:rsid w:val="007062E1"/>
    <w:rsid w:val="00714FBC"/>
    <w:rsid w:val="00721ADC"/>
    <w:rsid w:val="00730011"/>
    <w:rsid w:val="00736CFD"/>
    <w:rsid w:val="00737A8E"/>
    <w:rsid w:val="00740401"/>
    <w:rsid w:val="00742119"/>
    <w:rsid w:val="0074628D"/>
    <w:rsid w:val="00747CA7"/>
    <w:rsid w:val="00761EB6"/>
    <w:rsid w:val="00762267"/>
    <w:rsid w:val="00763895"/>
    <w:rsid w:val="00765172"/>
    <w:rsid w:val="007666F5"/>
    <w:rsid w:val="007705FE"/>
    <w:rsid w:val="00772078"/>
    <w:rsid w:val="007764BE"/>
    <w:rsid w:val="00784D16"/>
    <w:rsid w:val="00790F3C"/>
    <w:rsid w:val="0079553E"/>
    <w:rsid w:val="007973E3"/>
    <w:rsid w:val="007A3DF2"/>
    <w:rsid w:val="007B0DD2"/>
    <w:rsid w:val="007B176D"/>
    <w:rsid w:val="007B1E6C"/>
    <w:rsid w:val="007B345C"/>
    <w:rsid w:val="007C16A2"/>
    <w:rsid w:val="007C1ED1"/>
    <w:rsid w:val="007C2E5D"/>
    <w:rsid w:val="007C5FBF"/>
    <w:rsid w:val="007D1B90"/>
    <w:rsid w:val="007D6482"/>
    <w:rsid w:val="007F4313"/>
    <w:rsid w:val="00801629"/>
    <w:rsid w:val="00810816"/>
    <w:rsid w:val="008161D8"/>
    <w:rsid w:val="0081622B"/>
    <w:rsid w:val="00830BB0"/>
    <w:rsid w:val="00834B83"/>
    <w:rsid w:val="00835219"/>
    <w:rsid w:val="008423F0"/>
    <w:rsid w:val="00850EE7"/>
    <w:rsid w:val="008557C3"/>
    <w:rsid w:val="0086090C"/>
    <w:rsid w:val="00860B44"/>
    <w:rsid w:val="008707D2"/>
    <w:rsid w:val="00882073"/>
    <w:rsid w:val="00885D98"/>
    <w:rsid w:val="008929D6"/>
    <w:rsid w:val="0089671E"/>
    <w:rsid w:val="008A36CA"/>
    <w:rsid w:val="008C0ED5"/>
    <w:rsid w:val="008C2905"/>
    <w:rsid w:val="008C7A8C"/>
    <w:rsid w:val="008D103C"/>
    <w:rsid w:val="008D6529"/>
    <w:rsid w:val="008F1D67"/>
    <w:rsid w:val="00910524"/>
    <w:rsid w:val="0092036C"/>
    <w:rsid w:val="009231D7"/>
    <w:rsid w:val="00925EAB"/>
    <w:rsid w:val="00933D88"/>
    <w:rsid w:val="009445AD"/>
    <w:rsid w:val="00951D47"/>
    <w:rsid w:val="00955355"/>
    <w:rsid w:val="009575AA"/>
    <w:rsid w:val="0096012A"/>
    <w:rsid w:val="0097145E"/>
    <w:rsid w:val="00976AE1"/>
    <w:rsid w:val="0097760B"/>
    <w:rsid w:val="00977EC9"/>
    <w:rsid w:val="00987731"/>
    <w:rsid w:val="009961C5"/>
    <w:rsid w:val="009A0899"/>
    <w:rsid w:val="009A17A9"/>
    <w:rsid w:val="009A1A70"/>
    <w:rsid w:val="009A3A3E"/>
    <w:rsid w:val="009A56BA"/>
    <w:rsid w:val="009B1EB7"/>
    <w:rsid w:val="009B5989"/>
    <w:rsid w:val="009C15D0"/>
    <w:rsid w:val="009C1E2C"/>
    <w:rsid w:val="009D0721"/>
    <w:rsid w:val="009D0FB5"/>
    <w:rsid w:val="009D2537"/>
    <w:rsid w:val="009D5548"/>
    <w:rsid w:val="009E3E9E"/>
    <w:rsid w:val="009E794D"/>
    <w:rsid w:val="009F2ECC"/>
    <w:rsid w:val="00A005C7"/>
    <w:rsid w:val="00A00818"/>
    <w:rsid w:val="00A0279F"/>
    <w:rsid w:val="00A16F40"/>
    <w:rsid w:val="00A258EE"/>
    <w:rsid w:val="00A300A0"/>
    <w:rsid w:val="00A312FF"/>
    <w:rsid w:val="00A3452A"/>
    <w:rsid w:val="00A35C88"/>
    <w:rsid w:val="00A36EAE"/>
    <w:rsid w:val="00A800AF"/>
    <w:rsid w:val="00A9577C"/>
    <w:rsid w:val="00AA4378"/>
    <w:rsid w:val="00AA6AED"/>
    <w:rsid w:val="00AB02F5"/>
    <w:rsid w:val="00AB3556"/>
    <w:rsid w:val="00AC2D88"/>
    <w:rsid w:val="00AC35E7"/>
    <w:rsid w:val="00AC5857"/>
    <w:rsid w:val="00AD3C0C"/>
    <w:rsid w:val="00AD55F6"/>
    <w:rsid w:val="00AE69F6"/>
    <w:rsid w:val="00AE794B"/>
    <w:rsid w:val="00AF0187"/>
    <w:rsid w:val="00AF4741"/>
    <w:rsid w:val="00AF4EFF"/>
    <w:rsid w:val="00B01F98"/>
    <w:rsid w:val="00B02A7A"/>
    <w:rsid w:val="00B03A14"/>
    <w:rsid w:val="00B05E30"/>
    <w:rsid w:val="00B15D5A"/>
    <w:rsid w:val="00B21042"/>
    <w:rsid w:val="00B36B27"/>
    <w:rsid w:val="00B36BD5"/>
    <w:rsid w:val="00B420EB"/>
    <w:rsid w:val="00B421A9"/>
    <w:rsid w:val="00B46A7D"/>
    <w:rsid w:val="00B52E80"/>
    <w:rsid w:val="00B533C6"/>
    <w:rsid w:val="00B53CBF"/>
    <w:rsid w:val="00B5729F"/>
    <w:rsid w:val="00B63F8B"/>
    <w:rsid w:val="00B64B2A"/>
    <w:rsid w:val="00B666D6"/>
    <w:rsid w:val="00B7253A"/>
    <w:rsid w:val="00B906B3"/>
    <w:rsid w:val="00B94740"/>
    <w:rsid w:val="00BA1F8F"/>
    <w:rsid w:val="00BA3057"/>
    <w:rsid w:val="00BB3811"/>
    <w:rsid w:val="00BB451D"/>
    <w:rsid w:val="00BB4A9A"/>
    <w:rsid w:val="00BB7600"/>
    <w:rsid w:val="00BC021C"/>
    <w:rsid w:val="00BC208F"/>
    <w:rsid w:val="00BC2D0C"/>
    <w:rsid w:val="00BC5E0D"/>
    <w:rsid w:val="00BD7194"/>
    <w:rsid w:val="00BE4695"/>
    <w:rsid w:val="00C0663D"/>
    <w:rsid w:val="00C0735F"/>
    <w:rsid w:val="00C12AA7"/>
    <w:rsid w:val="00C20E52"/>
    <w:rsid w:val="00C311A2"/>
    <w:rsid w:val="00C32871"/>
    <w:rsid w:val="00C355B5"/>
    <w:rsid w:val="00C368DE"/>
    <w:rsid w:val="00C407AF"/>
    <w:rsid w:val="00C47573"/>
    <w:rsid w:val="00C519F8"/>
    <w:rsid w:val="00C53A22"/>
    <w:rsid w:val="00C63F08"/>
    <w:rsid w:val="00C670A0"/>
    <w:rsid w:val="00C747BC"/>
    <w:rsid w:val="00C81E4C"/>
    <w:rsid w:val="00C82505"/>
    <w:rsid w:val="00C82C88"/>
    <w:rsid w:val="00C90260"/>
    <w:rsid w:val="00CA08F1"/>
    <w:rsid w:val="00CA0C0A"/>
    <w:rsid w:val="00CA5D9F"/>
    <w:rsid w:val="00CA7132"/>
    <w:rsid w:val="00CC74DF"/>
    <w:rsid w:val="00CD2DCD"/>
    <w:rsid w:val="00CD36BD"/>
    <w:rsid w:val="00CE2254"/>
    <w:rsid w:val="00CE4FE2"/>
    <w:rsid w:val="00CF6BC5"/>
    <w:rsid w:val="00CF6C13"/>
    <w:rsid w:val="00D13A49"/>
    <w:rsid w:val="00D179EA"/>
    <w:rsid w:val="00D23F0D"/>
    <w:rsid w:val="00D630BD"/>
    <w:rsid w:val="00D65C29"/>
    <w:rsid w:val="00D666E3"/>
    <w:rsid w:val="00D72202"/>
    <w:rsid w:val="00D9057B"/>
    <w:rsid w:val="00D90E0E"/>
    <w:rsid w:val="00DB10F1"/>
    <w:rsid w:val="00DB3838"/>
    <w:rsid w:val="00DC15C8"/>
    <w:rsid w:val="00DC5ABF"/>
    <w:rsid w:val="00DC70DE"/>
    <w:rsid w:val="00DC781C"/>
    <w:rsid w:val="00DD2687"/>
    <w:rsid w:val="00DD6BB1"/>
    <w:rsid w:val="00DE1E0B"/>
    <w:rsid w:val="00DE7F0F"/>
    <w:rsid w:val="00DF0154"/>
    <w:rsid w:val="00DF296F"/>
    <w:rsid w:val="00DF44CD"/>
    <w:rsid w:val="00E024CF"/>
    <w:rsid w:val="00E07B4C"/>
    <w:rsid w:val="00E10FFC"/>
    <w:rsid w:val="00E1307F"/>
    <w:rsid w:val="00E1412B"/>
    <w:rsid w:val="00E34797"/>
    <w:rsid w:val="00E359FB"/>
    <w:rsid w:val="00E50142"/>
    <w:rsid w:val="00E60FEA"/>
    <w:rsid w:val="00E62907"/>
    <w:rsid w:val="00E729FC"/>
    <w:rsid w:val="00E841F4"/>
    <w:rsid w:val="00E86D7F"/>
    <w:rsid w:val="00E908B9"/>
    <w:rsid w:val="00E94BDD"/>
    <w:rsid w:val="00E95D76"/>
    <w:rsid w:val="00E97B74"/>
    <w:rsid w:val="00EB4C3D"/>
    <w:rsid w:val="00EC1C1A"/>
    <w:rsid w:val="00EC3C2D"/>
    <w:rsid w:val="00ED34A0"/>
    <w:rsid w:val="00ED6159"/>
    <w:rsid w:val="00EE5A50"/>
    <w:rsid w:val="00EF5A22"/>
    <w:rsid w:val="00F0194B"/>
    <w:rsid w:val="00F118E9"/>
    <w:rsid w:val="00F23C33"/>
    <w:rsid w:val="00F32348"/>
    <w:rsid w:val="00F33479"/>
    <w:rsid w:val="00F35962"/>
    <w:rsid w:val="00F40EEA"/>
    <w:rsid w:val="00F4312A"/>
    <w:rsid w:val="00F4547B"/>
    <w:rsid w:val="00F9300E"/>
    <w:rsid w:val="00F961EC"/>
    <w:rsid w:val="00FA7B31"/>
    <w:rsid w:val="00FA7EDE"/>
    <w:rsid w:val="00FB076E"/>
    <w:rsid w:val="00FC0182"/>
    <w:rsid w:val="00FC0A5C"/>
    <w:rsid w:val="00FD25D3"/>
    <w:rsid w:val="00FD57A1"/>
    <w:rsid w:val="00FE214C"/>
    <w:rsid w:val="00FF1AC2"/>
    <w:rsid w:val="0112D1E3"/>
    <w:rsid w:val="0178F41B"/>
    <w:rsid w:val="029436FE"/>
    <w:rsid w:val="038E23CD"/>
    <w:rsid w:val="03AE4585"/>
    <w:rsid w:val="042CED12"/>
    <w:rsid w:val="064EA329"/>
    <w:rsid w:val="082741C2"/>
    <w:rsid w:val="083715CB"/>
    <w:rsid w:val="08823BA0"/>
    <w:rsid w:val="09E9F07E"/>
    <w:rsid w:val="09FE715F"/>
    <w:rsid w:val="0A405636"/>
    <w:rsid w:val="0AB631EB"/>
    <w:rsid w:val="0AB6F41A"/>
    <w:rsid w:val="0B8180D6"/>
    <w:rsid w:val="0BD8EF99"/>
    <w:rsid w:val="0C9CCDE4"/>
    <w:rsid w:val="0D0324D9"/>
    <w:rsid w:val="0DF7F32E"/>
    <w:rsid w:val="0EC3ADD0"/>
    <w:rsid w:val="0FDDFF01"/>
    <w:rsid w:val="100F25FA"/>
    <w:rsid w:val="10734CB7"/>
    <w:rsid w:val="10B45FB0"/>
    <w:rsid w:val="1294F92E"/>
    <w:rsid w:val="131777A5"/>
    <w:rsid w:val="13182F47"/>
    <w:rsid w:val="13CD12D5"/>
    <w:rsid w:val="1566E9C1"/>
    <w:rsid w:val="1657DA58"/>
    <w:rsid w:val="169E9796"/>
    <w:rsid w:val="16DABD09"/>
    <w:rsid w:val="172F0E1A"/>
    <w:rsid w:val="1839767E"/>
    <w:rsid w:val="18FAA7A5"/>
    <w:rsid w:val="19BC3F7D"/>
    <w:rsid w:val="1A49C04D"/>
    <w:rsid w:val="1A7B106B"/>
    <w:rsid w:val="1B4C5952"/>
    <w:rsid w:val="1B555137"/>
    <w:rsid w:val="1B838641"/>
    <w:rsid w:val="1C46EC4D"/>
    <w:rsid w:val="1D16C6F2"/>
    <w:rsid w:val="1D3A9FCD"/>
    <w:rsid w:val="1D8CCC43"/>
    <w:rsid w:val="1DB59A40"/>
    <w:rsid w:val="1E81081F"/>
    <w:rsid w:val="1EC2FD79"/>
    <w:rsid w:val="1F8CDD4F"/>
    <w:rsid w:val="208CD44E"/>
    <w:rsid w:val="20E5A235"/>
    <w:rsid w:val="216A5A60"/>
    <w:rsid w:val="227F8513"/>
    <w:rsid w:val="234247EF"/>
    <w:rsid w:val="2447A9C8"/>
    <w:rsid w:val="24788579"/>
    <w:rsid w:val="2567DE28"/>
    <w:rsid w:val="25C5AB1C"/>
    <w:rsid w:val="26B3FE67"/>
    <w:rsid w:val="26DE7C13"/>
    <w:rsid w:val="278DBBE3"/>
    <w:rsid w:val="27AF4AD8"/>
    <w:rsid w:val="27D538E6"/>
    <w:rsid w:val="27F51CAA"/>
    <w:rsid w:val="28B46681"/>
    <w:rsid w:val="2C0BB07A"/>
    <w:rsid w:val="2C8C5C80"/>
    <w:rsid w:val="2EA2854E"/>
    <w:rsid w:val="2FCC5F80"/>
    <w:rsid w:val="3046D937"/>
    <w:rsid w:val="309803FF"/>
    <w:rsid w:val="31DF04E3"/>
    <w:rsid w:val="3271EE2A"/>
    <w:rsid w:val="332E3A9B"/>
    <w:rsid w:val="334BC368"/>
    <w:rsid w:val="33794AC0"/>
    <w:rsid w:val="339F011D"/>
    <w:rsid w:val="33F5E22D"/>
    <w:rsid w:val="3578BDE9"/>
    <w:rsid w:val="3609A17D"/>
    <w:rsid w:val="36148065"/>
    <w:rsid w:val="36190626"/>
    <w:rsid w:val="37039ECA"/>
    <w:rsid w:val="373FE9F1"/>
    <w:rsid w:val="389882B8"/>
    <w:rsid w:val="38D30873"/>
    <w:rsid w:val="3987D1F5"/>
    <w:rsid w:val="3A6D2A19"/>
    <w:rsid w:val="3A9DE2FE"/>
    <w:rsid w:val="3BADC586"/>
    <w:rsid w:val="3CD537BA"/>
    <w:rsid w:val="3D524F84"/>
    <w:rsid w:val="3D559414"/>
    <w:rsid w:val="3EE6F1D7"/>
    <w:rsid w:val="3FA81100"/>
    <w:rsid w:val="401DEEED"/>
    <w:rsid w:val="421139F2"/>
    <w:rsid w:val="42ACBCAD"/>
    <w:rsid w:val="42D37742"/>
    <w:rsid w:val="438CE74D"/>
    <w:rsid w:val="439C35E4"/>
    <w:rsid w:val="43FF7CD6"/>
    <w:rsid w:val="4454B686"/>
    <w:rsid w:val="4504CD5E"/>
    <w:rsid w:val="452A7A73"/>
    <w:rsid w:val="457A5B9C"/>
    <w:rsid w:val="4683D834"/>
    <w:rsid w:val="46CD8276"/>
    <w:rsid w:val="470C1246"/>
    <w:rsid w:val="471809D3"/>
    <w:rsid w:val="489FFD69"/>
    <w:rsid w:val="48F255C6"/>
    <w:rsid w:val="491C2F99"/>
    <w:rsid w:val="49D8CA32"/>
    <w:rsid w:val="4A023AE3"/>
    <w:rsid w:val="4AED77A6"/>
    <w:rsid w:val="4BBA8F70"/>
    <w:rsid w:val="4BBD2008"/>
    <w:rsid w:val="4C36DAF5"/>
    <w:rsid w:val="4CF168A9"/>
    <w:rsid w:val="4D56FD57"/>
    <w:rsid w:val="4D6F43E8"/>
    <w:rsid w:val="4E3DF6B5"/>
    <w:rsid w:val="503CE2FC"/>
    <w:rsid w:val="5086B3B4"/>
    <w:rsid w:val="50AB6C83"/>
    <w:rsid w:val="51192C0C"/>
    <w:rsid w:val="511D75C0"/>
    <w:rsid w:val="52A7CB0F"/>
    <w:rsid w:val="52CA3112"/>
    <w:rsid w:val="5302FD49"/>
    <w:rsid w:val="5493CF39"/>
    <w:rsid w:val="54C4E35C"/>
    <w:rsid w:val="55840B73"/>
    <w:rsid w:val="56933BEB"/>
    <w:rsid w:val="56D45501"/>
    <w:rsid w:val="5766FE2D"/>
    <w:rsid w:val="5793E349"/>
    <w:rsid w:val="57D638DF"/>
    <w:rsid w:val="581BD3D1"/>
    <w:rsid w:val="58663D52"/>
    <w:rsid w:val="59150F80"/>
    <w:rsid w:val="5A1DF26C"/>
    <w:rsid w:val="5AAEECA5"/>
    <w:rsid w:val="5CE82366"/>
    <w:rsid w:val="5CE9DD4C"/>
    <w:rsid w:val="5E1B5EC6"/>
    <w:rsid w:val="5EB91923"/>
    <w:rsid w:val="5FA4459E"/>
    <w:rsid w:val="6039C125"/>
    <w:rsid w:val="604D2001"/>
    <w:rsid w:val="6091E30C"/>
    <w:rsid w:val="610A3CFD"/>
    <w:rsid w:val="619010E5"/>
    <w:rsid w:val="61B3BBC0"/>
    <w:rsid w:val="62C3542B"/>
    <w:rsid w:val="63220470"/>
    <w:rsid w:val="63BFE00F"/>
    <w:rsid w:val="63E3FA4D"/>
    <w:rsid w:val="64178610"/>
    <w:rsid w:val="645A04A2"/>
    <w:rsid w:val="647D960F"/>
    <w:rsid w:val="64A65294"/>
    <w:rsid w:val="673765EE"/>
    <w:rsid w:val="6818F853"/>
    <w:rsid w:val="6922F069"/>
    <w:rsid w:val="693A3CDE"/>
    <w:rsid w:val="6A686663"/>
    <w:rsid w:val="6A83516F"/>
    <w:rsid w:val="6AAFF610"/>
    <w:rsid w:val="6BAC57F3"/>
    <w:rsid w:val="6BEBB64D"/>
    <w:rsid w:val="6C1AF5CD"/>
    <w:rsid w:val="6C396912"/>
    <w:rsid w:val="6CB578BA"/>
    <w:rsid w:val="6CE9C9C9"/>
    <w:rsid w:val="6DAF889A"/>
    <w:rsid w:val="6E12ED3F"/>
    <w:rsid w:val="6EECAADD"/>
    <w:rsid w:val="70772C0F"/>
    <w:rsid w:val="70D13B57"/>
    <w:rsid w:val="71C07D52"/>
    <w:rsid w:val="72925FF1"/>
    <w:rsid w:val="72E60778"/>
    <w:rsid w:val="73C1E953"/>
    <w:rsid w:val="74C84C88"/>
    <w:rsid w:val="7596DF31"/>
    <w:rsid w:val="75A8F44E"/>
    <w:rsid w:val="7666340E"/>
    <w:rsid w:val="7695E91D"/>
    <w:rsid w:val="76F42A76"/>
    <w:rsid w:val="77AE077E"/>
    <w:rsid w:val="77B281C3"/>
    <w:rsid w:val="782D3300"/>
    <w:rsid w:val="795A1A9E"/>
    <w:rsid w:val="7B4EF42A"/>
    <w:rsid w:val="7BABB3EE"/>
    <w:rsid w:val="7BDB5A38"/>
    <w:rsid w:val="7C77C3D9"/>
    <w:rsid w:val="7C833795"/>
    <w:rsid w:val="7C8D2954"/>
    <w:rsid w:val="7D87839A"/>
    <w:rsid w:val="7D87D16C"/>
    <w:rsid w:val="7E35A6AC"/>
    <w:rsid w:val="7E820A52"/>
    <w:rsid w:val="7F03BEB9"/>
    <w:rsid w:val="7F68343F"/>
    <w:rsid w:val="7FD971A8"/>
    <w:rsid w:val="7FFC183B"/>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629D46"/>
  <w15:chartTrackingRefBased/>
  <w15:docId w15:val="{74E8D514-1759-40E4-86D7-3DBAB865E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CE4FE2"/>
    <w:pPr>
      <w:spacing w:after="0" w:line="240" w:lineRule="auto"/>
    </w:pPr>
    <w:rPr>
      <w:rFonts w:ascii="Calibri" w:eastAsia="Calibri" w:hAnsi="Calibri" w:cs="Calibri"/>
      <w:kern w:val="0"/>
      <w:sz w:val="24"/>
      <w:szCs w:val="24"/>
      <w:lang w:val="en-GB" w:eastAsia="hu-HU"/>
      <w14:ligatures w14:val="none"/>
    </w:rPr>
  </w:style>
  <w:style w:type="paragraph" w:styleId="Cmsor1">
    <w:name w:val="heading 1"/>
    <w:basedOn w:val="Norml"/>
    <w:next w:val="Norml"/>
    <w:link w:val="Cmsor1Char"/>
    <w:uiPriority w:val="9"/>
    <w:qFormat/>
    <w:rsid w:val="00F40EE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Cmsor2">
    <w:name w:val="heading 2"/>
    <w:basedOn w:val="Norml"/>
    <w:next w:val="Norml"/>
    <w:link w:val="Cmsor2Char"/>
    <w:uiPriority w:val="9"/>
    <w:semiHidden/>
    <w:unhideWhenUsed/>
    <w:qFormat/>
    <w:rsid w:val="00F40EE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Cmsor3">
    <w:name w:val="heading 3"/>
    <w:basedOn w:val="Norml"/>
    <w:next w:val="Norml"/>
    <w:link w:val="Cmsor3Char"/>
    <w:uiPriority w:val="9"/>
    <w:semiHidden/>
    <w:unhideWhenUsed/>
    <w:qFormat/>
    <w:rsid w:val="00F40EEA"/>
    <w:pPr>
      <w:keepNext/>
      <w:keepLines/>
      <w:spacing w:before="160" w:after="80"/>
      <w:outlineLvl w:val="2"/>
    </w:pPr>
    <w:rPr>
      <w:rFonts w:eastAsiaTheme="majorEastAsia" w:cstheme="majorBidi"/>
      <w:color w:val="2F5496" w:themeColor="accent1" w:themeShade="BF"/>
      <w:sz w:val="28"/>
      <w:szCs w:val="28"/>
    </w:rPr>
  </w:style>
  <w:style w:type="paragraph" w:styleId="Cmsor4">
    <w:name w:val="heading 4"/>
    <w:basedOn w:val="Norml"/>
    <w:next w:val="Norml"/>
    <w:link w:val="Cmsor4Char"/>
    <w:uiPriority w:val="9"/>
    <w:semiHidden/>
    <w:unhideWhenUsed/>
    <w:qFormat/>
    <w:rsid w:val="00F40EEA"/>
    <w:pPr>
      <w:keepNext/>
      <w:keepLines/>
      <w:spacing w:before="80" w:after="40"/>
      <w:outlineLvl w:val="3"/>
    </w:pPr>
    <w:rPr>
      <w:rFonts w:eastAsiaTheme="majorEastAsia" w:cstheme="majorBidi"/>
      <w:i/>
      <w:iCs/>
      <w:color w:val="2F5496" w:themeColor="accent1" w:themeShade="BF"/>
    </w:rPr>
  </w:style>
  <w:style w:type="paragraph" w:styleId="Cmsor5">
    <w:name w:val="heading 5"/>
    <w:basedOn w:val="Norml"/>
    <w:next w:val="Norml"/>
    <w:link w:val="Cmsor5Char"/>
    <w:uiPriority w:val="9"/>
    <w:semiHidden/>
    <w:unhideWhenUsed/>
    <w:qFormat/>
    <w:rsid w:val="00F40EEA"/>
    <w:pPr>
      <w:keepNext/>
      <w:keepLines/>
      <w:spacing w:before="80" w:after="40"/>
      <w:outlineLvl w:val="4"/>
    </w:pPr>
    <w:rPr>
      <w:rFonts w:eastAsiaTheme="majorEastAsia" w:cstheme="majorBidi"/>
      <w:color w:val="2F5496" w:themeColor="accent1" w:themeShade="BF"/>
    </w:rPr>
  </w:style>
  <w:style w:type="paragraph" w:styleId="Cmsor6">
    <w:name w:val="heading 6"/>
    <w:basedOn w:val="Norml"/>
    <w:next w:val="Norml"/>
    <w:link w:val="Cmsor6Char"/>
    <w:uiPriority w:val="9"/>
    <w:semiHidden/>
    <w:unhideWhenUsed/>
    <w:qFormat/>
    <w:rsid w:val="00F40EEA"/>
    <w:pPr>
      <w:keepNext/>
      <w:keepLines/>
      <w:spacing w:before="40"/>
      <w:outlineLvl w:val="5"/>
    </w:pPr>
    <w:rPr>
      <w:rFonts w:eastAsiaTheme="majorEastAsia" w:cstheme="majorBidi"/>
      <w:i/>
      <w:iCs/>
      <w:color w:val="595959" w:themeColor="text1" w:themeTint="A6"/>
    </w:rPr>
  </w:style>
  <w:style w:type="paragraph" w:styleId="Cmsor7">
    <w:name w:val="heading 7"/>
    <w:basedOn w:val="Norml"/>
    <w:next w:val="Norml"/>
    <w:link w:val="Cmsor7Char"/>
    <w:uiPriority w:val="9"/>
    <w:semiHidden/>
    <w:unhideWhenUsed/>
    <w:qFormat/>
    <w:rsid w:val="00F40EEA"/>
    <w:pPr>
      <w:keepNext/>
      <w:keepLines/>
      <w:spacing w:before="40"/>
      <w:outlineLvl w:val="6"/>
    </w:pPr>
    <w:rPr>
      <w:rFonts w:eastAsiaTheme="majorEastAsia" w:cstheme="majorBidi"/>
      <w:color w:val="595959" w:themeColor="text1" w:themeTint="A6"/>
    </w:rPr>
  </w:style>
  <w:style w:type="paragraph" w:styleId="Cmsor8">
    <w:name w:val="heading 8"/>
    <w:basedOn w:val="Norml"/>
    <w:next w:val="Norml"/>
    <w:link w:val="Cmsor8Char"/>
    <w:uiPriority w:val="9"/>
    <w:semiHidden/>
    <w:unhideWhenUsed/>
    <w:qFormat/>
    <w:rsid w:val="00F40EEA"/>
    <w:pPr>
      <w:keepNext/>
      <w:keepLines/>
      <w:outlineLvl w:val="7"/>
    </w:pPr>
    <w:rPr>
      <w:rFonts w:eastAsiaTheme="majorEastAsia" w:cstheme="majorBidi"/>
      <w:i/>
      <w:iCs/>
      <w:color w:val="272727" w:themeColor="text1" w:themeTint="D8"/>
    </w:rPr>
  </w:style>
  <w:style w:type="paragraph" w:styleId="Cmsor9">
    <w:name w:val="heading 9"/>
    <w:basedOn w:val="Norml"/>
    <w:next w:val="Norml"/>
    <w:link w:val="Cmsor9Char"/>
    <w:uiPriority w:val="9"/>
    <w:semiHidden/>
    <w:unhideWhenUsed/>
    <w:qFormat/>
    <w:rsid w:val="00F40EEA"/>
    <w:pPr>
      <w:keepNext/>
      <w:keepLines/>
      <w:outlineLvl w:val="8"/>
    </w:pPr>
    <w:rPr>
      <w:rFonts w:eastAsiaTheme="majorEastAsia" w:cstheme="majorBidi"/>
      <w:color w:val="272727" w:themeColor="text1" w:themeTint="D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F40EEA"/>
    <w:rPr>
      <w:rFonts w:asciiTheme="majorHAnsi" w:eastAsiaTheme="majorEastAsia" w:hAnsiTheme="majorHAnsi" w:cstheme="majorBidi"/>
      <w:color w:val="2F5496" w:themeColor="accent1" w:themeShade="BF"/>
      <w:sz w:val="40"/>
      <w:szCs w:val="40"/>
    </w:rPr>
  </w:style>
  <w:style w:type="character" w:customStyle="1" w:styleId="Cmsor2Char">
    <w:name w:val="Címsor 2 Char"/>
    <w:basedOn w:val="Bekezdsalapbettpusa"/>
    <w:link w:val="Cmsor2"/>
    <w:uiPriority w:val="9"/>
    <w:semiHidden/>
    <w:rsid w:val="00F40EEA"/>
    <w:rPr>
      <w:rFonts w:asciiTheme="majorHAnsi" w:eastAsiaTheme="majorEastAsia" w:hAnsiTheme="majorHAnsi" w:cstheme="majorBidi"/>
      <w:color w:val="2F5496" w:themeColor="accent1" w:themeShade="BF"/>
      <w:sz w:val="32"/>
      <w:szCs w:val="32"/>
    </w:rPr>
  </w:style>
  <w:style w:type="character" w:customStyle="1" w:styleId="Cmsor3Char">
    <w:name w:val="Címsor 3 Char"/>
    <w:basedOn w:val="Bekezdsalapbettpusa"/>
    <w:link w:val="Cmsor3"/>
    <w:uiPriority w:val="9"/>
    <w:semiHidden/>
    <w:rsid w:val="00F40EEA"/>
    <w:rPr>
      <w:rFonts w:eastAsiaTheme="majorEastAsia" w:cstheme="majorBidi"/>
      <w:color w:val="2F5496" w:themeColor="accent1" w:themeShade="BF"/>
      <w:sz w:val="28"/>
      <w:szCs w:val="28"/>
    </w:rPr>
  </w:style>
  <w:style w:type="character" w:customStyle="1" w:styleId="Cmsor4Char">
    <w:name w:val="Címsor 4 Char"/>
    <w:basedOn w:val="Bekezdsalapbettpusa"/>
    <w:link w:val="Cmsor4"/>
    <w:uiPriority w:val="9"/>
    <w:semiHidden/>
    <w:rsid w:val="00F40EEA"/>
    <w:rPr>
      <w:rFonts w:eastAsiaTheme="majorEastAsia" w:cstheme="majorBidi"/>
      <w:i/>
      <w:iCs/>
      <w:color w:val="2F5496" w:themeColor="accent1" w:themeShade="BF"/>
    </w:rPr>
  </w:style>
  <w:style w:type="character" w:customStyle="1" w:styleId="Cmsor5Char">
    <w:name w:val="Címsor 5 Char"/>
    <w:basedOn w:val="Bekezdsalapbettpusa"/>
    <w:link w:val="Cmsor5"/>
    <w:uiPriority w:val="9"/>
    <w:semiHidden/>
    <w:rsid w:val="00F40EEA"/>
    <w:rPr>
      <w:rFonts w:eastAsiaTheme="majorEastAsia" w:cstheme="majorBidi"/>
      <w:color w:val="2F5496" w:themeColor="accent1" w:themeShade="BF"/>
    </w:rPr>
  </w:style>
  <w:style w:type="character" w:customStyle="1" w:styleId="Cmsor6Char">
    <w:name w:val="Címsor 6 Char"/>
    <w:basedOn w:val="Bekezdsalapbettpusa"/>
    <w:link w:val="Cmsor6"/>
    <w:uiPriority w:val="9"/>
    <w:semiHidden/>
    <w:rsid w:val="00F40EEA"/>
    <w:rPr>
      <w:rFonts w:eastAsiaTheme="majorEastAsia" w:cstheme="majorBidi"/>
      <w:i/>
      <w:iCs/>
      <w:color w:val="595959" w:themeColor="text1" w:themeTint="A6"/>
    </w:rPr>
  </w:style>
  <w:style w:type="character" w:customStyle="1" w:styleId="Cmsor7Char">
    <w:name w:val="Címsor 7 Char"/>
    <w:basedOn w:val="Bekezdsalapbettpusa"/>
    <w:link w:val="Cmsor7"/>
    <w:uiPriority w:val="9"/>
    <w:semiHidden/>
    <w:rsid w:val="00F40EEA"/>
    <w:rPr>
      <w:rFonts w:eastAsiaTheme="majorEastAsia" w:cstheme="majorBidi"/>
      <w:color w:val="595959" w:themeColor="text1" w:themeTint="A6"/>
    </w:rPr>
  </w:style>
  <w:style w:type="character" w:customStyle="1" w:styleId="Cmsor8Char">
    <w:name w:val="Címsor 8 Char"/>
    <w:basedOn w:val="Bekezdsalapbettpusa"/>
    <w:link w:val="Cmsor8"/>
    <w:uiPriority w:val="9"/>
    <w:semiHidden/>
    <w:rsid w:val="00F40EEA"/>
    <w:rPr>
      <w:rFonts w:eastAsiaTheme="majorEastAsia" w:cstheme="majorBidi"/>
      <w:i/>
      <w:iCs/>
      <w:color w:val="272727" w:themeColor="text1" w:themeTint="D8"/>
    </w:rPr>
  </w:style>
  <w:style w:type="character" w:customStyle="1" w:styleId="Cmsor9Char">
    <w:name w:val="Címsor 9 Char"/>
    <w:basedOn w:val="Bekezdsalapbettpusa"/>
    <w:link w:val="Cmsor9"/>
    <w:uiPriority w:val="9"/>
    <w:semiHidden/>
    <w:rsid w:val="00F40EEA"/>
    <w:rPr>
      <w:rFonts w:eastAsiaTheme="majorEastAsia" w:cstheme="majorBidi"/>
      <w:color w:val="272727" w:themeColor="text1" w:themeTint="D8"/>
    </w:rPr>
  </w:style>
  <w:style w:type="paragraph" w:styleId="Cm">
    <w:name w:val="Title"/>
    <w:basedOn w:val="Norml"/>
    <w:next w:val="Norml"/>
    <w:link w:val="CmChar"/>
    <w:uiPriority w:val="10"/>
    <w:qFormat/>
    <w:rsid w:val="00F40EEA"/>
    <w:pPr>
      <w:spacing w:after="80"/>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uiPriority w:val="10"/>
    <w:rsid w:val="00F40EEA"/>
    <w:rPr>
      <w:rFonts w:asciiTheme="majorHAnsi" w:eastAsiaTheme="majorEastAsia" w:hAnsiTheme="majorHAnsi" w:cstheme="majorBidi"/>
      <w:spacing w:val="-10"/>
      <w:kern w:val="28"/>
      <w:sz w:val="56"/>
      <w:szCs w:val="56"/>
    </w:rPr>
  </w:style>
  <w:style w:type="paragraph" w:styleId="Alcm">
    <w:name w:val="Subtitle"/>
    <w:basedOn w:val="Norml"/>
    <w:next w:val="Norml"/>
    <w:link w:val="AlcmChar"/>
    <w:uiPriority w:val="11"/>
    <w:qFormat/>
    <w:rsid w:val="00F40EEA"/>
    <w:pPr>
      <w:numPr>
        <w:ilvl w:val="1"/>
      </w:numPr>
    </w:pPr>
    <w:rPr>
      <w:rFonts w:eastAsiaTheme="majorEastAsia" w:cstheme="majorBidi"/>
      <w:color w:val="595959" w:themeColor="text1" w:themeTint="A6"/>
      <w:spacing w:val="15"/>
      <w:sz w:val="28"/>
      <w:szCs w:val="28"/>
    </w:rPr>
  </w:style>
  <w:style w:type="character" w:customStyle="1" w:styleId="AlcmChar">
    <w:name w:val="Alcím Char"/>
    <w:basedOn w:val="Bekezdsalapbettpusa"/>
    <w:link w:val="Alcm"/>
    <w:uiPriority w:val="11"/>
    <w:rsid w:val="00F40EEA"/>
    <w:rPr>
      <w:rFonts w:eastAsiaTheme="majorEastAsia" w:cstheme="majorBidi"/>
      <w:color w:val="595959" w:themeColor="text1" w:themeTint="A6"/>
      <w:spacing w:val="15"/>
      <w:sz w:val="28"/>
      <w:szCs w:val="28"/>
    </w:rPr>
  </w:style>
  <w:style w:type="paragraph" w:styleId="Idzet">
    <w:name w:val="Quote"/>
    <w:basedOn w:val="Norml"/>
    <w:next w:val="Norml"/>
    <w:link w:val="IdzetChar"/>
    <w:uiPriority w:val="29"/>
    <w:qFormat/>
    <w:rsid w:val="00F40EEA"/>
    <w:pPr>
      <w:spacing w:before="160"/>
      <w:jc w:val="center"/>
    </w:pPr>
    <w:rPr>
      <w:i/>
      <w:iCs/>
      <w:color w:val="404040" w:themeColor="text1" w:themeTint="BF"/>
    </w:rPr>
  </w:style>
  <w:style w:type="character" w:customStyle="1" w:styleId="IdzetChar">
    <w:name w:val="Idézet Char"/>
    <w:basedOn w:val="Bekezdsalapbettpusa"/>
    <w:link w:val="Idzet"/>
    <w:uiPriority w:val="29"/>
    <w:rsid w:val="00F40EEA"/>
    <w:rPr>
      <w:i/>
      <w:iCs/>
      <w:color w:val="404040" w:themeColor="text1" w:themeTint="BF"/>
    </w:rPr>
  </w:style>
  <w:style w:type="paragraph" w:styleId="Listaszerbekezds">
    <w:name w:val="List Paragraph"/>
    <w:basedOn w:val="Norml"/>
    <w:link w:val="ListaszerbekezdsChar"/>
    <w:uiPriority w:val="34"/>
    <w:qFormat/>
    <w:rsid w:val="00F40EEA"/>
    <w:pPr>
      <w:ind w:left="720"/>
      <w:contextualSpacing/>
    </w:pPr>
  </w:style>
  <w:style w:type="character" w:styleId="Erskiemels">
    <w:name w:val="Intense Emphasis"/>
    <w:basedOn w:val="Bekezdsalapbettpusa"/>
    <w:uiPriority w:val="21"/>
    <w:qFormat/>
    <w:rsid w:val="00F40EEA"/>
    <w:rPr>
      <w:i/>
      <w:iCs/>
      <w:color w:val="2F5496" w:themeColor="accent1" w:themeShade="BF"/>
    </w:rPr>
  </w:style>
  <w:style w:type="paragraph" w:styleId="Kiemeltidzet">
    <w:name w:val="Intense Quote"/>
    <w:basedOn w:val="Norml"/>
    <w:next w:val="Norml"/>
    <w:link w:val="KiemeltidzetChar"/>
    <w:uiPriority w:val="30"/>
    <w:qFormat/>
    <w:rsid w:val="00F40EE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KiemeltidzetChar">
    <w:name w:val="Kiemelt idézet Char"/>
    <w:basedOn w:val="Bekezdsalapbettpusa"/>
    <w:link w:val="Kiemeltidzet"/>
    <w:uiPriority w:val="30"/>
    <w:rsid w:val="00F40EEA"/>
    <w:rPr>
      <w:i/>
      <w:iCs/>
      <w:color w:val="2F5496" w:themeColor="accent1" w:themeShade="BF"/>
    </w:rPr>
  </w:style>
  <w:style w:type="character" w:styleId="Ershivatkozs">
    <w:name w:val="Intense Reference"/>
    <w:basedOn w:val="Bekezdsalapbettpusa"/>
    <w:uiPriority w:val="32"/>
    <w:qFormat/>
    <w:rsid w:val="00F40EEA"/>
    <w:rPr>
      <w:b/>
      <w:bCs/>
      <w:smallCaps/>
      <w:color w:val="2F5496" w:themeColor="accent1" w:themeShade="BF"/>
      <w:spacing w:val="5"/>
    </w:rPr>
  </w:style>
  <w:style w:type="paragraph" w:styleId="Lbjegyzetszveg">
    <w:name w:val="footnote text"/>
    <w:aliases w:val="footnotes,Footnote Text Char,Footnote Text Char2 Char,Footnote Text Char Char1 Char,Footnote Text Char2 Char Char Char,Footnote Text Char1 Char Char Char Char,Footnote Text Char Char Char Char Char Char,(FRA) Footnote text,5_G,Märk,Char"/>
    <w:basedOn w:val="Norml"/>
    <w:link w:val="LbjegyzetszvegChar"/>
    <w:uiPriority w:val="99"/>
    <w:unhideWhenUsed/>
    <w:qFormat/>
    <w:rsid w:val="00D65C29"/>
    <w:rPr>
      <w:sz w:val="20"/>
      <w:szCs w:val="20"/>
    </w:rPr>
  </w:style>
  <w:style w:type="character" w:customStyle="1" w:styleId="LbjegyzetszvegChar">
    <w:name w:val="Lábjegyzetszöveg Char"/>
    <w:aliases w:val="footnotes Char,Footnote Text Char Char,Footnote Text Char2 Char Char,Footnote Text Char Char1 Char Char,Footnote Text Char2 Char Char Char Char,Footnote Text Char1 Char Char Char Char Char,(FRA) Footnote text Char,5_G Char"/>
    <w:basedOn w:val="Bekezdsalapbettpusa"/>
    <w:link w:val="Lbjegyzetszveg"/>
    <w:uiPriority w:val="99"/>
    <w:qFormat/>
    <w:rsid w:val="00D65C29"/>
    <w:rPr>
      <w:rFonts w:ascii="Calibri" w:eastAsia="Calibri" w:hAnsi="Calibri" w:cs="Calibri"/>
      <w:kern w:val="0"/>
      <w:sz w:val="20"/>
      <w:szCs w:val="20"/>
      <w:lang w:val="en-GB" w:eastAsia="hu-HU"/>
      <w14:ligatures w14:val="none"/>
    </w:rPr>
  </w:style>
  <w:style w:type="character" w:styleId="Lbjegyzet-hivatkozs">
    <w:name w:val="footnote reference"/>
    <w:aliases w:val="*,Footnote reference number,Footnote symbol,note TESI,stylish,Ref,de nota al pie,Footnote Reference1,art-rjuam,Footnote Refernece,Footnotes refss,4_G,callout,Footnote Reference Superscript,Appel note de bas de p.,BVI fnr,ftref"/>
    <w:basedOn w:val="Bekezdsalapbettpusa"/>
    <w:link w:val="FootnoteReferneceChar"/>
    <w:uiPriority w:val="99"/>
    <w:unhideWhenUsed/>
    <w:qFormat/>
    <w:rsid w:val="00D65C29"/>
    <w:rPr>
      <w:vertAlign w:val="superscript"/>
    </w:rPr>
  </w:style>
  <w:style w:type="character" w:styleId="Hiperhivatkozs">
    <w:name w:val="Hyperlink"/>
    <w:basedOn w:val="Bekezdsalapbettpusa"/>
    <w:uiPriority w:val="99"/>
    <w:unhideWhenUsed/>
    <w:rsid w:val="00D65C29"/>
    <w:rPr>
      <w:rFonts w:ascii="Corbel" w:hAnsi="Corbel"/>
      <w:color w:val="0563C1" w:themeColor="hyperlink"/>
      <w:sz w:val="22"/>
      <w:u w:val="single"/>
    </w:rPr>
  </w:style>
  <w:style w:type="character" w:styleId="Mrltotthiperhivatkozs">
    <w:name w:val="FollowedHyperlink"/>
    <w:basedOn w:val="Bekezdsalapbettpusa"/>
    <w:uiPriority w:val="99"/>
    <w:semiHidden/>
    <w:unhideWhenUsed/>
    <w:rsid w:val="004D76C9"/>
    <w:rPr>
      <w:color w:val="954F72" w:themeColor="followedHyperlink"/>
      <w:u w:val="single"/>
    </w:rPr>
  </w:style>
  <w:style w:type="character" w:styleId="Feloldatlanmegemlts">
    <w:name w:val="Unresolved Mention"/>
    <w:basedOn w:val="Bekezdsalapbettpusa"/>
    <w:uiPriority w:val="99"/>
    <w:semiHidden/>
    <w:unhideWhenUsed/>
    <w:rsid w:val="007D6482"/>
    <w:rPr>
      <w:color w:val="605E5C"/>
      <w:shd w:val="clear" w:color="auto" w:fill="E1DFDD"/>
    </w:rPr>
  </w:style>
  <w:style w:type="paragraph" w:styleId="lfej">
    <w:name w:val="header"/>
    <w:basedOn w:val="Norml"/>
    <w:link w:val="lfejChar"/>
    <w:uiPriority w:val="99"/>
    <w:unhideWhenUsed/>
    <w:rsid w:val="000C292E"/>
    <w:pPr>
      <w:tabs>
        <w:tab w:val="center" w:pos="4536"/>
        <w:tab w:val="right" w:pos="9072"/>
      </w:tabs>
    </w:pPr>
  </w:style>
  <w:style w:type="character" w:customStyle="1" w:styleId="lfejChar">
    <w:name w:val="Élőfej Char"/>
    <w:basedOn w:val="Bekezdsalapbettpusa"/>
    <w:link w:val="lfej"/>
    <w:uiPriority w:val="99"/>
    <w:rsid w:val="000C292E"/>
    <w:rPr>
      <w:rFonts w:ascii="Calibri" w:eastAsia="Calibri" w:hAnsi="Calibri" w:cs="Calibri"/>
      <w:kern w:val="0"/>
      <w:sz w:val="24"/>
      <w:szCs w:val="24"/>
      <w:lang w:val="en-GB" w:eastAsia="hu-HU"/>
      <w14:ligatures w14:val="none"/>
    </w:rPr>
  </w:style>
  <w:style w:type="paragraph" w:styleId="llb">
    <w:name w:val="footer"/>
    <w:basedOn w:val="Norml"/>
    <w:link w:val="llbChar"/>
    <w:uiPriority w:val="99"/>
    <w:unhideWhenUsed/>
    <w:rsid w:val="000C292E"/>
    <w:pPr>
      <w:tabs>
        <w:tab w:val="center" w:pos="4536"/>
        <w:tab w:val="right" w:pos="9072"/>
      </w:tabs>
    </w:pPr>
  </w:style>
  <w:style w:type="character" w:customStyle="1" w:styleId="llbChar">
    <w:name w:val="Élőláb Char"/>
    <w:basedOn w:val="Bekezdsalapbettpusa"/>
    <w:link w:val="llb"/>
    <w:uiPriority w:val="99"/>
    <w:rsid w:val="000C292E"/>
    <w:rPr>
      <w:rFonts w:ascii="Calibri" w:eastAsia="Calibri" w:hAnsi="Calibri" w:cs="Calibri"/>
      <w:kern w:val="0"/>
      <w:sz w:val="24"/>
      <w:szCs w:val="24"/>
      <w:lang w:val="en-GB" w:eastAsia="hu-HU"/>
      <w14:ligatures w14:val="none"/>
    </w:rPr>
  </w:style>
  <w:style w:type="paragraph" w:styleId="NormlWeb">
    <w:name w:val="Normal (Web)"/>
    <w:basedOn w:val="Norml"/>
    <w:uiPriority w:val="99"/>
    <w:unhideWhenUsed/>
    <w:rsid w:val="001E1401"/>
    <w:pPr>
      <w:spacing w:before="100" w:beforeAutospacing="1" w:after="100" w:afterAutospacing="1"/>
    </w:pPr>
    <w:rPr>
      <w:rFonts w:ascii="Times New Roman" w:eastAsia="Times New Roman" w:hAnsi="Times New Roman" w:cs="Times New Roman"/>
      <w:lang w:eastAsia="en-GB"/>
    </w:rPr>
  </w:style>
  <w:style w:type="table" w:styleId="Rcsostblzat">
    <w:name w:val="Table Grid"/>
    <w:basedOn w:val="Normltblzat"/>
    <w:uiPriority w:val="39"/>
    <w:rsid w:val="005379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aszerbekezdsChar">
    <w:name w:val="Listaszerű bekezdés Char"/>
    <w:basedOn w:val="Bekezdsalapbettpusa"/>
    <w:link w:val="Listaszerbekezds"/>
    <w:uiPriority w:val="34"/>
    <w:rsid w:val="00E1307F"/>
    <w:rPr>
      <w:rFonts w:ascii="Calibri" w:eastAsia="Calibri" w:hAnsi="Calibri" w:cs="Calibri"/>
      <w:kern w:val="0"/>
      <w:sz w:val="24"/>
      <w:szCs w:val="24"/>
      <w:lang w:val="en-GB" w:eastAsia="hu-HU"/>
      <w14:ligatures w14:val="none"/>
    </w:rPr>
  </w:style>
  <w:style w:type="character" w:customStyle="1" w:styleId="markedcontent">
    <w:name w:val="markedcontent"/>
    <w:basedOn w:val="Bekezdsalapbettpusa"/>
    <w:rsid w:val="00536CCF"/>
  </w:style>
  <w:style w:type="character" w:styleId="Jegyzethivatkozs">
    <w:name w:val="annotation reference"/>
    <w:basedOn w:val="Bekezdsalapbettpusa"/>
    <w:uiPriority w:val="99"/>
    <w:semiHidden/>
    <w:unhideWhenUsed/>
    <w:rsid w:val="00747CA7"/>
    <w:rPr>
      <w:sz w:val="16"/>
      <w:szCs w:val="16"/>
    </w:rPr>
  </w:style>
  <w:style w:type="paragraph" w:styleId="Jegyzetszveg">
    <w:name w:val="annotation text"/>
    <w:basedOn w:val="Norml"/>
    <w:link w:val="JegyzetszvegChar"/>
    <w:uiPriority w:val="99"/>
    <w:unhideWhenUsed/>
    <w:rsid w:val="00747CA7"/>
    <w:rPr>
      <w:sz w:val="20"/>
      <w:szCs w:val="20"/>
    </w:rPr>
  </w:style>
  <w:style w:type="character" w:customStyle="1" w:styleId="JegyzetszvegChar">
    <w:name w:val="Jegyzetszöveg Char"/>
    <w:basedOn w:val="Bekezdsalapbettpusa"/>
    <w:link w:val="Jegyzetszveg"/>
    <w:uiPriority w:val="99"/>
    <w:rsid w:val="00747CA7"/>
    <w:rPr>
      <w:rFonts w:ascii="Calibri" w:eastAsia="Calibri" w:hAnsi="Calibri" w:cs="Calibri"/>
      <w:kern w:val="0"/>
      <w:sz w:val="20"/>
      <w:szCs w:val="20"/>
      <w:lang w:val="en-GB" w:eastAsia="hu-HU"/>
      <w14:ligatures w14:val="none"/>
    </w:rPr>
  </w:style>
  <w:style w:type="paragraph" w:styleId="Megjegyzstrgya">
    <w:name w:val="annotation subject"/>
    <w:basedOn w:val="Jegyzetszveg"/>
    <w:next w:val="Jegyzetszveg"/>
    <w:link w:val="MegjegyzstrgyaChar"/>
    <w:uiPriority w:val="99"/>
    <w:semiHidden/>
    <w:unhideWhenUsed/>
    <w:rsid w:val="00747CA7"/>
    <w:rPr>
      <w:b/>
      <w:bCs/>
    </w:rPr>
  </w:style>
  <w:style w:type="character" w:customStyle="1" w:styleId="MegjegyzstrgyaChar">
    <w:name w:val="Megjegyzés tárgya Char"/>
    <w:basedOn w:val="JegyzetszvegChar"/>
    <w:link w:val="Megjegyzstrgya"/>
    <w:uiPriority w:val="99"/>
    <w:semiHidden/>
    <w:rsid w:val="00747CA7"/>
    <w:rPr>
      <w:rFonts w:ascii="Calibri" w:eastAsia="Calibri" w:hAnsi="Calibri" w:cs="Calibri"/>
      <w:b/>
      <w:bCs/>
      <w:kern w:val="0"/>
      <w:sz w:val="20"/>
      <w:szCs w:val="20"/>
      <w:lang w:val="en-GB" w:eastAsia="hu-HU"/>
      <w14:ligatures w14:val="none"/>
    </w:rPr>
  </w:style>
  <w:style w:type="paragraph" w:styleId="Vltozat">
    <w:name w:val="Revision"/>
    <w:hidden/>
    <w:uiPriority w:val="99"/>
    <w:semiHidden/>
    <w:rsid w:val="00284B38"/>
    <w:pPr>
      <w:spacing w:after="0" w:line="240" w:lineRule="auto"/>
    </w:pPr>
    <w:rPr>
      <w:rFonts w:ascii="Calibri" w:eastAsia="Calibri" w:hAnsi="Calibri" w:cs="Calibri"/>
      <w:kern w:val="0"/>
      <w:sz w:val="24"/>
      <w:szCs w:val="24"/>
      <w:lang w:val="en-GB" w:eastAsia="hu-HU"/>
      <w14:ligatures w14:val="none"/>
    </w:rPr>
  </w:style>
  <w:style w:type="paragraph" w:customStyle="1" w:styleId="FootnoteReferneceChar">
    <w:name w:val="Footnote Refernece Char"/>
    <w:aliases w:val="BVI fnr Char Char Char Char Char Char Char Char Char,BVI fnr Car Car Char Char Char Char Char Char Char Char Char,BVI fnr Car Char Char Char Char Char Char Char Char Char Char"/>
    <w:basedOn w:val="Norml"/>
    <w:link w:val="Lbjegyzet-hivatkozs"/>
    <w:uiPriority w:val="99"/>
    <w:qFormat/>
    <w:rsid w:val="002D3333"/>
    <w:pPr>
      <w:spacing w:after="160" w:line="240" w:lineRule="exact"/>
    </w:pPr>
    <w:rPr>
      <w:rFonts w:asciiTheme="minorHAnsi" w:eastAsiaTheme="minorHAnsi" w:hAnsiTheme="minorHAnsi" w:cstheme="minorBidi"/>
      <w:kern w:val="2"/>
      <w:sz w:val="22"/>
      <w:szCs w:val="22"/>
      <w:vertAlign w:val="superscript"/>
      <w:lang w:val="hu-HU"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helsinki@helsinki.hu"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helsinki.hu"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helsinki.hu/wp-content/uploads/2021/03/AIHU_EKINT_HHC_UPR2021_Hungary_RoL_web.pdf" TargetMode="External"/></Relationships>
</file>

<file path=word/_rels/footnotes.xml.rels><?xml version="1.0" encoding="UTF-8" standalone="yes"?>
<Relationships xmlns="http://schemas.openxmlformats.org/package/2006/relationships"><Relationship Id="rId26" Type="http://schemas.openxmlformats.org/officeDocument/2006/relationships/hyperlink" Target="https://helsinki.hu/wp-content/uploads/new-Hungarian-asylum-system-HHC-Aug-2020.pdf" TargetMode="External"/><Relationship Id="rId21" Type="http://schemas.openxmlformats.org/officeDocument/2006/relationships/hyperlink" Target="https://helsinki.hu/en/hungarys-new-commissioner-for-fundamental-rights-should-be-selected-in-a-transparent-and-merit-based-procedure/" TargetMode="External"/><Relationship Id="rId42" Type="http://schemas.openxmlformats.org/officeDocument/2006/relationships/hyperlink" Target="https://hudoc.exec.coe.int/?i=004-64770" TargetMode="External"/><Relationship Id="rId47" Type="http://schemas.openxmlformats.org/officeDocument/2006/relationships/hyperlink" Target="https://hudoc.exec.coe.int/?i=004-10637" TargetMode="External"/><Relationship Id="rId63" Type="http://schemas.openxmlformats.org/officeDocument/2006/relationships/hyperlink" Target="https://eur-lex.europa.eu/legal-content/EN/TXT/?uri=celex:62019CJ0821" TargetMode="External"/><Relationship Id="rId68" Type="http://schemas.openxmlformats.org/officeDocument/2006/relationships/hyperlink" Target="https://www.ilo.org/sites/default/files/2025-06/ILC113-CAN-PV14-Hungary-Patchwork-%5BNORMES-250527-026%5D-EFS.pdf" TargetMode="External"/><Relationship Id="rId7" Type="http://schemas.openxmlformats.org/officeDocument/2006/relationships/hyperlink" Target="https://helsinki.hu/en/wp-content/uploads/sites/2/2025/12/HU_EU_funds_assessment_2025.pdf" TargetMode="External"/><Relationship Id="rId71" Type="http://schemas.openxmlformats.org/officeDocument/2006/relationships/hyperlink" Target="https://search.coe.int/cm?i=0900001680b476a8" TargetMode="External"/><Relationship Id="rId2" Type="http://schemas.openxmlformats.org/officeDocument/2006/relationships/hyperlink" Target="https://helsinki.hu/wp-content/uploads/HHC_RoL_flash_report_Hungary_12112020.pdf" TargetMode="External"/><Relationship Id="rId16" Type="http://schemas.openxmlformats.org/officeDocument/2006/relationships/hyperlink" Target="https://www.ohchr.org/sites/default/files/2022-04/SCA-Report-March-2022_E.pdf" TargetMode="External"/><Relationship Id="rId29" Type="http://schemas.openxmlformats.org/officeDocument/2006/relationships/hyperlink" Target="https://helsinki.hu/wp-content/uploads/HHC_UNSR-migration_pushbacks.pdf" TargetMode="External"/><Relationship Id="rId11" Type="http://schemas.openxmlformats.org/officeDocument/2006/relationships/hyperlink" Target="https://helsinki.hu/en/wp-content/uploads/sites/2/2025/08/HHC_law-making_process_mapping_paper_2025.pdf" TargetMode="External"/><Relationship Id="rId24" Type="http://schemas.openxmlformats.org/officeDocument/2006/relationships/hyperlink" Target="https://helsinki.hu/en/wp-content/uploads/sites/2/2021/12/HHC_Non-Execution_of_Court_Judgments_2021.pdf" TargetMode="External"/><Relationship Id="rId32" Type="http://schemas.openxmlformats.org/officeDocument/2006/relationships/hyperlink" Target="https://asylumineurope.org/wp-content/uploads/2025/05/AIDA-HU_Temporary-Protection_2024.pdf" TargetMode="External"/><Relationship Id="rId37" Type="http://schemas.openxmlformats.org/officeDocument/2006/relationships/hyperlink" Target="https://hudoc.exec.coe.int/eng?i=DH-DD(2024)1177E" TargetMode="External"/><Relationship Id="rId40" Type="http://schemas.openxmlformats.org/officeDocument/2006/relationships/hyperlink" Target="https://hudoc.exec.coe.int/eng?i=004-10515" TargetMode="External"/><Relationship Id="rId45" Type="http://schemas.openxmlformats.org/officeDocument/2006/relationships/hyperlink" Target="https://hudoc.exec.coe.int/?i=DH-DD(2025)506E" TargetMode="External"/><Relationship Id="rId53" Type="http://schemas.openxmlformats.org/officeDocument/2006/relationships/hyperlink" Target="https://eur-lex.europa.eu/legal-content/EN/TXT/HTML/?uri=CELEX:62022CJ0420" TargetMode="External"/><Relationship Id="rId58" Type="http://schemas.openxmlformats.org/officeDocument/2006/relationships/hyperlink" Target="https://helsinki.hu/en/sovereignty-protection-act-in-breach-of-eu-law/" TargetMode="External"/><Relationship Id="rId66" Type="http://schemas.openxmlformats.org/officeDocument/2006/relationships/hyperlink" Target="https://www.venice.coe.int/webforms/documents/default.aspx?pdffile=CDL-AD(2018)035-e" TargetMode="External"/><Relationship Id="rId5" Type="http://schemas.openxmlformats.org/officeDocument/2006/relationships/hyperlink" Target="https://helsinki.hu/en/wp-content/uploads/sites/2/2022/05/HHC_HU_10th_const_amendment_05052022.pdf" TargetMode="External"/><Relationship Id="rId61" Type="http://schemas.openxmlformats.org/officeDocument/2006/relationships/hyperlink" Target="https://helsinki.hu/en/operation-starve-and-strangle-20250522/" TargetMode="External"/><Relationship Id="rId19" Type="http://schemas.openxmlformats.org/officeDocument/2006/relationships/hyperlink" Target="https://helsinki.hu/en/wp-content/uploads/sites/2/2024/12/HHC_Assessment_of_Hungarian_NHRI_2024.pdf" TargetMode="External"/><Relationship Id="rId14" Type="http://schemas.openxmlformats.org/officeDocument/2006/relationships/hyperlink" Target="https://helsinki.hu/en/wp-content/uploads/sites/2/2025/12/HU_EU_funds_assessment_2025.pdf" TargetMode="External"/><Relationship Id="rId22" Type="http://schemas.openxmlformats.org/officeDocument/2006/relationships/hyperlink" Target="https://www.einnetwork.org/countries-overview" TargetMode="External"/><Relationship Id="rId27" Type="http://schemas.openxmlformats.org/officeDocument/2006/relationships/hyperlink" Target="https://helsinki.hu/en/wp-content/uploads/sites/2/2021/12/No-access-to-asylum-1.11.2021.pdf" TargetMode="External"/><Relationship Id="rId30" Type="http://schemas.openxmlformats.org/officeDocument/2006/relationships/hyperlink" Target="https://helsinki.hu/en/wp-content/uploads/sites/2/2023/05/HHC_Refugee-Program_CPT2023.pdf" TargetMode="External"/><Relationship Id="rId35" Type="http://schemas.openxmlformats.org/officeDocument/2006/relationships/hyperlink" Target="https://asylumineurope.org/wp-content/uploads/2025/05/AIDA-HU_Temporary-Protection_2024.pdf" TargetMode="External"/><Relationship Id="rId43" Type="http://schemas.openxmlformats.org/officeDocument/2006/relationships/hyperlink" Target="https://hudoc.exec.coe.int/?i=004-63257" TargetMode="External"/><Relationship Id="rId48" Type="http://schemas.openxmlformats.org/officeDocument/2006/relationships/hyperlink" Target="https://hudoc.exec.coe.int/?i=004-66221" TargetMode="External"/><Relationship Id="rId56" Type="http://schemas.openxmlformats.org/officeDocument/2006/relationships/hyperlink" Target="https://helsinki.hu/en/wp-content/uploads/sites/2/2025/01/HUN_CSO_contribution_EC_RoL_Report_2025.pdf" TargetMode="External"/><Relationship Id="rId64" Type="http://schemas.openxmlformats.org/officeDocument/2006/relationships/hyperlink" Target="https://helsinki.hu/en/wp-content/uploads/sites/2/2022/12/criminalisation_2022.pdf" TargetMode="External"/><Relationship Id="rId69" Type="http://schemas.openxmlformats.org/officeDocument/2006/relationships/hyperlink" Target="https://helsinki.hu/en/wp-content/uploads/sites/2/2025/12/2026_HU_Elections_Threat_Assessment_final_15122025.pdf" TargetMode="External"/><Relationship Id="rId8" Type="http://schemas.openxmlformats.org/officeDocument/2006/relationships/hyperlink" Target="https://www.venice.coe.int/webforms/documents/default.aspx?pdffile=CDL-AD(2025)043-e" TargetMode="External"/><Relationship Id="rId51" Type="http://schemas.openxmlformats.org/officeDocument/2006/relationships/hyperlink" Target="https://helsinki.hu/en/wp-content/uploads/sites/2/2022/01/Info-Note_national-security_exclusion_FINAL.docx.pdf" TargetMode="External"/><Relationship Id="rId3" Type="http://schemas.openxmlformats.org/officeDocument/2006/relationships/hyperlink" Target="https://helsinki.hu/en/wp-content/uploads/sites/2/2023/01/Meszaros_special_legal_order_02112022.pdf" TargetMode="External"/><Relationship Id="rId12" Type="http://schemas.openxmlformats.org/officeDocument/2006/relationships/hyperlink" Target="https://helsinki.hu/en/wp-content/uploads/sites/2/2025/12/HU_EU_funds_assessment_2025.pdf" TargetMode="External"/><Relationship Id="rId17" Type="http://schemas.openxmlformats.org/officeDocument/2006/relationships/hyperlink" Target="https://helsinki.hu/en/wp-content/uploads/sites/2/2025/06/HU_NHRI_assessment_June2025.pdf" TargetMode="External"/><Relationship Id="rId25" Type="http://schemas.openxmlformats.org/officeDocument/2006/relationships/hyperlink" Target="https://www.einnetwork.org/justice-delayed-justice-denied" TargetMode="External"/><Relationship Id="rId33" Type="http://schemas.openxmlformats.org/officeDocument/2006/relationships/hyperlink" Target="https://helsinki.hu/en/destitution-and-homelessness/" TargetMode="External"/><Relationship Id="rId38" Type="http://schemas.openxmlformats.org/officeDocument/2006/relationships/hyperlink" Target="https://hudoc.exec.coe.int/eng?i=DH-DD(2024)1245E" TargetMode="External"/><Relationship Id="rId46" Type="http://schemas.openxmlformats.org/officeDocument/2006/relationships/hyperlink" Target="https://hudoc.exec.coe.int/?i=DH-DD(2025)114E" TargetMode="External"/><Relationship Id="rId59" Type="http://schemas.openxmlformats.org/officeDocument/2006/relationships/hyperlink" Target="https://www.venice.coe.int/webforms/documents/default.aspx?pdffile=CDL-AD(2024)001-e" TargetMode="External"/><Relationship Id="rId67" Type="http://schemas.openxmlformats.org/officeDocument/2006/relationships/hyperlink" Target="https://helsinki.hu/en/wp-content/uploads/sites/2/2023/03/HHC_Hungary_teachers_23032023.pdf" TargetMode="External"/><Relationship Id="rId20" Type="http://schemas.openxmlformats.org/officeDocument/2006/relationships/hyperlink" Target="https://helsinki.hu/en/wp-content/uploads/sites/2/2025/01/HHC_Assessment_of_Hungarian_NHRI_summary_2024.pdf" TargetMode="External"/><Relationship Id="rId41" Type="http://schemas.openxmlformats.org/officeDocument/2006/relationships/hyperlink" Target="https://helsinki.hu/intezeti-bantalmazasok-ajbh/" TargetMode="External"/><Relationship Id="rId54" Type="http://schemas.openxmlformats.org/officeDocument/2006/relationships/hyperlink" Target="https://hudoc.exec.coe.int/?i=004-66221" TargetMode="External"/><Relationship Id="rId62" Type="http://schemas.openxmlformats.org/officeDocument/2006/relationships/hyperlink" Target="https://www.venice.coe.int/webforms/documents/default.aspx?pdffile=CDL-AD(2018)013-e" TargetMode="External"/><Relationship Id="rId70" Type="http://schemas.openxmlformats.org/officeDocument/2006/relationships/hyperlink" Target="https://helsinki.hu/en/wp-content/uploads/sites/2/2025/02/Submission_HHC_UN-SR-on-Freedom-of-Association_Super-Election-Year_31012025.pdf" TargetMode="External"/><Relationship Id="rId1" Type="http://schemas.openxmlformats.org/officeDocument/2006/relationships/hyperlink" Target="https://njt.hu/jogszabaly/en/2011-4301-02-00" TargetMode="External"/><Relationship Id="rId6" Type="http://schemas.openxmlformats.org/officeDocument/2006/relationships/hyperlink" Target="https://helsinki.hu/en/wp-content/uploads/sites/2/2025/03/HHC_info_note_15th_Amendment_19032025.pdf" TargetMode="External"/><Relationship Id="rId15" Type="http://schemas.openxmlformats.org/officeDocument/2006/relationships/hyperlink" Target="https://www.ohchr.org/sites/default/files/2022-04/SCA-Report-March-2022_E.pdf" TargetMode="External"/><Relationship Id="rId23" Type="http://schemas.openxmlformats.org/officeDocument/2006/relationships/hyperlink" Target="https://helsinki.hu/en/wp-content/uploads/sites/2/2021/12/HHC_Non-Execution_of_Court_Judgments_2021.pdf" TargetMode="External"/><Relationship Id="rId28" Type="http://schemas.openxmlformats.org/officeDocument/2006/relationships/hyperlink" Target="https://asylumineurope.org/wp-content/uploads/2025/05/AIDA-HU_2024-Update.pdf" TargetMode="External"/><Relationship Id="rId36" Type="http://schemas.openxmlformats.org/officeDocument/2006/relationships/hyperlink" Target="https://hudoc.exec.coe.int/?i=001-242463" TargetMode="External"/><Relationship Id="rId49" Type="http://schemas.openxmlformats.org/officeDocument/2006/relationships/hyperlink" Target="https://helsinki.hu/en/wp-content/uploads/sites/2/2025/09/HHC_Rule_9_MHB_v_Hungary_31082025.pdf" TargetMode="External"/><Relationship Id="rId57" Type="http://schemas.openxmlformats.org/officeDocument/2006/relationships/hyperlink" Target="https://helsinki.hu/en/wp-content/uploads/sites/2/2022/05/HHC_LexNGO2021_info_note.pdf" TargetMode="External"/><Relationship Id="rId10" Type="http://schemas.openxmlformats.org/officeDocument/2006/relationships/hyperlink" Target="https://www.venice.coe.int/webforms/documents/default.aspx?pdffile=CDL-AD(2025)028-e" TargetMode="External"/><Relationship Id="rId31" Type="http://schemas.openxmlformats.org/officeDocument/2006/relationships/hyperlink" Target="https://hudoc.exec.coe.int/?i=004-58700" TargetMode="External"/><Relationship Id="rId44" Type="http://schemas.openxmlformats.org/officeDocument/2006/relationships/hyperlink" Target="https://search.coe.int/cm/eng?i=0900001680b18fc3" TargetMode="External"/><Relationship Id="rId52" Type="http://schemas.openxmlformats.org/officeDocument/2006/relationships/hyperlink" Target="https://asylumineurope.org/wp-content/uploads/2025/05/AIDA-HU_2024-Update.pdf" TargetMode="External"/><Relationship Id="rId60" Type="http://schemas.openxmlformats.org/officeDocument/2006/relationships/hyperlink" Target="https://ec.europa.eu/commission/presscorner/detail/en/ip_24_4865" TargetMode="External"/><Relationship Id="rId65" Type="http://schemas.openxmlformats.org/officeDocument/2006/relationships/hyperlink" Target="https://helsinki.hu/en/wp-content/uploads/sites/2/2022/12/criminalisation_2022.pdf" TargetMode="External"/><Relationship Id="rId4" Type="http://schemas.openxmlformats.org/officeDocument/2006/relationships/hyperlink" Target="https://www.venice.coe.int/webforms/documents/default.aspx?pdffile=CDL-AD(2021)029-e" TargetMode="External"/><Relationship Id="rId9" Type="http://schemas.openxmlformats.org/officeDocument/2006/relationships/hyperlink" Target="https://helsinki.hu/en/wp-content/uploads/sites/2/2025/01/HUN_CSO_contribution_EC_RoL_Report_2025.pdf" TargetMode="External"/><Relationship Id="rId13" Type="http://schemas.openxmlformats.org/officeDocument/2006/relationships/hyperlink" Target="https://hudoc.exec.coe.int/eng?i=CM/Del/Dec(2024)1501/H46-15E" TargetMode="External"/><Relationship Id="rId18" Type="http://schemas.openxmlformats.org/officeDocument/2006/relationships/hyperlink" Target="https://helsinki.hu/en/wp-content/uploads/sites/2/2024/12/HHC_Assessment_of_Hungarian_NHRI_2024.pdf" TargetMode="External"/><Relationship Id="rId39" Type="http://schemas.openxmlformats.org/officeDocument/2006/relationships/hyperlink" Target="https://rm.coe.int/1680b29ebd" TargetMode="External"/><Relationship Id="rId34" Type="http://schemas.openxmlformats.org/officeDocument/2006/relationships/hyperlink" Target="https://asylumineurope.org/wp-content/uploads/2025/05/AIDA-HU_Temporary-Protection_2024.pdf" TargetMode="External"/><Relationship Id="rId50" Type="http://schemas.openxmlformats.org/officeDocument/2006/relationships/hyperlink" Target="https://ec.europa.eu/commission/presscorner/detail/en/inf_25_2481" TargetMode="External"/><Relationship Id="rId55" Type="http://schemas.openxmlformats.org/officeDocument/2006/relationships/hyperlink" Target="https://helsinki.hu/en/wp-content/uploads/sites/2/2025/11/Submission_HS-HCLU-HHC_UN-SR-on-Freefom-of-Preaceful-Assemlby_Impact-of-Digital-and-AI-Assisted-Surveillance_07112025.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bed03a4-b1e5-4047-bf82-837824b5a486">
      <Terms xmlns="http://schemas.microsoft.com/office/infopath/2007/PartnerControls"/>
    </lcf76f155ced4ddcb4097134ff3c332f>
    <TaxCatchAll xmlns="f227e93c-579a-4104-a4d1-f138de7f3d2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E7B40BCF766604C8D893BA9AC06BED5" ma:contentTypeVersion="13" ma:contentTypeDescription="Create a new document." ma:contentTypeScope="" ma:versionID="2e55515348eff4679a3a5f0f19a1f639">
  <xsd:schema xmlns:xsd="http://www.w3.org/2001/XMLSchema" xmlns:xs="http://www.w3.org/2001/XMLSchema" xmlns:p="http://schemas.microsoft.com/office/2006/metadata/properties" xmlns:ns2="ebed03a4-b1e5-4047-bf82-837824b5a486" xmlns:ns3="f227e93c-579a-4104-a4d1-f138de7f3d23" targetNamespace="http://schemas.microsoft.com/office/2006/metadata/properties" ma:root="true" ma:fieldsID="d03c7e019ede14511accea484321b9e7" ns2:_="" ns3:_="">
    <xsd:import namespace="ebed03a4-b1e5-4047-bf82-837824b5a486"/>
    <xsd:import namespace="f227e93c-579a-4104-a4d1-f138de7f3d2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bed03a4-b1e5-4047-bf82-837824b5a48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d69b28b-751f-425d-b6c7-d7e8810a5d4f"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227e93c-579a-4104-a4d1-f138de7f3d2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58d1a80e-6486-463d-b57a-481f4016bdbf}" ma:internalName="TaxCatchAll" ma:showField="CatchAllData" ma:web="f227e93c-579a-4104-a4d1-f138de7f3d2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F92F53-8D2C-4D9D-84CE-016BBAB1CD5A}">
  <ds:schemaRefs>
    <ds:schemaRef ds:uri="http://purl.org/dc/elements/1.1/"/>
    <ds:schemaRef ds:uri="f227e93c-579a-4104-a4d1-f138de7f3d23"/>
    <ds:schemaRef ds:uri="http://schemas.microsoft.com/office/2006/documentManagement/types"/>
    <ds:schemaRef ds:uri="http://purl.org/dc/dcmitype/"/>
    <ds:schemaRef ds:uri="http://schemas.microsoft.com/office/2006/metadata/properties"/>
    <ds:schemaRef ds:uri="http://purl.org/dc/terms/"/>
    <ds:schemaRef ds:uri="http://schemas.microsoft.com/office/infopath/2007/PartnerControls"/>
    <ds:schemaRef ds:uri="http://www.w3.org/XML/1998/namespace"/>
    <ds:schemaRef ds:uri="http://schemas.openxmlformats.org/package/2006/metadata/core-properties"/>
    <ds:schemaRef ds:uri="ebed03a4-b1e5-4047-bf82-837824b5a486"/>
  </ds:schemaRefs>
</ds:datastoreItem>
</file>

<file path=customXml/itemProps2.xml><?xml version="1.0" encoding="utf-8"?>
<ds:datastoreItem xmlns:ds="http://schemas.openxmlformats.org/officeDocument/2006/customXml" ds:itemID="{2E908D61-AC85-404D-918E-652522E351A2}">
  <ds:schemaRefs>
    <ds:schemaRef ds:uri="http://schemas.microsoft.com/sharepoint/v3/contenttype/forms"/>
  </ds:schemaRefs>
</ds:datastoreItem>
</file>

<file path=customXml/itemProps3.xml><?xml version="1.0" encoding="utf-8"?>
<ds:datastoreItem xmlns:ds="http://schemas.openxmlformats.org/officeDocument/2006/customXml" ds:itemID="{C7EEA601-9041-441E-89FC-C8AEF795D1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bed03a4-b1e5-4047-bf82-837824b5a486"/>
    <ds:schemaRef ds:uri="f227e93c-579a-4104-a4d1-f138de7f3d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3A244FC-A166-448F-A506-75BEE492A0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7442</Words>
  <Characters>51350</Characters>
  <Application>Microsoft Office Word</Application>
  <DocSecurity>0</DocSecurity>
  <Lines>427</Lines>
  <Paragraphs>117</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58675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Novoszádek Nóra</dc:creator>
  <cp:keywords/>
  <dc:description/>
  <cp:lastModifiedBy>Novoszádek Nóra</cp:lastModifiedBy>
  <cp:revision>2</cp:revision>
  <dcterms:created xsi:type="dcterms:W3CDTF">2026-01-05T15:43:00Z</dcterms:created>
  <dcterms:modified xsi:type="dcterms:W3CDTF">2026-01-05T15:43:00Z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0x0101009E7B40BCF766604C8D893BA9AC06BED5</vt:lpwstr>
  </property>
  <property fmtid="{D5CDD505-2E9C-101B-9397-08002B2CF9AE}" pid="3" name="MediaServiceImageTags">
    <vt:lpwstr/>
  </property>
</Properties>
</file>