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30161" w:rsidRPr="00486D78" w:rsidRDefault="003C05DE">
      <w:pPr>
        <w:tabs>
          <w:tab w:val="left" w:pos="6413"/>
        </w:tabs>
        <w:spacing w:before="18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noProof/>
          <w:sz w:val="24"/>
          <w:szCs w:val="24"/>
          <w:lang w:val="en-GB"/>
        </w:rPr>
        <w:drawing>
          <wp:inline distT="0" distB="0" distL="0" distR="0">
            <wp:extent cx="1845469" cy="44291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845469" cy="442913"/>
                    </a:xfrm>
                    <a:prstGeom prst="rect">
                      <a:avLst/>
                    </a:prstGeom>
                    <a:ln/>
                  </pic:spPr>
                </pic:pic>
              </a:graphicData>
            </a:graphic>
          </wp:inline>
        </w:drawing>
      </w:r>
      <w:r w:rsidRPr="00486D78">
        <w:rPr>
          <w:rFonts w:ascii="Alegreya Sans" w:eastAsia="Alegreya Sans" w:hAnsi="Alegreya Sans" w:cs="Alegreya Sans"/>
          <w:sz w:val="24"/>
          <w:szCs w:val="24"/>
          <w:lang w:val="en-GB"/>
        </w:rPr>
        <w:t xml:space="preserve">    </w:t>
      </w:r>
      <w:r w:rsidRPr="00486D78">
        <w:rPr>
          <w:rFonts w:ascii="Times New Roman" w:eastAsia="Times New Roman" w:hAnsi="Times New Roman" w:cs="Times New Roman"/>
          <w:b/>
          <w:noProof/>
          <w:sz w:val="24"/>
          <w:szCs w:val="24"/>
          <w:lang w:val="en-GB"/>
        </w:rPr>
        <w:drawing>
          <wp:inline distT="114300" distB="114300" distL="114300" distR="114300">
            <wp:extent cx="1690688" cy="113058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690688" cy="1130582"/>
                    </a:xfrm>
                    <a:prstGeom prst="rect">
                      <a:avLst/>
                    </a:prstGeom>
                    <a:ln/>
                  </pic:spPr>
                </pic:pic>
              </a:graphicData>
            </a:graphic>
          </wp:inline>
        </w:drawing>
      </w:r>
      <w:r w:rsidRPr="00486D78">
        <w:rPr>
          <w:rFonts w:ascii="Times New Roman" w:eastAsia="Times New Roman" w:hAnsi="Times New Roman" w:cs="Times New Roman"/>
          <w:b/>
          <w:sz w:val="24"/>
          <w:szCs w:val="24"/>
          <w:lang w:val="en-GB"/>
        </w:rPr>
        <w:t xml:space="preserve">  </w:t>
      </w:r>
      <w:r w:rsidRPr="00486D78">
        <w:rPr>
          <w:rFonts w:ascii="Times New Roman" w:eastAsia="Times New Roman" w:hAnsi="Times New Roman" w:cs="Times New Roman"/>
          <w:b/>
          <w:noProof/>
          <w:sz w:val="24"/>
          <w:szCs w:val="24"/>
          <w:lang w:val="en-GB"/>
        </w:rPr>
        <w:drawing>
          <wp:inline distT="114300" distB="114300" distL="114300" distR="114300">
            <wp:extent cx="1233488" cy="125619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233488" cy="1256190"/>
                    </a:xfrm>
                    <a:prstGeom prst="rect">
                      <a:avLst/>
                    </a:prstGeom>
                    <a:ln/>
                  </pic:spPr>
                </pic:pic>
              </a:graphicData>
            </a:graphic>
          </wp:inline>
        </w:drawing>
      </w:r>
    </w:p>
    <w:p w:rsidR="00130161" w:rsidRPr="00486D78" w:rsidRDefault="00130161">
      <w:pPr>
        <w:tabs>
          <w:tab w:val="left" w:pos="6413"/>
        </w:tabs>
        <w:rPr>
          <w:rFonts w:ascii="Alegreya Sans" w:eastAsia="Alegreya Sans" w:hAnsi="Alegreya Sans" w:cs="Alegreya Sans"/>
          <w:sz w:val="24"/>
          <w:szCs w:val="24"/>
          <w:lang w:val="en-GB"/>
        </w:rPr>
      </w:pPr>
    </w:p>
    <w:p w:rsidR="00130161" w:rsidRPr="00486D78" w:rsidRDefault="00130161">
      <w:pPr>
        <w:tabs>
          <w:tab w:val="left" w:pos="6413"/>
        </w:tabs>
        <w:rPr>
          <w:rFonts w:ascii="Alegreya Sans" w:eastAsia="Alegreya Sans" w:hAnsi="Alegreya Sans" w:cs="Alegreya Sans"/>
          <w:sz w:val="24"/>
          <w:szCs w:val="24"/>
          <w:lang w:val="en-GB"/>
        </w:rPr>
      </w:pP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Committee on the Elimination of Discrimination against Women </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Human Rights Treaties Division (HRTD)</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Office of the United Nations High Commissioner for Human Rights (OHCHR)</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Palais Wilson - 52, rue des </w:t>
      </w:r>
      <w:proofErr w:type="spellStart"/>
      <w:r w:rsidRPr="00486D78">
        <w:rPr>
          <w:rFonts w:ascii="Alegreya Sans" w:eastAsia="Alegreya Sans" w:hAnsi="Alegreya Sans" w:cs="Alegreya Sans"/>
          <w:sz w:val="24"/>
          <w:szCs w:val="24"/>
          <w:lang w:val="en-GB"/>
        </w:rPr>
        <w:t>Pâquis</w:t>
      </w:r>
      <w:proofErr w:type="spellEnd"/>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CH-1201 Geneva </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Switzerland</w:t>
      </w:r>
    </w:p>
    <w:p w:rsidR="00130161" w:rsidRPr="00486D78" w:rsidRDefault="003C05DE">
      <w:pPr>
        <w:tabs>
          <w:tab w:val="left" w:pos="6413"/>
        </w:tabs>
        <w:jc w:val="both"/>
        <w:rPr>
          <w:rFonts w:ascii="Alegreya Sans" w:eastAsia="Alegreya Sans" w:hAnsi="Alegreya Sans" w:cs="Alegreya Sans"/>
          <w:color w:val="0000FF"/>
          <w:sz w:val="24"/>
          <w:szCs w:val="24"/>
          <w:lang w:val="en-GB"/>
        </w:rPr>
      </w:pPr>
      <w:r w:rsidRPr="00486D78">
        <w:rPr>
          <w:rFonts w:ascii="Alegreya Sans" w:eastAsia="Alegreya Sans" w:hAnsi="Alegreya Sans" w:cs="Alegreya Sans"/>
          <w:sz w:val="24"/>
          <w:szCs w:val="24"/>
          <w:lang w:val="en-GB"/>
        </w:rPr>
        <w:t xml:space="preserve">By E-mail: </w:t>
      </w:r>
      <w:r w:rsidRPr="00486D78">
        <w:rPr>
          <w:rFonts w:ascii="Alegreya Sans" w:eastAsia="Alegreya Sans" w:hAnsi="Alegreya Sans" w:cs="Alegreya Sans"/>
          <w:color w:val="0000FF"/>
          <w:sz w:val="24"/>
          <w:szCs w:val="24"/>
          <w:lang w:val="en-GB"/>
        </w:rPr>
        <w:t>cedaw@ohchr.org</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ab/>
      </w:r>
      <w:r w:rsidRPr="00486D78">
        <w:rPr>
          <w:rFonts w:ascii="Alegreya Sans" w:eastAsia="Alegreya Sans" w:hAnsi="Alegreya Sans" w:cs="Alegreya Sans"/>
          <w:sz w:val="24"/>
          <w:szCs w:val="24"/>
          <w:lang w:val="en-GB"/>
        </w:rPr>
        <w:tab/>
      </w:r>
      <w:r w:rsidRPr="00486D78">
        <w:rPr>
          <w:rFonts w:ascii="Alegreya Sans" w:eastAsia="Alegreya Sans" w:hAnsi="Alegreya Sans" w:cs="Alegreya Sans"/>
          <w:sz w:val="24"/>
          <w:szCs w:val="24"/>
          <w:lang w:val="en-GB"/>
        </w:rPr>
        <w:tab/>
      </w:r>
      <w:r w:rsidRPr="00486D78">
        <w:rPr>
          <w:rFonts w:ascii="Alegreya Sans" w:eastAsia="Alegreya Sans" w:hAnsi="Alegreya Sans" w:cs="Alegreya Sans"/>
          <w:sz w:val="24"/>
          <w:szCs w:val="24"/>
          <w:lang w:val="en-GB"/>
        </w:rPr>
        <w:tab/>
        <w:t>15 June 2020</w:t>
      </w:r>
    </w:p>
    <w:p w:rsidR="00130161" w:rsidRPr="00486D78" w:rsidRDefault="00130161">
      <w:pPr>
        <w:tabs>
          <w:tab w:val="left" w:pos="6413"/>
        </w:tabs>
        <w:rPr>
          <w:rFonts w:ascii="Alegreya Sans" w:eastAsia="Alegreya Sans" w:hAnsi="Alegreya Sans" w:cs="Alegreya Sans"/>
          <w:sz w:val="24"/>
          <w:szCs w:val="24"/>
          <w:lang w:val="en-GB"/>
        </w:rPr>
      </w:pPr>
    </w:p>
    <w:p w:rsidR="00130161" w:rsidRPr="00486D78" w:rsidRDefault="003C05DE">
      <w:pPr>
        <w:tabs>
          <w:tab w:val="left" w:pos="6413"/>
        </w:tabs>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 xml:space="preserve">Information on List of Issues for the Russian Federation for Consideration by the Committee on the Elimination of Discrimination against Women at its </w:t>
      </w:r>
      <w:r w:rsidRPr="00486D78">
        <w:rPr>
          <w:rFonts w:ascii="Alegreya Sans" w:eastAsia="Alegreya Sans" w:hAnsi="Alegreya Sans" w:cs="Alegreya Sans"/>
          <w:b/>
          <w:sz w:val="24"/>
          <w:szCs w:val="24"/>
          <w:highlight w:val="white"/>
          <w:lang w:val="en-GB"/>
        </w:rPr>
        <w:t>Pre-sessional Working Group for the 78th session (13-17 July 2020)</w:t>
      </w:r>
    </w:p>
    <w:p w:rsidR="00130161" w:rsidRPr="00486D78" w:rsidRDefault="003C05DE">
      <w:pPr>
        <w:tabs>
          <w:tab w:val="left" w:pos="6413"/>
        </w:tabs>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 xml:space="preserve"> </w:t>
      </w:r>
    </w:p>
    <w:p w:rsidR="00130161" w:rsidRPr="00486D78" w:rsidRDefault="003C05DE">
      <w:pPr>
        <w:tabs>
          <w:tab w:val="left" w:pos="6413"/>
        </w:tabs>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Introduction:</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 </w:t>
      </w:r>
    </w:p>
    <w:p w:rsidR="00130161" w:rsidRPr="00486D78" w:rsidRDefault="003C05DE">
      <w:pPr>
        <w:numPr>
          <w:ilvl w:val="0"/>
          <w:numId w:val="6"/>
        </w:num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Equality Now, </w:t>
      </w:r>
      <w:r w:rsidRPr="00486D78">
        <w:rPr>
          <w:rFonts w:ascii="Alegreya Sans" w:eastAsia="Alegreya Sans" w:hAnsi="Alegreya Sans" w:cs="Alegreya Sans"/>
          <w:sz w:val="24"/>
          <w:szCs w:val="24"/>
          <w:highlight w:val="white"/>
          <w:lang w:val="en-GB"/>
        </w:rPr>
        <w:t>the Consortium of women's non-governmental organisations and Centre “Sisters”</w:t>
      </w:r>
      <w:r w:rsidRPr="00486D78">
        <w:rPr>
          <w:rFonts w:ascii="Alegreya Sans" w:eastAsia="Alegreya Sans" w:hAnsi="Alegreya Sans" w:cs="Alegreya Sans"/>
          <w:sz w:val="24"/>
          <w:szCs w:val="24"/>
          <w:lang w:val="en-GB"/>
        </w:rPr>
        <w:t xml:space="preserve"> respectfully submit this letter in advance to the 78th </w:t>
      </w:r>
      <w:r w:rsidRPr="00486D78">
        <w:rPr>
          <w:rFonts w:ascii="Alegreya Sans" w:eastAsia="Alegreya Sans" w:hAnsi="Alegreya Sans" w:cs="Alegreya Sans"/>
          <w:sz w:val="24"/>
          <w:szCs w:val="24"/>
          <w:highlight w:val="white"/>
          <w:lang w:val="en-GB"/>
        </w:rPr>
        <w:t xml:space="preserve">Pre-sessional Working Group of the </w:t>
      </w:r>
      <w:r w:rsidRPr="00486D78">
        <w:rPr>
          <w:rFonts w:ascii="Alegreya Sans" w:eastAsia="Alegreya Sans" w:hAnsi="Alegreya Sans" w:cs="Alegreya Sans"/>
          <w:sz w:val="24"/>
          <w:szCs w:val="24"/>
          <w:lang w:val="en-GB"/>
        </w:rPr>
        <w:t>Committee on the Elimination of Discrimination against Women (‘the Committee’) for consideration of the List of Issues in relation to the Russian Federation’s eighth periodic review. Our joint submission details our concerns with regard to laws related to rape and other forms of sexual violence and procedures and practices which effectively deny access to justice for survivors of sexual violence. Russia’s legal system continues to provide a number of opportunities for perpetrators to escape criminal liability or punishment, namely through the way sexual violence crimes are defined; allowing for the direct release of a perpetrator from liability or punishment in certain circumstances; and through the way sexual violence crimes are investigated and prosecuted, including with respect to adolescent girls.</w:t>
      </w:r>
    </w:p>
    <w:p w:rsidR="00130161" w:rsidRPr="00486D78" w:rsidRDefault="00130161">
      <w:pPr>
        <w:tabs>
          <w:tab w:val="left" w:pos="6413"/>
        </w:tabs>
        <w:ind w:left="720"/>
        <w:rPr>
          <w:rFonts w:ascii="Alegreya Sans" w:eastAsia="Alegreya Sans" w:hAnsi="Alegreya Sans" w:cs="Alegreya Sans"/>
          <w:sz w:val="24"/>
          <w:szCs w:val="24"/>
          <w:lang w:val="en-GB"/>
        </w:rPr>
      </w:pPr>
    </w:p>
    <w:p w:rsidR="00486D78" w:rsidRPr="00486D78" w:rsidRDefault="00486D78">
      <w:pPr>
        <w:tabs>
          <w:tab w:val="left" w:pos="6413"/>
        </w:tabs>
        <w:ind w:left="720"/>
        <w:rPr>
          <w:rFonts w:ascii="Alegreya Sans" w:eastAsia="Alegreya Sans" w:hAnsi="Alegreya Sans" w:cs="Alegreya Sans"/>
          <w:sz w:val="24"/>
          <w:szCs w:val="24"/>
          <w:lang w:val="en-GB"/>
        </w:rPr>
      </w:pPr>
    </w:p>
    <w:p w:rsidR="00486D78" w:rsidRPr="00486D78" w:rsidRDefault="00486D78">
      <w:pPr>
        <w:tabs>
          <w:tab w:val="left" w:pos="6413"/>
        </w:tabs>
        <w:ind w:left="720"/>
        <w:rPr>
          <w:rFonts w:ascii="Alegreya Sans" w:eastAsia="Alegreya Sans" w:hAnsi="Alegreya Sans" w:cs="Alegreya Sans"/>
          <w:sz w:val="24"/>
          <w:szCs w:val="24"/>
          <w:lang w:val="en-GB"/>
        </w:rPr>
      </w:pPr>
    </w:p>
    <w:p w:rsidR="00486D78" w:rsidRPr="00486D78" w:rsidRDefault="00486D78">
      <w:pPr>
        <w:tabs>
          <w:tab w:val="left" w:pos="6413"/>
        </w:tabs>
        <w:ind w:left="720"/>
        <w:rPr>
          <w:rFonts w:ascii="Alegreya Sans" w:eastAsia="Alegreya Sans" w:hAnsi="Alegreya Sans" w:cs="Alegreya Sans"/>
          <w:sz w:val="24"/>
          <w:szCs w:val="24"/>
          <w:lang w:val="en-GB"/>
        </w:rPr>
      </w:pPr>
    </w:p>
    <w:p w:rsidR="00130161" w:rsidRPr="00486D78" w:rsidRDefault="003C05DE">
      <w:pPr>
        <w:tabs>
          <w:tab w:val="left" w:pos="6413"/>
        </w:tabs>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Information about the authors of the submission</w:t>
      </w:r>
    </w:p>
    <w:p w:rsidR="00130161" w:rsidRPr="00486D78" w:rsidRDefault="003C05DE">
      <w:pPr>
        <w:tabs>
          <w:tab w:val="left" w:pos="6413"/>
        </w:tabs>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 </w:t>
      </w:r>
    </w:p>
    <w:p w:rsidR="00130161" w:rsidRPr="00486D78" w:rsidRDefault="003C05DE">
      <w:pPr>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highlight w:val="white"/>
          <w:lang w:val="en-GB"/>
        </w:rPr>
        <w:t>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sidRPr="00486D78">
        <w:rPr>
          <w:rFonts w:ascii="Alegreya Sans" w:eastAsia="Alegreya Sans" w:hAnsi="Alegreya Sans" w:cs="Alegreya Sans"/>
          <w:sz w:val="24"/>
          <w:szCs w:val="24"/>
          <w:lang w:val="en-GB"/>
        </w:rPr>
        <w:t> This submission is in reference to Equality Now’s 2019 report, “Roadblocks to Justice: How the Law is Failing Survivors of Sexual Violence in Eurasia”</w:t>
      </w:r>
      <w:r w:rsidRPr="00486D78">
        <w:rPr>
          <w:rFonts w:ascii="Alegreya Sans" w:eastAsia="Alegreya Sans" w:hAnsi="Alegreya Sans" w:cs="Alegreya Sans"/>
          <w:sz w:val="24"/>
          <w:szCs w:val="24"/>
          <w:vertAlign w:val="superscript"/>
          <w:lang w:val="en-GB"/>
        </w:rPr>
        <w:footnoteReference w:id="1"/>
      </w:r>
      <w:r w:rsidRPr="00486D78">
        <w:rPr>
          <w:rFonts w:ascii="Alegreya Sans" w:eastAsia="Alegreya Sans" w:hAnsi="Alegreya Sans" w:cs="Alegreya Sans"/>
          <w:sz w:val="24"/>
          <w:szCs w:val="24"/>
          <w:lang w:val="en-GB"/>
        </w:rPr>
        <w:t xml:space="preserve"> which identified gaps in the law, thereby allowing for actual and potential impunity for perpetrators of sexual violence crimes.  This report also relies on the Third Party Intervention to the European Court of Human Rights, in the case of T.V. v. Russia, submitted by the European Human Rights Advocacy Centre, Equal Rights Trust and Equality Now on 29 January 2020, outlining the issues raised in the present submission.</w:t>
      </w:r>
      <w:r w:rsidRPr="00486D78">
        <w:rPr>
          <w:rFonts w:ascii="Alegreya Sans" w:eastAsia="Alegreya Sans" w:hAnsi="Alegreya Sans" w:cs="Alegreya Sans"/>
          <w:sz w:val="24"/>
          <w:szCs w:val="24"/>
          <w:vertAlign w:val="superscript"/>
          <w:lang w:val="en-GB"/>
        </w:rPr>
        <w:footnoteReference w:id="2"/>
      </w:r>
      <w:r w:rsidRPr="00486D78">
        <w:rPr>
          <w:rFonts w:ascii="Alegreya Sans" w:eastAsia="Alegreya Sans" w:hAnsi="Alegreya Sans" w:cs="Alegreya Sans"/>
          <w:sz w:val="24"/>
          <w:szCs w:val="24"/>
          <w:lang w:val="en-GB"/>
        </w:rPr>
        <w:t xml:space="preserve"> This submission is also in reference to Equality Now’s 2020 report, “Female Genital Mutilation/Cutting: A Call for a Global Response”,</w:t>
      </w:r>
      <w:r w:rsidRPr="00486D78">
        <w:rPr>
          <w:rFonts w:ascii="Alegreya Sans" w:eastAsia="Alegreya Sans" w:hAnsi="Alegreya Sans" w:cs="Alegreya Sans"/>
          <w:sz w:val="24"/>
          <w:szCs w:val="24"/>
          <w:vertAlign w:val="superscript"/>
          <w:lang w:val="en-GB"/>
        </w:rPr>
        <w:footnoteReference w:id="3"/>
      </w:r>
      <w:r w:rsidRPr="00486D78">
        <w:rPr>
          <w:rFonts w:ascii="Alegreya Sans" w:eastAsia="Alegreya Sans" w:hAnsi="Alegreya Sans" w:cs="Alegreya Sans"/>
          <w:sz w:val="24"/>
          <w:szCs w:val="24"/>
          <w:lang w:val="en-GB"/>
        </w:rPr>
        <w:t xml:space="preserve"> which identifies Russia as one of the 41 countries globally where there is evidence of female genital mutilation (FGM) taking place, but which has no specific law against the practice. </w:t>
      </w:r>
    </w:p>
    <w:p w:rsidR="00130161" w:rsidRPr="00486D78" w:rsidRDefault="00130161">
      <w:pPr>
        <w:tabs>
          <w:tab w:val="left" w:pos="6413"/>
        </w:tabs>
        <w:ind w:left="720"/>
        <w:rPr>
          <w:rFonts w:ascii="Alegreya Sans" w:eastAsia="Alegreya Sans" w:hAnsi="Alegreya Sans" w:cs="Alegreya Sans"/>
          <w:sz w:val="24"/>
          <w:szCs w:val="24"/>
          <w:lang w:val="en-GB"/>
        </w:rPr>
      </w:pPr>
    </w:p>
    <w:p w:rsidR="00130161" w:rsidRPr="00486D78" w:rsidRDefault="003C05DE">
      <w:pPr>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Consortium of women's non-governmental organisations has worked since 1993 on defending the rights and interests of women throughout Russia and works with authorities to improve legislation and monitor the observance of the constitutional right to equal opportunities. In 2018, the Consortium launched the project “Centre for Assistance to Victims of Domestic Violence” and managed to help thousands of women.  The Consortium’s lawyers specialise in cases of domestic violence, and litigated the famous cases of Margarita </w:t>
      </w:r>
      <w:proofErr w:type="spellStart"/>
      <w:r w:rsidRPr="00486D78">
        <w:rPr>
          <w:rFonts w:ascii="Alegreya Sans" w:eastAsia="Alegreya Sans" w:hAnsi="Alegreya Sans" w:cs="Alegreya Sans"/>
          <w:sz w:val="24"/>
          <w:szCs w:val="24"/>
          <w:lang w:val="en-GB"/>
        </w:rPr>
        <w:t>Gracheva</w:t>
      </w:r>
      <w:proofErr w:type="spellEnd"/>
      <w:r w:rsidRPr="00486D78">
        <w:rPr>
          <w:rFonts w:ascii="Alegreya Sans" w:eastAsia="Alegreya Sans" w:hAnsi="Alegreya Sans" w:cs="Alegreya Sans"/>
          <w:sz w:val="24"/>
          <w:szCs w:val="24"/>
          <w:lang w:val="en-GB"/>
        </w:rPr>
        <w:t xml:space="preserve">, Galina </w:t>
      </w:r>
      <w:proofErr w:type="spellStart"/>
      <w:r w:rsidRPr="00486D78">
        <w:rPr>
          <w:rFonts w:ascii="Alegreya Sans" w:eastAsia="Alegreya Sans" w:hAnsi="Alegreya Sans" w:cs="Alegreya Sans"/>
          <w:sz w:val="24"/>
          <w:szCs w:val="24"/>
          <w:lang w:val="en-GB"/>
        </w:rPr>
        <w:t>Katorova</w:t>
      </w:r>
      <w:proofErr w:type="spellEnd"/>
      <w:r w:rsidRPr="00486D78">
        <w:rPr>
          <w:rFonts w:ascii="Alegreya Sans" w:eastAsia="Alegreya Sans" w:hAnsi="Alegreya Sans" w:cs="Alegreya Sans"/>
          <w:sz w:val="24"/>
          <w:szCs w:val="24"/>
          <w:lang w:val="en-GB"/>
        </w:rPr>
        <w:t xml:space="preserve"> and Anna </w:t>
      </w:r>
      <w:proofErr w:type="spellStart"/>
      <w:r w:rsidRPr="00486D78">
        <w:rPr>
          <w:rFonts w:ascii="Alegreya Sans" w:eastAsia="Alegreya Sans" w:hAnsi="Alegreya Sans" w:cs="Alegreya Sans"/>
          <w:sz w:val="24"/>
          <w:szCs w:val="24"/>
          <w:lang w:val="en-GB"/>
        </w:rPr>
        <w:t>Verba</w:t>
      </w:r>
      <w:proofErr w:type="spellEnd"/>
      <w:r w:rsidRPr="00486D78">
        <w:rPr>
          <w:rFonts w:ascii="Alegreya Sans" w:eastAsia="Alegreya Sans" w:hAnsi="Alegreya Sans" w:cs="Alegreya Sans"/>
          <w:sz w:val="24"/>
          <w:szCs w:val="24"/>
          <w:lang w:val="en-GB"/>
        </w:rPr>
        <w:t>. Currently, the Consortium is one of the few organisations at the federal level that unites equal and equally responsible partners.  The Consortium includes 85 non-governmental organisations across the country.</w:t>
      </w:r>
    </w:p>
    <w:p w:rsidR="00130161" w:rsidRPr="00486D78" w:rsidRDefault="00130161">
      <w:pPr>
        <w:spacing w:line="240" w:lineRule="auto"/>
        <w:ind w:left="720"/>
        <w:rPr>
          <w:rFonts w:ascii="Alegreya Sans" w:eastAsia="Alegreya Sans" w:hAnsi="Alegreya Sans" w:cs="Alegreya Sans"/>
          <w:sz w:val="24"/>
          <w:szCs w:val="24"/>
          <w:lang w:val="en-GB"/>
        </w:rPr>
      </w:pPr>
    </w:p>
    <w:p w:rsidR="00130161" w:rsidRPr="00486D78" w:rsidRDefault="003C05DE">
      <w:pPr>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Centre “Sisters” (full name Independent Charity Centre for Assistance to Sexual Violence survivors “Sisters”) is a Russian regional organisation established in Moscow in 1994 with the goal of providing support and assistance to survivors of sexual violence, especially women and children. The goals of the organisation’s activities include providing direct assistance to survivors of sexual violence (the “Sisters” Centre has a helpline and crisis email, provides individual psychological </w:t>
      </w:r>
      <w:proofErr w:type="spellStart"/>
      <w:r w:rsidRPr="00486D78">
        <w:rPr>
          <w:rFonts w:ascii="Alegreya Sans" w:eastAsia="Alegreya Sans" w:hAnsi="Alegreya Sans" w:cs="Alegreya Sans"/>
          <w:sz w:val="24"/>
          <w:szCs w:val="24"/>
          <w:lang w:val="en-GB"/>
        </w:rPr>
        <w:t>counseling</w:t>
      </w:r>
      <w:proofErr w:type="spellEnd"/>
      <w:r w:rsidRPr="00486D78">
        <w:rPr>
          <w:rFonts w:ascii="Alegreya Sans" w:eastAsia="Alegreya Sans" w:hAnsi="Alegreya Sans" w:cs="Alegreya Sans"/>
          <w:sz w:val="24"/>
          <w:szCs w:val="24"/>
          <w:lang w:val="en-GB"/>
        </w:rPr>
        <w:t xml:space="preserve">), assisting survivors of sexual violence in receiving any other assistance they need, and promoting </w:t>
      </w:r>
      <w:r w:rsidRPr="00486D78">
        <w:rPr>
          <w:rFonts w:ascii="Alegreya Sans" w:eastAsia="Alegreya Sans" w:hAnsi="Alegreya Sans" w:cs="Alegreya Sans"/>
          <w:sz w:val="24"/>
          <w:szCs w:val="24"/>
          <w:lang w:val="en-GB"/>
        </w:rPr>
        <w:lastRenderedPageBreak/>
        <w:t xml:space="preserve">the establishment of favourable legal, psychological and social conditions for the rehabilitation of survivors of sexual violence. “Sisters” Centre works directly with the negative consequences of violence and monitors how inadequate legislation and the insufficiency of measures taken by the state affect the psychological and physical condition of survivors of sexual violence and their well-being, who find it difficult to obtain the necessary help and rehabilitation. The Centre provides assistance to people from all over Russia. </w:t>
      </w:r>
    </w:p>
    <w:p w:rsidR="00486D78" w:rsidRPr="00486D78" w:rsidRDefault="00486D78" w:rsidP="00486D78">
      <w:pPr>
        <w:spacing w:line="240" w:lineRule="auto"/>
        <w:ind w:left="720"/>
        <w:rPr>
          <w:rFonts w:ascii="Alegreya Sans" w:eastAsia="Alegreya Sans" w:hAnsi="Alegreya Sans" w:cs="Alegreya Sans"/>
          <w:sz w:val="24"/>
          <w:szCs w:val="24"/>
          <w:lang w:val="en-GB"/>
        </w:rPr>
      </w:pPr>
    </w:p>
    <w:p w:rsidR="00130161" w:rsidRPr="00486D78" w:rsidRDefault="003C05DE">
      <w:pPr>
        <w:widowControl w:val="0"/>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legal provisions and practices detailed in our submission highlight the failure of the State to comply with its duty to provide equal protection under the law to survivors of sexual violence (Article 2(c) of CEDAW); failure of law enforcement to protect women from sexual violence (Article 2(c) and (e)); and that the decisions and failings of the authorities and their agents constitute demonstrable direct and indirect discrimination against women (Article 2(d)); as well as failing to recognise and identify the gender dimension of sexual violence during the prosecution of the accused and in the punishment of this crime (Article 2 (e)). In violation of the Convention, the Russian Federation has also failed to enact criminal law provisions to effectively prosecute sexual violence and gross manifestations of violence against women (Article 2 (b)). We submit that the root causes of the failures of the State are its non-compliance with the obligation to transform gender hierarchies and stereotypical attitudes towards women, contrary to Articles 2 (f) and 5 (a) of the Convention and the obligation to combat violence against women and provide access to justice to survivors, as described in General Recommendations 19, 33 and 35 of the CEDAW Committee. </w:t>
      </w:r>
    </w:p>
    <w:p w:rsidR="00130161" w:rsidRPr="00486D78" w:rsidRDefault="003C05DE">
      <w:pPr>
        <w:widowControl w:val="0"/>
        <w:numPr>
          <w:ilvl w:val="0"/>
          <w:numId w:val="6"/>
        </w:numPr>
        <w:spacing w:before="273"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We reiterate the Concluding Observations</w:t>
      </w:r>
      <w:r w:rsidRPr="00486D78">
        <w:rPr>
          <w:rFonts w:ascii="Alegreya Sans" w:eastAsia="Alegreya Sans" w:hAnsi="Alegreya Sans" w:cs="Alegreya Sans"/>
          <w:sz w:val="24"/>
          <w:szCs w:val="24"/>
          <w:vertAlign w:val="superscript"/>
          <w:lang w:val="en-GB"/>
        </w:rPr>
        <w:footnoteReference w:id="4"/>
      </w:r>
      <w:r w:rsidRPr="00486D78">
        <w:rPr>
          <w:rFonts w:ascii="Alegreya Sans" w:eastAsia="Alegreya Sans" w:hAnsi="Alegreya Sans" w:cs="Alegreya Sans"/>
          <w:sz w:val="24"/>
          <w:szCs w:val="24"/>
          <w:lang w:val="en-GB"/>
        </w:rPr>
        <w:t xml:space="preserve"> on the seventh periodic report of the Russian Federation and underscore, in particular, the recommendations urging the government to:</w:t>
      </w:r>
    </w:p>
    <w:p w:rsidR="00130161" w:rsidRPr="00486D78" w:rsidRDefault="003C05DE">
      <w:pPr>
        <w:widowControl w:val="0"/>
        <w:numPr>
          <w:ilvl w:val="0"/>
          <w:numId w:val="4"/>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To adopt comprehensive legislation to prevent and address violence against women, including domestic violence, introduce ex officio prosecution of domestic and sexual violence and ensure that women and girls who are victims of violence have access to immediate means of redress and protection and that perpetrators are prosecuted and adequately punished;</w:t>
      </w:r>
      <w:r w:rsidRPr="00486D78">
        <w:rPr>
          <w:rFonts w:ascii="Alegreya Sans" w:eastAsia="Alegreya Sans" w:hAnsi="Alegreya Sans" w:cs="Alegreya Sans"/>
          <w:sz w:val="24"/>
          <w:szCs w:val="24"/>
          <w:vertAlign w:val="superscript"/>
          <w:lang w:val="en-GB"/>
        </w:rPr>
        <w:footnoteReference w:id="5"/>
      </w:r>
    </w:p>
    <w:p w:rsidR="00130161" w:rsidRPr="00486D78" w:rsidRDefault="003C05DE">
      <w:pPr>
        <w:widowControl w:val="0"/>
        <w:numPr>
          <w:ilvl w:val="0"/>
          <w:numId w:val="4"/>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To collect statistical data on domestic and sexual violence disaggregated by sex, age, nationality and relationship between the victim and the perpetrator;</w:t>
      </w:r>
      <w:r w:rsidRPr="00486D78">
        <w:rPr>
          <w:rFonts w:ascii="Alegreya Sans" w:eastAsia="Alegreya Sans" w:hAnsi="Alegreya Sans" w:cs="Alegreya Sans"/>
          <w:sz w:val="24"/>
          <w:szCs w:val="24"/>
          <w:vertAlign w:val="superscript"/>
          <w:lang w:val="en-GB"/>
        </w:rPr>
        <w:footnoteReference w:id="6"/>
      </w:r>
    </w:p>
    <w:p w:rsidR="00130161" w:rsidRPr="00486D78" w:rsidRDefault="003C05DE">
      <w:pPr>
        <w:widowControl w:val="0"/>
        <w:numPr>
          <w:ilvl w:val="0"/>
          <w:numId w:val="4"/>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To conduct research on the extent of harmful practices in the northern Caucasus and develop a comprehensive strategy to eliminate them, including through education and awareness-raising campaigns for community and religious leaders and the general public to ensure the effective prosecution and conviction of perpetrators as well as the provision of remedies and support services for </w:t>
      </w:r>
      <w:r w:rsidRPr="00486D78">
        <w:rPr>
          <w:rFonts w:ascii="Alegreya Sans" w:eastAsia="Alegreya Sans" w:hAnsi="Alegreya Sans" w:cs="Alegreya Sans"/>
          <w:sz w:val="24"/>
          <w:szCs w:val="24"/>
          <w:lang w:val="en-GB"/>
        </w:rPr>
        <w:lastRenderedPageBreak/>
        <w:t>victims, in particular shelters;</w:t>
      </w:r>
      <w:r w:rsidRPr="00486D78">
        <w:rPr>
          <w:rFonts w:ascii="Alegreya Sans" w:eastAsia="Alegreya Sans" w:hAnsi="Alegreya Sans" w:cs="Alegreya Sans"/>
          <w:sz w:val="24"/>
          <w:szCs w:val="24"/>
          <w:vertAlign w:val="superscript"/>
          <w:lang w:val="en-GB"/>
        </w:rPr>
        <w:footnoteReference w:id="7"/>
      </w:r>
    </w:p>
    <w:p w:rsidR="00130161" w:rsidRPr="00486D78" w:rsidRDefault="003C05DE">
      <w:pPr>
        <w:widowControl w:val="0"/>
        <w:numPr>
          <w:ilvl w:val="0"/>
          <w:numId w:val="4"/>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To strengthen the capacity of law enforcement authorities to protect women and girls from violence, adopt standardised procedures for the police in all regions of the State party on gender-sensitive investigations and the treatment of victims, and encourage women to file complaints without having to fear retribution or stigma;</w:t>
      </w:r>
      <w:r w:rsidRPr="00486D78">
        <w:rPr>
          <w:rFonts w:ascii="Alegreya Sans" w:eastAsia="Alegreya Sans" w:hAnsi="Alegreya Sans" w:cs="Alegreya Sans"/>
          <w:sz w:val="24"/>
          <w:szCs w:val="24"/>
          <w:vertAlign w:val="superscript"/>
          <w:lang w:val="en-GB"/>
        </w:rPr>
        <w:footnoteReference w:id="8"/>
      </w:r>
    </w:p>
    <w:p w:rsidR="00130161" w:rsidRPr="00486D78" w:rsidRDefault="003C05DE">
      <w:pPr>
        <w:widowControl w:val="0"/>
        <w:numPr>
          <w:ilvl w:val="0"/>
          <w:numId w:val="4"/>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To ensure that women who are victims of abduction for forced marriage, crimes in the name of so-called honour, female genital mutilation and polygamy can report cases without having to fear retribution or stigma and can have access to legal, social, medical and psychological support.</w:t>
      </w:r>
      <w:r w:rsidRPr="00486D78">
        <w:rPr>
          <w:rFonts w:ascii="Alegreya Sans" w:eastAsia="Alegreya Sans" w:hAnsi="Alegreya Sans" w:cs="Alegreya Sans"/>
          <w:sz w:val="24"/>
          <w:szCs w:val="24"/>
          <w:vertAlign w:val="superscript"/>
          <w:lang w:val="en-GB"/>
        </w:rPr>
        <w:footnoteReference w:id="9"/>
      </w:r>
      <w:r w:rsidRPr="00486D78">
        <w:rPr>
          <w:rFonts w:ascii="Alegreya Sans" w:eastAsia="Alegreya Sans" w:hAnsi="Alegreya Sans" w:cs="Alegreya Sans"/>
          <w:sz w:val="24"/>
          <w:szCs w:val="24"/>
          <w:lang w:val="en-GB"/>
        </w:rPr>
        <w:t xml:space="preserve"> </w:t>
      </w:r>
    </w:p>
    <w:p w:rsidR="00130161" w:rsidRPr="00486D78" w:rsidRDefault="003C05DE">
      <w:pPr>
        <w:widowControl w:val="0"/>
        <w:spacing w:before="273"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With this submission, we urge the Committee to reiterate the Russian Federation’s obligations under CEDAW, in particular with respect to ensuring access to justice for survivors of sexual violence and harmful practices and bringing perpetrators to justice. </w:t>
      </w:r>
    </w:p>
    <w:p w:rsidR="00130161" w:rsidRPr="00486D78" w:rsidRDefault="00130161">
      <w:pPr>
        <w:tabs>
          <w:tab w:val="left" w:pos="6413"/>
        </w:tabs>
        <w:rPr>
          <w:rFonts w:ascii="Alegreya Sans" w:eastAsia="Alegreya Sans" w:hAnsi="Alegreya Sans" w:cs="Alegreya Sans"/>
          <w:sz w:val="24"/>
          <w:szCs w:val="24"/>
          <w:lang w:val="en-GB"/>
        </w:rPr>
      </w:pPr>
    </w:p>
    <w:p w:rsidR="00130161" w:rsidRPr="00486D78" w:rsidRDefault="003C05DE">
      <w:pPr>
        <w:tabs>
          <w:tab w:val="left" w:pos="6413"/>
        </w:tabs>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Definitions of sexual violence crimes enabling impunity for perpetrators</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The requirement to introduce a consent-based definition of rape and other forms of sexual violence which ensures that all coerced and non-consensual acts of a sexual character are criminalised is a well-established principle under international human rights and criminal law, including by this Committee.</w:t>
      </w:r>
      <w:r w:rsidRPr="00486D78">
        <w:rPr>
          <w:rFonts w:ascii="Alegreya Sans" w:eastAsia="Alegreya Sans" w:hAnsi="Alegreya Sans" w:cs="Alegreya Sans"/>
          <w:sz w:val="24"/>
          <w:szCs w:val="24"/>
          <w:vertAlign w:val="superscript"/>
          <w:lang w:val="en-GB"/>
        </w:rPr>
        <w:footnoteReference w:id="10"/>
      </w:r>
      <w:r w:rsidRPr="00486D78">
        <w:rPr>
          <w:rFonts w:ascii="Alegreya Sans" w:eastAsia="Alegreya Sans" w:hAnsi="Alegreya Sans" w:cs="Alegreya Sans"/>
          <w:sz w:val="24"/>
          <w:szCs w:val="24"/>
          <w:lang w:val="en-GB"/>
        </w:rPr>
        <w:t xml:space="preserve"> </w:t>
      </w:r>
    </w:p>
    <w:p w:rsidR="00130161" w:rsidRPr="00486D78" w:rsidRDefault="003C05DE">
      <w:pPr>
        <w:widowControl w:val="0"/>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Articles 131-135 of the Criminal Code of Russia criminalise various forms of sexual violence, including rape,</w:t>
      </w:r>
      <w:r w:rsidRPr="00486D78">
        <w:rPr>
          <w:rFonts w:ascii="Alegreya Sans" w:eastAsia="Alegreya Sans" w:hAnsi="Alegreya Sans" w:cs="Alegreya Sans"/>
          <w:sz w:val="24"/>
          <w:szCs w:val="24"/>
          <w:vertAlign w:val="superscript"/>
          <w:lang w:val="en-GB"/>
        </w:rPr>
        <w:footnoteReference w:id="11"/>
      </w:r>
      <w:r w:rsidRPr="00486D78">
        <w:rPr>
          <w:rFonts w:ascii="Alegreya Sans" w:eastAsia="Alegreya Sans" w:hAnsi="Alegreya Sans" w:cs="Alegreya Sans"/>
          <w:sz w:val="24"/>
          <w:szCs w:val="24"/>
          <w:lang w:val="en-GB"/>
        </w:rPr>
        <w:t xml:space="preserve"> violent actions of a sexual character,</w:t>
      </w:r>
      <w:r w:rsidRPr="00486D78">
        <w:rPr>
          <w:rFonts w:ascii="Alegreya Sans" w:eastAsia="Alegreya Sans" w:hAnsi="Alegreya Sans" w:cs="Alegreya Sans"/>
          <w:sz w:val="24"/>
          <w:szCs w:val="24"/>
          <w:vertAlign w:val="superscript"/>
          <w:lang w:val="en-GB"/>
        </w:rPr>
        <w:footnoteReference w:id="12"/>
      </w:r>
      <w:r w:rsidRPr="00486D78">
        <w:rPr>
          <w:rFonts w:ascii="Alegreya Sans" w:eastAsia="Alegreya Sans" w:hAnsi="Alegreya Sans" w:cs="Alegreya Sans"/>
          <w:sz w:val="24"/>
          <w:szCs w:val="24"/>
          <w:lang w:val="en-GB"/>
        </w:rPr>
        <w:t xml:space="preserve"> compulsion to perform sexual actions,</w:t>
      </w:r>
      <w:r w:rsidRPr="00486D78">
        <w:rPr>
          <w:rFonts w:ascii="Alegreya Sans" w:eastAsia="Alegreya Sans" w:hAnsi="Alegreya Sans" w:cs="Alegreya Sans"/>
          <w:sz w:val="24"/>
          <w:szCs w:val="24"/>
          <w:vertAlign w:val="superscript"/>
          <w:lang w:val="en-GB"/>
        </w:rPr>
        <w:footnoteReference w:id="13"/>
      </w:r>
      <w:r w:rsidRPr="00486D78">
        <w:rPr>
          <w:rFonts w:ascii="Alegreya Sans" w:eastAsia="Alegreya Sans" w:hAnsi="Alegreya Sans" w:cs="Alegreya Sans"/>
          <w:sz w:val="24"/>
          <w:szCs w:val="24"/>
          <w:lang w:val="en-GB"/>
        </w:rPr>
        <w:t xml:space="preserve"> and statutory rape.</w:t>
      </w:r>
      <w:r w:rsidRPr="00486D78">
        <w:rPr>
          <w:rFonts w:ascii="Alegreya Sans" w:eastAsia="Alegreya Sans" w:hAnsi="Alegreya Sans" w:cs="Alegreya Sans"/>
          <w:sz w:val="24"/>
          <w:szCs w:val="24"/>
          <w:vertAlign w:val="superscript"/>
          <w:lang w:val="en-GB"/>
        </w:rPr>
        <w:footnoteReference w:id="14"/>
      </w:r>
      <w:r w:rsidRPr="00486D78">
        <w:rPr>
          <w:rFonts w:ascii="Alegreya Sans" w:eastAsia="Alegreya Sans" w:hAnsi="Alegreya Sans" w:cs="Alegreya Sans"/>
          <w:sz w:val="24"/>
          <w:szCs w:val="24"/>
          <w:lang w:val="en-GB"/>
        </w:rPr>
        <w:t xml:space="preserve"> These provisions fail to apply the international and regional human rights standard of requiring lack of consent as a proper element of crimes of sexual violence and denoting that any consent must be given voluntarily as the result of the person’s free will. In addition, the crime of rape currently defined requires additional violence, rather than identifying additional violence as an aggravating </w:t>
      </w:r>
      <w:r w:rsidRPr="00486D78">
        <w:rPr>
          <w:rFonts w:ascii="Alegreya Sans" w:eastAsia="Alegreya Sans" w:hAnsi="Alegreya Sans" w:cs="Alegreya Sans"/>
          <w:sz w:val="24"/>
          <w:szCs w:val="24"/>
          <w:lang w:val="en-GB"/>
        </w:rPr>
        <w:lastRenderedPageBreak/>
        <w:t>circumstance of rape.</w:t>
      </w:r>
    </w:p>
    <w:p w:rsidR="00130161" w:rsidRPr="00486D78" w:rsidRDefault="00130161">
      <w:pPr>
        <w:widowControl w:val="0"/>
        <w:spacing w:line="240" w:lineRule="auto"/>
        <w:ind w:left="720"/>
        <w:rPr>
          <w:rFonts w:ascii="Alegreya Sans" w:eastAsia="Alegreya Sans" w:hAnsi="Alegreya Sans" w:cs="Alegreya Sans"/>
          <w:sz w:val="24"/>
          <w:szCs w:val="24"/>
          <w:lang w:val="en-GB"/>
        </w:rPr>
      </w:pPr>
    </w:p>
    <w:p w:rsidR="00130161" w:rsidRPr="00486D78" w:rsidRDefault="003C05DE">
      <w:pPr>
        <w:widowControl w:val="0"/>
        <w:numPr>
          <w:ilvl w:val="0"/>
          <w:numId w:val="6"/>
        </w:numPr>
        <w:spacing w:after="20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In cases where rape is reported but there is no additional serious physical harm, law enforcement often fails to conduct an investigation or bring charges, or the cases are dismissed by the court because of the lack of evidence on additional physical violence and of biological material (sperm, sweat, saliva) indicative of a sexual act. It is a common practice that nobody, including law enforcement and the courts, will believe that a rape was committed when there is no shouting, witnesses, resistance or additional injuries. </w:t>
      </w:r>
    </w:p>
    <w:p w:rsidR="00130161" w:rsidRPr="00486D78" w:rsidRDefault="003C05DE">
      <w:pPr>
        <w:widowControl w:val="0"/>
        <w:numPr>
          <w:ilvl w:val="0"/>
          <w:numId w:val="6"/>
        </w:numPr>
        <w:spacing w:after="20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“helpless state of the victim” is included in the law as an alternative element to the requirement for additional violence on the part of the perpetrator, but there is no definition or explanation in the law as to what this entails. In practice, this element has often been applied in cases where the victim has a physical disability or compromised mental faculties (for example, if she has dementia, a mental disorder, or is unconscious). The court will, in these cases, question whether the victim had the ability to understand the situation enough to be able to resist the perpetrator. In these cases, the perpetrator has the responsibility to be aware of her “helpless state”. Therefore, “helpless state” has very limited application and does not cover situations where the perpetrator could overcome the will of the victim (e.g. perpetrator subjecting victim to systematic rape within the context of domestic violence and making her helpless, or taking her to a deserted area where it is not possible to resist sexual violence). </w:t>
      </w:r>
    </w:p>
    <w:p w:rsidR="00130161" w:rsidRPr="00486D78" w:rsidRDefault="003C05DE">
      <w:pPr>
        <w:widowControl w:val="0"/>
        <w:numPr>
          <w:ilvl w:val="0"/>
          <w:numId w:val="6"/>
        </w:numPr>
        <w:spacing w:after="20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As well as neglecting the importance of willing consent, the reviewed sexual violence provisions do not enumerate a wide range of coercive circumstances that can paralyse the will and the actions of the victim, such as abuse of trust and authority and situations of dependence, including within a violent domestic relationship. This in practice means that the prosecution of rape is overwhelmingly limited to situations where the 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 </w:t>
      </w:r>
    </w:p>
    <w:p w:rsidR="00130161" w:rsidRPr="00486D78" w:rsidRDefault="003C05DE">
      <w:pPr>
        <w:widowControl w:val="0"/>
        <w:numPr>
          <w:ilvl w:val="0"/>
          <w:numId w:val="6"/>
        </w:numPr>
        <w:spacing w:after="20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Moreover, there is no recognition of the concept of gender-based violence in the laws or practice, and there is a lack of understanding of gender-based violence as a separate form of violence which can have a significant impact on the life, health and well-being of women and girls. There is also no awareness or understanding by law enforcement or the criminal justice system of the gendered nature of sexual violence. This results in a range of offences not being criminalised at the state level which would protect victims from different forms of gender-based violence, such as sexual harassment, sextortion, image-based sexual abuse, and non-consensual image/video sharing. As a consequence, they are also not perceived by society as violence against women resulting in a general acceptance and perpetuation of these forms of gender-based violence.</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Recommendations:</w:t>
      </w:r>
    </w:p>
    <w:p w:rsidR="00130161" w:rsidRPr="00486D78" w:rsidRDefault="003C05DE">
      <w:pPr>
        <w:numPr>
          <w:ilvl w:val="0"/>
          <w:numId w:val="12"/>
        </w:numPr>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lastRenderedPageBreak/>
        <w:t xml:space="preserve">We submit that Articles 131, 132 and 133 of the Criminal Code of Russia need to be amended to ensure that the definitions of rape and other sexual violence crimes are in compliance with standards developed by international law and cover all forms of sexual violence acts committed without the victim’s voluntary, genuine and willing consent; </w:t>
      </w:r>
    </w:p>
    <w:p w:rsidR="00130161" w:rsidRPr="00486D78" w:rsidRDefault="00130161">
      <w:pPr>
        <w:ind w:left="1440"/>
        <w:rPr>
          <w:rFonts w:ascii="Alegreya Sans" w:eastAsia="Alegreya Sans" w:hAnsi="Alegreya Sans" w:cs="Alegreya Sans"/>
          <w:sz w:val="24"/>
          <w:szCs w:val="24"/>
          <w:lang w:val="en-GB"/>
        </w:rPr>
      </w:pPr>
    </w:p>
    <w:p w:rsidR="00130161" w:rsidRPr="00486D78" w:rsidRDefault="003C05DE">
      <w:pPr>
        <w:numPr>
          <w:ilvl w:val="0"/>
          <w:numId w:val="12"/>
        </w:numPr>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Ensuring that sanctions for the above crimes correspond to the gravity of the crimes. </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bookmarkStart w:id="0" w:name="_jk45l24rt2em" w:colFirst="0" w:colLast="0"/>
      <w:bookmarkEnd w:id="0"/>
      <w:r w:rsidRPr="00486D78">
        <w:rPr>
          <w:rFonts w:ascii="Alegreya Sans" w:eastAsia="Alegreya Sans" w:hAnsi="Alegreya Sans" w:cs="Alegreya Sans"/>
          <w:sz w:val="24"/>
          <w:szCs w:val="24"/>
          <w:u w:val="single"/>
          <w:lang w:val="en-GB"/>
        </w:rPr>
        <w:t>We respectfully ask the Committee to request further information from the Russian Federation on the following issues:</w:t>
      </w:r>
    </w:p>
    <w:p w:rsidR="00130161" w:rsidRPr="00486D78" w:rsidRDefault="003C05DE">
      <w:pPr>
        <w:numPr>
          <w:ilvl w:val="0"/>
          <w:numId w:val="7"/>
        </w:numPr>
        <w:ind w:left="1440"/>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What measures has the Russian Federation undertaken/is the Russian Federation planning to undertake to amend its criminal law provisions and introduce a consent-based defin</w:t>
      </w:r>
      <w:r w:rsidR="00486D78" w:rsidRPr="00486D78">
        <w:rPr>
          <w:rFonts w:ascii="Alegreya Sans" w:eastAsia="Alegreya Sans" w:hAnsi="Alegreya Sans" w:cs="Alegreya Sans"/>
          <w:sz w:val="24"/>
          <w:szCs w:val="24"/>
          <w:lang w:val="en-GB"/>
        </w:rPr>
        <w:t>i</w:t>
      </w:r>
      <w:r w:rsidRPr="00486D78">
        <w:rPr>
          <w:rFonts w:ascii="Alegreya Sans" w:eastAsia="Alegreya Sans" w:hAnsi="Alegreya Sans" w:cs="Alegreya Sans"/>
          <w:sz w:val="24"/>
          <w:szCs w:val="24"/>
          <w:lang w:val="en-GB"/>
        </w:rPr>
        <w:t>tion of rape and other forms of sexual violence?</w:t>
      </w:r>
    </w:p>
    <w:p w:rsidR="00130161" w:rsidRPr="00486D78" w:rsidRDefault="003C05DE">
      <w:pPr>
        <w:numPr>
          <w:ilvl w:val="0"/>
          <w:numId w:val="7"/>
        </w:numPr>
        <w:ind w:left="1440"/>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 What measures has the Russian Federation undertaken/is the Russian Federation planning to undertake to introduce sanctions based on the gravity of the crime?</w:t>
      </w:r>
    </w:p>
    <w:p w:rsidR="00130161" w:rsidRPr="00486D78" w:rsidRDefault="003C05DE">
      <w:pPr>
        <w:spacing w:before="280" w:after="280" w:line="240" w:lineRule="auto"/>
        <w:jc w:val="both"/>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Marital rape</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CEDAW’s General Recommendation 35 provides that States should ensure that a “definition of sexual crimes, including marital and acquaintance or date rape, is based on the lack of freely given consent and takes into account coercive circumstances.”</w:t>
      </w:r>
      <w:r w:rsidRPr="00486D78">
        <w:rPr>
          <w:rFonts w:ascii="Alegreya Sans" w:eastAsia="Alegreya Sans" w:hAnsi="Alegreya Sans" w:cs="Alegreya Sans"/>
          <w:sz w:val="24"/>
          <w:szCs w:val="24"/>
          <w:vertAlign w:val="superscript"/>
          <w:lang w:val="en-GB"/>
        </w:rPr>
        <w:footnoteReference w:id="15"/>
      </w:r>
      <w:r w:rsidRPr="00486D78">
        <w:rPr>
          <w:rFonts w:ascii="Alegreya Sans" w:eastAsia="Alegreya Sans" w:hAnsi="Alegreya Sans" w:cs="Alegreya Sans"/>
          <w:sz w:val="24"/>
          <w:szCs w:val="24"/>
          <w:lang w:val="en-GB"/>
        </w:rPr>
        <w:t xml:space="preserve"> CEDAW and the Human Rights Committee have to date recommended that the States of the former Soviet Union specifically criminalise marital rape, including Kyrgyzstan (2018),</w:t>
      </w:r>
      <w:r w:rsidRPr="00486D78">
        <w:rPr>
          <w:rFonts w:ascii="Alegreya Sans" w:eastAsia="Alegreya Sans" w:hAnsi="Alegreya Sans" w:cs="Alegreya Sans"/>
          <w:sz w:val="24"/>
          <w:szCs w:val="24"/>
          <w:vertAlign w:val="superscript"/>
          <w:lang w:val="en-GB"/>
        </w:rPr>
        <w:footnoteReference w:id="16"/>
      </w:r>
      <w:r w:rsidRPr="00486D78">
        <w:rPr>
          <w:rFonts w:ascii="Alegreya Sans" w:eastAsia="Alegreya Sans" w:hAnsi="Alegreya Sans" w:cs="Alegreya Sans"/>
          <w:sz w:val="24"/>
          <w:szCs w:val="24"/>
          <w:lang w:val="en-GB"/>
        </w:rPr>
        <w:t xml:space="preserve"> Tajikistan (2018),</w:t>
      </w:r>
      <w:r w:rsidRPr="00486D78">
        <w:rPr>
          <w:rFonts w:ascii="Alegreya Sans" w:eastAsia="Alegreya Sans" w:hAnsi="Alegreya Sans" w:cs="Alegreya Sans"/>
          <w:sz w:val="24"/>
          <w:szCs w:val="24"/>
          <w:vertAlign w:val="superscript"/>
          <w:lang w:val="en-GB"/>
        </w:rPr>
        <w:footnoteReference w:id="17"/>
      </w:r>
      <w:r w:rsidRPr="00486D78">
        <w:rPr>
          <w:rFonts w:ascii="Alegreya Sans" w:eastAsia="Alegreya Sans" w:hAnsi="Alegreya Sans" w:cs="Alegreya Sans"/>
          <w:sz w:val="24"/>
          <w:szCs w:val="24"/>
          <w:lang w:val="en-GB"/>
        </w:rPr>
        <w:t xml:space="preserve"> Belarus (2016),</w:t>
      </w:r>
      <w:r w:rsidRPr="00486D78">
        <w:rPr>
          <w:rFonts w:ascii="Alegreya Sans" w:eastAsia="Alegreya Sans" w:hAnsi="Alegreya Sans" w:cs="Alegreya Sans"/>
          <w:sz w:val="24"/>
          <w:szCs w:val="24"/>
          <w:vertAlign w:val="superscript"/>
          <w:lang w:val="en-GB"/>
        </w:rPr>
        <w:footnoteReference w:id="18"/>
      </w:r>
      <w:r w:rsidRPr="00486D78">
        <w:rPr>
          <w:rFonts w:ascii="Alegreya Sans" w:eastAsia="Alegreya Sans" w:hAnsi="Alegreya Sans" w:cs="Alegreya Sans"/>
          <w:sz w:val="24"/>
          <w:szCs w:val="24"/>
          <w:lang w:val="en-GB"/>
        </w:rPr>
        <w:t xml:space="preserve"> Latvia (2014)</w:t>
      </w:r>
      <w:r w:rsidRPr="00486D78">
        <w:rPr>
          <w:rFonts w:ascii="Alegreya Sans" w:eastAsia="Alegreya Sans" w:hAnsi="Alegreya Sans" w:cs="Alegreya Sans"/>
          <w:sz w:val="24"/>
          <w:szCs w:val="24"/>
          <w:vertAlign w:val="superscript"/>
          <w:lang w:val="en-GB"/>
        </w:rPr>
        <w:footnoteReference w:id="19"/>
      </w:r>
      <w:r w:rsidRPr="00486D78">
        <w:rPr>
          <w:rFonts w:ascii="Alegreya Sans" w:eastAsia="Alegreya Sans" w:hAnsi="Alegreya Sans" w:cs="Alegreya Sans"/>
          <w:sz w:val="24"/>
          <w:szCs w:val="24"/>
          <w:lang w:val="en-GB"/>
        </w:rPr>
        <w:t xml:space="preserve"> and Lithuania (2014).</w:t>
      </w:r>
      <w:r w:rsidRPr="00486D78">
        <w:rPr>
          <w:rFonts w:ascii="Alegreya Sans" w:eastAsia="Alegreya Sans" w:hAnsi="Alegreya Sans" w:cs="Alegreya Sans"/>
          <w:sz w:val="24"/>
          <w:szCs w:val="24"/>
          <w:vertAlign w:val="superscript"/>
          <w:lang w:val="en-GB"/>
        </w:rPr>
        <w:footnoteReference w:id="20"/>
      </w:r>
      <w:r w:rsidRPr="00486D78">
        <w:rPr>
          <w:rFonts w:ascii="Alegreya Sans" w:eastAsia="Alegreya Sans" w:hAnsi="Alegreya Sans" w:cs="Alegreya Sans"/>
          <w:sz w:val="24"/>
          <w:szCs w:val="24"/>
          <w:lang w:val="en-GB"/>
        </w:rPr>
        <w:t xml:space="preserve"> As countries of the former Soviet Union, they continue to share similar definitions of sexual violence crimes, as well as similar criminal justice systems. Therefore, recommendations given to </w:t>
      </w:r>
      <w:r w:rsidRPr="00486D78">
        <w:rPr>
          <w:rFonts w:ascii="Alegreya Sans" w:eastAsia="Alegreya Sans" w:hAnsi="Alegreya Sans" w:cs="Alegreya Sans"/>
          <w:sz w:val="24"/>
          <w:szCs w:val="24"/>
          <w:lang w:val="en-GB"/>
        </w:rPr>
        <w:lastRenderedPageBreak/>
        <w:t>these countries are relevant to all countries that retain similar legal context, including the Russian Federation.</w:t>
      </w:r>
    </w:p>
    <w:p w:rsidR="00130161" w:rsidRPr="00486D78" w:rsidRDefault="003C05DE">
      <w:pPr>
        <w:widowControl w:val="0"/>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Whilst international human rights standards highlight the obligation of States to pay specific attention when it comes to crimes committed in a domestic setting, such as marital rape, this is neither explicitly criminalised in a separate provision, nor included as an aggravating factor of sexual violence crimes in the Russian Criminal Code.</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Recommendation:</w:t>
      </w:r>
    </w:p>
    <w:p w:rsidR="00130161" w:rsidRPr="00486D78" w:rsidRDefault="003C05DE">
      <w:pPr>
        <w:numPr>
          <w:ilvl w:val="0"/>
          <w:numId w:val="1"/>
        </w:numPr>
        <w:spacing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Explicitly </w:t>
      </w:r>
      <w:r w:rsidRPr="00486D78">
        <w:rPr>
          <w:rFonts w:ascii="Alegreya Sans" w:eastAsia="Alegreya Sans" w:hAnsi="Alegreya Sans" w:cs="Alegreya Sans"/>
          <w:b/>
          <w:sz w:val="24"/>
          <w:szCs w:val="24"/>
          <w:lang w:val="en-GB"/>
        </w:rPr>
        <w:t>criminalise rape in marriage</w:t>
      </w:r>
      <w:r w:rsidRPr="00486D78">
        <w:rPr>
          <w:rFonts w:ascii="Alegreya Sans" w:eastAsia="Alegreya Sans" w:hAnsi="Alegreya Sans" w:cs="Alegreya Sans"/>
          <w:sz w:val="24"/>
          <w:szCs w:val="24"/>
          <w:lang w:val="en-GB"/>
        </w:rPr>
        <w:t xml:space="preserve"> and intimate partner relationships as a separate article in the Criminal Code, or as an aggravating circumstance within the existing sexual violence articles.</w:t>
      </w:r>
    </w:p>
    <w:p w:rsidR="00130161" w:rsidRPr="00486D78" w:rsidRDefault="00130161">
      <w:pPr>
        <w:spacing w:line="240" w:lineRule="auto"/>
        <w:jc w:val="both"/>
        <w:rPr>
          <w:rFonts w:ascii="Alegreya Sans" w:eastAsia="Alegreya Sans" w:hAnsi="Alegreya Sans" w:cs="Alegreya Sans"/>
          <w:sz w:val="24"/>
          <w:szCs w:val="24"/>
          <w:lang w:val="en-GB"/>
        </w:rPr>
      </w:pP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 xml:space="preserve">We respectfully ask the Committee to request further information from the Russian Federation on the following issues: </w:t>
      </w:r>
    </w:p>
    <w:p w:rsidR="00130161" w:rsidRPr="00486D78" w:rsidRDefault="003C05DE">
      <w:pPr>
        <w:numPr>
          <w:ilvl w:val="0"/>
          <w:numId w:val="11"/>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steps is the government undertaking to reform the Criminal Code to expressly criminalise rape in marriage and intimate partner relationships or treat it as an aggravating circumstance within the existing sexual violence articles? </w:t>
      </w:r>
    </w:p>
    <w:p w:rsidR="00130161" w:rsidRPr="00486D78" w:rsidRDefault="003C05DE">
      <w:pPr>
        <w:widowControl w:val="0"/>
        <w:spacing w:line="240" w:lineRule="auto"/>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Impunity for statutory rape of adolescent girls</w:t>
      </w:r>
    </w:p>
    <w:p w:rsidR="00130161" w:rsidRPr="00486D78" w:rsidRDefault="00130161">
      <w:pPr>
        <w:widowControl w:val="0"/>
        <w:spacing w:line="240" w:lineRule="auto"/>
        <w:rPr>
          <w:rFonts w:ascii="Alegreya Sans" w:eastAsia="Alegreya Sans" w:hAnsi="Alegreya Sans" w:cs="Alegreya Sans"/>
          <w:b/>
          <w:sz w:val="24"/>
          <w:szCs w:val="24"/>
          <w:lang w:val="en-GB"/>
        </w:rPr>
      </w:pPr>
    </w:p>
    <w:p w:rsidR="00130161" w:rsidRPr="00486D78" w:rsidRDefault="003C05DE">
      <w:pPr>
        <w:numPr>
          <w:ilvl w:val="0"/>
          <w:numId w:val="6"/>
        </w:numPr>
        <w:spacing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highlight w:val="white"/>
          <w:lang w:val="en-GB"/>
        </w:rPr>
        <w:t xml:space="preserve">Article 134 of the Criminal Code of Russia expressly provides that if an adult person (over the age of 18) marries a girl below 16 with whom he has had sexual relations with her supposed consent, he will not be punished for the statutory rape. Although marriage under the age of 18 (16 in exceptional circumstances) cannot be legally registered in Russia, the autonomous regions of Russia have the authority to lower the age to as low as 14. Permitting marriage under the age of 18 is usually justified as a result of pregnancy or if the adolescents officially reach the age of legal capacity and have a permanent job that provides for them. Not only does the exemption provision exonerate the perpetrator from punishment if the marriage is registered, it also fails to protect the girl as a minor. In addition, the court can and does recognise cohabitation without registration as being a married state, as long as the parties have reached the permitted age of marriage. Again, this would allow a perpetrator of statutory rape to escape punishment. </w:t>
      </w:r>
    </w:p>
    <w:p w:rsidR="00130161" w:rsidRPr="00486D78" w:rsidRDefault="00130161">
      <w:pPr>
        <w:spacing w:line="240" w:lineRule="auto"/>
        <w:ind w:left="720"/>
        <w:rPr>
          <w:rFonts w:ascii="Alegreya Sans" w:eastAsia="Alegreya Sans" w:hAnsi="Alegreya Sans" w:cs="Alegreya Sans"/>
          <w:sz w:val="24"/>
          <w:szCs w:val="24"/>
          <w:highlight w:val="white"/>
          <w:lang w:val="en-GB"/>
        </w:rPr>
      </w:pPr>
    </w:p>
    <w:p w:rsidR="00130161" w:rsidRPr="00486D78" w:rsidRDefault="003C05DE">
      <w:pPr>
        <w:numPr>
          <w:ilvl w:val="0"/>
          <w:numId w:val="6"/>
        </w:numPr>
        <w:spacing w:line="240" w:lineRule="auto"/>
        <w:rPr>
          <w:rFonts w:ascii="Alegreya Sans" w:eastAsia="Alegreya Sans" w:hAnsi="Alegreya Sans" w:cs="Alegreya Sans"/>
          <w:sz w:val="24"/>
          <w:szCs w:val="24"/>
          <w:highlight w:val="white"/>
          <w:lang w:val="en-GB"/>
        </w:rPr>
      </w:pPr>
      <w:r w:rsidRPr="00486D78">
        <w:rPr>
          <w:rFonts w:ascii="Alegreya Sans" w:eastAsia="Alegreya Sans" w:hAnsi="Alegreya Sans" w:cs="Alegreya Sans"/>
          <w:sz w:val="24"/>
          <w:szCs w:val="24"/>
          <w:highlight w:val="white"/>
          <w:lang w:val="en-GB"/>
        </w:rPr>
        <w:t xml:space="preserve">Currently, according to regional laws, marriage under the age of 18 is permitted. The Russian government recently declared it will further submit amendments to federal legislation, namely the Family Code and the Law on Civil Status Acts, which would allow persons under the age of 18 to enter into marriage. These proposals are expected to be discussed and approved in the State Duma in February 2021. </w:t>
      </w:r>
    </w:p>
    <w:p w:rsidR="00130161" w:rsidRPr="00486D78" w:rsidRDefault="00130161">
      <w:pPr>
        <w:spacing w:line="240" w:lineRule="auto"/>
        <w:rPr>
          <w:rFonts w:ascii="Alegreya Sans" w:eastAsia="Alegreya Sans" w:hAnsi="Alegreya Sans" w:cs="Alegreya Sans"/>
          <w:sz w:val="24"/>
          <w:szCs w:val="24"/>
          <w:highlight w:val="white"/>
          <w:lang w:val="en-GB"/>
        </w:rPr>
      </w:pPr>
    </w:p>
    <w:p w:rsidR="00130161" w:rsidRPr="00486D78" w:rsidRDefault="003C05DE">
      <w:pPr>
        <w:spacing w:line="240" w:lineRule="auto"/>
        <w:rPr>
          <w:rFonts w:ascii="Alegreya Sans" w:eastAsia="Alegreya Sans" w:hAnsi="Alegreya Sans" w:cs="Alegreya Sans"/>
          <w:sz w:val="24"/>
          <w:szCs w:val="24"/>
          <w:highlight w:val="white"/>
          <w:u w:val="single"/>
          <w:lang w:val="en-GB"/>
        </w:rPr>
      </w:pPr>
      <w:r w:rsidRPr="00486D78">
        <w:rPr>
          <w:rFonts w:ascii="Alegreya Sans" w:eastAsia="Alegreya Sans" w:hAnsi="Alegreya Sans" w:cs="Alegreya Sans"/>
          <w:sz w:val="24"/>
          <w:szCs w:val="24"/>
          <w:highlight w:val="white"/>
          <w:u w:val="single"/>
          <w:lang w:val="en-GB"/>
        </w:rPr>
        <w:lastRenderedPageBreak/>
        <w:t>Recommendations</w:t>
      </w:r>
    </w:p>
    <w:p w:rsidR="00486D78" w:rsidRPr="00486D78" w:rsidRDefault="00486D78">
      <w:pPr>
        <w:spacing w:line="240" w:lineRule="auto"/>
        <w:rPr>
          <w:rFonts w:ascii="Alegreya Sans" w:eastAsia="Alegreya Sans" w:hAnsi="Alegreya Sans" w:cs="Alegreya Sans"/>
          <w:sz w:val="24"/>
          <w:szCs w:val="24"/>
          <w:highlight w:val="white"/>
          <w:u w:val="single"/>
          <w:lang w:val="en-GB"/>
        </w:rPr>
      </w:pPr>
    </w:p>
    <w:p w:rsidR="00130161" w:rsidRPr="00486D78" w:rsidRDefault="003C05DE">
      <w:pPr>
        <w:numPr>
          <w:ilvl w:val="0"/>
          <w:numId w:val="5"/>
        </w:numPr>
        <w:spacing w:line="240" w:lineRule="auto"/>
        <w:rPr>
          <w:rFonts w:ascii="Alegreya Sans" w:eastAsia="Alegreya Sans" w:hAnsi="Alegreya Sans" w:cs="Alegreya Sans"/>
          <w:sz w:val="24"/>
          <w:szCs w:val="24"/>
          <w:highlight w:val="white"/>
          <w:lang w:val="en-GB"/>
        </w:rPr>
      </w:pPr>
      <w:r w:rsidRPr="00486D78">
        <w:rPr>
          <w:rFonts w:ascii="Alegreya Sans" w:eastAsia="Alegreya Sans" w:hAnsi="Alegreya Sans" w:cs="Alegreya Sans"/>
          <w:sz w:val="24"/>
          <w:szCs w:val="24"/>
          <w:highlight w:val="white"/>
          <w:lang w:val="en-GB"/>
        </w:rPr>
        <w:t xml:space="preserve">Abolish the provision in Article 134 of the Criminal Code which expressly provides that if an adult person (over the age of 18) marries a girl below 16 with whom he has had sexual relations with her supposed consent, he will not be punished for the statutory rape. </w:t>
      </w:r>
    </w:p>
    <w:p w:rsidR="00130161" w:rsidRPr="00486D78" w:rsidRDefault="00130161">
      <w:pPr>
        <w:spacing w:line="240" w:lineRule="auto"/>
        <w:ind w:left="720"/>
        <w:rPr>
          <w:rFonts w:ascii="Alegreya Sans" w:eastAsia="Alegreya Sans" w:hAnsi="Alegreya Sans" w:cs="Alegreya Sans"/>
          <w:sz w:val="24"/>
          <w:szCs w:val="24"/>
          <w:highlight w:val="white"/>
          <w:lang w:val="en-GB"/>
        </w:rPr>
      </w:pPr>
    </w:p>
    <w:p w:rsidR="00130161" w:rsidRPr="00486D78" w:rsidRDefault="003C05DE">
      <w:pPr>
        <w:widowControl w:val="0"/>
        <w:numPr>
          <w:ilvl w:val="0"/>
          <w:numId w:val="5"/>
        </w:numPr>
        <w:tabs>
          <w:tab w:val="left" w:pos="720"/>
          <w:tab w:val="left" w:pos="1440"/>
          <w:tab w:val="left" w:pos="2160"/>
          <w:tab w:val="left" w:pos="2880"/>
          <w:tab w:val="left" w:pos="3600"/>
          <w:tab w:val="left" w:pos="4320"/>
          <w:tab w:val="left" w:pos="5040"/>
          <w:tab w:val="left" w:pos="5760"/>
        </w:tabs>
        <w:spacing w:after="240" w:line="240" w:lineRule="auto"/>
        <w:rPr>
          <w:rFonts w:ascii="Alegreya Sans" w:eastAsia="Alegreya Sans" w:hAnsi="Alegreya Sans" w:cs="Alegreya Sans"/>
          <w:sz w:val="24"/>
          <w:szCs w:val="24"/>
          <w:highlight w:val="white"/>
          <w:lang w:val="en-GB"/>
        </w:rPr>
      </w:pPr>
      <w:r w:rsidRPr="00486D78">
        <w:rPr>
          <w:rFonts w:ascii="Alegreya Sans" w:eastAsia="Alegreya Sans" w:hAnsi="Alegreya Sans" w:cs="Alegreya Sans"/>
          <w:sz w:val="24"/>
          <w:szCs w:val="24"/>
          <w:lang w:val="en-GB"/>
        </w:rPr>
        <w:t xml:space="preserve">The proposal of the Russian Government to amend the Family Code and the age of marriage allowing persons under the age of 18 to enter into marriage are contrary to international law and are not justified in any circumstances. Russia should amend the laws in force to make sure that the age of marriage is fixed at 18 without exceptions. </w:t>
      </w:r>
    </w:p>
    <w:p w:rsidR="00130161" w:rsidRPr="00486D78" w:rsidRDefault="00130161">
      <w:pPr>
        <w:spacing w:line="240" w:lineRule="auto"/>
        <w:rPr>
          <w:rFonts w:ascii="Alegreya Sans" w:eastAsia="Alegreya Sans" w:hAnsi="Alegreya Sans" w:cs="Alegreya Sans"/>
          <w:sz w:val="24"/>
          <w:szCs w:val="24"/>
          <w:highlight w:val="white"/>
          <w:lang w:val="en-GB"/>
        </w:rPr>
      </w:pPr>
    </w:p>
    <w:p w:rsidR="00486D78" w:rsidRPr="00486D78" w:rsidRDefault="00486D78">
      <w:pPr>
        <w:spacing w:line="240" w:lineRule="auto"/>
        <w:rPr>
          <w:rFonts w:ascii="Alegreya Sans" w:eastAsia="Alegreya Sans" w:hAnsi="Alegreya Sans" w:cs="Alegreya Sans"/>
          <w:sz w:val="24"/>
          <w:szCs w:val="24"/>
          <w:highlight w:val="white"/>
          <w:lang w:val="en-GB"/>
        </w:rPr>
      </w:pPr>
    </w:p>
    <w:p w:rsidR="00486D78" w:rsidRPr="00486D78" w:rsidRDefault="00486D78">
      <w:pPr>
        <w:spacing w:line="240" w:lineRule="auto"/>
        <w:rPr>
          <w:rFonts w:ascii="Alegreya Sans" w:eastAsia="Alegreya Sans" w:hAnsi="Alegreya Sans" w:cs="Alegreya Sans"/>
          <w:sz w:val="24"/>
          <w:szCs w:val="24"/>
          <w:highlight w:val="white"/>
          <w:lang w:val="en-GB"/>
        </w:rPr>
      </w:pPr>
    </w:p>
    <w:p w:rsidR="00486D78" w:rsidRPr="00486D78" w:rsidRDefault="00486D78">
      <w:pPr>
        <w:spacing w:line="240" w:lineRule="auto"/>
        <w:rPr>
          <w:rFonts w:ascii="Alegreya Sans" w:eastAsia="Alegreya Sans" w:hAnsi="Alegreya Sans" w:cs="Alegreya Sans"/>
          <w:sz w:val="24"/>
          <w:szCs w:val="24"/>
          <w:highlight w:val="white"/>
          <w:lang w:val="en-GB"/>
        </w:rPr>
      </w:pP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We respectfully ask the Committee to request further information from the Russian Federation on the following issues:</w:t>
      </w:r>
    </w:p>
    <w:p w:rsidR="00130161" w:rsidRPr="00486D78" w:rsidRDefault="003C05DE">
      <w:pPr>
        <w:numPr>
          <w:ilvl w:val="0"/>
          <w:numId w:val="13"/>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measures has the Russian Federation taken to ensure that marriage is no exception for punishing statutory rape against adolescent girls? </w:t>
      </w:r>
    </w:p>
    <w:p w:rsidR="00130161" w:rsidRPr="00486D78" w:rsidRDefault="003C05DE">
      <w:pPr>
        <w:widowControl w:val="0"/>
        <w:numPr>
          <w:ilvl w:val="0"/>
          <w:numId w:val="13"/>
        </w:numPr>
        <w:tabs>
          <w:tab w:val="left" w:pos="720"/>
          <w:tab w:val="left" w:pos="1440"/>
          <w:tab w:val="left" w:pos="2160"/>
          <w:tab w:val="left" w:pos="2880"/>
          <w:tab w:val="left" w:pos="3600"/>
          <w:tab w:val="left" w:pos="4320"/>
          <w:tab w:val="left" w:pos="5040"/>
          <w:tab w:val="left" w:pos="5760"/>
        </w:tabs>
        <w:spacing w:after="240" w:line="240" w:lineRule="auto"/>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What measures has the Russian Federation taken to make sure that the age of marriage is fixed as 18 without exceptions?</w:t>
      </w:r>
    </w:p>
    <w:p w:rsidR="00130161" w:rsidRPr="00486D78" w:rsidRDefault="003C05DE">
      <w:pPr>
        <w:spacing w:before="280" w:after="280" w:line="240" w:lineRule="auto"/>
        <w:jc w:val="both"/>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t>Ex officio investigation/prosecution by the State for all sexual violence crimes</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International human rights standards are clear in requiring authorities to respond seriously to all cases of gender-based violence, including through prosecution led by the State, to ensure access to justice. In its General Recommendation 35, the Committee provides that States should “Ensure effective access of victims to courts and tribunals; ensure authorities adequately respond to all cases of gender-based violence against women, including by applying criminal law and as appropriate ex officio prosecution to bring the alleged perpetrators to trial in a fair, impartial, timely and expeditious manner and imposing adequate penalties.”</w:t>
      </w:r>
      <w:r w:rsidRPr="00486D78">
        <w:rPr>
          <w:rFonts w:ascii="Alegreya Sans" w:eastAsia="Alegreya Sans" w:hAnsi="Alegreya Sans" w:cs="Alegreya Sans"/>
          <w:sz w:val="24"/>
          <w:szCs w:val="24"/>
          <w:vertAlign w:val="superscript"/>
          <w:lang w:val="en-GB"/>
        </w:rPr>
        <w:footnoteReference w:id="21"/>
      </w:r>
      <w:r w:rsidRPr="00486D78">
        <w:rPr>
          <w:rFonts w:ascii="Alegreya Sans" w:eastAsia="Alegreya Sans" w:hAnsi="Alegreya Sans" w:cs="Alegreya Sans"/>
          <w:sz w:val="24"/>
          <w:szCs w:val="24"/>
          <w:vertAlign w:val="superscript"/>
          <w:lang w:val="en-GB"/>
        </w:rPr>
        <w:t xml:space="preserve">  </w:t>
      </w:r>
    </w:p>
    <w:p w:rsidR="00130161" w:rsidRPr="00486D78" w:rsidRDefault="003C05DE">
      <w:pPr>
        <w:numPr>
          <w:ilvl w:val="0"/>
          <w:numId w:val="6"/>
        </w:numPr>
        <w:spacing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In the case of O.G. v. the Russian Federation,</w:t>
      </w:r>
      <w:r w:rsidRPr="00486D78">
        <w:rPr>
          <w:rFonts w:ascii="Alegreya Sans" w:eastAsia="Alegreya Sans" w:hAnsi="Alegreya Sans" w:cs="Alegreya Sans"/>
          <w:sz w:val="24"/>
          <w:szCs w:val="24"/>
          <w:vertAlign w:val="superscript"/>
          <w:lang w:val="en-GB"/>
        </w:rPr>
        <w:footnoteReference w:id="22"/>
      </w:r>
      <w:r w:rsidRPr="00486D78">
        <w:rPr>
          <w:rFonts w:ascii="Alegreya Sans" w:eastAsia="Alegreya Sans" w:hAnsi="Alegreya Sans" w:cs="Alegreya Sans"/>
          <w:sz w:val="24"/>
          <w:szCs w:val="24"/>
          <w:lang w:val="en-GB"/>
        </w:rPr>
        <w:t xml:space="preserve"> the CEDAW Committee commented that “the fact that a victim of domestic violence has to resort to private prosecution, where </w:t>
      </w:r>
      <w:r w:rsidRPr="00486D78">
        <w:rPr>
          <w:rFonts w:ascii="Alegreya Sans" w:eastAsia="Alegreya Sans" w:hAnsi="Alegreya Sans" w:cs="Alegreya Sans"/>
          <w:sz w:val="24"/>
          <w:szCs w:val="24"/>
          <w:lang w:val="en-GB"/>
        </w:rPr>
        <w:lastRenderedPageBreak/>
        <w:t>the burden of proof is placed entirely on her, denies the victim access to justice”</w:t>
      </w:r>
      <w:r w:rsidRPr="00486D78">
        <w:rPr>
          <w:rFonts w:ascii="Alegreya Sans" w:eastAsia="Alegreya Sans" w:hAnsi="Alegreya Sans" w:cs="Alegreya Sans"/>
          <w:sz w:val="24"/>
          <w:szCs w:val="24"/>
          <w:vertAlign w:val="superscript"/>
          <w:lang w:val="en-GB"/>
        </w:rPr>
        <w:footnoteReference w:id="23"/>
      </w:r>
      <w:r w:rsidRPr="00486D78">
        <w:rPr>
          <w:rFonts w:ascii="Alegreya Sans" w:eastAsia="Alegreya Sans" w:hAnsi="Alegreya Sans" w:cs="Alegreya Sans"/>
          <w:sz w:val="24"/>
          <w:szCs w:val="24"/>
          <w:lang w:val="en-GB"/>
        </w:rPr>
        <w:t xml:space="preserve"> and recommended that Russia “[a]</w:t>
      </w:r>
      <w:proofErr w:type="spellStart"/>
      <w:r w:rsidRPr="00486D78">
        <w:rPr>
          <w:rFonts w:ascii="Alegreya Sans" w:eastAsia="Alegreya Sans" w:hAnsi="Alegreya Sans" w:cs="Alegreya Sans"/>
          <w:sz w:val="24"/>
          <w:szCs w:val="24"/>
          <w:lang w:val="en-GB"/>
        </w:rPr>
        <w:t>dopt</w:t>
      </w:r>
      <w:proofErr w:type="spellEnd"/>
      <w:r w:rsidRPr="00486D78">
        <w:rPr>
          <w:rFonts w:ascii="Alegreya Sans" w:eastAsia="Alegreya Sans" w:hAnsi="Alegreya Sans" w:cs="Alegreya Sans"/>
          <w:sz w:val="24"/>
          <w:szCs w:val="24"/>
          <w:lang w:val="en-GB"/>
        </w:rPr>
        <w:t xml:space="preserve"> comprehensive legislation to prevent and address violence against women, including domestic violence, [and] introduce ex officio prosecution of domestic and sexual violence”. </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Russia fails to ensure ex officio/public prosecution for sexual violence crimes, classifying these crimes as the ones prosecuted under private-public prosecution procedures. Article 20.3 of the Criminal Procedure Code of Russia, which is applicable to rape and violent actions of a sexual character, provides that “criminal cases of private-public prosecution are initiated only upon application from the victim, or from their legal representative, but are not subject to termination due to the victim’s reconciliation with the accused.” </w:t>
      </w:r>
    </w:p>
    <w:p w:rsidR="00130161" w:rsidRPr="00486D78" w:rsidRDefault="003C05DE">
      <w:pPr>
        <w:numPr>
          <w:ilvl w:val="0"/>
          <w:numId w:val="6"/>
        </w:numPr>
        <w:spacing w:after="20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This provision implies and is effectively interpreted as the victim having to file a specific complaint for rape for the crime to be prosecuted. This</w:t>
      </w:r>
      <w:r w:rsidRPr="00486D78">
        <w:rPr>
          <w:rFonts w:ascii="Alegreya Sans" w:eastAsia="Alegreya Sans" w:hAnsi="Alegreya Sans" w:cs="Alegreya Sans"/>
          <w:color w:val="3C4043"/>
          <w:sz w:val="24"/>
          <w:szCs w:val="24"/>
          <w:highlight w:val="white"/>
          <w:lang w:val="en-GB"/>
        </w:rPr>
        <w:t xml:space="preserve"> </w:t>
      </w:r>
      <w:r w:rsidRPr="00486D78">
        <w:rPr>
          <w:rFonts w:ascii="Alegreya Sans" w:eastAsia="Alegreya Sans" w:hAnsi="Alegreya Sans" w:cs="Alegreya Sans"/>
          <w:sz w:val="24"/>
          <w:szCs w:val="24"/>
          <w:highlight w:val="white"/>
          <w:lang w:val="en-GB"/>
        </w:rPr>
        <w:t xml:space="preserve">omits situations where the victim includes facts relating to the alleged rape while filing a complaint on domestic violence or on any other crime </w:t>
      </w:r>
      <w:r w:rsidRPr="00486D78">
        <w:rPr>
          <w:rFonts w:ascii="Alegreya Sans" w:eastAsia="Alegreya Sans" w:hAnsi="Alegreya Sans" w:cs="Alegreya Sans"/>
          <w:sz w:val="24"/>
          <w:szCs w:val="24"/>
          <w:lang w:val="en-GB"/>
        </w:rPr>
        <w:t>and, among other issues, even if medical professionals report evidence of rape of their patients to the police; specific individual charges will not be filed unless the patient is proactively willing to do so. Consequently</w:t>
      </w:r>
      <w:r w:rsidR="00486D78" w:rsidRPr="00486D78">
        <w:rPr>
          <w:rFonts w:ascii="Alegreya Sans" w:eastAsia="Alegreya Sans" w:hAnsi="Alegreya Sans" w:cs="Alegreya Sans"/>
          <w:sz w:val="24"/>
          <w:szCs w:val="24"/>
          <w:lang w:val="en-GB"/>
        </w:rPr>
        <w:t>,</w:t>
      </w:r>
      <w:r w:rsidRPr="00486D78">
        <w:rPr>
          <w:rFonts w:ascii="Alegreya Sans" w:eastAsia="Alegreya Sans" w:hAnsi="Alegreya Sans" w:cs="Alegreya Sans"/>
          <w:sz w:val="24"/>
          <w:szCs w:val="24"/>
          <w:lang w:val="en-GB"/>
        </w:rPr>
        <w:t xml:space="preserve"> as a result of the fact that there is no legal obligation for law enforcement to investigate cases ex officio, rape is not prosecuted in many situations. Furthermore, women are not able or willing to file a complaint because they fear the perpetrator which further demonstrates the need for investigations to be conducted ex officio. Effectively, such provisions deny justice to survivors because the survivor, rather than the state, is required to bear the burden of the criminal proceeding, including when it comes to presenting the evidence required to prove the circumstances of the crime. </w:t>
      </w:r>
    </w:p>
    <w:p w:rsidR="00130161" w:rsidRPr="00486D78" w:rsidRDefault="003C05DE">
      <w:pPr>
        <w:numPr>
          <w:ilvl w:val="0"/>
          <w:numId w:val="6"/>
        </w:numPr>
        <w:spacing w:after="20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fact that Russian law fails to ensure the public prosecution of sexual violence further results in reports made by victims not being taken seriously by law enforcement officials. Victims are faced with many obstacles, including the reluctance of law enforcement to register their allegations, verify their testimony and initiate criminal proceedings. The authors note that since the offence of ‘beatings’ was excluded from the Criminal Code due to recent legislative amendments and instead categorised as an administrative offence, there have been cases of rape where law enforcement qualify the case as a beating instead of registering it as rape. This carries a lesser penalty and does not reflect the experience of the survivor of sexual violence. </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Reconciliation is often used and abused with the result that perpetrators of sexual violence escape any form of criminal punishment or repercussions for their criminal behaviour, including avoiding a criminal record. In practice, law enforcement officials are responsible for pushing victims towards reconciling with their perpetrator. Furthermore, law enforcement ha</w:t>
      </w:r>
      <w:r w:rsidR="00486D78" w:rsidRPr="00486D78">
        <w:rPr>
          <w:rFonts w:ascii="Alegreya Sans" w:eastAsia="Alegreya Sans" w:hAnsi="Alegreya Sans" w:cs="Alegreya Sans"/>
          <w:sz w:val="24"/>
          <w:szCs w:val="24"/>
          <w:lang w:val="en-GB"/>
        </w:rPr>
        <w:t>s</w:t>
      </w:r>
      <w:r w:rsidRPr="00486D78">
        <w:rPr>
          <w:rFonts w:ascii="Alegreya Sans" w:eastAsia="Alegreya Sans" w:hAnsi="Alegreya Sans" w:cs="Alegreya Sans"/>
          <w:sz w:val="24"/>
          <w:szCs w:val="24"/>
          <w:lang w:val="en-GB"/>
        </w:rPr>
        <w:t xml:space="preserve"> been seen to intentionally attempt to discourage the victim from </w:t>
      </w:r>
      <w:r w:rsidRPr="00486D78">
        <w:rPr>
          <w:rFonts w:ascii="Alegreya Sans" w:eastAsia="Alegreya Sans" w:hAnsi="Alegreya Sans" w:cs="Alegreya Sans"/>
          <w:sz w:val="24"/>
          <w:szCs w:val="24"/>
          <w:lang w:val="en-GB"/>
        </w:rPr>
        <w:lastRenderedPageBreak/>
        <w:t xml:space="preserve">filing an application by alleging the case will be futile or asking for ‘softer’ testimonies against the perpetrator or recording only data in the testimony which they consider to be easier to prove. The fact that the applicant refuses to submit an application or participate in its consideration are also as a result of the secondary victimization she experiences in the entire process and the distrust in her testimony by law enforcement authorities.   </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 xml:space="preserve">Recommendations: </w:t>
      </w:r>
    </w:p>
    <w:p w:rsidR="00130161" w:rsidRPr="00486D78" w:rsidRDefault="003C05DE">
      <w:pPr>
        <w:numPr>
          <w:ilvl w:val="0"/>
          <w:numId w:val="10"/>
        </w:numPr>
        <w:spacing w:line="240" w:lineRule="auto"/>
        <w:jc w:val="both"/>
        <w:rPr>
          <w:rFonts w:ascii="Noto Sans Symbols" w:eastAsia="Noto Sans Symbols" w:hAnsi="Noto Sans Symbols" w:cs="Noto Sans Symbols"/>
          <w:sz w:val="24"/>
          <w:szCs w:val="24"/>
          <w:lang w:val="en-GB"/>
        </w:rPr>
      </w:pPr>
      <w:r w:rsidRPr="00486D78">
        <w:rPr>
          <w:rFonts w:ascii="Alegreya Sans" w:eastAsia="Alegreya Sans" w:hAnsi="Alegreya Sans" w:cs="Alegreya Sans"/>
          <w:sz w:val="24"/>
          <w:szCs w:val="24"/>
          <w:lang w:val="en-GB"/>
        </w:rPr>
        <w:t xml:space="preserve">Ensure that the Criminal Procedure Code of Russia provides that </w:t>
      </w:r>
      <w:r w:rsidRPr="00486D78">
        <w:rPr>
          <w:rFonts w:ascii="Alegreya Sans" w:eastAsia="Alegreya Sans" w:hAnsi="Alegreya Sans" w:cs="Alegreya Sans"/>
          <w:b/>
          <w:sz w:val="24"/>
          <w:szCs w:val="24"/>
          <w:lang w:val="en-GB"/>
        </w:rPr>
        <w:t>all sexual violence crimes are investigated/prosecuted ex officio</w:t>
      </w:r>
      <w:r w:rsidRPr="00486D78">
        <w:rPr>
          <w:rFonts w:ascii="Alegreya Sans" w:eastAsia="Alegreya Sans" w:hAnsi="Alegreya Sans" w:cs="Alegreya Sans"/>
          <w:sz w:val="24"/>
          <w:szCs w:val="24"/>
          <w:lang w:val="en-GB"/>
        </w:rPr>
        <w:t xml:space="preserve"> by the State and that the investigation/prosecution does not depend on the complaint of the victim or their legal representative.</w:t>
      </w:r>
    </w:p>
    <w:p w:rsidR="00130161" w:rsidRPr="00486D78" w:rsidRDefault="00130161">
      <w:pPr>
        <w:spacing w:line="240" w:lineRule="auto"/>
        <w:ind w:left="720"/>
        <w:jc w:val="both"/>
        <w:rPr>
          <w:rFonts w:ascii="Alegreya Sans" w:eastAsia="Alegreya Sans" w:hAnsi="Alegreya Sans" w:cs="Alegreya Sans"/>
          <w:sz w:val="24"/>
          <w:szCs w:val="24"/>
          <w:lang w:val="en-GB"/>
        </w:rPr>
      </w:pPr>
    </w:p>
    <w:p w:rsidR="00130161" w:rsidRPr="00486D78" w:rsidRDefault="003C05DE">
      <w:pPr>
        <w:numPr>
          <w:ilvl w:val="0"/>
          <w:numId w:val="10"/>
        </w:numPr>
        <w:spacing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Ensure that deterrent sanctions are imposed on perpetrators and effective remedies are provided for survivors. </w:t>
      </w:r>
    </w:p>
    <w:p w:rsidR="00130161" w:rsidRPr="00486D78" w:rsidRDefault="00130161">
      <w:pPr>
        <w:spacing w:line="240" w:lineRule="auto"/>
        <w:ind w:left="720"/>
        <w:jc w:val="both"/>
        <w:rPr>
          <w:rFonts w:ascii="Alegreya Sans" w:eastAsia="Alegreya Sans" w:hAnsi="Alegreya Sans" w:cs="Alegreya Sans"/>
          <w:sz w:val="24"/>
          <w:szCs w:val="24"/>
          <w:lang w:val="en-GB"/>
        </w:rPr>
      </w:pPr>
    </w:p>
    <w:p w:rsidR="00130161" w:rsidRPr="00486D78" w:rsidRDefault="003C05DE">
      <w:pPr>
        <w:numPr>
          <w:ilvl w:val="0"/>
          <w:numId w:val="10"/>
        </w:numPr>
        <w:spacing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Ensure the investigators, prosecutors and judges are appropriately trained in order to apply a specific, gender-sensitive methodology for investigating sexual violence crimes.</w:t>
      </w:r>
    </w:p>
    <w:p w:rsidR="00130161" w:rsidRPr="00486D78" w:rsidRDefault="00130161">
      <w:pPr>
        <w:spacing w:line="240" w:lineRule="auto"/>
        <w:ind w:left="720"/>
        <w:jc w:val="both"/>
        <w:rPr>
          <w:rFonts w:ascii="Alegreya Sans" w:eastAsia="Alegreya Sans" w:hAnsi="Alegreya Sans" w:cs="Alegreya Sans"/>
          <w:sz w:val="24"/>
          <w:szCs w:val="24"/>
          <w:lang w:val="en-GB"/>
        </w:rPr>
      </w:pPr>
    </w:p>
    <w:p w:rsidR="00130161" w:rsidRPr="00486D78" w:rsidRDefault="003C05DE">
      <w:pPr>
        <w:numPr>
          <w:ilvl w:val="0"/>
          <w:numId w:val="10"/>
        </w:numPr>
        <w:spacing w:line="240" w:lineRule="auto"/>
        <w:jc w:val="both"/>
        <w:rPr>
          <w:rFonts w:ascii="Noto Sans Symbols" w:eastAsia="Noto Sans Symbols" w:hAnsi="Noto Sans Symbols" w:cs="Noto Sans Symbols"/>
          <w:sz w:val="24"/>
          <w:szCs w:val="24"/>
          <w:lang w:val="en-GB"/>
        </w:rPr>
      </w:pPr>
      <w:r w:rsidRPr="00486D78">
        <w:rPr>
          <w:rFonts w:ascii="Alegreya Sans" w:eastAsia="Alegreya Sans" w:hAnsi="Alegreya Sans" w:cs="Alegreya Sans"/>
          <w:sz w:val="24"/>
          <w:szCs w:val="24"/>
          <w:lang w:val="en-GB"/>
        </w:rPr>
        <w:t xml:space="preserve">Ensure that the </w:t>
      </w:r>
      <w:r w:rsidRPr="00486D78">
        <w:rPr>
          <w:rFonts w:ascii="Alegreya Sans" w:eastAsia="Alegreya Sans" w:hAnsi="Alegreya Sans" w:cs="Alegreya Sans"/>
          <w:b/>
          <w:sz w:val="24"/>
          <w:szCs w:val="24"/>
          <w:lang w:val="en-GB"/>
        </w:rPr>
        <w:t>reconciliation</w:t>
      </w:r>
      <w:r w:rsidRPr="00486D78">
        <w:rPr>
          <w:rFonts w:ascii="Alegreya Sans" w:eastAsia="Alegreya Sans" w:hAnsi="Alegreya Sans" w:cs="Alegreya Sans"/>
          <w:sz w:val="24"/>
          <w:szCs w:val="24"/>
          <w:lang w:val="en-GB"/>
        </w:rPr>
        <w:t xml:space="preserve"> procedures are not applied, either formally or informally, to leave perpetrators of sexual violence unpunished.</w:t>
      </w:r>
    </w:p>
    <w:p w:rsidR="00404662" w:rsidRDefault="00404662">
      <w:pPr>
        <w:spacing w:before="280" w:after="280" w:line="240" w:lineRule="auto"/>
        <w:jc w:val="both"/>
        <w:rPr>
          <w:rFonts w:ascii="Alegreya Sans" w:eastAsia="Alegreya Sans" w:hAnsi="Alegreya Sans" w:cs="Alegreya Sans"/>
          <w:sz w:val="24"/>
          <w:szCs w:val="24"/>
          <w:u w:val="single"/>
          <w:lang w:val="en-GB"/>
        </w:rPr>
      </w:pP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We respectfully ask the Committee to request further information from the Russian Federation on the following issues:</w:t>
      </w:r>
    </w:p>
    <w:p w:rsidR="00130161" w:rsidRPr="00486D78" w:rsidRDefault="003C05DE">
      <w:pPr>
        <w:numPr>
          <w:ilvl w:val="0"/>
          <w:numId w:val="2"/>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steps is the government undertaking to ensure that all sexual violence crimes are investigated and prosecuted ex officio (public prosecution)? </w:t>
      </w:r>
    </w:p>
    <w:p w:rsidR="00130161" w:rsidRPr="00486D78" w:rsidRDefault="003C05DE">
      <w:pPr>
        <w:numPr>
          <w:ilvl w:val="0"/>
          <w:numId w:val="2"/>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What measures has the government taken to ensure that sexual violence is in practice punished based on its gravity and that victims are provided with effective remedies?</w:t>
      </w:r>
    </w:p>
    <w:p w:rsidR="00130161" w:rsidRPr="00486D78" w:rsidRDefault="003C05DE">
      <w:pPr>
        <w:numPr>
          <w:ilvl w:val="0"/>
          <w:numId w:val="2"/>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measures has the government taken to train law enforcement and judiciary for investigations and trials to be conducted in compliance with international human rights standards? </w:t>
      </w:r>
    </w:p>
    <w:p w:rsidR="00130161" w:rsidRPr="00486D78" w:rsidRDefault="003C05DE">
      <w:pPr>
        <w:numPr>
          <w:ilvl w:val="0"/>
          <w:numId w:val="2"/>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steps is the government undertaking to ensure that sexual violence investigations and prosecutions are not discontinued as a result of reconciliations?  </w:t>
      </w:r>
    </w:p>
    <w:p w:rsidR="00130161" w:rsidRPr="00486D78" w:rsidRDefault="003C05DE">
      <w:pPr>
        <w:spacing w:after="20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b/>
          <w:sz w:val="24"/>
          <w:szCs w:val="24"/>
          <w:lang w:val="en-GB"/>
        </w:rPr>
        <w:t>Experience of reporting sexual violence to law enforcement and lack of support programs for survivors</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lastRenderedPageBreak/>
        <w:t xml:space="preserve">Further compounding their </w:t>
      </w:r>
      <w:proofErr w:type="gramStart"/>
      <w:r w:rsidRPr="00486D78">
        <w:rPr>
          <w:rFonts w:ascii="Alegreya Sans" w:eastAsia="Alegreya Sans" w:hAnsi="Alegreya Sans" w:cs="Alegreya Sans"/>
          <w:sz w:val="24"/>
          <w:szCs w:val="24"/>
          <w:lang w:val="en-GB"/>
        </w:rPr>
        <w:t>experience,  survivors</w:t>
      </w:r>
      <w:proofErr w:type="gramEnd"/>
      <w:r w:rsidRPr="00486D78">
        <w:rPr>
          <w:rFonts w:ascii="Alegreya Sans" w:eastAsia="Alegreya Sans" w:hAnsi="Alegreya Sans" w:cs="Alegreya Sans"/>
          <w:sz w:val="24"/>
          <w:szCs w:val="24"/>
          <w:lang w:val="en-GB"/>
        </w:rPr>
        <w:t xml:space="preserve"> of sexual violence are not provided with free legal aid which makes it even more difficult to access justice, including being able to protect and exercise their full rights during the verification of statements and investigative actions.</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Victims of sexual violence further report the humiliation they experience when they contact the police, which exacerbates their psychological trauma and is a frequently reported reason for why victims do not contact the police to make a statement about the commission of a crime of sexual violence. </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There are also no state programmes for the rehabilitation of victims of sexual violence in the Russian Federation. The cooperation of public authorities with the few NGOs involved in the rehabilitation of victims of sexual violence is hampered by the threat of being designated with the status of “foreign agent”, which exists with respect to all NGOs due to the selectivity and unpredictability of the application of legislation on foreign </w:t>
      </w:r>
      <w:r w:rsidRPr="00404662">
        <w:rPr>
          <w:rFonts w:ascii="Alegreya Sans" w:eastAsia="Alegreya Sans" w:hAnsi="Alegreya Sans" w:cs="Alegreya Sans"/>
          <w:bCs/>
          <w:sz w:val="24"/>
          <w:szCs w:val="24"/>
          <w:lang w:val="en-GB"/>
        </w:rPr>
        <w:t>agents</w:t>
      </w:r>
      <w:r w:rsidRPr="00486D78">
        <w:rPr>
          <w:rFonts w:ascii="Alegreya Sans" w:eastAsia="Alegreya Sans" w:hAnsi="Alegreya Sans" w:cs="Alegreya Sans"/>
          <w:sz w:val="24"/>
          <w:szCs w:val="24"/>
          <w:lang w:val="en-GB"/>
        </w:rPr>
        <w:t xml:space="preserve">. </w:t>
      </w:r>
    </w:p>
    <w:p w:rsidR="00130161" w:rsidRPr="00486D78" w:rsidRDefault="003C05DE">
      <w:pPr>
        <w:numPr>
          <w:ilvl w:val="0"/>
          <w:numId w:val="6"/>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In accordance with international good practice and experience, comprehensive sexuality education is considered to be one of the ways sexual and gender-based violence can be prevented.</w:t>
      </w:r>
      <w:r w:rsidRPr="00486D78">
        <w:rPr>
          <w:rFonts w:ascii="Alegreya Sans" w:eastAsia="Alegreya Sans" w:hAnsi="Alegreya Sans" w:cs="Alegreya Sans"/>
          <w:sz w:val="24"/>
          <w:szCs w:val="24"/>
          <w:vertAlign w:val="superscript"/>
          <w:lang w:val="en-GB"/>
        </w:rPr>
        <w:footnoteReference w:id="24"/>
      </w:r>
      <w:r w:rsidRPr="00486D78">
        <w:rPr>
          <w:rFonts w:ascii="Alegreya Sans" w:eastAsia="Alegreya Sans" w:hAnsi="Alegreya Sans" w:cs="Alegreya Sans"/>
          <w:sz w:val="24"/>
          <w:szCs w:val="24"/>
          <w:lang w:val="en-GB"/>
        </w:rPr>
        <w:t xml:space="preserve"> Currently, sexuality education in schools of the Russian Federation is not included in the state school curricula in any form.</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 xml:space="preserve">Recommendations: </w:t>
      </w:r>
    </w:p>
    <w:p w:rsidR="00130161" w:rsidRPr="00486D78" w:rsidRDefault="003C05DE">
      <w:pPr>
        <w:numPr>
          <w:ilvl w:val="0"/>
          <w:numId w:val="3"/>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Russian Federation needs to ensure awareness-raising campaigns, including among law enforcement, about the criminal nature of all forms of sexual violence (including marital rape and statutory rape) and that violence is not justified in any circumstances. </w:t>
      </w:r>
    </w:p>
    <w:p w:rsidR="00130161" w:rsidRPr="00486D78" w:rsidRDefault="003C05DE">
      <w:pPr>
        <w:numPr>
          <w:ilvl w:val="0"/>
          <w:numId w:val="3"/>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Comprehensive sexuality education should be introduced into state educational programmes at various levels, aimed at empowering and protecting women and girls from gender-based and sexual violence. </w:t>
      </w: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We respectfully ask the Committee to request further information from the Russian Federation on the following issues:</w:t>
      </w:r>
    </w:p>
    <w:p w:rsidR="00130161" w:rsidRPr="00486D78" w:rsidRDefault="003C05DE">
      <w:pPr>
        <w:numPr>
          <w:ilvl w:val="0"/>
          <w:numId w:val="14"/>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measures has the Russian Federation taken to raise public awareness of the unacceptability of sexual violence under any circumstances? </w:t>
      </w:r>
    </w:p>
    <w:p w:rsidR="00130161" w:rsidRPr="00486D78" w:rsidRDefault="003C05DE">
      <w:pPr>
        <w:numPr>
          <w:ilvl w:val="0"/>
          <w:numId w:val="14"/>
        </w:numPr>
        <w:spacing w:before="280" w:after="280" w:line="240" w:lineRule="auto"/>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measures has the Russian Federation undertaken to develop and introduce comprehensive sexuality education into state educational programmes at various levels? </w:t>
      </w:r>
    </w:p>
    <w:p w:rsidR="00130161" w:rsidRPr="00486D78" w:rsidRDefault="00130161">
      <w:pPr>
        <w:rPr>
          <w:rFonts w:ascii="Alegreya Sans" w:eastAsia="Alegreya Sans" w:hAnsi="Alegreya Sans" w:cs="Alegreya Sans"/>
          <w:sz w:val="24"/>
          <w:szCs w:val="24"/>
          <w:lang w:val="en-GB"/>
        </w:rPr>
      </w:pPr>
    </w:p>
    <w:p w:rsidR="00130161" w:rsidRPr="00486D78" w:rsidRDefault="003C05DE">
      <w:pPr>
        <w:spacing w:line="240" w:lineRule="auto"/>
        <w:jc w:val="both"/>
        <w:rPr>
          <w:rFonts w:ascii="Alegreya Sans" w:eastAsia="Alegreya Sans" w:hAnsi="Alegreya Sans" w:cs="Alegreya Sans"/>
          <w:b/>
          <w:sz w:val="24"/>
          <w:szCs w:val="24"/>
          <w:lang w:val="en-GB"/>
        </w:rPr>
      </w:pPr>
      <w:r w:rsidRPr="00486D78">
        <w:rPr>
          <w:rFonts w:ascii="Alegreya Sans" w:eastAsia="Alegreya Sans" w:hAnsi="Alegreya Sans" w:cs="Alegreya Sans"/>
          <w:b/>
          <w:sz w:val="24"/>
          <w:szCs w:val="24"/>
          <w:lang w:val="en-GB"/>
        </w:rPr>
        <w:lastRenderedPageBreak/>
        <w:t>Action to address Female Genital Mutilation (FGM)</w:t>
      </w:r>
    </w:p>
    <w:p w:rsidR="00130161" w:rsidRPr="00486D78" w:rsidRDefault="00130161">
      <w:pPr>
        <w:spacing w:line="240" w:lineRule="auto"/>
        <w:jc w:val="both"/>
        <w:rPr>
          <w:rFonts w:ascii="Alegreya Sans" w:eastAsia="Alegreya Sans" w:hAnsi="Alegreya Sans" w:cs="Alegreya Sans"/>
          <w:b/>
          <w:sz w:val="24"/>
          <w:szCs w:val="24"/>
          <w:lang w:val="en-GB"/>
        </w:rPr>
      </w:pPr>
    </w:p>
    <w:p w:rsidR="00130161" w:rsidRPr="00486D78" w:rsidRDefault="003C05DE">
      <w:pPr>
        <w:numPr>
          <w:ilvl w:val="0"/>
          <w:numId w:val="6"/>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FGM is not specifically prohibited by law in the Russian Federation. It is estimated that at least 1240 girls in the North Caucus region of Russia are at risk of being subjected to FGM every year.</w:t>
      </w:r>
      <w:r w:rsidRPr="00486D78">
        <w:rPr>
          <w:rFonts w:ascii="Alegreya Sans" w:eastAsia="Alegreya Sans" w:hAnsi="Alegreya Sans" w:cs="Alegreya Sans"/>
          <w:sz w:val="24"/>
          <w:szCs w:val="24"/>
          <w:vertAlign w:val="superscript"/>
          <w:lang w:val="en-GB"/>
        </w:rPr>
        <w:footnoteReference w:id="25"/>
      </w:r>
      <w:r w:rsidRPr="00486D78">
        <w:rPr>
          <w:rFonts w:ascii="Alegreya Sans" w:eastAsia="Alegreya Sans" w:hAnsi="Alegreya Sans" w:cs="Alegreya Sans"/>
          <w:sz w:val="24"/>
          <w:szCs w:val="24"/>
          <w:lang w:val="en-GB"/>
        </w:rPr>
        <w:t xml:space="preserve"> This estimate is based on a 2016 sociological study by the Russian Justice </w:t>
      </w:r>
      <w:proofErr w:type="spellStart"/>
      <w:r w:rsidRPr="00486D78">
        <w:rPr>
          <w:rFonts w:ascii="Alegreya Sans" w:eastAsia="Alegreya Sans" w:hAnsi="Alegreya Sans" w:cs="Alegreya Sans"/>
          <w:sz w:val="24"/>
          <w:szCs w:val="24"/>
          <w:lang w:val="en-GB"/>
        </w:rPr>
        <w:t>Initative</w:t>
      </w:r>
      <w:proofErr w:type="spellEnd"/>
      <w:r w:rsidRPr="00486D78">
        <w:rPr>
          <w:rFonts w:ascii="Alegreya Sans" w:eastAsia="Alegreya Sans" w:hAnsi="Alegreya Sans" w:cs="Alegreya Sans"/>
          <w:sz w:val="24"/>
          <w:szCs w:val="24"/>
          <w:lang w:val="en-GB"/>
        </w:rPr>
        <w:t xml:space="preserve"> in the Republics of Dagestan, Ingushetia and Chechnya which included interviews with 25 survivors of FGM and 17 experts with knowledge of the practice.  The report estimates that the prevalence of FGM varies in different districts, ranging from 90-100% in the </w:t>
      </w:r>
      <w:proofErr w:type="spellStart"/>
      <w:r w:rsidRPr="00486D78">
        <w:rPr>
          <w:rFonts w:ascii="Alegreya Sans" w:eastAsia="Alegreya Sans" w:hAnsi="Alegreya Sans" w:cs="Alegreya Sans"/>
          <w:sz w:val="24"/>
          <w:szCs w:val="24"/>
          <w:lang w:val="en-GB"/>
        </w:rPr>
        <w:t>Botlikhsky</w:t>
      </w:r>
      <w:proofErr w:type="spellEnd"/>
      <w:r w:rsidRPr="00486D78">
        <w:rPr>
          <w:rFonts w:ascii="Alegreya Sans" w:eastAsia="Alegreya Sans" w:hAnsi="Alegreya Sans" w:cs="Alegreya Sans"/>
          <w:sz w:val="24"/>
          <w:szCs w:val="24"/>
          <w:lang w:val="en-GB"/>
        </w:rPr>
        <w:t xml:space="preserve"> and </w:t>
      </w:r>
      <w:proofErr w:type="spellStart"/>
      <w:r w:rsidRPr="00486D78">
        <w:rPr>
          <w:rFonts w:ascii="Alegreya Sans" w:eastAsia="Alegreya Sans" w:hAnsi="Alegreya Sans" w:cs="Alegreya Sans"/>
          <w:sz w:val="24"/>
          <w:szCs w:val="24"/>
          <w:lang w:val="en-GB"/>
        </w:rPr>
        <w:t>Tsuntinsky</w:t>
      </w:r>
      <w:proofErr w:type="spellEnd"/>
      <w:r w:rsidRPr="00486D78">
        <w:rPr>
          <w:rFonts w:ascii="Alegreya Sans" w:eastAsia="Alegreya Sans" w:hAnsi="Alegreya Sans" w:cs="Alegreya Sans"/>
          <w:sz w:val="24"/>
          <w:szCs w:val="24"/>
          <w:lang w:val="en-GB"/>
        </w:rPr>
        <w:t xml:space="preserve"> regions to 50% in the </w:t>
      </w:r>
      <w:proofErr w:type="spellStart"/>
      <w:r w:rsidRPr="00486D78">
        <w:rPr>
          <w:rFonts w:ascii="Alegreya Sans" w:eastAsia="Alegreya Sans" w:hAnsi="Alegreya Sans" w:cs="Alegreya Sans"/>
          <w:sz w:val="24"/>
          <w:szCs w:val="24"/>
          <w:lang w:val="en-GB"/>
        </w:rPr>
        <w:t>Tlyaratinsky</w:t>
      </w:r>
      <w:proofErr w:type="spellEnd"/>
      <w:r w:rsidRPr="00486D78">
        <w:rPr>
          <w:rFonts w:ascii="Alegreya Sans" w:eastAsia="Alegreya Sans" w:hAnsi="Alegreya Sans" w:cs="Alegreya Sans"/>
          <w:sz w:val="24"/>
          <w:szCs w:val="24"/>
          <w:lang w:val="en-GB"/>
        </w:rPr>
        <w:t xml:space="preserve"> region, to an estimated 25% of women and girls who have been subjected to FGM or who are at risk in the </w:t>
      </w:r>
      <w:proofErr w:type="spellStart"/>
      <w:r w:rsidRPr="00486D78">
        <w:rPr>
          <w:rFonts w:ascii="Alegreya Sans" w:eastAsia="Alegreya Sans" w:hAnsi="Alegreya Sans" w:cs="Alegreya Sans"/>
          <w:sz w:val="24"/>
          <w:szCs w:val="24"/>
          <w:lang w:val="en-GB"/>
        </w:rPr>
        <w:t>Tsyumadinsky</w:t>
      </w:r>
      <w:proofErr w:type="spellEnd"/>
      <w:r w:rsidRPr="00486D78">
        <w:rPr>
          <w:rFonts w:ascii="Alegreya Sans" w:eastAsia="Alegreya Sans" w:hAnsi="Alegreya Sans" w:cs="Alegreya Sans"/>
          <w:sz w:val="24"/>
          <w:szCs w:val="24"/>
          <w:lang w:val="en-GB"/>
        </w:rPr>
        <w:t xml:space="preserve"> and </w:t>
      </w:r>
      <w:proofErr w:type="spellStart"/>
      <w:r w:rsidRPr="00486D78">
        <w:rPr>
          <w:rFonts w:ascii="Alegreya Sans" w:eastAsia="Alegreya Sans" w:hAnsi="Alegreya Sans" w:cs="Alegreya Sans"/>
          <w:sz w:val="24"/>
          <w:szCs w:val="24"/>
          <w:lang w:val="en-GB"/>
        </w:rPr>
        <w:t>Kizlyarsky</w:t>
      </w:r>
      <w:proofErr w:type="spellEnd"/>
      <w:r w:rsidRPr="00486D78">
        <w:rPr>
          <w:rFonts w:ascii="Alegreya Sans" w:eastAsia="Alegreya Sans" w:hAnsi="Alegreya Sans" w:cs="Alegreya Sans"/>
          <w:sz w:val="24"/>
          <w:szCs w:val="24"/>
          <w:lang w:val="en-GB"/>
        </w:rPr>
        <w:t xml:space="preserve"> regions.</w:t>
      </w:r>
      <w:r w:rsidRPr="00486D78">
        <w:rPr>
          <w:rFonts w:ascii="Alegreya Sans" w:eastAsia="Alegreya Sans" w:hAnsi="Alegreya Sans" w:cs="Alegreya Sans"/>
          <w:sz w:val="24"/>
          <w:szCs w:val="24"/>
          <w:vertAlign w:val="superscript"/>
          <w:lang w:val="en-GB"/>
        </w:rPr>
        <w:footnoteReference w:id="26"/>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6"/>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In 2016, following the Russian Justice Initiative’s qualitative study of FGM in the North Caucasus, the State Duma initiated a draft law to introduce criminal punishment (up to 10 years’ imprisonment) for carrying out FGM for religious motives.</w:t>
      </w:r>
      <w:r w:rsidRPr="00486D78">
        <w:rPr>
          <w:rFonts w:ascii="Alegreya Sans" w:eastAsia="Alegreya Sans" w:hAnsi="Alegreya Sans" w:cs="Alegreya Sans"/>
          <w:sz w:val="24"/>
          <w:szCs w:val="24"/>
          <w:vertAlign w:val="superscript"/>
          <w:lang w:val="en-GB"/>
        </w:rPr>
        <w:footnoteReference w:id="27"/>
      </w:r>
      <w:r w:rsidRPr="00486D78">
        <w:rPr>
          <w:rFonts w:ascii="Alegreya Sans" w:eastAsia="Alegreya Sans" w:hAnsi="Alegreya Sans" w:cs="Alegreya Sans"/>
          <w:sz w:val="24"/>
          <w:szCs w:val="24"/>
          <w:lang w:val="en-GB"/>
        </w:rPr>
        <w:t xml:space="preserve">  Changes were proposed to Article 136 of the Russian Criminal Code to include the following offences in relation to FGM: </w:t>
      </w:r>
    </w:p>
    <w:p w:rsidR="00130161" w:rsidRPr="00486D78" w:rsidRDefault="00130161">
      <w:pPr>
        <w:jc w:val="both"/>
        <w:rPr>
          <w:rFonts w:ascii="Alegreya Sans" w:eastAsia="Alegreya Sans" w:hAnsi="Alegreya Sans" w:cs="Alegreya Sans"/>
          <w:sz w:val="24"/>
          <w:szCs w:val="24"/>
          <w:lang w:val="en-GB"/>
        </w:rPr>
      </w:pPr>
    </w:p>
    <w:p w:rsidR="00130161" w:rsidRPr="00486D78" w:rsidRDefault="003C05DE">
      <w:pPr>
        <w:ind w:firstLine="720"/>
        <w:jc w:val="both"/>
        <w:rPr>
          <w:rFonts w:ascii="Alegreya Sans" w:eastAsia="Alegreya Sans" w:hAnsi="Alegreya Sans" w:cs="Alegreya Sans"/>
          <w:i/>
          <w:sz w:val="24"/>
          <w:szCs w:val="24"/>
          <w:lang w:val="en-GB"/>
        </w:rPr>
      </w:pPr>
      <w:r w:rsidRPr="00486D78">
        <w:rPr>
          <w:rFonts w:ascii="Alegreya Sans" w:eastAsia="Alegreya Sans" w:hAnsi="Alegreya Sans" w:cs="Alegreya Sans"/>
          <w:i/>
          <w:sz w:val="24"/>
          <w:szCs w:val="24"/>
          <w:lang w:val="en-GB"/>
        </w:rPr>
        <w:t xml:space="preserve">“Part 2: Discrimination carried out against women for religious motives and manifested in partial or complete removal of the external genitalia, explained by the goals of a religious cult, is punished by imprisonment from a period of 5 to 7 years.” </w:t>
      </w:r>
    </w:p>
    <w:p w:rsidR="00130161" w:rsidRPr="00486D78" w:rsidRDefault="003C05DE">
      <w:pPr>
        <w:ind w:firstLine="720"/>
        <w:jc w:val="both"/>
        <w:rPr>
          <w:rFonts w:ascii="Alegreya Sans" w:eastAsia="Alegreya Sans" w:hAnsi="Alegreya Sans" w:cs="Alegreya Sans"/>
          <w:sz w:val="24"/>
          <w:szCs w:val="24"/>
          <w:lang w:val="en-GB"/>
        </w:rPr>
      </w:pPr>
      <w:r w:rsidRPr="00486D78">
        <w:rPr>
          <w:rFonts w:ascii="Alegreya Sans" w:eastAsia="Alegreya Sans" w:hAnsi="Alegreya Sans" w:cs="Alegreya Sans"/>
          <w:i/>
          <w:sz w:val="24"/>
          <w:szCs w:val="24"/>
          <w:lang w:val="en-GB"/>
        </w:rPr>
        <w:t xml:space="preserve">“Part 3: Discrimination carried out against underage girls and manifested in the partial or complete removal of the external genitalia, explained by the goals of a religious cult, is punished by imprisonment from a period of 7 to 10 years.”  </w:t>
      </w:r>
    </w:p>
    <w:p w:rsidR="00130161" w:rsidRPr="00486D78" w:rsidRDefault="00130161">
      <w:pPr>
        <w:jc w:val="both"/>
        <w:rPr>
          <w:rFonts w:ascii="Alegreya Sans" w:eastAsia="Alegreya Sans" w:hAnsi="Alegreya Sans" w:cs="Alegreya Sans"/>
          <w:sz w:val="24"/>
          <w:szCs w:val="24"/>
          <w:lang w:val="en-GB"/>
        </w:rPr>
      </w:pPr>
    </w:p>
    <w:p w:rsidR="00130161" w:rsidRPr="00486D78" w:rsidRDefault="003C05DE">
      <w:pPr>
        <w:numPr>
          <w:ilvl w:val="0"/>
          <w:numId w:val="6"/>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We share some concerns regarding the way in which these proposed provisions have been framed which are not fully in compliance with Article 38</w:t>
      </w:r>
      <w:r w:rsidRPr="00486D78">
        <w:rPr>
          <w:rFonts w:ascii="Alegreya Sans" w:eastAsia="Alegreya Sans" w:hAnsi="Alegreya Sans" w:cs="Alegreya Sans"/>
          <w:sz w:val="24"/>
          <w:szCs w:val="24"/>
          <w:vertAlign w:val="superscript"/>
          <w:lang w:val="en-GB"/>
        </w:rPr>
        <w:footnoteReference w:id="28"/>
      </w:r>
      <w:r w:rsidRPr="00486D78">
        <w:rPr>
          <w:rFonts w:ascii="Alegreya Sans" w:eastAsia="Alegreya Sans" w:hAnsi="Alegreya Sans" w:cs="Alegreya Sans"/>
          <w:sz w:val="24"/>
          <w:szCs w:val="24"/>
          <w:lang w:val="en-GB"/>
        </w:rPr>
        <w:t xml:space="preserve"> of the Istanbul Convention </w:t>
      </w:r>
      <w:r w:rsidRPr="00486D78">
        <w:rPr>
          <w:rFonts w:ascii="Alegreya Sans" w:eastAsia="Alegreya Sans" w:hAnsi="Alegreya Sans" w:cs="Alegreya Sans"/>
          <w:sz w:val="24"/>
          <w:szCs w:val="24"/>
          <w:lang w:val="en-GB"/>
        </w:rPr>
        <w:lastRenderedPageBreak/>
        <w:t xml:space="preserve">which provides that all intentional conducts should be criminalised, and not necessarily those which have been carried out for ‘religious motives’ or ‘explained by the goals of a religious cult’. We also echo the recommendations made by the Committee in its General Recommendation No 14. The law was not adopted and there have been no other efforts since then to pass a law against FGM in the Russian Federation. </w:t>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6"/>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The investigation of the first criminal case of FGM on a </w:t>
      </w:r>
      <w:proofErr w:type="gramStart"/>
      <w:r w:rsidRPr="00486D78">
        <w:rPr>
          <w:rFonts w:ascii="Alegreya Sans" w:eastAsia="Alegreya Sans" w:hAnsi="Alegreya Sans" w:cs="Alegreya Sans"/>
          <w:sz w:val="24"/>
          <w:szCs w:val="24"/>
          <w:lang w:val="en-GB"/>
        </w:rPr>
        <w:t>nine year old</w:t>
      </w:r>
      <w:proofErr w:type="gramEnd"/>
      <w:r w:rsidRPr="00486D78">
        <w:rPr>
          <w:rFonts w:ascii="Alegreya Sans" w:eastAsia="Alegreya Sans" w:hAnsi="Alegreya Sans" w:cs="Alegreya Sans"/>
          <w:sz w:val="24"/>
          <w:szCs w:val="24"/>
          <w:lang w:val="en-GB"/>
        </w:rPr>
        <w:t xml:space="preserve"> girl in Ingushetia is currently ongoing. The NGO the Russian Justice Initiative (RJI) appealed to the Directorate of the Investigative Committee for Ingushetia with a request to check the activities of the management and doctors of the </w:t>
      </w:r>
      <w:proofErr w:type="spellStart"/>
      <w:r w:rsidRPr="00486D78">
        <w:rPr>
          <w:rFonts w:ascii="Alegreya Sans" w:eastAsia="Alegreya Sans" w:hAnsi="Alegreya Sans" w:cs="Alegreya Sans"/>
          <w:sz w:val="24"/>
          <w:szCs w:val="24"/>
          <w:lang w:val="en-GB"/>
        </w:rPr>
        <w:t>Aybolit</w:t>
      </w:r>
      <w:proofErr w:type="spellEnd"/>
      <w:r w:rsidRPr="00486D78">
        <w:rPr>
          <w:rFonts w:ascii="Alegreya Sans" w:eastAsia="Alegreya Sans" w:hAnsi="Alegreya Sans" w:cs="Alegreya Sans"/>
          <w:sz w:val="24"/>
          <w:szCs w:val="24"/>
          <w:lang w:val="en-GB"/>
        </w:rPr>
        <w:t xml:space="preserve"> clinic in Magas, where FGM was performed in June 2019. A criminal case has been initiated under Article 115 of the Criminal Code (causing minor harm to health), the first such case in Russia considered in court. The accused in the case is the children's gynaecologist </w:t>
      </w:r>
      <w:proofErr w:type="spellStart"/>
      <w:r w:rsidRPr="00486D78">
        <w:rPr>
          <w:rFonts w:ascii="Alegreya Sans" w:eastAsia="Alegreya Sans" w:hAnsi="Alegreya Sans" w:cs="Alegreya Sans"/>
          <w:sz w:val="24"/>
          <w:szCs w:val="24"/>
          <w:lang w:val="en-GB"/>
        </w:rPr>
        <w:t>Izanya</w:t>
      </w:r>
      <w:proofErr w:type="spellEnd"/>
      <w:r w:rsidRPr="00486D78">
        <w:rPr>
          <w:rFonts w:ascii="Alegreya Sans" w:eastAsia="Alegreya Sans" w:hAnsi="Alegreya Sans" w:cs="Alegreya Sans"/>
          <w:sz w:val="24"/>
          <w:szCs w:val="24"/>
          <w:lang w:val="en-GB"/>
        </w:rPr>
        <w:t xml:space="preserve"> </w:t>
      </w:r>
      <w:proofErr w:type="spellStart"/>
      <w:r w:rsidRPr="00486D78">
        <w:rPr>
          <w:rFonts w:ascii="Alegreya Sans" w:eastAsia="Alegreya Sans" w:hAnsi="Alegreya Sans" w:cs="Alegreya Sans"/>
          <w:sz w:val="24"/>
          <w:szCs w:val="24"/>
          <w:lang w:val="en-GB"/>
        </w:rPr>
        <w:t>Nalgieva</w:t>
      </w:r>
      <w:proofErr w:type="spellEnd"/>
      <w:r w:rsidRPr="00486D78">
        <w:rPr>
          <w:rFonts w:ascii="Alegreya Sans" w:eastAsia="Alegreya Sans" w:hAnsi="Alegreya Sans" w:cs="Alegreya Sans"/>
          <w:sz w:val="24"/>
          <w:szCs w:val="24"/>
          <w:lang w:val="en-GB"/>
        </w:rPr>
        <w:t>. However, no case has been filed against the clinic’s leadership, father or stepmother of the girl who initiated the procedure, which demonstrates the need for a specific law against FGM. The Russian Federation ought to thoroughly investigate and prosecute in this case, including by initiating a wider investigation into the persons who may be involved in such harmful procedures.</w:t>
      </w:r>
    </w:p>
    <w:p w:rsidR="00130161" w:rsidRPr="00486D78" w:rsidRDefault="00130161">
      <w:pPr>
        <w:jc w:val="both"/>
        <w:rPr>
          <w:rFonts w:ascii="Alegreya Sans" w:eastAsia="Alegreya Sans" w:hAnsi="Alegreya Sans" w:cs="Alegreya Sans"/>
          <w:i/>
          <w:sz w:val="24"/>
          <w:szCs w:val="24"/>
          <w:lang w:val="en-GB"/>
        </w:rPr>
      </w:pPr>
    </w:p>
    <w:p w:rsidR="00130161" w:rsidRPr="00486D78" w:rsidRDefault="003C05DE">
      <w:pPr>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 xml:space="preserve">Recommendations: </w:t>
      </w:r>
    </w:p>
    <w:p w:rsidR="00130161" w:rsidRPr="00486D78" w:rsidRDefault="00130161">
      <w:pPr>
        <w:jc w:val="both"/>
        <w:rPr>
          <w:rFonts w:ascii="Alegreya Sans" w:eastAsia="Alegreya Sans" w:hAnsi="Alegreya Sans" w:cs="Alegreya Sans"/>
          <w:sz w:val="24"/>
          <w:szCs w:val="24"/>
          <w:u w:val="single"/>
          <w:lang w:val="en-GB"/>
        </w:rPr>
      </w:pPr>
    </w:p>
    <w:p w:rsidR="00130161" w:rsidRPr="00486D78" w:rsidRDefault="003C05DE">
      <w:pPr>
        <w:numPr>
          <w:ilvl w:val="0"/>
          <w:numId w:val="8"/>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To strengthen the capacity of law enforcement authorities to protect women and girls from harmful practices, such as female genital mutilation, and encourage women to file complaints without having to fear retribution or stigma through public awareness campaigns. </w:t>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8"/>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Enact and adopt a comprehensive law that prohibits FGM and guarantees the protection of women and girls across the State who are at risk of undergoing FGM. </w:t>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8"/>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Generate statistical and other relevant data to demonstrate the extent and impact of FGM across the Russian Federation. </w:t>
      </w:r>
    </w:p>
    <w:p w:rsidR="00130161" w:rsidRPr="00486D78" w:rsidRDefault="00130161">
      <w:pPr>
        <w:jc w:val="both"/>
        <w:rPr>
          <w:rFonts w:ascii="Alegreya Sans" w:eastAsia="Alegreya Sans" w:hAnsi="Alegreya Sans" w:cs="Alegreya Sans"/>
          <w:sz w:val="24"/>
          <w:szCs w:val="24"/>
          <w:lang w:val="en-GB"/>
        </w:rPr>
      </w:pPr>
    </w:p>
    <w:p w:rsidR="00130161" w:rsidRPr="00486D78" w:rsidRDefault="003C05DE">
      <w:pPr>
        <w:spacing w:before="280" w:after="280" w:line="240" w:lineRule="auto"/>
        <w:jc w:val="both"/>
        <w:rPr>
          <w:rFonts w:ascii="Alegreya Sans" w:eastAsia="Alegreya Sans" w:hAnsi="Alegreya Sans" w:cs="Alegreya Sans"/>
          <w:sz w:val="24"/>
          <w:szCs w:val="24"/>
          <w:u w:val="single"/>
          <w:lang w:val="en-GB"/>
        </w:rPr>
      </w:pPr>
      <w:r w:rsidRPr="00486D78">
        <w:rPr>
          <w:rFonts w:ascii="Alegreya Sans" w:eastAsia="Alegreya Sans" w:hAnsi="Alegreya Sans" w:cs="Alegreya Sans"/>
          <w:sz w:val="24"/>
          <w:szCs w:val="24"/>
          <w:u w:val="single"/>
          <w:lang w:val="en-GB"/>
        </w:rPr>
        <w:t>We respectfully ask the Committee to request further information from the Russian Federation on the following issues:</w:t>
      </w:r>
    </w:p>
    <w:p w:rsidR="00130161" w:rsidRPr="00486D78" w:rsidRDefault="003C05DE">
      <w:pPr>
        <w:numPr>
          <w:ilvl w:val="0"/>
          <w:numId w:val="9"/>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What measures has the Russian Federation undertaken to raise public awareness of the unacceptability of FGM under any circumstances?</w:t>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9"/>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lastRenderedPageBreak/>
        <w:t>What are the government’s plans and timeframe for enacting and enforcing a comprehensive law that prohibits FGM and guarantees the protection of women and girls who are at risk of undergoing FGM?</w:t>
      </w:r>
    </w:p>
    <w:p w:rsidR="00130161" w:rsidRPr="00486D78" w:rsidRDefault="00130161">
      <w:pPr>
        <w:ind w:left="720"/>
        <w:jc w:val="both"/>
        <w:rPr>
          <w:rFonts w:ascii="Alegreya Sans" w:eastAsia="Alegreya Sans" w:hAnsi="Alegreya Sans" w:cs="Alegreya Sans"/>
          <w:sz w:val="24"/>
          <w:szCs w:val="24"/>
          <w:lang w:val="en-GB"/>
        </w:rPr>
      </w:pPr>
    </w:p>
    <w:p w:rsidR="00130161" w:rsidRPr="00486D78" w:rsidRDefault="003C05DE">
      <w:pPr>
        <w:numPr>
          <w:ilvl w:val="0"/>
          <w:numId w:val="9"/>
        </w:numPr>
        <w:jc w:val="both"/>
        <w:rPr>
          <w:rFonts w:ascii="Alegreya Sans" w:eastAsia="Alegreya Sans" w:hAnsi="Alegreya Sans" w:cs="Alegreya Sans"/>
          <w:sz w:val="24"/>
          <w:szCs w:val="24"/>
          <w:lang w:val="en-GB"/>
        </w:rPr>
      </w:pPr>
      <w:r w:rsidRPr="00486D78">
        <w:rPr>
          <w:rFonts w:ascii="Alegreya Sans" w:eastAsia="Alegreya Sans" w:hAnsi="Alegreya Sans" w:cs="Alegreya Sans"/>
          <w:sz w:val="24"/>
          <w:szCs w:val="24"/>
          <w:lang w:val="en-GB"/>
        </w:rPr>
        <w:t xml:space="preserve">What measures has the government taken to generate statistical and other relevant data to demonstrate the extent of the practice and impact of FGM in the Russian Federation? </w:t>
      </w:r>
    </w:p>
    <w:p w:rsidR="00130161" w:rsidRPr="00486D78" w:rsidRDefault="00130161">
      <w:pPr>
        <w:ind w:firstLine="720"/>
        <w:jc w:val="both"/>
        <w:rPr>
          <w:rFonts w:ascii="Alegreya Sans" w:eastAsia="Alegreya Sans" w:hAnsi="Alegreya Sans" w:cs="Alegreya Sans"/>
          <w:i/>
          <w:sz w:val="24"/>
          <w:szCs w:val="24"/>
          <w:lang w:val="en-GB"/>
        </w:rPr>
      </w:pPr>
    </w:p>
    <w:p w:rsidR="00130161" w:rsidRPr="00486D78" w:rsidRDefault="00130161">
      <w:pPr>
        <w:spacing w:before="280" w:after="280" w:line="240" w:lineRule="auto"/>
        <w:jc w:val="both"/>
        <w:rPr>
          <w:rFonts w:ascii="Alegreya Sans" w:eastAsia="Alegreya Sans" w:hAnsi="Alegreya Sans" w:cs="Alegreya Sans"/>
          <w:sz w:val="24"/>
          <w:szCs w:val="24"/>
          <w:lang w:val="en-GB"/>
        </w:rPr>
      </w:pPr>
    </w:p>
    <w:p w:rsidR="00130161" w:rsidRPr="00486D78" w:rsidRDefault="00130161">
      <w:pPr>
        <w:spacing w:before="280" w:after="280" w:line="240" w:lineRule="auto"/>
        <w:jc w:val="both"/>
        <w:rPr>
          <w:rFonts w:ascii="Alegreya Sans" w:eastAsia="Alegreya Sans" w:hAnsi="Alegreya Sans" w:cs="Alegreya Sans"/>
          <w:sz w:val="24"/>
          <w:szCs w:val="24"/>
          <w:lang w:val="en-GB"/>
        </w:rPr>
      </w:pPr>
    </w:p>
    <w:p w:rsidR="00130161" w:rsidRPr="00486D78" w:rsidRDefault="00130161">
      <w:pPr>
        <w:tabs>
          <w:tab w:val="left" w:pos="6413"/>
        </w:tabs>
        <w:rPr>
          <w:rFonts w:ascii="Alegreya Sans" w:eastAsia="Alegreya Sans" w:hAnsi="Alegreya Sans" w:cs="Alegreya Sans"/>
          <w:sz w:val="24"/>
          <w:szCs w:val="24"/>
          <w:lang w:val="en-GB"/>
        </w:rPr>
      </w:pPr>
    </w:p>
    <w:p w:rsidR="00130161" w:rsidRPr="00486D78" w:rsidRDefault="00130161">
      <w:pPr>
        <w:tabs>
          <w:tab w:val="left" w:pos="6413"/>
        </w:tabs>
        <w:rPr>
          <w:rFonts w:ascii="Alegreya Sans" w:eastAsia="Alegreya Sans" w:hAnsi="Alegreya Sans" w:cs="Alegreya Sans"/>
          <w:sz w:val="24"/>
          <w:szCs w:val="24"/>
          <w:lang w:val="en-GB"/>
        </w:rPr>
      </w:pPr>
    </w:p>
    <w:sectPr w:rsidR="00130161" w:rsidRPr="00486D78">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82A52" w:rsidRDefault="00E82A52">
      <w:pPr>
        <w:spacing w:line="240" w:lineRule="auto"/>
      </w:pPr>
      <w:r>
        <w:separator/>
      </w:r>
    </w:p>
  </w:endnote>
  <w:endnote w:type="continuationSeparator" w:id="0">
    <w:p w:rsidR="00E82A52" w:rsidRDefault="00E82A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Sans">
    <w:altName w:val="Calibri"/>
    <w:charset w:val="00"/>
    <w:family w:val="auto"/>
    <w:pitch w:val="default"/>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30161" w:rsidRDefault="003C05DE">
    <w:pPr>
      <w:jc w:val="right"/>
    </w:pPr>
    <w:r>
      <w:fldChar w:fldCharType="begin"/>
    </w:r>
    <w:r>
      <w:instrText>PAGE</w:instrText>
    </w:r>
    <w:r>
      <w:fldChar w:fldCharType="separate"/>
    </w:r>
    <w:r w:rsidR="00486D7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82A52" w:rsidRDefault="00E82A52">
      <w:pPr>
        <w:spacing w:line="240" w:lineRule="auto"/>
      </w:pPr>
      <w:r>
        <w:separator/>
      </w:r>
    </w:p>
  </w:footnote>
  <w:footnote w:type="continuationSeparator" w:id="0">
    <w:p w:rsidR="00E82A52" w:rsidRDefault="00E82A52">
      <w:pPr>
        <w:spacing w:line="240" w:lineRule="auto"/>
      </w:pPr>
      <w:r>
        <w:continuationSeparator/>
      </w:r>
    </w:p>
  </w:footnote>
  <w:footnote w:id="1">
    <w:p w:rsidR="00130161" w:rsidRDefault="003C05DE">
      <w:pPr>
        <w:spacing w:line="240" w:lineRule="auto"/>
        <w:rPr>
          <w:rFonts w:ascii="Alegreya Sans" w:eastAsia="Alegreya Sans" w:hAnsi="Alegreya Sans" w:cs="Alegreya Sans"/>
          <w:sz w:val="20"/>
          <w:szCs w:val="20"/>
        </w:rPr>
      </w:pPr>
      <w:r>
        <w:rPr>
          <w:vertAlign w:val="superscript"/>
        </w:rPr>
        <w:footnoteRef/>
      </w:r>
      <w:r>
        <w:rPr>
          <w:rFonts w:ascii="Alegreya Sans" w:eastAsia="Alegreya Sans" w:hAnsi="Alegreya Sans" w:cs="Alegreya Sans"/>
          <w:sz w:val="20"/>
          <w:szCs w:val="20"/>
        </w:rPr>
        <w:t xml:space="preserve"> </w:t>
      </w:r>
      <w:hyperlink r:id="rId1">
        <w:r>
          <w:rPr>
            <w:rFonts w:ascii="Alegreya Sans" w:eastAsia="Alegreya Sans" w:hAnsi="Alegreya Sans" w:cs="Alegreya Sans"/>
            <w:color w:val="1155CC"/>
            <w:sz w:val="20"/>
            <w:szCs w:val="20"/>
            <w:u w:val="single"/>
          </w:rPr>
          <w:t>https://www.equalitynow.org/roadblocks_to_justice</w:t>
        </w:r>
      </w:hyperlink>
      <w:r>
        <w:rPr>
          <w:rFonts w:ascii="Alegreya Sans" w:eastAsia="Alegreya Sans" w:hAnsi="Alegreya Sans" w:cs="Alegreya Sans"/>
          <w:sz w:val="20"/>
          <w:szCs w:val="20"/>
        </w:rPr>
        <w:t xml:space="preserve"> </w:t>
      </w:r>
    </w:p>
  </w:footnote>
  <w:footnote w:id="2">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hyperlink r:id="rId2">
        <w:r>
          <w:rPr>
            <w:rFonts w:ascii="Alegreya Sans" w:eastAsia="Alegreya Sans" w:hAnsi="Alegreya Sans" w:cs="Alegreya Sans"/>
            <w:color w:val="1155CC"/>
            <w:sz w:val="20"/>
            <w:szCs w:val="20"/>
            <w:u w:val="single"/>
          </w:rPr>
          <w:t>https://d3n8a8pro7vhmx.cloudfront.net/equalitynow/pages/2219/attachments/original/1580340080/202901T.V_Intervention_submission_%281%29.pdf?1580340080</w:t>
        </w:r>
      </w:hyperlink>
    </w:p>
  </w:footnote>
  <w:footnote w:id="3">
    <w:p w:rsidR="00130161" w:rsidRDefault="003C05DE">
      <w:pPr>
        <w:spacing w:line="240" w:lineRule="auto"/>
        <w:rPr>
          <w:rFonts w:ascii="Alegreya Sans" w:eastAsia="Alegreya Sans" w:hAnsi="Alegreya Sans" w:cs="Alegreya Sans"/>
          <w:sz w:val="20"/>
          <w:szCs w:val="20"/>
        </w:rPr>
      </w:pPr>
      <w:r>
        <w:rPr>
          <w:vertAlign w:val="superscript"/>
        </w:rPr>
        <w:footnoteRef/>
      </w:r>
      <w:r>
        <w:rPr>
          <w:rFonts w:ascii="Alegreya Sans" w:eastAsia="Alegreya Sans" w:hAnsi="Alegreya Sans" w:cs="Alegreya Sans"/>
          <w:sz w:val="20"/>
          <w:szCs w:val="20"/>
        </w:rPr>
        <w:t xml:space="preserve"> </w:t>
      </w:r>
      <w:hyperlink r:id="rId3">
        <w:r>
          <w:rPr>
            <w:rFonts w:ascii="Alegreya Sans" w:eastAsia="Alegreya Sans" w:hAnsi="Alegreya Sans" w:cs="Alegreya Sans"/>
            <w:color w:val="1155CC"/>
            <w:sz w:val="20"/>
            <w:szCs w:val="20"/>
            <w:u w:val="single"/>
          </w:rPr>
          <w:t>https://www.equalitynow.org/fgmc_a_call_for_a_global_response_report</w:t>
        </w:r>
      </w:hyperlink>
    </w:p>
  </w:footnote>
  <w:footnote w:id="4">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hyperlink r:id="rId4">
        <w:r>
          <w:rPr>
            <w:rFonts w:ascii="Alegreya Sans" w:eastAsia="Alegreya Sans" w:hAnsi="Alegreya Sans" w:cs="Alegreya Sans"/>
            <w:color w:val="1155CC"/>
            <w:sz w:val="20"/>
            <w:szCs w:val="20"/>
            <w:u w:val="single"/>
          </w:rPr>
          <w:t>https://tbinternet.ohchr.org/_layouts/15/treatybodyexternal/Download.aspx?symbolno=CEDAW%2fC%2fRUS%2fCO%2f8&amp;Lang=en</w:t>
        </w:r>
      </w:hyperlink>
    </w:p>
  </w:footnote>
  <w:footnote w:id="5">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Para 22(a)</w:t>
      </w:r>
    </w:p>
  </w:footnote>
  <w:footnote w:id="6">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Para 22(d)</w:t>
      </w:r>
    </w:p>
  </w:footnote>
  <w:footnote w:id="7">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Para 24(a)</w:t>
      </w:r>
    </w:p>
  </w:footnote>
  <w:footnote w:id="8">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Para 24(b)</w:t>
      </w:r>
    </w:p>
  </w:footnote>
  <w:footnote w:id="9">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Para 24(d)</w:t>
      </w:r>
    </w:p>
  </w:footnote>
  <w:footnote w:id="10">
    <w:p w:rsidR="00130161" w:rsidRDefault="003C05DE">
      <w:pPr>
        <w:spacing w:line="240" w:lineRule="auto"/>
        <w:rPr>
          <w:rFonts w:ascii="Alegreya Sans" w:eastAsia="Alegreya Sans" w:hAnsi="Alegreya Sans" w:cs="Alegreya Sans"/>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 xml:space="preserve">CEDAW Committee, </w:t>
      </w:r>
      <w:r>
        <w:rPr>
          <w:rFonts w:ascii="Alegreya Sans" w:eastAsia="Alegreya Sans" w:hAnsi="Alegreya Sans" w:cs="Alegreya Sans"/>
          <w:i/>
          <w:sz w:val="20"/>
          <w:szCs w:val="20"/>
        </w:rPr>
        <w:t>General recommendation No. 35 on gender-based violence against women, updating general recommendation No. 19</w:t>
      </w:r>
      <w:r>
        <w:rPr>
          <w:rFonts w:ascii="Alegreya Sans" w:eastAsia="Alegreya Sans" w:hAnsi="Alegreya Sans" w:cs="Alegreya Sans"/>
          <w:sz w:val="20"/>
          <w:szCs w:val="20"/>
        </w:rPr>
        <w:t xml:space="preserve">, UN Doc. CEDAW/C/GC/35 (“CEDAW Committee General Recommendation No. 35”); CEDAW Committee, </w:t>
      </w:r>
      <w:r>
        <w:rPr>
          <w:rFonts w:ascii="Alegreya Sans" w:eastAsia="Alegreya Sans" w:hAnsi="Alegreya Sans" w:cs="Alegreya Sans"/>
          <w:i/>
          <w:sz w:val="20"/>
          <w:szCs w:val="20"/>
        </w:rPr>
        <w:t>Vertido v Philippines</w:t>
      </w:r>
      <w:r>
        <w:rPr>
          <w:rFonts w:ascii="Alegreya Sans" w:eastAsia="Alegreya Sans" w:hAnsi="Alegreya Sans" w:cs="Alegreya Sans"/>
          <w:sz w:val="20"/>
          <w:szCs w:val="20"/>
        </w:rPr>
        <w:t xml:space="preserve">, Merits, Communication No. 18/2008, UN Doc CEDAW/C/46/D/18/2008 (2010); </w:t>
      </w:r>
      <w:r>
        <w:rPr>
          <w:rFonts w:ascii="Alegreya Sans" w:eastAsia="Alegreya Sans" w:hAnsi="Alegreya Sans" w:cs="Alegreya Sans"/>
          <w:i/>
          <w:sz w:val="20"/>
          <w:szCs w:val="20"/>
        </w:rPr>
        <w:t>R.P.B. v Philippines</w:t>
      </w:r>
      <w:r>
        <w:rPr>
          <w:rFonts w:ascii="Alegreya Sans" w:eastAsia="Alegreya Sans" w:hAnsi="Alegreya Sans" w:cs="Alegreya Sans"/>
          <w:sz w:val="20"/>
          <w:szCs w:val="20"/>
        </w:rPr>
        <w:t xml:space="preserve">, Communication No. 34/2011, UN Doc. CEDAW/C/57/D/34/2011 (2014). </w:t>
      </w:r>
    </w:p>
  </w:footnote>
  <w:footnote w:id="11">
    <w:p w:rsidR="00130161" w:rsidRPr="00486D78" w:rsidRDefault="003C05DE">
      <w:pPr>
        <w:spacing w:line="240" w:lineRule="auto"/>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Article 131: Rape, that is, a sexual intercourse with the use of violence or of a threat thereof, with respect to the victim [female] or to other persons or with the use of a helpless state of the victim…</w:t>
      </w:r>
    </w:p>
  </w:footnote>
  <w:footnote w:id="12">
    <w:p w:rsidR="00130161" w:rsidRPr="00486D78" w:rsidRDefault="003C05DE">
      <w:pPr>
        <w:spacing w:line="240" w:lineRule="auto"/>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Article 132.1. Pederasty, lesbianism or other actions of sexual character with the use of violence or with a threat thereof with respect to a male (or female) victim or to others...</w:t>
      </w:r>
    </w:p>
  </w:footnote>
  <w:footnote w:id="13">
    <w:p w:rsidR="00130161" w:rsidRPr="00486D78" w:rsidRDefault="003C05DE">
      <w:pPr>
        <w:spacing w:line="240" w:lineRule="auto"/>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Article 133.1. Compulsion of a person to enter into sexual relation, pederasty, lesbianism, or the commission of other sexual actions by means of blackmail, threat of destruction, damage, or taking of property, or with the use of material or any other dependence of the victim.</w:t>
      </w:r>
    </w:p>
  </w:footnote>
  <w:footnote w:id="14">
    <w:p w:rsidR="00130161" w:rsidRDefault="003C05DE">
      <w:pPr>
        <w:spacing w:line="240" w:lineRule="auto"/>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Article 134(1) Sexual intercourse with a person who has not reached the age of sixteen years committed by a person who has reached the age of eighteen years…</w:t>
      </w:r>
    </w:p>
  </w:footnote>
  <w:footnote w:id="15">
    <w:p w:rsidR="00130161" w:rsidRPr="00486D78" w:rsidRDefault="003C05DE">
      <w:pPr>
        <w:spacing w:line="240" w:lineRule="auto"/>
        <w:rPr>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CEDAW, CEDAW/C/GC/35, General Recommendation No. 35 on gender-based violence against women, updating general recommendation No. 19.</w:t>
      </w:r>
    </w:p>
  </w:footnote>
  <w:footnote w:id="16">
    <w:p w:rsidR="00130161" w:rsidRPr="00486D78" w:rsidRDefault="003C05DE">
      <w:pPr>
        <w:jc w:val="both"/>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 xml:space="preserve">CEDAW Committee, </w:t>
      </w:r>
      <w:r w:rsidRPr="00486D78">
        <w:rPr>
          <w:rFonts w:ascii="Times New Roman" w:eastAsia="Times New Roman" w:hAnsi="Times New Roman" w:cs="Times New Roman"/>
          <w:i/>
          <w:sz w:val="20"/>
          <w:szCs w:val="20"/>
          <w:u w:val="single"/>
        </w:rPr>
        <w:t>Inquiry concerning Kyrgyzstan under article 8 of the Optional Protocol to the Convention on the Elimination of All Forms of Discrimination against Women</w:t>
      </w:r>
      <w:r w:rsidRPr="00486D78">
        <w:rPr>
          <w:rFonts w:ascii="Times New Roman" w:eastAsia="Times New Roman" w:hAnsi="Times New Roman" w:cs="Times New Roman"/>
          <w:sz w:val="20"/>
          <w:szCs w:val="20"/>
        </w:rPr>
        <w:t>, 21 September 2018, CEDAW/C/OP.8/KGZ/1, § 92.b.</w:t>
      </w:r>
    </w:p>
  </w:footnote>
  <w:footnote w:id="17">
    <w:p w:rsidR="00130161" w:rsidRPr="00486D78" w:rsidRDefault="003C05DE">
      <w:pPr>
        <w:jc w:val="both"/>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 xml:space="preserve">CEDAW Committee, </w:t>
      </w:r>
      <w:r w:rsidRPr="00486D78">
        <w:rPr>
          <w:rFonts w:ascii="Times New Roman" w:eastAsia="Times New Roman" w:hAnsi="Times New Roman" w:cs="Times New Roman"/>
          <w:i/>
          <w:sz w:val="20"/>
          <w:szCs w:val="20"/>
        </w:rPr>
        <w:t>Concluding Observations on the sixth periodic report of Tajikistan,</w:t>
      </w:r>
      <w:r w:rsidRPr="00486D78">
        <w:rPr>
          <w:rFonts w:ascii="Times New Roman" w:eastAsia="Times New Roman" w:hAnsi="Times New Roman" w:cs="Times New Roman"/>
          <w:sz w:val="20"/>
          <w:szCs w:val="20"/>
        </w:rPr>
        <w:t xml:space="preserve"> 9 November </w:t>
      </w:r>
      <w:r w:rsidRPr="00486D78">
        <w:rPr>
          <w:rFonts w:ascii="Times New Roman" w:eastAsia="Times New Roman" w:hAnsi="Times New Roman" w:cs="Times New Roman"/>
          <w:sz w:val="20"/>
          <w:szCs w:val="20"/>
        </w:rPr>
        <w:t>2018,  CEDAW/C/TJK/CO/6, § 26.</w:t>
      </w:r>
    </w:p>
  </w:footnote>
  <w:footnote w:id="18">
    <w:p w:rsidR="00130161" w:rsidRPr="00486D78" w:rsidRDefault="003C05DE">
      <w:pPr>
        <w:jc w:val="both"/>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 xml:space="preserve">CEDAW Committee, </w:t>
      </w:r>
      <w:r w:rsidRPr="00486D78">
        <w:rPr>
          <w:rFonts w:ascii="Times New Roman" w:eastAsia="Times New Roman" w:hAnsi="Times New Roman" w:cs="Times New Roman"/>
          <w:i/>
          <w:sz w:val="20"/>
          <w:szCs w:val="20"/>
        </w:rPr>
        <w:t>Concluding Observations on the eighth periodic report of Belarus</w:t>
      </w:r>
      <w:r w:rsidRPr="00486D78">
        <w:rPr>
          <w:rFonts w:ascii="Times New Roman" w:eastAsia="Times New Roman" w:hAnsi="Times New Roman" w:cs="Times New Roman"/>
          <w:sz w:val="20"/>
          <w:szCs w:val="20"/>
        </w:rPr>
        <w:t xml:space="preserve">, 18 November 2016, CEDAW/C/BLR/CO/8, § 23.a. </w:t>
      </w:r>
    </w:p>
  </w:footnote>
  <w:footnote w:id="19">
    <w:p w:rsidR="00130161" w:rsidRPr="00486D78" w:rsidRDefault="003C05DE">
      <w:pPr>
        <w:jc w:val="both"/>
        <w:rPr>
          <w:rFonts w:ascii="Times New Roman" w:eastAsia="Times New Roman" w:hAnsi="Times New Roman" w:cs="Times New Roman"/>
          <w:sz w:val="20"/>
          <w:szCs w:val="20"/>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 xml:space="preserve">UN Human Rights Committee, </w:t>
      </w:r>
      <w:r w:rsidRPr="00486D78">
        <w:rPr>
          <w:rFonts w:ascii="Times New Roman" w:eastAsia="Times New Roman" w:hAnsi="Times New Roman" w:cs="Times New Roman"/>
          <w:i/>
          <w:sz w:val="20"/>
          <w:szCs w:val="20"/>
        </w:rPr>
        <w:t>Concluding Observations on the third periodic report of Latvia</w:t>
      </w:r>
      <w:r w:rsidRPr="00486D78">
        <w:rPr>
          <w:rFonts w:ascii="Times New Roman" w:eastAsia="Times New Roman" w:hAnsi="Times New Roman" w:cs="Times New Roman"/>
          <w:sz w:val="20"/>
          <w:szCs w:val="20"/>
        </w:rPr>
        <w:t>, 11 April 2014, CCPR/C/LVA/ CO/3, § 9.a.</w:t>
      </w:r>
    </w:p>
  </w:footnote>
  <w:footnote w:id="20">
    <w:p w:rsidR="00130161" w:rsidRDefault="003C05DE">
      <w:pPr>
        <w:jc w:val="both"/>
        <w:rPr>
          <w:rFonts w:ascii="Times New Roman" w:eastAsia="Times New Roman" w:hAnsi="Times New Roman" w:cs="Times New Roman"/>
          <w:sz w:val="18"/>
          <w:szCs w:val="18"/>
        </w:rPr>
      </w:pPr>
      <w:r w:rsidRPr="00486D78">
        <w:rPr>
          <w:sz w:val="20"/>
          <w:szCs w:val="20"/>
          <w:vertAlign w:val="superscript"/>
        </w:rPr>
        <w:footnoteRef/>
      </w:r>
      <w:r w:rsidRPr="00486D78">
        <w:rPr>
          <w:sz w:val="20"/>
          <w:szCs w:val="20"/>
        </w:rPr>
        <w:t xml:space="preserve"> </w:t>
      </w:r>
      <w:r w:rsidRPr="00486D78">
        <w:rPr>
          <w:rFonts w:ascii="Times New Roman" w:eastAsia="Times New Roman" w:hAnsi="Times New Roman" w:cs="Times New Roman"/>
          <w:sz w:val="20"/>
          <w:szCs w:val="20"/>
        </w:rPr>
        <w:t xml:space="preserve">CEDAW Committee, </w:t>
      </w:r>
      <w:r w:rsidRPr="00486D78">
        <w:rPr>
          <w:rFonts w:ascii="Times New Roman" w:eastAsia="Times New Roman" w:hAnsi="Times New Roman" w:cs="Times New Roman"/>
          <w:i/>
          <w:sz w:val="20"/>
          <w:szCs w:val="20"/>
        </w:rPr>
        <w:t>Concluding Observations on the fifth periodic report of Lithuania</w:t>
      </w:r>
      <w:r w:rsidRPr="00486D78">
        <w:rPr>
          <w:rFonts w:ascii="Times New Roman" w:eastAsia="Times New Roman" w:hAnsi="Times New Roman" w:cs="Times New Roman"/>
          <w:sz w:val="20"/>
          <w:szCs w:val="20"/>
        </w:rPr>
        <w:t xml:space="preserve">, 24 July 2014, CEDAW/C/LTU/CO/5, § 25.e. </w:t>
      </w:r>
    </w:p>
  </w:footnote>
  <w:footnote w:id="21">
    <w:p w:rsidR="00130161" w:rsidRDefault="003C05DE">
      <w:pPr>
        <w:jc w:val="both"/>
        <w:rPr>
          <w:rFonts w:ascii="Alegreya Sans" w:eastAsia="Alegreya Sans" w:hAnsi="Alegreya Sans" w:cs="Alegreya Sans"/>
          <w:sz w:val="20"/>
          <w:szCs w:val="20"/>
        </w:rPr>
      </w:pPr>
      <w:r>
        <w:rPr>
          <w:vertAlign w:val="superscript"/>
        </w:rPr>
        <w:footnoteRef/>
      </w:r>
      <w:r>
        <w:rPr>
          <w:rFonts w:ascii="Times New Roman" w:eastAsia="Times New Roman" w:hAnsi="Times New Roman" w:cs="Times New Roman"/>
          <w:sz w:val="18"/>
          <w:szCs w:val="18"/>
        </w:rPr>
        <w:t xml:space="preserve"> </w:t>
      </w:r>
      <w:r>
        <w:rPr>
          <w:rFonts w:ascii="Alegreya Sans" w:eastAsia="Alegreya Sans" w:hAnsi="Alegreya Sans" w:cs="Alegreya Sans"/>
          <w:sz w:val="20"/>
          <w:szCs w:val="20"/>
        </w:rPr>
        <w:t>CEDAW Committee General Recommendation No. 35, § 44.</w:t>
      </w:r>
    </w:p>
  </w:footnote>
  <w:footnote w:id="22">
    <w:p w:rsidR="00130161" w:rsidRDefault="003C05DE">
      <w:pPr>
        <w:spacing w:line="240" w:lineRule="auto"/>
        <w:rPr>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O.G v Russia ibid § 9</w:t>
      </w:r>
    </w:p>
  </w:footnote>
  <w:footnote w:id="23">
    <w:p w:rsidR="00130161" w:rsidRDefault="003C05DE">
      <w:pPr>
        <w:jc w:val="both"/>
        <w:rPr>
          <w:rFonts w:ascii="Alegreya Sans" w:eastAsia="Alegreya Sans" w:hAnsi="Alegreya Sans" w:cs="Alegreya Sans"/>
          <w:sz w:val="20"/>
          <w:szCs w:val="20"/>
        </w:rPr>
      </w:pPr>
      <w:r>
        <w:rPr>
          <w:vertAlign w:val="superscript"/>
        </w:rPr>
        <w:footnoteRef/>
      </w:r>
      <w:r>
        <w:rPr>
          <w:sz w:val="18"/>
          <w:szCs w:val="18"/>
        </w:rPr>
        <w:t xml:space="preserve"> </w:t>
      </w:r>
      <w:r>
        <w:rPr>
          <w:rFonts w:ascii="Alegreya Sans" w:eastAsia="Alegreya Sans" w:hAnsi="Alegreya Sans" w:cs="Alegreya Sans"/>
          <w:sz w:val="20"/>
          <w:szCs w:val="20"/>
        </w:rPr>
        <w:t xml:space="preserve">Communication No. 91/2015 (2017) § 7.7; See also </w:t>
      </w:r>
      <w:r>
        <w:rPr>
          <w:rFonts w:ascii="Alegreya Sans" w:eastAsia="Alegreya Sans" w:hAnsi="Alegreya Sans" w:cs="Alegreya Sans"/>
          <w:i/>
          <w:sz w:val="20"/>
          <w:szCs w:val="20"/>
        </w:rPr>
        <w:t>X and Y v Russia</w:t>
      </w:r>
      <w:r>
        <w:rPr>
          <w:rFonts w:ascii="Alegreya Sans" w:eastAsia="Alegreya Sans" w:hAnsi="Alegreya Sans" w:cs="Alegreya Sans"/>
          <w:sz w:val="20"/>
          <w:szCs w:val="20"/>
        </w:rPr>
        <w:t>, No. 100/2016, (2019), CEDAW/C/73/D/100/2016</w:t>
      </w:r>
    </w:p>
  </w:footnote>
  <w:footnote w:id="24">
    <w:p w:rsidR="00130161" w:rsidRDefault="003C05DE">
      <w:pPr>
        <w:spacing w:line="240" w:lineRule="auto"/>
        <w:rPr>
          <w:sz w:val="20"/>
          <w:szCs w:val="20"/>
        </w:rPr>
      </w:pPr>
      <w:r>
        <w:rPr>
          <w:vertAlign w:val="superscript"/>
        </w:rPr>
        <w:footnoteRef/>
      </w:r>
      <w:r>
        <w:t xml:space="preserve"> </w:t>
      </w:r>
      <w:r>
        <w:rPr>
          <w:rFonts w:ascii="Times New Roman" w:eastAsia="Times New Roman" w:hAnsi="Times New Roman" w:cs="Times New Roman"/>
          <w:sz w:val="20"/>
          <w:szCs w:val="20"/>
        </w:rPr>
        <w:t xml:space="preserve"> International technical guidance on sexuality education: an evidence-informed approach, Paris: UNFPA, 2018: </w:t>
      </w:r>
      <w:hyperlink r:id="rId5">
        <w:r>
          <w:rPr>
            <w:rFonts w:ascii="Times New Roman" w:eastAsia="Times New Roman" w:hAnsi="Times New Roman" w:cs="Times New Roman"/>
            <w:color w:val="1155CC"/>
            <w:sz w:val="20"/>
            <w:szCs w:val="20"/>
            <w:u w:val="single"/>
          </w:rPr>
          <w:t>https://www.unfpa.org/publications/international-technical-guidance-sexuality-education</w:t>
        </w:r>
      </w:hyperlink>
    </w:p>
  </w:footnote>
  <w:footnote w:id="25">
    <w:p w:rsidR="00130161" w:rsidRDefault="003C05D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Yu. A. Antonova, S.V. </w:t>
      </w:r>
      <w:r>
        <w:rPr>
          <w:rFonts w:ascii="Times New Roman" w:eastAsia="Times New Roman" w:hAnsi="Times New Roman" w:cs="Times New Roman"/>
          <w:sz w:val="20"/>
          <w:szCs w:val="20"/>
        </w:rPr>
        <w:t xml:space="preserve">Siradzhudinova (Russia Justice Initiative, 2018), </w:t>
      </w:r>
      <w:r>
        <w:rPr>
          <w:rFonts w:ascii="Times New Roman" w:eastAsia="Times New Roman" w:hAnsi="Times New Roman" w:cs="Times New Roman"/>
          <w:i/>
          <w:sz w:val="20"/>
          <w:szCs w:val="20"/>
        </w:rPr>
        <w:t>The practice of female genital mutilation in Dagestan: strategies for its elimination.</w:t>
      </w:r>
    </w:p>
  </w:footnote>
  <w:footnote w:id="26">
    <w:p w:rsidR="00130161" w:rsidRDefault="003C05DE">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Yu. A. Antonova &amp; S. V. </w:t>
      </w:r>
      <w:r>
        <w:rPr>
          <w:rFonts w:ascii="Times New Roman" w:eastAsia="Times New Roman" w:hAnsi="Times New Roman" w:cs="Times New Roman"/>
          <w:sz w:val="20"/>
          <w:szCs w:val="20"/>
        </w:rPr>
        <w:t xml:space="preserve">Siradzhudinova, Female Genital Mutilation of Girls in Dagestan (Russian Federation), 2016. Available at </w:t>
      </w:r>
      <w:r>
        <w:rPr>
          <w:rFonts w:ascii="Times New Roman" w:eastAsia="Times New Roman" w:hAnsi="Times New Roman" w:cs="Times New Roman"/>
          <w:sz w:val="20"/>
          <w:szCs w:val="20"/>
          <w:u w:val="single"/>
        </w:rPr>
        <w:t xml:space="preserve">http://www.srji.org/upload/iblock/52c/fgm_dagestan_2016_eng_final_edited_2017. pdf </w:t>
      </w:r>
    </w:p>
  </w:footnote>
  <w:footnote w:id="27">
    <w:p w:rsidR="00130161" w:rsidRDefault="003C05D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О </w:t>
      </w:r>
      <w:r>
        <w:rPr>
          <w:rFonts w:ascii="Times New Roman" w:eastAsia="Times New Roman" w:hAnsi="Times New Roman" w:cs="Times New Roman"/>
          <w:sz w:val="20"/>
          <w:szCs w:val="20"/>
        </w:rPr>
        <w:t>внесении изменений в статью 136 УК РФ. Вносится депутатом Государственной Думы М.П. Максаковой-Игенбергс. Проект №1153660-6 [On amendments to article 136 of the RF Criminal Code. Submitted by State Duma deputy M.P. Maksakova-Igenbergs, Project №1153660-6]]</w:t>
      </w:r>
      <w:hyperlink r:id="rId6">
        <w:r>
          <w:rPr>
            <w:rFonts w:ascii="Times New Roman" w:eastAsia="Times New Roman" w:hAnsi="Times New Roman" w:cs="Times New Roman"/>
            <w:sz w:val="20"/>
            <w:szCs w:val="20"/>
          </w:rPr>
          <w:t xml:space="preserve"> </w:t>
        </w:r>
      </w:hyperlink>
      <w:hyperlink r:id="rId7">
        <w:r>
          <w:rPr>
            <w:rFonts w:ascii="Times New Roman" w:eastAsia="Times New Roman" w:hAnsi="Times New Roman" w:cs="Times New Roman"/>
            <w:color w:val="1155CC"/>
            <w:sz w:val="20"/>
            <w:szCs w:val="20"/>
            <w:u w:val="single"/>
          </w:rPr>
          <w:t>http://asozd2.duma.gov.ru/addwork/scans.nsf/ID/3D22C9D2ECAB4FEE4325801400324CB3/$File/1153660-6.PDF?OpenElement</w:t>
        </w:r>
      </w:hyperlink>
      <w:r>
        <w:rPr>
          <w:rFonts w:ascii="Times New Roman" w:eastAsia="Times New Roman" w:hAnsi="Times New Roman" w:cs="Times New Roman"/>
          <w:sz w:val="20"/>
          <w:szCs w:val="20"/>
        </w:rPr>
        <w:t xml:space="preserve"> </w:t>
      </w:r>
    </w:p>
  </w:footnote>
  <w:footnote w:id="28">
    <w:p w:rsidR="00130161" w:rsidRDefault="003C05D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Article 38 – Female genital mutilation: Parties shall take the necessary legislative or other measures to ensure that the following intentional conducts are </w:t>
      </w:r>
      <w:r>
        <w:rPr>
          <w:rFonts w:ascii="Times New Roman" w:eastAsia="Times New Roman" w:hAnsi="Times New Roman" w:cs="Times New Roman"/>
          <w:sz w:val="20"/>
          <w:szCs w:val="20"/>
        </w:rPr>
        <w:t>criminalised:</w:t>
      </w:r>
    </w:p>
    <w:p w:rsidR="00130161" w:rsidRDefault="003C05DE">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excising, infibulating or performing any other mutilation to the whole or any part of a woman’s labia majora, labia minora or clitoris;</w:t>
      </w:r>
    </w:p>
    <w:p w:rsidR="00130161" w:rsidRDefault="003C05DE">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 coercing or procuring a woman to undergo any of the acts listed in point a;</w:t>
      </w:r>
    </w:p>
    <w:p w:rsidR="00130161" w:rsidRDefault="003C05DE">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inciting, coercing or procuring a girl to undergo any of the acts listed in point 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80FE5"/>
    <w:multiLevelType w:val="multilevel"/>
    <w:tmpl w:val="E3B06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D19DF"/>
    <w:multiLevelType w:val="multilevel"/>
    <w:tmpl w:val="6F268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9E0718"/>
    <w:multiLevelType w:val="multilevel"/>
    <w:tmpl w:val="8382B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7B1942"/>
    <w:multiLevelType w:val="multilevel"/>
    <w:tmpl w:val="7284CFD0"/>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CA36F1A"/>
    <w:multiLevelType w:val="multilevel"/>
    <w:tmpl w:val="29EA8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FF4F6E"/>
    <w:multiLevelType w:val="multilevel"/>
    <w:tmpl w:val="E72E7F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5896C89"/>
    <w:multiLevelType w:val="multilevel"/>
    <w:tmpl w:val="0860C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6E751F"/>
    <w:multiLevelType w:val="multilevel"/>
    <w:tmpl w:val="ECCCE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1E3B09"/>
    <w:multiLevelType w:val="multilevel"/>
    <w:tmpl w:val="2B0CC8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0B24ACC"/>
    <w:multiLevelType w:val="multilevel"/>
    <w:tmpl w:val="67968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3740CD"/>
    <w:multiLevelType w:val="multilevel"/>
    <w:tmpl w:val="8312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C13D71"/>
    <w:multiLevelType w:val="multilevel"/>
    <w:tmpl w:val="ADC4B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31024C"/>
    <w:multiLevelType w:val="multilevel"/>
    <w:tmpl w:val="B16604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CDC594D"/>
    <w:multiLevelType w:val="multilevel"/>
    <w:tmpl w:val="66487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0"/>
  </w:num>
  <w:num w:numId="3">
    <w:abstractNumId w:val="12"/>
  </w:num>
  <w:num w:numId="4">
    <w:abstractNumId w:val="5"/>
  </w:num>
  <w:num w:numId="5">
    <w:abstractNumId w:val="11"/>
  </w:num>
  <w:num w:numId="6">
    <w:abstractNumId w:val="3"/>
  </w:num>
  <w:num w:numId="7">
    <w:abstractNumId w:val="13"/>
  </w:num>
  <w:num w:numId="8">
    <w:abstractNumId w:val="4"/>
  </w:num>
  <w:num w:numId="9">
    <w:abstractNumId w:val="2"/>
  </w:num>
  <w:num w:numId="10">
    <w:abstractNumId w:val="0"/>
  </w:num>
  <w:num w:numId="11">
    <w:abstractNumId w:val="6"/>
  </w:num>
  <w:num w:numId="12">
    <w:abstractNumId w:val="8"/>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161"/>
    <w:rsid w:val="00130161"/>
    <w:rsid w:val="003C05DE"/>
    <w:rsid w:val="00404662"/>
    <w:rsid w:val="00486D78"/>
    <w:rsid w:val="00AB403C"/>
    <w:rsid w:val="00E8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3F60ADA6-73D6-8446-9E6E-0A1EA5D1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6D78"/>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86D7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equalitynow.org/fgmc_a_call_for_a_global_response_report" TargetMode="External"/><Relationship Id="rId7" Type="http://schemas.openxmlformats.org/officeDocument/2006/relationships/hyperlink" Target="http://asozd2.duma.gov.ru/addwork/scans.nsf/ID/3D22C9D2ECAB4FEE4325801400324CB3/$File/1153660-6.PDF?OpenElement" TargetMode="External"/><Relationship Id="rId2" Type="http://schemas.openxmlformats.org/officeDocument/2006/relationships/hyperlink" Target="https://d3n8a8pro7vhmx.cloudfront.net/equalitynow/pages/2219/attachments/original/1580340080/202901T.V_Intervention_submission_%281%29.pdf?1580340080" TargetMode="External"/><Relationship Id="rId1" Type="http://schemas.openxmlformats.org/officeDocument/2006/relationships/hyperlink" Target="https://www.equalitynow.org/roadblocks_to_justice" TargetMode="External"/><Relationship Id="rId6" Type="http://schemas.openxmlformats.org/officeDocument/2006/relationships/hyperlink" Target="http://asozd2.duma.gov.ru/addwork/scans.nsf/ID/3D22C9D2ECAB4FEE4325801400324CB3/$File/1153660-6.PDF?OpenElement" TargetMode="External"/><Relationship Id="rId5" Type="http://schemas.openxmlformats.org/officeDocument/2006/relationships/hyperlink" Target="https://www.unfpa.org/publications/international-technical-guidance-sexuality-education" TargetMode="External"/><Relationship Id="rId4" Type="http://schemas.openxmlformats.org/officeDocument/2006/relationships/hyperlink" Target="https://tbinternet.ohchr.org/_layouts/15/treatybodyexternal/Download.aspx?symbolno=CEDAW%2fC%2fRUS%2fCO%2f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D24CF6-CCCF-441C-BD98-76E24EEC115C}"/>
</file>

<file path=customXml/itemProps2.xml><?xml version="1.0" encoding="utf-8"?>
<ds:datastoreItem xmlns:ds="http://schemas.openxmlformats.org/officeDocument/2006/customXml" ds:itemID="{7F85F483-6EA8-492D-AB61-58C2F3A2C7A2}"/>
</file>

<file path=customXml/itemProps3.xml><?xml version="1.0" encoding="utf-8"?>
<ds:datastoreItem xmlns:ds="http://schemas.openxmlformats.org/officeDocument/2006/customXml" ds:itemID="{048C4248-583D-4DEC-B18B-C8C06A3855CF}"/>
</file>

<file path=docProps/app.xml><?xml version="1.0" encoding="utf-8"?>
<Properties xmlns="http://schemas.openxmlformats.org/officeDocument/2006/extended-properties" xmlns:vt="http://schemas.openxmlformats.org/officeDocument/2006/docPropsVTypes">
  <Template>Normal.dotm</Template>
  <TotalTime>0</TotalTime>
  <Pages>14</Pages>
  <Words>4511</Words>
  <Characters>25715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2020-06-15T10:54:00Z</dcterms:created>
  <dcterms:modified xsi:type="dcterms:W3CDTF">2020-06-15T10:54:00Z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