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AFEAB7" w14:textId="60742EB3" w:rsidR="00155CF9" w:rsidRPr="00125867" w:rsidRDefault="002C2009" w:rsidP="00125867">
      <w:pPr>
        <w:pStyle w:val="Ttulo2"/>
        <w:numPr>
          <w:ilvl w:val="0"/>
          <w:numId w:val="0"/>
        </w:numPr>
        <w:jc w:val="both"/>
        <w:rPr>
          <w:rFonts w:cs="Times New Roman"/>
          <w:sz w:val="24"/>
          <w:szCs w:val="24"/>
          <w:lang w:val="es-419"/>
        </w:rPr>
      </w:pPr>
      <w:bookmarkStart w:id="0" w:name="_Toc507195677"/>
      <w:r w:rsidRPr="00125867">
        <w:rPr>
          <w:rFonts w:cs="Times New Roman"/>
          <w:sz w:val="24"/>
          <w:szCs w:val="24"/>
          <w:shd w:val="clear" w:color="auto" w:fill="FFFFFF"/>
          <w:lang w:val="es-419"/>
        </w:rPr>
        <w:t>ORGANIZACIÓN</w:t>
      </w:r>
      <w:r w:rsidR="005E04E0" w:rsidRPr="00125867">
        <w:rPr>
          <w:rFonts w:cs="Times New Roman"/>
          <w:sz w:val="24"/>
          <w:szCs w:val="24"/>
          <w:shd w:val="clear" w:color="auto" w:fill="FFFFFF"/>
          <w:lang w:val="es-419"/>
        </w:rPr>
        <w:t xml:space="preserve">: </w:t>
      </w:r>
      <w:r w:rsidR="00125867" w:rsidRPr="00125867">
        <w:rPr>
          <w:rFonts w:cs="Times New Roman"/>
          <w:b/>
          <w:bCs w:val="0"/>
          <w:sz w:val="24"/>
          <w:szCs w:val="24"/>
          <w:shd w:val="clear" w:color="auto" w:fill="FFFFFF"/>
          <w:lang w:val="es-419"/>
        </w:rPr>
        <w:t xml:space="preserve">Grupo de Investigación Interseccionalidad y Descolonialidad en Relaciones Internacionales (INDERI) </w:t>
      </w:r>
      <w:r w:rsidR="00125867" w:rsidRPr="00125867">
        <w:rPr>
          <w:rFonts w:cs="Times New Roman"/>
          <w:sz w:val="24"/>
          <w:szCs w:val="24"/>
          <w:shd w:val="clear" w:color="auto" w:fill="FFFFFF"/>
          <w:lang w:val="es-419"/>
        </w:rPr>
        <w:t>de la Universidad Federal de Rio Grande (FURG)</w:t>
      </w:r>
    </w:p>
    <w:p w14:paraId="250B03C0" w14:textId="329BB218" w:rsidR="0052458F" w:rsidRPr="00125867" w:rsidRDefault="0052458F" w:rsidP="005E04E0">
      <w:pPr>
        <w:rPr>
          <w:rFonts w:ascii="Times New Roman" w:hAnsi="Times New Roman" w:cs="Times New Roman"/>
          <w:bCs/>
          <w:sz w:val="24"/>
          <w:szCs w:val="24"/>
          <w:lang w:val="es-419" w:eastAsia="pt-BR"/>
        </w:rPr>
      </w:pPr>
    </w:p>
    <w:p w14:paraId="1A0C184A" w14:textId="17748746" w:rsidR="0052458F" w:rsidRPr="00125867" w:rsidRDefault="0052458F" w:rsidP="005E04E0">
      <w:pPr>
        <w:rPr>
          <w:rFonts w:ascii="Times New Roman" w:hAnsi="Times New Roman" w:cs="Times New Roman"/>
          <w:sz w:val="24"/>
          <w:szCs w:val="24"/>
          <w:lang w:val="es-419" w:eastAsia="pt-BR"/>
        </w:rPr>
      </w:pPr>
    </w:p>
    <w:p w14:paraId="6C765707" w14:textId="52968222" w:rsidR="0052458F" w:rsidRPr="00125867" w:rsidRDefault="0052458F" w:rsidP="005E04E0">
      <w:pPr>
        <w:rPr>
          <w:rFonts w:ascii="Times New Roman" w:hAnsi="Times New Roman" w:cs="Times New Roman"/>
          <w:sz w:val="24"/>
          <w:szCs w:val="24"/>
          <w:lang w:val="es-419" w:eastAsia="pt-BR"/>
        </w:rPr>
      </w:pPr>
    </w:p>
    <w:p w14:paraId="0B45346A" w14:textId="78F883B9" w:rsidR="0052458F" w:rsidRPr="00125867" w:rsidRDefault="0052458F" w:rsidP="005E04E0">
      <w:pPr>
        <w:rPr>
          <w:rFonts w:ascii="Times New Roman" w:hAnsi="Times New Roman" w:cs="Times New Roman"/>
          <w:sz w:val="24"/>
          <w:szCs w:val="24"/>
          <w:lang w:val="es-419" w:eastAsia="pt-BR"/>
        </w:rPr>
      </w:pPr>
    </w:p>
    <w:p w14:paraId="70E23967" w14:textId="77777777" w:rsidR="0052458F" w:rsidRPr="00125867" w:rsidRDefault="0052458F" w:rsidP="005E04E0">
      <w:pPr>
        <w:rPr>
          <w:rFonts w:ascii="Times New Roman" w:hAnsi="Times New Roman" w:cs="Times New Roman"/>
          <w:sz w:val="24"/>
          <w:szCs w:val="24"/>
          <w:lang w:val="es-419" w:eastAsia="pt-BR"/>
        </w:rPr>
      </w:pPr>
    </w:p>
    <w:p w14:paraId="466FF862" w14:textId="77777777" w:rsidR="0052458F" w:rsidRPr="00125867" w:rsidRDefault="0052458F" w:rsidP="005E04E0">
      <w:pPr>
        <w:rPr>
          <w:rFonts w:ascii="Times New Roman" w:hAnsi="Times New Roman" w:cs="Times New Roman"/>
          <w:sz w:val="24"/>
          <w:szCs w:val="24"/>
          <w:lang w:val="es-419" w:eastAsia="pt-BR"/>
        </w:rPr>
      </w:pPr>
    </w:p>
    <w:p w14:paraId="545F28D9" w14:textId="1FAD1132" w:rsidR="00155CF9" w:rsidRPr="00125867" w:rsidRDefault="00155CF9" w:rsidP="005E04E0">
      <w:pPr>
        <w:rPr>
          <w:rFonts w:ascii="Times New Roman" w:hAnsi="Times New Roman" w:cs="Times New Roman"/>
          <w:sz w:val="24"/>
          <w:szCs w:val="24"/>
          <w:lang w:val="es-419" w:eastAsia="pt-BR"/>
        </w:rPr>
      </w:pPr>
    </w:p>
    <w:p w14:paraId="20560E02" w14:textId="37C931EB" w:rsidR="001D26A8" w:rsidRPr="00125867" w:rsidRDefault="008F5642" w:rsidP="008F5642">
      <w:pPr>
        <w:jc w:val="center"/>
        <w:rPr>
          <w:rFonts w:ascii="Times New Roman" w:hAnsi="Times New Roman" w:cs="Times New Roman"/>
          <w:b/>
          <w:bCs/>
          <w:sz w:val="24"/>
          <w:szCs w:val="24"/>
          <w:lang w:val="es-419" w:eastAsia="pt-BR"/>
        </w:rPr>
      </w:pPr>
      <w:r w:rsidRPr="008F5642">
        <w:rPr>
          <w:rFonts w:ascii="Times New Roman" w:hAnsi="Times New Roman" w:cs="Times New Roman"/>
          <w:b/>
          <w:bCs/>
          <w:sz w:val="24"/>
          <w:szCs w:val="24"/>
          <w:lang w:val="es-419" w:eastAsia="pt-BR"/>
        </w:rPr>
        <w:t>INFORME SOBRE LA PRODUCCIÓN DE DATOS ESTADÍSTICOS DEL ESTADO BRASILEÑO PARA CUMPLIR CON LAS RECOMENDACIONES DEL COMITÉ CEDAW</w:t>
      </w:r>
    </w:p>
    <w:p w14:paraId="4F661AD4" w14:textId="77777777" w:rsidR="0052458F" w:rsidRPr="00125867" w:rsidRDefault="0052458F" w:rsidP="0052458F">
      <w:pPr>
        <w:rPr>
          <w:rFonts w:ascii="Times New Roman" w:hAnsi="Times New Roman" w:cs="Times New Roman"/>
          <w:sz w:val="24"/>
          <w:szCs w:val="24"/>
          <w:lang w:val="es-419" w:eastAsia="pt-BR"/>
        </w:rPr>
      </w:pPr>
    </w:p>
    <w:p w14:paraId="3B77ED99" w14:textId="77777777" w:rsidR="0052458F" w:rsidRPr="00125867" w:rsidRDefault="0052458F" w:rsidP="0052458F">
      <w:pPr>
        <w:rPr>
          <w:rFonts w:ascii="Times New Roman" w:hAnsi="Times New Roman" w:cs="Times New Roman"/>
          <w:sz w:val="24"/>
          <w:szCs w:val="24"/>
          <w:lang w:val="es-419" w:eastAsia="pt-BR"/>
        </w:rPr>
      </w:pPr>
    </w:p>
    <w:p w14:paraId="2DE59F96" w14:textId="21BE16BD" w:rsidR="0052458F" w:rsidRPr="00125867" w:rsidRDefault="0052458F" w:rsidP="000463FA">
      <w:pPr>
        <w:jc w:val="right"/>
        <w:rPr>
          <w:rFonts w:ascii="Times New Roman" w:hAnsi="Times New Roman" w:cs="Times New Roman"/>
          <w:sz w:val="24"/>
          <w:szCs w:val="24"/>
          <w:lang w:val="es-419" w:eastAsia="pt-BR"/>
        </w:rPr>
      </w:pPr>
      <w:r w:rsidRPr="00125867">
        <w:rPr>
          <w:rFonts w:ascii="Times New Roman" w:hAnsi="Times New Roman" w:cs="Times New Roman"/>
          <w:sz w:val="24"/>
          <w:szCs w:val="24"/>
          <w:lang w:val="es-419" w:eastAsia="pt-BR"/>
        </w:rPr>
        <w:t>AUTOR</w:t>
      </w:r>
      <w:r w:rsidR="00B46540">
        <w:rPr>
          <w:rFonts w:ascii="Times New Roman" w:hAnsi="Times New Roman" w:cs="Times New Roman"/>
          <w:sz w:val="24"/>
          <w:szCs w:val="24"/>
          <w:lang w:val="es-419" w:eastAsia="pt-BR"/>
        </w:rPr>
        <w:t>Í</w:t>
      </w:r>
      <w:r w:rsidRPr="00125867">
        <w:rPr>
          <w:rFonts w:ascii="Times New Roman" w:hAnsi="Times New Roman" w:cs="Times New Roman"/>
          <w:sz w:val="24"/>
          <w:szCs w:val="24"/>
          <w:lang w:val="es-419" w:eastAsia="pt-BR"/>
        </w:rPr>
        <w:t>A: Dra. Gabriela M. Kyrillos</w:t>
      </w:r>
      <w:r w:rsidR="00B54D8E" w:rsidRPr="00125867">
        <w:rPr>
          <w:rStyle w:val="Refdenotaderodap"/>
          <w:rFonts w:ascii="Times New Roman" w:hAnsi="Times New Roman" w:cs="Times New Roman"/>
          <w:sz w:val="24"/>
          <w:szCs w:val="24"/>
          <w:lang w:val="es-419" w:eastAsia="pt-BR"/>
        </w:rPr>
        <w:footnoteReference w:id="1"/>
      </w:r>
    </w:p>
    <w:p w14:paraId="5D2813CF" w14:textId="5338D2E2" w:rsidR="0052458F" w:rsidRPr="00125867" w:rsidRDefault="0052458F" w:rsidP="000463FA">
      <w:pPr>
        <w:pStyle w:val="Ttulo2"/>
        <w:numPr>
          <w:ilvl w:val="0"/>
          <w:numId w:val="0"/>
        </w:numPr>
        <w:jc w:val="right"/>
        <w:rPr>
          <w:rFonts w:cs="Times New Roman"/>
          <w:sz w:val="24"/>
          <w:szCs w:val="24"/>
          <w:shd w:val="clear" w:color="auto" w:fill="FFFFFF"/>
          <w:lang w:val="es-419"/>
        </w:rPr>
      </w:pPr>
      <w:r w:rsidRPr="00125867">
        <w:rPr>
          <w:rFonts w:cs="Times New Roman"/>
          <w:sz w:val="24"/>
          <w:szCs w:val="24"/>
          <w:shd w:val="clear" w:color="auto" w:fill="FFFFFF"/>
          <w:lang w:val="es-419"/>
        </w:rPr>
        <w:t xml:space="preserve">ESTADO-PARTE: </w:t>
      </w:r>
      <w:r w:rsidRPr="00125867">
        <w:rPr>
          <w:rFonts w:cs="Times New Roman"/>
          <w:b/>
          <w:bCs w:val="0"/>
          <w:sz w:val="24"/>
          <w:szCs w:val="24"/>
          <w:shd w:val="clear" w:color="auto" w:fill="FFFFFF"/>
          <w:lang w:val="es-419"/>
        </w:rPr>
        <w:t>Brasil</w:t>
      </w:r>
    </w:p>
    <w:p w14:paraId="60964FF7" w14:textId="77777777" w:rsidR="001B3143" w:rsidRPr="00125867" w:rsidRDefault="001B3143" w:rsidP="000463FA">
      <w:pPr>
        <w:jc w:val="right"/>
        <w:rPr>
          <w:rFonts w:ascii="Times New Roman" w:hAnsi="Times New Roman" w:cs="Times New Roman"/>
          <w:sz w:val="24"/>
          <w:szCs w:val="24"/>
          <w:lang w:val="es-419" w:eastAsia="pt-BR"/>
        </w:rPr>
      </w:pPr>
    </w:p>
    <w:p w14:paraId="66062EC0" w14:textId="24967B67" w:rsidR="0052458F" w:rsidRPr="00125867" w:rsidRDefault="0052458F" w:rsidP="000463FA">
      <w:pPr>
        <w:jc w:val="right"/>
        <w:rPr>
          <w:rFonts w:ascii="Times New Roman" w:hAnsi="Times New Roman" w:cs="Times New Roman"/>
          <w:sz w:val="24"/>
          <w:szCs w:val="24"/>
          <w:lang w:val="es-419" w:eastAsia="pt-BR"/>
        </w:rPr>
      </w:pPr>
      <w:r w:rsidRPr="00125867">
        <w:rPr>
          <w:rFonts w:ascii="Times New Roman" w:hAnsi="Times New Roman" w:cs="Times New Roman"/>
          <w:sz w:val="24"/>
          <w:szCs w:val="24"/>
          <w:lang w:val="es-419" w:eastAsia="pt-BR"/>
        </w:rPr>
        <w:t xml:space="preserve">Documento </w:t>
      </w:r>
      <w:r w:rsidR="00762B4F">
        <w:rPr>
          <w:rFonts w:ascii="Times New Roman" w:hAnsi="Times New Roman" w:cs="Times New Roman"/>
          <w:sz w:val="24"/>
          <w:szCs w:val="24"/>
          <w:u w:val="single"/>
          <w:lang w:val="es-419" w:eastAsia="pt-BR"/>
        </w:rPr>
        <w:t>no</w:t>
      </w:r>
      <w:r w:rsidRPr="00125867">
        <w:rPr>
          <w:rFonts w:ascii="Times New Roman" w:hAnsi="Times New Roman" w:cs="Times New Roman"/>
          <w:sz w:val="24"/>
          <w:szCs w:val="24"/>
          <w:lang w:val="es-419" w:eastAsia="pt-BR"/>
        </w:rPr>
        <w:t xml:space="preserve"> confidencial</w:t>
      </w:r>
    </w:p>
    <w:p w14:paraId="3CAE83CD" w14:textId="0E032C76" w:rsidR="001D26A8" w:rsidRPr="00125867" w:rsidRDefault="001D26A8" w:rsidP="005E04E0">
      <w:pPr>
        <w:rPr>
          <w:rFonts w:ascii="Times New Roman" w:hAnsi="Times New Roman" w:cs="Times New Roman"/>
          <w:b/>
          <w:bCs/>
          <w:sz w:val="24"/>
          <w:szCs w:val="24"/>
          <w:lang w:val="es-419" w:eastAsia="pt-BR"/>
        </w:rPr>
      </w:pPr>
    </w:p>
    <w:p w14:paraId="2ACD6E4E" w14:textId="4AB2E78A" w:rsidR="001D26A8" w:rsidRPr="00125867" w:rsidRDefault="001D26A8" w:rsidP="005E04E0">
      <w:pPr>
        <w:rPr>
          <w:rFonts w:ascii="Times New Roman" w:hAnsi="Times New Roman" w:cs="Times New Roman"/>
          <w:b/>
          <w:bCs/>
          <w:sz w:val="24"/>
          <w:szCs w:val="24"/>
          <w:lang w:val="es-419" w:eastAsia="pt-BR"/>
        </w:rPr>
      </w:pPr>
    </w:p>
    <w:p w14:paraId="0BE5DA84" w14:textId="0BFCB7FF" w:rsidR="000463FA" w:rsidRPr="00125867" w:rsidRDefault="000463FA" w:rsidP="005E04E0">
      <w:pPr>
        <w:rPr>
          <w:rFonts w:ascii="Times New Roman" w:hAnsi="Times New Roman" w:cs="Times New Roman"/>
          <w:b/>
          <w:bCs/>
          <w:sz w:val="24"/>
          <w:szCs w:val="24"/>
          <w:lang w:val="es-419" w:eastAsia="pt-BR"/>
        </w:rPr>
      </w:pPr>
    </w:p>
    <w:p w14:paraId="792B7465" w14:textId="77777777" w:rsidR="000463FA" w:rsidRPr="00125867" w:rsidRDefault="000463FA" w:rsidP="005E04E0">
      <w:pPr>
        <w:rPr>
          <w:rFonts w:ascii="Times New Roman" w:hAnsi="Times New Roman" w:cs="Times New Roman"/>
          <w:b/>
          <w:bCs/>
          <w:sz w:val="24"/>
          <w:szCs w:val="24"/>
          <w:lang w:val="es-419" w:eastAsia="pt-BR"/>
        </w:rPr>
      </w:pPr>
    </w:p>
    <w:p w14:paraId="6BF8B2AD" w14:textId="6EC18645" w:rsidR="001D26A8" w:rsidRPr="00125867" w:rsidRDefault="001D26A8" w:rsidP="005E04E0">
      <w:pPr>
        <w:rPr>
          <w:rFonts w:ascii="Times New Roman" w:hAnsi="Times New Roman" w:cs="Times New Roman"/>
          <w:b/>
          <w:bCs/>
          <w:sz w:val="24"/>
          <w:szCs w:val="24"/>
          <w:lang w:val="es-419" w:eastAsia="pt-BR"/>
        </w:rPr>
      </w:pPr>
    </w:p>
    <w:p w14:paraId="1148F96F" w14:textId="77777777" w:rsidR="000463FA" w:rsidRPr="00125867" w:rsidRDefault="000463FA" w:rsidP="005E04E0">
      <w:pPr>
        <w:rPr>
          <w:rFonts w:ascii="Times New Roman" w:hAnsi="Times New Roman" w:cs="Times New Roman"/>
          <w:b/>
          <w:bCs/>
          <w:sz w:val="24"/>
          <w:szCs w:val="24"/>
          <w:lang w:val="es-419" w:eastAsia="pt-BR"/>
        </w:rPr>
      </w:pPr>
    </w:p>
    <w:p w14:paraId="4E5CA0ED" w14:textId="77777777" w:rsidR="000463FA" w:rsidRPr="00125867" w:rsidRDefault="000463FA" w:rsidP="005E04E0">
      <w:pPr>
        <w:rPr>
          <w:rFonts w:ascii="Times New Roman" w:hAnsi="Times New Roman" w:cs="Times New Roman"/>
          <w:b/>
          <w:bCs/>
          <w:sz w:val="24"/>
          <w:szCs w:val="24"/>
          <w:lang w:val="es-419" w:eastAsia="pt-BR"/>
        </w:rPr>
      </w:pPr>
    </w:p>
    <w:p w14:paraId="6DC6EE36" w14:textId="03AD776C" w:rsidR="001D26A8" w:rsidRPr="00125867" w:rsidRDefault="001D26A8" w:rsidP="005E04E0">
      <w:pPr>
        <w:rPr>
          <w:rFonts w:ascii="Times New Roman" w:hAnsi="Times New Roman" w:cs="Times New Roman"/>
          <w:b/>
          <w:bCs/>
          <w:sz w:val="24"/>
          <w:szCs w:val="24"/>
          <w:lang w:val="es-419" w:eastAsia="pt-BR"/>
        </w:rPr>
      </w:pPr>
    </w:p>
    <w:p w14:paraId="30CB09A1" w14:textId="3EF7EFD9" w:rsidR="001D26A8" w:rsidRPr="00125867" w:rsidRDefault="001D26A8" w:rsidP="000463FA">
      <w:pPr>
        <w:jc w:val="center"/>
        <w:rPr>
          <w:rFonts w:ascii="Times New Roman" w:hAnsi="Times New Roman" w:cs="Times New Roman"/>
          <w:sz w:val="24"/>
          <w:szCs w:val="24"/>
          <w:lang w:val="es-419" w:eastAsia="pt-BR"/>
        </w:rPr>
      </w:pPr>
      <w:r w:rsidRPr="00125867">
        <w:rPr>
          <w:rFonts w:ascii="Times New Roman" w:hAnsi="Times New Roman" w:cs="Times New Roman"/>
          <w:sz w:val="24"/>
          <w:szCs w:val="24"/>
          <w:lang w:val="es-419" w:eastAsia="pt-BR"/>
        </w:rPr>
        <w:t xml:space="preserve">Brasil, </w:t>
      </w:r>
      <w:r w:rsidR="00762B4F" w:rsidRPr="00125867">
        <w:rPr>
          <w:rFonts w:ascii="Times New Roman" w:hAnsi="Times New Roman" w:cs="Times New Roman"/>
          <w:sz w:val="24"/>
          <w:szCs w:val="24"/>
          <w:lang w:val="es-419" w:eastAsia="pt-BR"/>
        </w:rPr>
        <w:t>octubre</w:t>
      </w:r>
      <w:r w:rsidRPr="00125867">
        <w:rPr>
          <w:rFonts w:ascii="Times New Roman" w:hAnsi="Times New Roman" w:cs="Times New Roman"/>
          <w:sz w:val="24"/>
          <w:szCs w:val="24"/>
          <w:lang w:val="es-419" w:eastAsia="pt-BR"/>
        </w:rPr>
        <w:t xml:space="preserve"> de 2020.</w:t>
      </w:r>
    </w:p>
    <w:bookmarkEnd w:id="0"/>
    <w:p w14:paraId="168A376A" w14:textId="033D8398" w:rsidR="00026AE6" w:rsidRDefault="00F83680" w:rsidP="00B4556D">
      <w:pPr>
        <w:jc w:val="both"/>
        <w:rPr>
          <w:rFonts w:ascii="Times New Roman" w:hAnsi="Times New Roman" w:cs="Times New Roman"/>
          <w:b/>
          <w:bCs/>
          <w:sz w:val="24"/>
          <w:szCs w:val="24"/>
          <w:lang w:val="es-419" w:eastAsia="pt-BR"/>
        </w:rPr>
      </w:pPr>
      <w:r w:rsidRPr="008F5642">
        <w:rPr>
          <w:rFonts w:ascii="Times New Roman" w:hAnsi="Times New Roman" w:cs="Times New Roman"/>
          <w:b/>
          <w:bCs/>
          <w:sz w:val="24"/>
          <w:szCs w:val="24"/>
          <w:lang w:val="es-419" w:eastAsia="pt-BR"/>
        </w:rPr>
        <w:lastRenderedPageBreak/>
        <w:t>SOBRE LA PRODUCCIÓN DE DATOS ESTADÍSTICOS DEL ESTADO BRASILEÑO PARA CUMPLIR CON LAS RECOMENDACIONES DEL COMITÉ CEDAW</w:t>
      </w:r>
    </w:p>
    <w:p w14:paraId="69EE0EC5" w14:textId="77777777" w:rsidR="00F83680" w:rsidRPr="00125867" w:rsidRDefault="00F83680" w:rsidP="00B4556D">
      <w:pPr>
        <w:jc w:val="both"/>
        <w:rPr>
          <w:rFonts w:ascii="Times New Roman" w:hAnsi="Times New Roman" w:cs="Times New Roman"/>
          <w:sz w:val="24"/>
          <w:szCs w:val="24"/>
          <w:lang w:val="es-419" w:eastAsia="pt-BR"/>
        </w:rPr>
      </w:pPr>
    </w:p>
    <w:p w14:paraId="791DC0DE" w14:textId="1D47F517" w:rsidR="0025224C" w:rsidRPr="00125867" w:rsidRDefault="00CD2359" w:rsidP="00CE7C09">
      <w:pPr>
        <w:jc w:val="both"/>
        <w:rPr>
          <w:rFonts w:ascii="Times New Roman" w:hAnsi="Times New Roman" w:cs="Times New Roman"/>
          <w:sz w:val="24"/>
          <w:szCs w:val="24"/>
          <w:lang w:val="es-419" w:eastAsia="pt-BR"/>
        </w:rPr>
      </w:pPr>
      <w:r w:rsidRPr="00CD2359">
        <w:rPr>
          <w:rFonts w:ascii="Times New Roman" w:hAnsi="Times New Roman" w:cs="Times New Roman"/>
          <w:sz w:val="24"/>
          <w:szCs w:val="24"/>
          <w:lang w:val="es-419" w:eastAsia="pt-BR"/>
        </w:rPr>
        <w:t xml:space="preserve">Considerando el análisis exhaustivo de todos los informes y respuestas que el Estado brasileño envió al Comité CEDAW en </w:t>
      </w:r>
      <w:r w:rsidR="000044DB">
        <w:rPr>
          <w:rFonts w:ascii="Times New Roman" w:hAnsi="Times New Roman" w:cs="Times New Roman"/>
          <w:sz w:val="24"/>
          <w:szCs w:val="24"/>
          <w:lang w:val="es-419" w:eastAsia="pt-BR"/>
        </w:rPr>
        <w:t>procesos</w:t>
      </w:r>
      <w:r w:rsidRPr="00CD2359">
        <w:rPr>
          <w:rFonts w:ascii="Times New Roman" w:hAnsi="Times New Roman" w:cs="Times New Roman"/>
          <w:sz w:val="24"/>
          <w:szCs w:val="24"/>
          <w:lang w:val="es-419" w:eastAsia="pt-BR"/>
        </w:rPr>
        <w:t xml:space="preserve"> anteriores </w:t>
      </w:r>
      <w:r>
        <w:rPr>
          <w:rFonts w:ascii="Times New Roman" w:hAnsi="Times New Roman" w:cs="Times New Roman"/>
          <w:sz w:val="24"/>
          <w:szCs w:val="24"/>
          <w:lang w:val="es-419" w:eastAsia="pt-BR"/>
        </w:rPr>
        <w:t xml:space="preserve">– </w:t>
      </w:r>
      <w:r w:rsidRPr="00CD2359">
        <w:rPr>
          <w:rFonts w:ascii="Times New Roman" w:hAnsi="Times New Roman" w:cs="Times New Roman"/>
          <w:sz w:val="24"/>
          <w:szCs w:val="24"/>
          <w:lang w:val="es-419" w:eastAsia="pt-BR"/>
        </w:rPr>
        <w:t>los primeros cinco Informes estatales brasileños enviados en 2002, VI Informe en 2005 y VII Informe en 2010</w:t>
      </w:r>
      <w:r w:rsidR="00715A15" w:rsidRPr="00125867">
        <w:rPr>
          <w:rFonts w:ascii="Times New Roman" w:hAnsi="Times New Roman" w:cs="Times New Roman"/>
          <w:sz w:val="24"/>
          <w:szCs w:val="24"/>
          <w:lang w:val="es-419" w:eastAsia="pt-BR"/>
        </w:rPr>
        <w:t xml:space="preserve"> </w:t>
      </w:r>
      <w:r w:rsidR="00450F50" w:rsidRPr="00125867">
        <w:rPr>
          <w:rFonts w:ascii="Times New Roman" w:hAnsi="Times New Roman" w:cs="Times New Roman"/>
          <w:sz w:val="24"/>
          <w:szCs w:val="24"/>
          <w:lang w:val="es-419" w:eastAsia="pt-BR"/>
        </w:rPr>
        <w:fldChar w:fldCharType="begin"/>
      </w:r>
      <w:r w:rsidR="00450F50" w:rsidRPr="00125867">
        <w:rPr>
          <w:rFonts w:ascii="Times New Roman" w:hAnsi="Times New Roman" w:cs="Times New Roman"/>
          <w:sz w:val="24"/>
          <w:szCs w:val="24"/>
          <w:lang w:val="es-419" w:eastAsia="pt-BR"/>
        </w:rPr>
        <w:instrText xml:space="preserve"> ADDIN ZOTERO_ITEM CSL_CITATION {"citationID":"NmrW8Ump","properties":{"formattedCitation":"(KYRILLOS, 2018)","plainCitation":"(KYRILLOS, 2018)","noteIndex":0},"citationItems":[{"id":567,"uris":["http://zotero.org/users/6847824/items/MVTVA8IT"],"uri":["http://zotero.org/users/6847824/items/MVTVA8IT"],"itemData":{"id":567,"type":"thesis","event-place":"Florianópolis","language":"pt","number-of-pages":"289","publisher":"Universidade Federal de Santa Catarina","publisher-place":"Florianópolis","source":"Zotero","title":"OS DIREITOS HUMANOS DAS MULHERES NO BRASIL A PARTIR DE UMA ANÁLISE INTERSECCIONAL DE GÊNERO E RAÇA SOBRE A EFICÁCIA DA CONVENÇÃO PARA A ELIMINAÇÃO DE TODAS AS FORMAS DE DISCRIMINAÇÃO CONTRA A MULHER (CEDAW)","author":[{"family":"Kyrillos","given":"Gabriela de Moraes"}],"issued":{"date-parts":[["2018"]]}}}],"schema":"https://github.com/citation-style-language/schema/raw/master/csl-citation.json"} </w:instrText>
      </w:r>
      <w:r w:rsidR="00450F50" w:rsidRPr="00125867">
        <w:rPr>
          <w:rFonts w:ascii="Times New Roman" w:hAnsi="Times New Roman" w:cs="Times New Roman"/>
          <w:sz w:val="24"/>
          <w:szCs w:val="24"/>
          <w:lang w:val="es-419" w:eastAsia="pt-BR"/>
        </w:rPr>
        <w:fldChar w:fldCharType="separate"/>
      </w:r>
      <w:r w:rsidR="00450F50" w:rsidRPr="00125867">
        <w:rPr>
          <w:rFonts w:ascii="Times New Roman" w:hAnsi="Times New Roman" w:cs="Times New Roman"/>
          <w:sz w:val="24"/>
          <w:lang w:val="es-419"/>
        </w:rPr>
        <w:t>(KYRILLOS, 2018)</w:t>
      </w:r>
      <w:r w:rsidR="00450F50" w:rsidRPr="00125867">
        <w:rPr>
          <w:rFonts w:ascii="Times New Roman" w:hAnsi="Times New Roman" w:cs="Times New Roman"/>
          <w:sz w:val="24"/>
          <w:szCs w:val="24"/>
          <w:lang w:val="es-419" w:eastAsia="pt-BR"/>
        </w:rPr>
        <w:fldChar w:fldCharType="end"/>
      </w:r>
      <w:r w:rsidR="00917348" w:rsidRPr="00125867">
        <w:rPr>
          <w:rFonts w:ascii="Times New Roman" w:hAnsi="Times New Roman" w:cs="Times New Roman"/>
          <w:sz w:val="24"/>
          <w:szCs w:val="24"/>
          <w:lang w:val="es-419" w:eastAsia="pt-BR"/>
        </w:rPr>
        <w:t xml:space="preserve">. </w:t>
      </w:r>
    </w:p>
    <w:p w14:paraId="324A1701" w14:textId="5A48A420" w:rsidR="008F1330" w:rsidRDefault="008F1330" w:rsidP="004E64C7">
      <w:pPr>
        <w:jc w:val="both"/>
        <w:rPr>
          <w:rFonts w:ascii="Times New Roman" w:hAnsi="Times New Roman" w:cs="Times New Roman"/>
          <w:sz w:val="24"/>
          <w:szCs w:val="24"/>
          <w:lang w:val="es-419" w:eastAsia="pt-BR"/>
        </w:rPr>
      </w:pPr>
      <w:r w:rsidRPr="008F1330">
        <w:rPr>
          <w:rFonts w:ascii="Times New Roman" w:hAnsi="Times New Roman" w:cs="Times New Roman"/>
          <w:sz w:val="24"/>
          <w:szCs w:val="24"/>
          <w:lang w:val="es-419" w:eastAsia="pt-BR"/>
        </w:rPr>
        <w:t xml:space="preserve">Considerando con preocupación los recientes cambios gubernamentales en el país. En particular, la extinción de la Secretaría de Política para la Mujer (SPM) y la Secretaría de Políticas para la Promoción de la Igualdad Racial (SEPPIR). Y la reducción a partir de 2020 de </w:t>
      </w:r>
      <w:r w:rsidR="00500877">
        <w:rPr>
          <w:rFonts w:ascii="Times New Roman" w:hAnsi="Times New Roman" w:cs="Times New Roman"/>
          <w:sz w:val="24"/>
          <w:szCs w:val="24"/>
          <w:lang w:val="es-419" w:eastAsia="pt-BR"/>
        </w:rPr>
        <w:t>l</w:t>
      </w:r>
      <w:r w:rsidR="00977C8D">
        <w:rPr>
          <w:rFonts w:ascii="Times New Roman" w:hAnsi="Times New Roman" w:cs="Times New Roman"/>
          <w:sz w:val="24"/>
          <w:szCs w:val="24"/>
          <w:lang w:val="es-419" w:eastAsia="pt-BR"/>
        </w:rPr>
        <w:t xml:space="preserve">as categorías del censo demográfico </w:t>
      </w:r>
      <w:r w:rsidRPr="008F1330">
        <w:rPr>
          <w:rFonts w:ascii="Times New Roman" w:hAnsi="Times New Roman" w:cs="Times New Roman"/>
          <w:sz w:val="24"/>
          <w:szCs w:val="24"/>
          <w:lang w:val="es-419" w:eastAsia="pt-BR"/>
        </w:rPr>
        <w:t>brasileño promovido por el Instituto Brasileño de Geografía y Estadística (IBGE).</w:t>
      </w:r>
    </w:p>
    <w:p w14:paraId="39BEA856" w14:textId="76881A7B" w:rsidR="004E64C7" w:rsidRPr="00125867" w:rsidRDefault="00855C96" w:rsidP="004E64C7">
      <w:pPr>
        <w:jc w:val="both"/>
        <w:rPr>
          <w:rFonts w:ascii="Times New Roman" w:hAnsi="Times New Roman" w:cs="Times New Roman"/>
          <w:sz w:val="24"/>
          <w:szCs w:val="24"/>
          <w:lang w:val="es-419" w:eastAsia="pt-BR"/>
        </w:rPr>
      </w:pPr>
      <w:r w:rsidRPr="00855C96">
        <w:rPr>
          <w:rFonts w:ascii="Times New Roman" w:hAnsi="Times New Roman" w:cs="Times New Roman"/>
          <w:sz w:val="24"/>
          <w:szCs w:val="24"/>
          <w:lang w:val="es-419" w:eastAsia="pt-BR"/>
        </w:rPr>
        <w:t xml:space="preserve">Considerando la importancia de la interseccionalidad en el campo de los derechos humanos internacionales, especialmente desde la Conferencia Mundial contra el Racismo, la Discriminación Racial, la Xenofobia y las Formas Conexas de Intolerancia, que tuvo lugar en Durban, Sudáfrica, en 2001 </w:t>
      </w:r>
      <w:r>
        <w:rPr>
          <w:rFonts w:ascii="Times New Roman" w:hAnsi="Times New Roman" w:cs="Times New Roman"/>
          <w:sz w:val="24"/>
          <w:szCs w:val="24"/>
          <w:lang w:val="es-419" w:eastAsia="pt-BR"/>
        </w:rPr>
        <w:t xml:space="preserve">– </w:t>
      </w:r>
      <w:r w:rsidRPr="00855C96">
        <w:rPr>
          <w:rFonts w:ascii="Times New Roman" w:hAnsi="Times New Roman" w:cs="Times New Roman"/>
          <w:sz w:val="24"/>
          <w:szCs w:val="24"/>
          <w:lang w:val="es-419" w:eastAsia="pt-BR"/>
        </w:rPr>
        <w:t xml:space="preserve">como </w:t>
      </w:r>
      <w:r>
        <w:rPr>
          <w:rFonts w:ascii="Times New Roman" w:hAnsi="Times New Roman" w:cs="Times New Roman"/>
          <w:sz w:val="24"/>
          <w:szCs w:val="24"/>
          <w:lang w:val="es-419" w:eastAsia="pt-BR"/>
        </w:rPr>
        <w:t>bien</w:t>
      </w:r>
      <w:r w:rsidRPr="00855C96">
        <w:rPr>
          <w:rFonts w:ascii="Times New Roman" w:hAnsi="Times New Roman" w:cs="Times New Roman"/>
          <w:sz w:val="24"/>
          <w:szCs w:val="24"/>
          <w:lang w:val="es-419" w:eastAsia="pt-BR"/>
        </w:rPr>
        <w:t xml:space="preserve"> analizó</w:t>
      </w:r>
      <w:r w:rsidR="009C57C3">
        <w:rPr>
          <w:rFonts w:ascii="Times New Roman" w:hAnsi="Times New Roman" w:cs="Times New Roman"/>
          <w:sz w:val="24"/>
          <w:szCs w:val="24"/>
          <w:lang w:val="es-419" w:eastAsia="pt-BR"/>
        </w:rPr>
        <w:t xml:space="preserve"> P</w:t>
      </w:r>
      <w:r w:rsidR="00EC79C2" w:rsidRPr="00125867">
        <w:rPr>
          <w:rFonts w:ascii="Times New Roman" w:hAnsi="Times New Roman" w:cs="Times New Roman"/>
          <w:sz w:val="24"/>
          <w:szCs w:val="24"/>
          <w:lang w:val="es-419" w:eastAsia="pt-BR"/>
        </w:rPr>
        <w:t xml:space="preserve">atricia Collins </w:t>
      </w:r>
      <w:r w:rsidR="009C57C3">
        <w:rPr>
          <w:rFonts w:ascii="Times New Roman" w:hAnsi="Times New Roman" w:cs="Times New Roman"/>
          <w:sz w:val="24"/>
          <w:szCs w:val="24"/>
          <w:lang w:val="es-419" w:eastAsia="pt-BR"/>
        </w:rPr>
        <w:t>y</w:t>
      </w:r>
      <w:r w:rsidR="00EC79C2" w:rsidRPr="00125867">
        <w:rPr>
          <w:rFonts w:ascii="Times New Roman" w:hAnsi="Times New Roman" w:cs="Times New Roman"/>
          <w:sz w:val="24"/>
          <w:szCs w:val="24"/>
          <w:lang w:val="es-419" w:eastAsia="pt-BR"/>
        </w:rPr>
        <w:t xml:space="preserve"> </w:t>
      </w:r>
      <w:proofErr w:type="spellStart"/>
      <w:r w:rsidR="00EC79C2" w:rsidRPr="00125867">
        <w:rPr>
          <w:rFonts w:ascii="Times New Roman" w:hAnsi="Times New Roman" w:cs="Times New Roman"/>
          <w:sz w:val="24"/>
          <w:szCs w:val="24"/>
          <w:lang w:val="es-419" w:eastAsia="pt-BR"/>
        </w:rPr>
        <w:t>Sirma</w:t>
      </w:r>
      <w:proofErr w:type="spellEnd"/>
      <w:r w:rsidR="00EC79C2" w:rsidRPr="00125867">
        <w:rPr>
          <w:rFonts w:ascii="Times New Roman" w:hAnsi="Times New Roman" w:cs="Times New Roman"/>
          <w:sz w:val="24"/>
          <w:szCs w:val="24"/>
          <w:lang w:val="es-419" w:eastAsia="pt-BR"/>
        </w:rPr>
        <w:t xml:space="preserve"> Bilge </w:t>
      </w:r>
      <w:r w:rsidR="00EC79C2" w:rsidRPr="00125867">
        <w:rPr>
          <w:rFonts w:ascii="Times New Roman" w:hAnsi="Times New Roman" w:cs="Times New Roman"/>
          <w:sz w:val="24"/>
          <w:szCs w:val="24"/>
          <w:lang w:val="es-419" w:eastAsia="pt-BR"/>
        </w:rPr>
        <w:fldChar w:fldCharType="begin"/>
      </w:r>
      <w:r w:rsidR="00B14160" w:rsidRPr="00125867">
        <w:rPr>
          <w:rFonts w:ascii="Times New Roman" w:hAnsi="Times New Roman" w:cs="Times New Roman"/>
          <w:sz w:val="24"/>
          <w:szCs w:val="24"/>
          <w:lang w:val="es-419" w:eastAsia="pt-BR"/>
        </w:rPr>
        <w:instrText xml:space="preserve"> ADDIN ZOTERO_ITEM CSL_CITATION {"citationID":"SDRK404U","properties":{"formattedCitation":"(COLLINS; BILGE, 2016)","plainCitation":"(COLLINS; BILGE, 2016)","dontUpdate":true,"noteIndex":0},"citationItems":[{"id":631,"uris":["http://zotero.org/users/6847824/items/SXGXP8LP"],"uri":["http://zotero.org/users/6847824/items/SXGXP8LP"],"itemData":{"id":631,"type":"book","archive_location":"Livro físico","collection-title":"Key Concepts Series","edition":"1","event-place":"Cambridge","ISBN":"978-0-7456-8448-2","language":"Inglês","number-of-pages":"249","publisher":"Polity Press","publisher-place":"Cambridge","title":"Intersectionality","title-short":"Intersectionality","volume":"1","author":[{"family":"Collins","given":"Patricia Hill"},{"family":"Bilge","given":"Sirma"}],"issued":{"date-parts":[["2016"]]}}}],"schema":"https://github.com/citation-style-language/schema/raw/master/csl-citation.json"} </w:instrText>
      </w:r>
      <w:r w:rsidR="00EC79C2" w:rsidRPr="00125867">
        <w:rPr>
          <w:rFonts w:ascii="Times New Roman" w:hAnsi="Times New Roman" w:cs="Times New Roman"/>
          <w:sz w:val="24"/>
          <w:szCs w:val="24"/>
          <w:lang w:val="es-419" w:eastAsia="pt-BR"/>
        </w:rPr>
        <w:fldChar w:fldCharType="separate"/>
      </w:r>
      <w:r w:rsidR="00EC79C2" w:rsidRPr="00125867">
        <w:rPr>
          <w:rFonts w:ascii="Times New Roman" w:hAnsi="Times New Roman" w:cs="Times New Roman"/>
          <w:sz w:val="24"/>
          <w:lang w:val="es-419"/>
        </w:rPr>
        <w:t>(2016)</w:t>
      </w:r>
      <w:r w:rsidR="00EC79C2" w:rsidRPr="00125867">
        <w:rPr>
          <w:rFonts w:ascii="Times New Roman" w:hAnsi="Times New Roman" w:cs="Times New Roman"/>
          <w:sz w:val="24"/>
          <w:szCs w:val="24"/>
          <w:lang w:val="es-419" w:eastAsia="pt-BR"/>
        </w:rPr>
        <w:fldChar w:fldCharType="end"/>
      </w:r>
      <w:r w:rsidR="00E03F89" w:rsidRPr="00125867">
        <w:rPr>
          <w:rFonts w:ascii="Times New Roman" w:hAnsi="Times New Roman" w:cs="Times New Roman"/>
          <w:sz w:val="24"/>
          <w:szCs w:val="24"/>
          <w:lang w:val="es-419" w:eastAsia="pt-BR"/>
        </w:rPr>
        <w:t>,</w:t>
      </w:r>
      <w:r w:rsidR="004E7F67" w:rsidRPr="00125867">
        <w:rPr>
          <w:rFonts w:ascii="Times New Roman" w:hAnsi="Times New Roman" w:cs="Times New Roman"/>
          <w:sz w:val="24"/>
          <w:szCs w:val="24"/>
          <w:lang w:val="es-419" w:eastAsia="pt-BR"/>
        </w:rPr>
        <w:t xml:space="preserve"> Kimberl</w:t>
      </w:r>
      <w:r w:rsidR="00B32D25" w:rsidRPr="00125867">
        <w:rPr>
          <w:rFonts w:ascii="Times New Roman" w:hAnsi="Times New Roman" w:cs="Times New Roman"/>
          <w:sz w:val="24"/>
          <w:szCs w:val="24"/>
          <w:lang w:val="es-419" w:eastAsia="pt-BR"/>
        </w:rPr>
        <w:t>é</w:t>
      </w:r>
      <w:r w:rsidR="003C59BC" w:rsidRPr="00125867">
        <w:rPr>
          <w:rFonts w:ascii="Times New Roman" w:hAnsi="Times New Roman" w:cs="Times New Roman"/>
          <w:sz w:val="24"/>
          <w:szCs w:val="24"/>
          <w:lang w:val="es-419" w:eastAsia="pt-BR"/>
        </w:rPr>
        <w:t xml:space="preserve"> Crenshaw </w:t>
      </w:r>
      <w:r w:rsidR="004C5B73" w:rsidRPr="00125867">
        <w:rPr>
          <w:rFonts w:ascii="Times New Roman" w:hAnsi="Times New Roman" w:cs="Times New Roman"/>
          <w:sz w:val="24"/>
          <w:szCs w:val="24"/>
          <w:lang w:val="es-419" w:eastAsia="pt-BR"/>
        </w:rPr>
        <w:fldChar w:fldCharType="begin"/>
      </w:r>
      <w:r w:rsidR="004C5B73" w:rsidRPr="00125867">
        <w:rPr>
          <w:rFonts w:ascii="Times New Roman" w:hAnsi="Times New Roman" w:cs="Times New Roman"/>
          <w:sz w:val="24"/>
          <w:szCs w:val="24"/>
          <w:lang w:val="es-419" w:eastAsia="pt-BR"/>
        </w:rPr>
        <w:instrText xml:space="preserve"> ADDIN ZOTERO_ITEM CSL_CITATION {"citationID":"UczvMDTQ","properties":{"formattedCitation":"(CRENSHAW, 2002)","plainCitation":"(CRENSHAW, 2002)","noteIndex":0},"citationItems":[{"id":584,"uris":["http://zotero.org/users/6847824/items/5PHSXMW5"],"uri":["http://zotero.org/users/6847824/items/5PHSXMW5"],"itemData":{"id":584,"type":"article-journal","container-title":"Revista Estudos Feministas","DOI":"10.1590/S0104-026X2002000100011","ISSN":"0104-026X","issue":"1","language":"pt","note":"publisher: Revista Estudos Feministas","page":"171-188","source":"SciELO","title":"Documento para o encontro de especialistas em aspectos da discriminação racial relativos ao gênero","volume":"10","author":[{"family":"Crenshaw","given":"Kimberlé"}],"issued":{"date-parts":[["2002",1]]}}}],"schema":"https://github.com/citation-style-language/schema/raw/master/csl-citation.json"} </w:instrText>
      </w:r>
      <w:r w:rsidR="004C5B73" w:rsidRPr="00125867">
        <w:rPr>
          <w:rFonts w:ascii="Times New Roman" w:hAnsi="Times New Roman" w:cs="Times New Roman"/>
          <w:sz w:val="24"/>
          <w:szCs w:val="24"/>
          <w:lang w:val="es-419" w:eastAsia="pt-BR"/>
        </w:rPr>
        <w:fldChar w:fldCharType="separate"/>
      </w:r>
      <w:r w:rsidR="004C5B73" w:rsidRPr="00125867">
        <w:rPr>
          <w:rFonts w:ascii="Times New Roman" w:hAnsi="Times New Roman" w:cs="Times New Roman"/>
          <w:sz w:val="24"/>
          <w:lang w:val="es-419"/>
        </w:rPr>
        <w:t>(2002)</w:t>
      </w:r>
      <w:r w:rsidR="004C5B73" w:rsidRPr="00125867">
        <w:rPr>
          <w:rFonts w:ascii="Times New Roman" w:hAnsi="Times New Roman" w:cs="Times New Roman"/>
          <w:sz w:val="24"/>
          <w:szCs w:val="24"/>
          <w:lang w:val="es-419" w:eastAsia="pt-BR"/>
        </w:rPr>
        <w:fldChar w:fldCharType="end"/>
      </w:r>
      <w:r w:rsidR="00B32D25" w:rsidRPr="00125867">
        <w:rPr>
          <w:rFonts w:ascii="Times New Roman" w:hAnsi="Times New Roman" w:cs="Times New Roman"/>
          <w:sz w:val="24"/>
          <w:szCs w:val="24"/>
          <w:lang w:val="es-419" w:eastAsia="pt-BR"/>
        </w:rPr>
        <w:t>,</w:t>
      </w:r>
      <w:r w:rsidR="00EC79C2" w:rsidRPr="00125867">
        <w:rPr>
          <w:rFonts w:ascii="Times New Roman" w:hAnsi="Times New Roman" w:cs="Times New Roman"/>
          <w:sz w:val="24"/>
          <w:szCs w:val="24"/>
          <w:lang w:val="es-419" w:eastAsia="pt-BR"/>
        </w:rPr>
        <w:t xml:space="preserve"> </w:t>
      </w:r>
      <w:proofErr w:type="spellStart"/>
      <w:r w:rsidR="00EC79C2" w:rsidRPr="00125867">
        <w:rPr>
          <w:rFonts w:ascii="Times New Roman" w:hAnsi="Times New Roman" w:cs="Times New Roman"/>
          <w:sz w:val="24"/>
          <w:szCs w:val="24"/>
          <w:lang w:val="es-419" w:eastAsia="pt-BR"/>
        </w:rPr>
        <w:t>Maylei</w:t>
      </w:r>
      <w:proofErr w:type="spellEnd"/>
      <w:r w:rsidR="00E03F89" w:rsidRPr="00125867">
        <w:rPr>
          <w:rFonts w:ascii="Times New Roman" w:hAnsi="Times New Roman" w:cs="Times New Roman"/>
          <w:sz w:val="24"/>
          <w:szCs w:val="24"/>
          <w:lang w:val="es-419" w:eastAsia="pt-BR"/>
        </w:rPr>
        <w:t xml:space="preserve"> Blackwell </w:t>
      </w:r>
      <w:r w:rsidR="009C57C3">
        <w:rPr>
          <w:rFonts w:ascii="Times New Roman" w:hAnsi="Times New Roman" w:cs="Times New Roman"/>
          <w:sz w:val="24"/>
          <w:szCs w:val="24"/>
          <w:lang w:val="es-419" w:eastAsia="pt-BR"/>
        </w:rPr>
        <w:t>y</w:t>
      </w:r>
      <w:r w:rsidR="00E03F89" w:rsidRPr="00125867">
        <w:rPr>
          <w:rFonts w:ascii="Times New Roman" w:hAnsi="Times New Roman" w:cs="Times New Roman"/>
          <w:sz w:val="24"/>
          <w:szCs w:val="24"/>
          <w:lang w:val="es-419" w:eastAsia="pt-BR"/>
        </w:rPr>
        <w:t xml:space="preserve"> Nadine </w:t>
      </w:r>
      <w:proofErr w:type="spellStart"/>
      <w:r w:rsidR="00EC79C2" w:rsidRPr="00125867">
        <w:rPr>
          <w:rFonts w:ascii="Times New Roman" w:hAnsi="Times New Roman" w:cs="Times New Roman"/>
          <w:sz w:val="24"/>
          <w:szCs w:val="24"/>
          <w:lang w:val="es-419" w:eastAsia="pt-BR"/>
        </w:rPr>
        <w:t>N</w:t>
      </w:r>
      <w:r w:rsidR="00E03F89" w:rsidRPr="00125867">
        <w:rPr>
          <w:rFonts w:ascii="Times New Roman" w:hAnsi="Times New Roman" w:cs="Times New Roman"/>
          <w:sz w:val="24"/>
          <w:szCs w:val="24"/>
          <w:lang w:val="es-419" w:eastAsia="pt-BR"/>
        </w:rPr>
        <w:t>aber</w:t>
      </w:r>
      <w:proofErr w:type="spellEnd"/>
      <w:r w:rsidR="00E03F89" w:rsidRPr="00125867">
        <w:rPr>
          <w:rFonts w:ascii="Times New Roman" w:hAnsi="Times New Roman" w:cs="Times New Roman"/>
          <w:sz w:val="24"/>
          <w:szCs w:val="24"/>
          <w:lang w:val="es-419" w:eastAsia="pt-BR"/>
        </w:rPr>
        <w:t xml:space="preserve"> (2012)</w:t>
      </w:r>
      <w:r w:rsidR="00AF4F6E" w:rsidRPr="00125867">
        <w:rPr>
          <w:rFonts w:ascii="Times New Roman" w:hAnsi="Times New Roman" w:cs="Times New Roman"/>
          <w:sz w:val="24"/>
          <w:szCs w:val="24"/>
          <w:lang w:val="es-419" w:eastAsia="pt-BR"/>
        </w:rPr>
        <w:t xml:space="preserve"> </w:t>
      </w:r>
      <w:r w:rsidR="009C57C3">
        <w:rPr>
          <w:rFonts w:ascii="Times New Roman" w:hAnsi="Times New Roman" w:cs="Times New Roman"/>
          <w:sz w:val="24"/>
          <w:szCs w:val="24"/>
          <w:lang w:val="es-419" w:eastAsia="pt-BR"/>
        </w:rPr>
        <w:t>y</w:t>
      </w:r>
      <w:r w:rsidR="00EC79C2" w:rsidRPr="00125867">
        <w:rPr>
          <w:rFonts w:ascii="Times New Roman" w:hAnsi="Times New Roman" w:cs="Times New Roman"/>
          <w:sz w:val="24"/>
          <w:szCs w:val="24"/>
          <w:lang w:val="es-419" w:eastAsia="pt-BR"/>
        </w:rPr>
        <w:t xml:space="preserve"> Megan Campbel</w:t>
      </w:r>
      <w:r w:rsidR="00C222DB" w:rsidRPr="00125867">
        <w:rPr>
          <w:rFonts w:ascii="Times New Roman" w:hAnsi="Times New Roman" w:cs="Times New Roman"/>
          <w:sz w:val="24"/>
          <w:szCs w:val="24"/>
          <w:lang w:val="es-419" w:eastAsia="pt-BR"/>
        </w:rPr>
        <w:t>l</w:t>
      </w:r>
      <w:r w:rsidR="00E03F89" w:rsidRPr="00125867">
        <w:rPr>
          <w:rFonts w:ascii="Times New Roman" w:hAnsi="Times New Roman" w:cs="Times New Roman"/>
          <w:sz w:val="24"/>
          <w:szCs w:val="24"/>
          <w:lang w:val="es-419" w:eastAsia="pt-BR"/>
        </w:rPr>
        <w:t xml:space="preserve"> </w:t>
      </w:r>
      <w:r w:rsidR="00E03F89" w:rsidRPr="00125867">
        <w:rPr>
          <w:rFonts w:ascii="Times New Roman" w:hAnsi="Times New Roman" w:cs="Times New Roman"/>
          <w:sz w:val="24"/>
          <w:szCs w:val="24"/>
          <w:lang w:val="es-419" w:eastAsia="pt-BR"/>
        </w:rPr>
        <w:fldChar w:fldCharType="begin"/>
      </w:r>
      <w:r w:rsidR="00B14160" w:rsidRPr="00125867">
        <w:rPr>
          <w:rFonts w:ascii="Times New Roman" w:hAnsi="Times New Roman" w:cs="Times New Roman"/>
          <w:sz w:val="24"/>
          <w:szCs w:val="24"/>
          <w:lang w:val="es-419" w:eastAsia="pt-BR"/>
        </w:rPr>
        <w:instrText xml:space="preserve"> ADDIN ZOTERO_ITEM CSL_CITATION {"citationID":"6jNi2R9e","properties":{"formattedCitation":"(CAMPBELL, 2015)","plainCitation":"(CAMPBELL, 2015)","dontUpdate":true,"noteIndex":0},"citationItems":[{"id":833,"uris":["http://zotero.org/users/6847824/items/QID4IJLD"],"uri":["http://zotero.org/users/6847824/items/QID4IJLD"],"itemData":{"id":833,"type":"article-journal","container-title":"Revista Direito GV","DOI":"10.1590/1808-2432201521","ISSN":"1808-2432","issue":"2","note":"publisher: Revista Direito GV","page":"479-504","source":"SciELO","title":"CEDAW and Women’s Intersecting Identities: A Pioneering New Approach to Intersectional Discrimination","title-short":"CEDAW and Women’s Intersecting Identities","volume":"11","author":[{"family":"Campbell","given":"Meghan"}],"issued":{"date-parts":[["2015",12]]}}}],"schema":"https://github.com/citation-style-language/schema/raw/master/csl-citation.json"} </w:instrText>
      </w:r>
      <w:r w:rsidR="00E03F89" w:rsidRPr="00125867">
        <w:rPr>
          <w:rFonts w:ascii="Times New Roman" w:hAnsi="Times New Roman" w:cs="Times New Roman"/>
          <w:sz w:val="24"/>
          <w:szCs w:val="24"/>
          <w:lang w:val="es-419" w:eastAsia="pt-BR"/>
        </w:rPr>
        <w:fldChar w:fldCharType="separate"/>
      </w:r>
      <w:r w:rsidR="00E03F89" w:rsidRPr="00125867">
        <w:rPr>
          <w:rFonts w:ascii="Times New Roman" w:hAnsi="Times New Roman" w:cs="Times New Roman"/>
          <w:sz w:val="24"/>
          <w:lang w:val="es-419"/>
        </w:rPr>
        <w:t>(2015)</w:t>
      </w:r>
      <w:r w:rsidR="00E03F89" w:rsidRPr="00125867">
        <w:rPr>
          <w:rFonts w:ascii="Times New Roman" w:hAnsi="Times New Roman" w:cs="Times New Roman"/>
          <w:sz w:val="24"/>
          <w:szCs w:val="24"/>
          <w:lang w:val="es-419" w:eastAsia="pt-BR"/>
        </w:rPr>
        <w:fldChar w:fldCharType="end"/>
      </w:r>
      <w:r w:rsidR="00AB05A6" w:rsidRPr="00125867">
        <w:rPr>
          <w:rFonts w:ascii="Times New Roman" w:hAnsi="Times New Roman" w:cs="Times New Roman"/>
          <w:sz w:val="24"/>
          <w:szCs w:val="24"/>
          <w:lang w:val="es-419" w:eastAsia="pt-BR"/>
        </w:rPr>
        <w:t>.</w:t>
      </w:r>
    </w:p>
    <w:p w14:paraId="276F9A7A" w14:textId="459603E2" w:rsidR="00E907ED" w:rsidRPr="00125867" w:rsidRDefault="00A65ACD" w:rsidP="00A65ACD">
      <w:pPr>
        <w:jc w:val="both"/>
        <w:rPr>
          <w:rFonts w:ascii="Times New Roman" w:hAnsi="Times New Roman" w:cs="Times New Roman"/>
          <w:sz w:val="24"/>
          <w:szCs w:val="24"/>
          <w:lang w:val="es-419" w:eastAsia="pt-BR"/>
        </w:rPr>
      </w:pPr>
      <w:r w:rsidRPr="00A65ACD">
        <w:rPr>
          <w:rFonts w:ascii="Times New Roman" w:hAnsi="Times New Roman" w:cs="Times New Roman"/>
          <w:sz w:val="24"/>
          <w:szCs w:val="24"/>
          <w:lang w:val="es-419" w:eastAsia="pt-BR"/>
        </w:rPr>
        <w:t>Considerando que la postura del Comité</w:t>
      </w:r>
      <w:r>
        <w:rPr>
          <w:rFonts w:ascii="Times New Roman" w:hAnsi="Times New Roman" w:cs="Times New Roman"/>
          <w:sz w:val="24"/>
          <w:szCs w:val="24"/>
          <w:lang w:val="es-419" w:eastAsia="pt-BR"/>
        </w:rPr>
        <w:t xml:space="preserve"> CEDAW</w:t>
      </w:r>
      <w:r w:rsidRPr="00A65ACD">
        <w:rPr>
          <w:rFonts w:ascii="Times New Roman" w:hAnsi="Times New Roman" w:cs="Times New Roman"/>
          <w:sz w:val="24"/>
          <w:szCs w:val="24"/>
          <w:lang w:val="es-419" w:eastAsia="pt-BR"/>
        </w:rPr>
        <w:t xml:space="preserve"> ha sido reconocer las desigualdades interseccionales como se detalla en investigaciones anteriores (CRENSHAW, 2002; KYRILLOS, 2018; CAMPBELL, 2015; STELZER; KYRILLOS, 2020). Así como, en la adopción de un enfoque interseccional identificado en documentos como la Recomendación General núm. 18</w:t>
      </w:r>
      <w:r>
        <w:rPr>
          <w:rFonts w:ascii="Times New Roman" w:hAnsi="Times New Roman" w:cs="Times New Roman"/>
          <w:sz w:val="24"/>
          <w:szCs w:val="24"/>
          <w:lang w:val="es-419" w:eastAsia="pt-BR"/>
        </w:rPr>
        <w:t>,</w:t>
      </w:r>
      <w:r w:rsidRPr="00A65ACD">
        <w:rPr>
          <w:rFonts w:ascii="Times New Roman" w:hAnsi="Times New Roman" w:cs="Times New Roman"/>
          <w:sz w:val="24"/>
          <w:szCs w:val="24"/>
          <w:lang w:val="es-419" w:eastAsia="pt-BR"/>
        </w:rPr>
        <w:t xml:space="preserve"> de 1991</w:t>
      </w:r>
      <w:r>
        <w:rPr>
          <w:rFonts w:ascii="Times New Roman" w:hAnsi="Times New Roman" w:cs="Times New Roman"/>
          <w:sz w:val="24"/>
          <w:szCs w:val="24"/>
          <w:lang w:val="es-419" w:eastAsia="pt-BR"/>
        </w:rPr>
        <w:t>,</w:t>
      </w:r>
      <w:r w:rsidRPr="00A65ACD">
        <w:rPr>
          <w:rFonts w:ascii="Times New Roman" w:hAnsi="Times New Roman" w:cs="Times New Roman"/>
          <w:sz w:val="24"/>
          <w:szCs w:val="24"/>
          <w:lang w:val="es-419" w:eastAsia="pt-BR"/>
        </w:rPr>
        <w:t xml:space="preserve"> sobre mujeres con discapacidad y la decisión del Caso </w:t>
      </w:r>
      <w:proofErr w:type="spellStart"/>
      <w:r w:rsidRPr="00A65ACD">
        <w:rPr>
          <w:rFonts w:ascii="Times New Roman" w:hAnsi="Times New Roman" w:cs="Times New Roman"/>
          <w:sz w:val="24"/>
          <w:szCs w:val="24"/>
          <w:lang w:val="es-419" w:eastAsia="pt-BR"/>
        </w:rPr>
        <w:t>Alyne</w:t>
      </w:r>
      <w:proofErr w:type="spellEnd"/>
      <w:r w:rsidRPr="00A65ACD">
        <w:rPr>
          <w:rFonts w:ascii="Times New Roman" w:hAnsi="Times New Roman" w:cs="Times New Roman"/>
          <w:sz w:val="24"/>
          <w:szCs w:val="24"/>
          <w:lang w:val="es-419" w:eastAsia="pt-BR"/>
        </w:rPr>
        <w:t xml:space="preserve"> Pimentel vs. Brasil</w:t>
      </w:r>
      <w:r w:rsidR="00BF3851" w:rsidRPr="00125867">
        <w:rPr>
          <w:rFonts w:ascii="Times New Roman" w:hAnsi="Times New Roman" w:cs="Times New Roman"/>
          <w:sz w:val="24"/>
          <w:szCs w:val="24"/>
          <w:lang w:val="es-419" w:eastAsia="pt-BR"/>
        </w:rPr>
        <w:t xml:space="preserve"> (</w:t>
      </w:r>
      <w:r w:rsidRPr="00125867">
        <w:rPr>
          <w:rFonts w:ascii="Times New Roman" w:hAnsi="Times New Roman" w:cs="Times New Roman"/>
          <w:sz w:val="24"/>
          <w:szCs w:val="24"/>
          <w:lang w:val="es-419" w:eastAsia="pt-BR"/>
        </w:rPr>
        <w:t>Comité</w:t>
      </w:r>
      <w:r w:rsidR="00BF3851" w:rsidRPr="00125867">
        <w:rPr>
          <w:rFonts w:ascii="Times New Roman" w:hAnsi="Times New Roman" w:cs="Times New Roman"/>
          <w:sz w:val="24"/>
          <w:szCs w:val="24"/>
          <w:lang w:val="es-419" w:eastAsia="pt-BR"/>
        </w:rPr>
        <w:t xml:space="preserve"> CEDAW 49ª </w:t>
      </w:r>
      <w:r w:rsidRPr="00125867">
        <w:rPr>
          <w:rFonts w:ascii="Times New Roman" w:hAnsi="Times New Roman" w:cs="Times New Roman"/>
          <w:sz w:val="24"/>
          <w:szCs w:val="24"/>
          <w:lang w:val="es-419" w:eastAsia="pt-BR"/>
        </w:rPr>
        <w:t>se</w:t>
      </w:r>
      <w:r w:rsidR="00C36212">
        <w:rPr>
          <w:rFonts w:ascii="Times New Roman" w:hAnsi="Times New Roman" w:cs="Times New Roman"/>
          <w:sz w:val="24"/>
          <w:szCs w:val="24"/>
          <w:lang w:val="es-419" w:eastAsia="pt-BR"/>
        </w:rPr>
        <w:t>cc</w:t>
      </w:r>
      <w:r>
        <w:rPr>
          <w:rFonts w:ascii="Times New Roman" w:hAnsi="Times New Roman" w:cs="Times New Roman"/>
          <w:sz w:val="24"/>
          <w:szCs w:val="24"/>
          <w:lang w:val="es-419" w:eastAsia="pt-BR"/>
        </w:rPr>
        <w:t>i</w:t>
      </w:r>
      <w:r w:rsidRPr="00125867">
        <w:rPr>
          <w:rFonts w:ascii="Times New Roman" w:hAnsi="Times New Roman" w:cs="Times New Roman"/>
          <w:sz w:val="24"/>
          <w:szCs w:val="24"/>
          <w:lang w:val="es-419" w:eastAsia="pt-BR"/>
        </w:rPr>
        <w:t>ó</w:t>
      </w:r>
      <w:r>
        <w:rPr>
          <w:rFonts w:ascii="Times New Roman" w:hAnsi="Times New Roman" w:cs="Times New Roman"/>
          <w:sz w:val="24"/>
          <w:szCs w:val="24"/>
          <w:lang w:val="es-419" w:eastAsia="pt-BR"/>
        </w:rPr>
        <w:t>n</w:t>
      </w:r>
      <w:r w:rsidR="00BF3851" w:rsidRPr="00125867">
        <w:rPr>
          <w:rFonts w:ascii="Times New Roman" w:hAnsi="Times New Roman" w:cs="Times New Roman"/>
          <w:sz w:val="24"/>
          <w:szCs w:val="24"/>
          <w:lang w:val="es-419" w:eastAsia="pt-BR"/>
        </w:rPr>
        <w:t xml:space="preserve">, </w:t>
      </w:r>
      <w:r w:rsidR="00C36212" w:rsidRPr="00125867">
        <w:rPr>
          <w:rFonts w:ascii="Times New Roman" w:hAnsi="Times New Roman" w:cs="Times New Roman"/>
          <w:sz w:val="24"/>
          <w:szCs w:val="24"/>
          <w:lang w:val="es-419" w:eastAsia="pt-BR"/>
        </w:rPr>
        <w:t>julio</w:t>
      </w:r>
      <w:r w:rsidR="00BF3851" w:rsidRPr="00125867">
        <w:rPr>
          <w:rFonts w:ascii="Times New Roman" w:hAnsi="Times New Roman" w:cs="Times New Roman"/>
          <w:sz w:val="24"/>
          <w:szCs w:val="24"/>
          <w:lang w:val="es-419" w:eastAsia="pt-BR"/>
        </w:rPr>
        <w:t>/2011</w:t>
      </w:r>
      <w:r w:rsidR="0059657C" w:rsidRPr="00125867">
        <w:rPr>
          <w:rFonts w:ascii="Times New Roman" w:hAnsi="Times New Roman" w:cs="Times New Roman"/>
          <w:sz w:val="24"/>
          <w:szCs w:val="24"/>
          <w:lang w:val="es-419" w:eastAsia="pt-BR"/>
        </w:rPr>
        <w:t xml:space="preserve">; </w:t>
      </w:r>
      <w:r w:rsidR="005A0BD8" w:rsidRPr="00125867">
        <w:rPr>
          <w:rFonts w:ascii="Times New Roman" w:hAnsi="Times New Roman" w:cs="Times New Roman"/>
          <w:sz w:val="24"/>
          <w:szCs w:val="24"/>
          <w:lang w:val="es-419" w:eastAsia="pt-BR"/>
        </w:rPr>
        <w:fldChar w:fldCharType="begin"/>
      </w:r>
      <w:r w:rsidR="00B14160" w:rsidRPr="00125867">
        <w:rPr>
          <w:rFonts w:ascii="Times New Roman" w:hAnsi="Times New Roman" w:cs="Times New Roman"/>
          <w:sz w:val="24"/>
          <w:szCs w:val="24"/>
          <w:lang w:val="es-419" w:eastAsia="pt-BR"/>
        </w:rPr>
        <w:instrText xml:space="preserve"> ADDIN ZOTERO_ITEM CSL_CITATION {"citationID":"GiAc7SKQ","properties":{"formattedCitation":"(CATOIA et al., 2020)","plainCitation":"(CATOIA et al., 2020)","dontUpdate":true,"noteIndex":0},"citationItems":[{"id":685,"uris":["http://zotero.org/users/6847824/items/REPQJV8L"],"uri":["http://zotero.org/users/6847824/items/REPQJV8L"],"itemData":{"id":685,"type":"article-journal","container-title":"Revista Estudos Feministas","DOI":"10.1590/1806-9584-2020v28n160361","ISSN":"0104-026X","issue":"1","language":"pt","note":"publisher: Revista Estudos Feministas","source":"SciELO","title":"Caso “Alyne Pimentel”: Violência de Gênero e Interseccionalidades","title-short":"Caso “Alyne Pimentel”","URL":"http://www.scielo.br/scielo.php?script=sci_abstract&amp;pid=S0104-026X2020000100205&amp;lng=en&amp;nrm=iso&amp;tlng=pt","volume":"28","author":[{"family":"Catoia","given":"Cinthia de Cassia"},{"family":"Severi","given":"Fabiana Cristina"},{"family":"Firmino","given":"Inara Flora Cipriano"},{"family":"Catoia","given":"Cinthia de Cassia"},{"family":"Severi","given":"Fabiana Cristina"},{"family":"Firmino","given":"Inara Flora Cipriano"}],"accessed":{"date-parts":[["2020",9,12]]},"issued":{"date-parts":[["2020"]]}}}],"schema":"https://github.com/citation-style-language/schema/raw/master/csl-citation.json"} </w:instrText>
      </w:r>
      <w:r w:rsidR="005A0BD8" w:rsidRPr="00125867">
        <w:rPr>
          <w:rFonts w:ascii="Times New Roman" w:hAnsi="Times New Roman" w:cs="Times New Roman"/>
          <w:sz w:val="24"/>
          <w:szCs w:val="24"/>
          <w:lang w:val="es-419" w:eastAsia="pt-BR"/>
        </w:rPr>
        <w:fldChar w:fldCharType="separate"/>
      </w:r>
      <w:r w:rsidR="00283A85" w:rsidRPr="00125867">
        <w:rPr>
          <w:rFonts w:ascii="Times New Roman" w:hAnsi="Times New Roman" w:cs="Times New Roman"/>
          <w:sz w:val="24"/>
          <w:lang w:val="es-419"/>
        </w:rPr>
        <w:t xml:space="preserve">CAMPBELL, 2015; </w:t>
      </w:r>
      <w:r w:rsidR="005A0BD8" w:rsidRPr="00125867">
        <w:rPr>
          <w:rFonts w:ascii="Times New Roman" w:hAnsi="Times New Roman" w:cs="Times New Roman"/>
          <w:sz w:val="24"/>
          <w:lang w:val="es-419"/>
        </w:rPr>
        <w:t>CATOIA et al., 2020)</w:t>
      </w:r>
      <w:r w:rsidR="005A0BD8" w:rsidRPr="00125867">
        <w:rPr>
          <w:rFonts w:ascii="Times New Roman" w:hAnsi="Times New Roman" w:cs="Times New Roman"/>
          <w:sz w:val="24"/>
          <w:szCs w:val="24"/>
          <w:lang w:val="es-419" w:eastAsia="pt-BR"/>
        </w:rPr>
        <w:fldChar w:fldCharType="end"/>
      </w:r>
      <w:r w:rsidR="00C222DB" w:rsidRPr="00125867">
        <w:rPr>
          <w:rFonts w:ascii="Times New Roman" w:hAnsi="Times New Roman" w:cs="Times New Roman"/>
          <w:sz w:val="24"/>
          <w:szCs w:val="24"/>
          <w:lang w:val="es-419" w:eastAsia="pt-BR"/>
        </w:rPr>
        <w:t>.</w:t>
      </w:r>
    </w:p>
    <w:p w14:paraId="4D82ACFE" w14:textId="3EF5DBC4" w:rsidR="00FB738F" w:rsidRDefault="00FB738F" w:rsidP="005C1732">
      <w:pPr>
        <w:jc w:val="both"/>
        <w:rPr>
          <w:rFonts w:ascii="Times New Roman" w:hAnsi="Times New Roman" w:cs="Times New Roman"/>
          <w:sz w:val="24"/>
          <w:szCs w:val="24"/>
          <w:lang w:val="es-419" w:eastAsia="pt-BR"/>
        </w:rPr>
      </w:pPr>
      <w:r w:rsidRPr="00FB738F">
        <w:rPr>
          <w:rFonts w:ascii="Times New Roman" w:hAnsi="Times New Roman" w:cs="Times New Roman"/>
          <w:sz w:val="24"/>
          <w:szCs w:val="24"/>
          <w:lang w:val="es-419" w:eastAsia="pt-BR"/>
        </w:rPr>
        <w:t xml:space="preserve">Considerando el contrainforme de la Sociedad Civil Brasileña, que desde 2007 ha señalado cómo, en Brasil, las desigualdades entre las mujeres son determinantes para acceder a los derechos establecidos en la CEDAW. Especialmente </w:t>
      </w:r>
      <w:r w:rsidR="00224C9A">
        <w:rPr>
          <w:rFonts w:ascii="Times New Roman" w:hAnsi="Times New Roman" w:cs="Times New Roman"/>
          <w:sz w:val="24"/>
          <w:szCs w:val="24"/>
          <w:lang w:val="es-419" w:eastAsia="pt-BR"/>
        </w:rPr>
        <w:t>sobre</w:t>
      </w:r>
      <w:r w:rsidRPr="00FB738F">
        <w:rPr>
          <w:rFonts w:ascii="Times New Roman" w:hAnsi="Times New Roman" w:cs="Times New Roman"/>
          <w:sz w:val="24"/>
          <w:szCs w:val="24"/>
          <w:lang w:val="es-419" w:eastAsia="pt-BR"/>
        </w:rPr>
        <w:t xml:space="preserve"> a las mujeres más vulnerables, incluyendo mujeres negras, indígenas, que viven en áreas rurales, mujeres pobres</w:t>
      </w:r>
      <w:r>
        <w:rPr>
          <w:rFonts w:ascii="Times New Roman" w:hAnsi="Times New Roman" w:cs="Times New Roman"/>
          <w:sz w:val="24"/>
          <w:szCs w:val="24"/>
          <w:lang w:val="es-419" w:eastAsia="pt-BR"/>
        </w:rPr>
        <w:t>,</w:t>
      </w:r>
      <w:r w:rsidRPr="00FB738F">
        <w:rPr>
          <w:rFonts w:ascii="Times New Roman" w:hAnsi="Times New Roman" w:cs="Times New Roman"/>
          <w:sz w:val="24"/>
          <w:szCs w:val="24"/>
          <w:lang w:val="es-419" w:eastAsia="pt-BR"/>
        </w:rPr>
        <w:t xml:space="preserve"> con discapacidad,</w:t>
      </w:r>
      <w:r w:rsidR="00224C9A">
        <w:rPr>
          <w:rFonts w:ascii="Times New Roman" w:hAnsi="Times New Roman" w:cs="Times New Roman"/>
          <w:sz w:val="24"/>
          <w:szCs w:val="24"/>
          <w:lang w:val="es-419" w:eastAsia="pt-BR"/>
        </w:rPr>
        <w:t xml:space="preserve"> </w:t>
      </w:r>
      <w:r w:rsidR="00224C9A" w:rsidRPr="00224C9A">
        <w:rPr>
          <w:rFonts w:ascii="Times New Roman" w:hAnsi="Times New Roman" w:cs="Times New Roman"/>
          <w:sz w:val="24"/>
          <w:szCs w:val="24"/>
          <w:lang w:val="es-419" w:eastAsia="pt-BR"/>
        </w:rPr>
        <w:t>mujeres encarceladas</w:t>
      </w:r>
      <w:r w:rsidRPr="00FB738F">
        <w:rPr>
          <w:rFonts w:ascii="Times New Roman" w:hAnsi="Times New Roman" w:cs="Times New Roman"/>
          <w:sz w:val="24"/>
          <w:szCs w:val="24"/>
          <w:lang w:val="es-419" w:eastAsia="pt-BR"/>
        </w:rPr>
        <w:t xml:space="preserve"> y LGBTQIA+.</w:t>
      </w:r>
    </w:p>
    <w:p w14:paraId="1DAAEBB4" w14:textId="3BE53511" w:rsidR="00B907D4" w:rsidRDefault="00B907D4" w:rsidP="0025224C">
      <w:pPr>
        <w:jc w:val="both"/>
        <w:rPr>
          <w:rFonts w:ascii="Times New Roman" w:hAnsi="Times New Roman" w:cs="Times New Roman"/>
          <w:sz w:val="24"/>
          <w:szCs w:val="24"/>
          <w:lang w:val="es-419" w:eastAsia="pt-BR"/>
        </w:rPr>
      </w:pPr>
      <w:r w:rsidRPr="00B907D4">
        <w:rPr>
          <w:rFonts w:ascii="Times New Roman" w:hAnsi="Times New Roman" w:cs="Times New Roman"/>
          <w:sz w:val="24"/>
          <w:szCs w:val="24"/>
          <w:lang w:val="es-419" w:eastAsia="pt-BR"/>
        </w:rPr>
        <w:t>Considerando los repetidos llamados del Comité de la CEDAW al Estado brasileño para considerar el género y la raza de manera interseccional en la producción de datos sobre las mujeres brasileñas y en el desarrollo de estrategias para superar las desigualdades. Especialmente considerando las Observaciones Finales del Comité CEDAW (CEDAW/C/BRA/C</w:t>
      </w:r>
      <w:r>
        <w:rPr>
          <w:rFonts w:ascii="Times New Roman" w:hAnsi="Times New Roman" w:cs="Times New Roman"/>
          <w:sz w:val="24"/>
          <w:szCs w:val="24"/>
          <w:lang w:val="es-419" w:eastAsia="pt-BR"/>
        </w:rPr>
        <w:t>/</w:t>
      </w:r>
      <w:r w:rsidRPr="00B907D4">
        <w:rPr>
          <w:rFonts w:ascii="Times New Roman" w:hAnsi="Times New Roman" w:cs="Times New Roman"/>
          <w:sz w:val="24"/>
          <w:szCs w:val="24"/>
          <w:lang w:val="es-419" w:eastAsia="pt-BR"/>
        </w:rPr>
        <w:t>7) para el Estado brasileño en 2012 en la sección “Recolección de datos”, temas 34 y 35.</w:t>
      </w:r>
    </w:p>
    <w:p w14:paraId="64F1EB5A" w14:textId="6324652D" w:rsidR="0025224C" w:rsidRPr="00125867" w:rsidRDefault="00FD6295" w:rsidP="00FD6295">
      <w:pPr>
        <w:jc w:val="both"/>
        <w:rPr>
          <w:rFonts w:ascii="Times New Roman" w:hAnsi="Times New Roman" w:cs="Times New Roman"/>
          <w:sz w:val="24"/>
          <w:szCs w:val="24"/>
          <w:lang w:val="es-419"/>
        </w:rPr>
      </w:pPr>
      <w:r w:rsidRPr="00FD6295">
        <w:rPr>
          <w:rFonts w:ascii="Times New Roman" w:hAnsi="Times New Roman" w:cs="Times New Roman"/>
          <w:sz w:val="24"/>
          <w:szCs w:val="24"/>
          <w:lang w:val="es-419" w:eastAsia="pt-BR"/>
        </w:rPr>
        <w:t xml:space="preserve">Considerando la diversidad étnica de la población brasileña, que actualmente comprende más del 50% de la población de </w:t>
      </w:r>
      <w:r>
        <w:rPr>
          <w:rFonts w:ascii="Times New Roman" w:hAnsi="Times New Roman" w:cs="Times New Roman"/>
          <w:sz w:val="24"/>
          <w:szCs w:val="24"/>
          <w:lang w:val="es-419" w:eastAsia="pt-BR"/>
        </w:rPr>
        <w:t>personas</w:t>
      </w:r>
      <w:r w:rsidR="00AE412B">
        <w:rPr>
          <w:rFonts w:ascii="Times New Roman" w:hAnsi="Times New Roman" w:cs="Times New Roman"/>
          <w:sz w:val="24"/>
          <w:szCs w:val="24"/>
          <w:lang w:val="es-419" w:eastAsia="pt-BR"/>
        </w:rPr>
        <w:t xml:space="preserve"> no-blancas</w:t>
      </w:r>
      <w:r w:rsidR="007F5FAA">
        <w:rPr>
          <w:rStyle w:val="Refdenotaderodap"/>
          <w:rFonts w:ascii="Times New Roman" w:hAnsi="Times New Roman" w:cs="Times New Roman"/>
          <w:sz w:val="24"/>
          <w:szCs w:val="24"/>
          <w:lang w:val="es-419" w:eastAsia="pt-BR"/>
        </w:rPr>
        <w:footnoteReference w:id="2"/>
      </w:r>
      <w:r w:rsidR="00E569B6">
        <w:rPr>
          <w:rFonts w:ascii="Times New Roman" w:hAnsi="Times New Roman" w:cs="Times New Roman"/>
          <w:sz w:val="24"/>
          <w:szCs w:val="24"/>
          <w:lang w:val="es-419" w:eastAsia="pt-BR"/>
        </w:rPr>
        <w:t xml:space="preserve"> </w:t>
      </w:r>
      <w:r w:rsidRPr="00FD6295">
        <w:rPr>
          <w:rFonts w:ascii="Times New Roman" w:hAnsi="Times New Roman" w:cs="Times New Roman"/>
          <w:sz w:val="24"/>
          <w:szCs w:val="24"/>
          <w:lang w:val="es-419" w:eastAsia="pt-BR"/>
        </w:rPr>
        <w:t>y todavía tiene aproximadamente</w:t>
      </w:r>
      <w:r w:rsidR="00D57561">
        <w:rPr>
          <w:rFonts w:ascii="Times New Roman" w:hAnsi="Times New Roman" w:cs="Times New Roman"/>
          <w:sz w:val="24"/>
          <w:szCs w:val="24"/>
          <w:lang w:val="es-419" w:eastAsia="pt-BR"/>
        </w:rPr>
        <w:t xml:space="preserve"> </w:t>
      </w:r>
      <w:r w:rsidRPr="00FD6295">
        <w:rPr>
          <w:rFonts w:ascii="Times New Roman" w:hAnsi="Times New Roman" w:cs="Times New Roman"/>
          <w:sz w:val="24"/>
          <w:szCs w:val="24"/>
          <w:lang w:val="es-419" w:eastAsia="pt-BR"/>
        </w:rPr>
        <w:lastRenderedPageBreak/>
        <w:t>180 lenguas indígenas activas (BANIWA, 2006). Reconociendo el papel estructural histórico y contemporáneo del racismo en la sociedad brasileña como un delimitador del acceso a los derechos, como lo detallan varias investigaciones, entre las cuales:</w:t>
      </w:r>
      <w:r>
        <w:rPr>
          <w:rFonts w:ascii="Times New Roman" w:hAnsi="Times New Roman" w:cs="Times New Roman"/>
          <w:sz w:val="24"/>
          <w:szCs w:val="24"/>
          <w:lang w:val="es-419" w:eastAsia="pt-BR"/>
        </w:rPr>
        <w:t xml:space="preserve"> </w:t>
      </w:r>
      <w:proofErr w:type="spellStart"/>
      <w:r w:rsidR="00BD6A7B" w:rsidRPr="00125867">
        <w:rPr>
          <w:rFonts w:ascii="Times New Roman" w:hAnsi="Times New Roman" w:cs="Times New Roman"/>
          <w:sz w:val="24"/>
          <w:szCs w:val="24"/>
          <w:lang w:val="es-419"/>
        </w:rPr>
        <w:t>Lélia</w:t>
      </w:r>
      <w:proofErr w:type="spellEnd"/>
      <w:r w:rsidR="00BD6A7B" w:rsidRPr="00125867">
        <w:rPr>
          <w:rFonts w:ascii="Times New Roman" w:hAnsi="Times New Roman" w:cs="Times New Roman"/>
          <w:sz w:val="24"/>
          <w:szCs w:val="24"/>
          <w:lang w:val="es-419"/>
        </w:rPr>
        <w:t xml:space="preserve"> </w:t>
      </w:r>
      <w:proofErr w:type="spellStart"/>
      <w:r w:rsidR="00BD6A7B" w:rsidRPr="00125867">
        <w:rPr>
          <w:rFonts w:ascii="Times New Roman" w:hAnsi="Times New Roman" w:cs="Times New Roman"/>
          <w:sz w:val="24"/>
          <w:szCs w:val="24"/>
          <w:lang w:val="es-419"/>
        </w:rPr>
        <w:t>Gonzalez</w:t>
      </w:r>
      <w:proofErr w:type="spellEnd"/>
      <w:r w:rsidR="00D92332" w:rsidRPr="00125867">
        <w:rPr>
          <w:rFonts w:ascii="Times New Roman" w:hAnsi="Times New Roman" w:cs="Times New Roman"/>
          <w:sz w:val="24"/>
          <w:szCs w:val="24"/>
          <w:lang w:val="es-419"/>
        </w:rPr>
        <w:t xml:space="preserve"> </w:t>
      </w:r>
      <w:r w:rsidR="00B14160" w:rsidRPr="00125867">
        <w:rPr>
          <w:rFonts w:ascii="Times New Roman" w:hAnsi="Times New Roman" w:cs="Times New Roman"/>
          <w:sz w:val="24"/>
          <w:szCs w:val="24"/>
          <w:lang w:val="es-419"/>
        </w:rPr>
        <w:fldChar w:fldCharType="begin"/>
      </w:r>
      <w:r w:rsidR="005564DF" w:rsidRPr="00125867">
        <w:rPr>
          <w:rFonts w:ascii="Times New Roman" w:hAnsi="Times New Roman" w:cs="Times New Roman"/>
          <w:sz w:val="24"/>
          <w:szCs w:val="24"/>
          <w:lang w:val="es-419"/>
        </w:rPr>
        <w:instrText xml:space="preserve"> ADDIN ZOTERO_ITEM CSL_CITATION {"citationID":"ee0A8Bkj","properties":{"formattedCitation":"(GONZALES, 1984)","plainCitation":"(GONZALES, 1984)","dontUpdate":true,"noteIndex":0},"citationItems":[{"id":783,"uris":["http://zotero.org/users/6847824/items/PAWBV2SQ"],"uri":["http://zotero.org/users/6847824/items/PAWBV2SQ"],"itemData":{"id":783,"type":"article-journal","container-title":"Revista Ciências Sociais Hoje, Anpocs","language":"pt","page":"223-244","title":"Racismo e Sexismo na Cultura Brasileira","author":[{"family":"Gonzales","given":"Lélia"}],"issued":{"date-parts":[["1984"]]}}}],"schema":"https://github.com/citation-style-language/schema/raw/master/csl-citation.json"} </w:instrText>
      </w:r>
      <w:r w:rsidR="00B14160" w:rsidRPr="00125867">
        <w:rPr>
          <w:rFonts w:ascii="Times New Roman" w:hAnsi="Times New Roman" w:cs="Times New Roman"/>
          <w:sz w:val="24"/>
          <w:szCs w:val="24"/>
          <w:lang w:val="es-419"/>
        </w:rPr>
        <w:fldChar w:fldCharType="separate"/>
      </w:r>
      <w:r w:rsidR="00B14160" w:rsidRPr="00125867">
        <w:rPr>
          <w:rFonts w:ascii="Times New Roman" w:hAnsi="Times New Roman" w:cs="Times New Roman"/>
          <w:sz w:val="24"/>
          <w:lang w:val="es-419"/>
        </w:rPr>
        <w:t>(1984)</w:t>
      </w:r>
      <w:r w:rsidR="00B14160" w:rsidRPr="00125867">
        <w:rPr>
          <w:rFonts w:ascii="Times New Roman" w:hAnsi="Times New Roman" w:cs="Times New Roman"/>
          <w:sz w:val="24"/>
          <w:szCs w:val="24"/>
          <w:lang w:val="es-419"/>
        </w:rPr>
        <w:fldChar w:fldCharType="end"/>
      </w:r>
      <w:r w:rsidR="00BD6A7B" w:rsidRPr="00125867">
        <w:rPr>
          <w:rFonts w:ascii="Times New Roman" w:hAnsi="Times New Roman" w:cs="Times New Roman"/>
          <w:sz w:val="24"/>
          <w:szCs w:val="24"/>
          <w:lang w:val="es-419"/>
        </w:rPr>
        <w:t xml:space="preserve">, </w:t>
      </w:r>
      <w:proofErr w:type="spellStart"/>
      <w:r w:rsidR="00A613D2" w:rsidRPr="00125867">
        <w:rPr>
          <w:rFonts w:ascii="Times New Roman" w:hAnsi="Times New Roman" w:cs="Times New Roman"/>
          <w:sz w:val="24"/>
          <w:szCs w:val="24"/>
          <w:lang w:val="es-419"/>
        </w:rPr>
        <w:t>Sueli</w:t>
      </w:r>
      <w:proofErr w:type="spellEnd"/>
      <w:r w:rsidR="00A613D2" w:rsidRPr="00125867">
        <w:rPr>
          <w:rFonts w:ascii="Times New Roman" w:hAnsi="Times New Roman" w:cs="Times New Roman"/>
          <w:sz w:val="24"/>
          <w:szCs w:val="24"/>
          <w:lang w:val="es-419"/>
        </w:rPr>
        <w:t xml:space="preserve"> Carneiro </w:t>
      </w:r>
      <w:r w:rsidR="00A613D2" w:rsidRPr="00125867">
        <w:rPr>
          <w:rFonts w:ascii="Times New Roman" w:hAnsi="Times New Roman" w:cs="Times New Roman"/>
          <w:sz w:val="24"/>
          <w:szCs w:val="24"/>
          <w:lang w:val="es-419"/>
        </w:rPr>
        <w:fldChar w:fldCharType="begin"/>
      </w:r>
      <w:r w:rsidR="00A613D2" w:rsidRPr="00125867">
        <w:rPr>
          <w:rFonts w:ascii="Times New Roman" w:hAnsi="Times New Roman" w:cs="Times New Roman"/>
          <w:sz w:val="24"/>
          <w:szCs w:val="24"/>
          <w:lang w:val="es-419"/>
        </w:rPr>
        <w:instrText xml:space="preserve"> ADDIN ZOTERO_ITEM CSL_CITATION {"citationID":"tzd6EjHI","properties":{"formattedCitation":"(CARNEIRO, 1995)","plainCitation":"(CARNEIRO, 1995)","dontUpdate":true,"noteIndex":0},"citationItems":[{"id":909,"uris":["http://zotero.org/users/6847824/items/JHIPH2MW"],"uri":["http://zotero.org/users/6847824/items/JHIPH2MW"],"itemData":{"id":909,"type":"article-journal","container-title":"Revista Estudos Feministas","issue":"2","journalAbbreviation":"REF","language":"pt","page":"544-552","title":"Gênero, Raça e Ascençao Social","volume":"3","author":[{"family":"Carneiro","given":"Sueli"}],"issued":{"date-parts":[["1995"]]}}}],"schema":"https://github.com/citation-style-language/schema/raw/master/csl-citation.json"} </w:instrText>
      </w:r>
      <w:r w:rsidR="00A613D2" w:rsidRPr="00125867">
        <w:rPr>
          <w:rFonts w:ascii="Times New Roman" w:hAnsi="Times New Roman" w:cs="Times New Roman"/>
          <w:sz w:val="24"/>
          <w:szCs w:val="24"/>
          <w:lang w:val="es-419"/>
        </w:rPr>
        <w:fldChar w:fldCharType="separate"/>
      </w:r>
      <w:r w:rsidR="00A613D2" w:rsidRPr="00125867">
        <w:rPr>
          <w:rFonts w:ascii="Times New Roman" w:hAnsi="Times New Roman" w:cs="Times New Roman"/>
          <w:sz w:val="24"/>
          <w:lang w:val="es-419"/>
        </w:rPr>
        <w:t>(1995)</w:t>
      </w:r>
      <w:r w:rsidR="00A613D2" w:rsidRPr="00125867">
        <w:rPr>
          <w:rFonts w:ascii="Times New Roman" w:hAnsi="Times New Roman" w:cs="Times New Roman"/>
          <w:sz w:val="24"/>
          <w:szCs w:val="24"/>
          <w:lang w:val="es-419"/>
        </w:rPr>
        <w:fldChar w:fldCharType="end"/>
      </w:r>
      <w:r w:rsidR="00A613D2" w:rsidRPr="00125867">
        <w:rPr>
          <w:rFonts w:ascii="Times New Roman" w:hAnsi="Times New Roman" w:cs="Times New Roman"/>
          <w:sz w:val="24"/>
          <w:szCs w:val="24"/>
          <w:lang w:val="es-419"/>
        </w:rPr>
        <w:t xml:space="preserve"> </w:t>
      </w:r>
      <w:r>
        <w:rPr>
          <w:rFonts w:ascii="Times New Roman" w:hAnsi="Times New Roman" w:cs="Times New Roman"/>
          <w:sz w:val="24"/>
          <w:szCs w:val="24"/>
          <w:lang w:val="es-419"/>
        </w:rPr>
        <w:t>y</w:t>
      </w:r>
      <w:r w:rsidR="00A613D2" w:rsidRPr="00125867">
        <w:rPr>
          <w:rFonts w:ascii="Times New Roman" w:hAnsi="Times New Roman" w:cs="Times New Roman"/>
          <w:sz w:val="24"/>
          <w:szCs w:val="24"/>
          <w:lang w:val="es-419"/>
        </w:rPr>
        <w:t xml:space="preserve"> </w:t>
      </w:r>
      <w:r w:rsidR="00BD6A7B" w:rsidRPr="00125867">
        <w:rPr>
          <w:rFonts w:ascii="Times New Roman" w:hAnsi="Times New Roman" w:cs="Times New Roman"/>
          <w:sz w:val="24"/>
          <w:szCs w:val="24"/>
          <w:lang w:val="es-419"/>
        </w:rPr>
        <w:t xml:space="preserve">Silvio Almeida </w:t>
      </w:r>
      <w:r w:rsidR="00BD6A7B" w:rsidRPr="00125867">
        <w:rPr>
          <w:rFonts w:ascii="Times New Roman" w:hAnsi="Times New Roman" w:cs="Times New Roman"/>
          <w:sz w:val="24"/>
          <w:szCs w:val="24"/>
          <w:lang w:val="es-419"/>
        </w:rPr>
        <w:fldChar w:fldCharType="begin"/>
      </w:r>
      <w:r w:rsidR="005564DF" w:rsidRPr="00125867">
        <w:rPr>
          <w:rFonts w:ascii="Times New Roman" w:hAnsi="Times New Roman" w:cs="Times New Roman"/>
          <w:sz w:val="24"/>
          <w:szCs w:val="24"/>
          <w:lang w:val="es-419"/>
        </w:rPr>
        <w:instrText xml:space="preserve"> ADDIN ZOTERO_ITEM CSL_CITATION {"citationID":"sHCalydk","properties":{"formattedCitation":"(ALMEIDA, 2019)","plainCitation":"(ALMEIDA, 2019)","dontUpdate":true,"noteIndex":0},"citationItems":[{"id":630,"uris":["http://zotero.org/users/6847824/items/XPHTTKMM"],"uri":["http://zotero.org/users/6847824/items/XPHTTKMM"],"itemData":{"id":630,"type":"book","archive_location":"Livro físico","collection-title":"Femninismos Plurais","edition":"1","event-place":"São Paulo","ISBN":"978-85-98349-74-9","language":"pt","number-of-pages":"264","publisher":"Pólen","publisher-place":"São Paulo","title":"Racismo Estrutural","title-short":"Racismo Estrutural","author":[{"family":"Almeida","given":"Silvio"}],"issued":{"date-parts":[["2019"]]}}}],"schema":"https://github.com/citation-style-language/schema/raw/master/csl-citation.json"} </w:instrText>
      </w:r>
      <w:r w:rsidR="00BD6A7B" w:rsidRPr="00125867">
        <w:rPr>
          <w:rFonts w:ascii="Times New Roman" w:hAnsi="Times New Roman" w:cs="Times New Roman"/>
          <w:sz w:val="24"/>
          <w:szCs w:val="24"/>
          <w:lang w:val="es-419"/>
        </w:rPr>
        <w:fldChar w:fldCharType="separate"/>
      </w:r>
      <w:r w:rsidR="00BD6A7B" w:rsidRPr="00125867">
        <w:rPr>
          <w:rFonts w:ascii="Times New Roman" w:hAnsi="Times New Roman" w:cs="Times New Roman"/>
          <w:sz w:val="24"/>
          <w:lang w:val="es-419"/>
        </w:rPr>
        <w:t>(2019)</w:t>
      </w:r>
      <w:r w:rsidR="00BD6A7B" w:rsidRPr="00125867">
        <w:rPr>
          <w:rFonts w:ascii="Times New Roman" w:hAnsi="Times New Roman" w:cs="Times New Roman"/>
          <w:sz w:val="24"/>
          <w:szCs w:val="24"/>
          <w:lang w:val="es-419"/>
        </w:rPr>
        <w:fldChar w:fldCharType="end"/>
      </w:r>
      <w:r w:rsidR="00A613D2" w:rsidRPr="00125867">
        <w:rPr>
          <w:rFonts w:ascii="Times New Roman" w:hAnsi="Times New Roman" w:cs="Times New Roman"/>
          <w:sz w:val="24"/>
          <w:szCs w:val="24"/>
          <w:lang w:val="es-419"/>
        </w:rPr>
        <w:t>.</w:t>
      </w:r>
    </w:p>
    <w:p w14:paraId="7C707AB2" w14:textId="78902895" w:rsidR="00ED42C3" w:rsidRDefault="00ED42C3" w:rsidP="005C1732">
      <w:pPr>
        <w:jc w:val="both"/>
        <w:rPr>
          <w:rFonts w:ascii="Times New Roman" w:hAnsi="Times New Roman" w:cs="Times New Roman"/>
          <w:sz w:val="24"/>
          <w:szCs w:val="24"/>
          <w:lang w:val="es-419" w:eastAsia="pt-BR"/>
        </w:rPr>
      </w:pPr>
      <w:r w:rsidRPr="00ED42C3">
        <w:rPr>
          <w:rFonts w:ascii="Times New Roman" w:hAnsi="Times New Roman" w:cs="Times New Roman"/>
          <w:sz w:val="24"/>
          <w:szCs w:val="24"/>
          <w:lang w:val="es-419" w:eastAsia="pt-BR"/>
        </w:rPr>
        <w:t>Ante</w:t>
      </w:r>
      <w:r w:rsidR="00224C9A">
        <w:rPr>
          <w:rFonts w:ascii="Times New Roman" w:hAnsi="Times New Roman" w:cs="Times New Roman"/>
          <w:sz w:val="24"/>
          <w:szCs w:val="24"/>
          <w:lang w:val="es-419" w:eastAsia="pt-BR"/>
        </w:rPr>
        <w:t xml:space="preserve"> esas</w:t>
      </w:r>
      <w:r w:rsidRPr="00ED42C3">
        <w:rPr>
          <w:rFonts w:ascii="Times New Roman" w:hAnsi="Times New Roman" w:cs="Times New Roman"/>
          <w:sz w:val="24"/>
          <w:szCs w:val="24"/>
          <w:lang w:val="es-419" w:eastAsia="pt-BR"/>
        </w:rPr>
        <w:t xml:space="preserve"> inquietudes, este documento se dirige al Comité CEDAW para presentar los siguientes aportes:</w:t>
      </w:r>
    </w:p>
    <w:p w14:paraId="13CFF5C1" w14:textId="62888743" w:rsidR="00745B16" w:rsidRDefault="00745B16" w:rsidP="00745B16">
      <w:pPr>
        <w:pStyle w:val="PargrafodaLista"/>
        <w:numPr>
          <w:ilvl w:val="0"/>
          <w:numId w:val="7"/>
        </w:numPr>
        <w:rPr>
          <w:rFonts w:cs="Times New Roman"/>
          <w:sz w:val="24"/>
          <w:szCs w:val="24"/>
          <w:lang w:val="es-419"/>
        </w:rPr>
      </w:pPr>
      <w:r w:rsidRPr="00745B16">
        <w:rPr>
          <w:rFonts w:cs="Times New Roman"/>
          <w:sz w:val="24"/>
          <w:szCs w:val="24"/>
          <w:lang w:val="es-419"/>
        </w:rPr>
        <w:t xml:space="preserve">El Estado brasileño fue analizado en cuanto a la adopción </w:t>
      </w:r>
      <w:r w:rsidRPr="00224C9A">
        <w:rPr>
          <w:rFonts w:cs="Times New Roman"/>
          <w:sz w:val="24"/>
          <w:szCs w:val="24"/>
          <w:lang w:val="es-419"/>
        </w:rPr>
        <w:t xml:space="preserve">de un </w:t>
      </w:r>
      <w:r w:rsidR="00224C9A" w:rsidRPr="00224C9A">
        <w:rPr>
          <w:rFonts w:cs="Times New Roman"/>
          <w:sz w:val="24"/>
          <w:szCs w:val="24"/>
          <w:lang w:val="es-419"/>
        </w:rPr>
        <w:t>re</w:t>
      </w:r>
      <w:r w:rsidRPr="00224C9A">
        <w:rPr>
          <w:rFonts w:cs="Times New Roman"/>
          <w:sz w:val="24"/>
          <w:szCs w:val="24"/>
          <w:lang w:val="es-419"/>
        </w:rPr>
        <w:t>corte</w:t>
      </w:r>
      <w:r w:rsidR="00160992" w:rsidRPr="00224C9A">
        <w:rPr>
          <w:rFonts w:cs="Times New Roman"/>
          <w:sz w:val="24"/>
          <w:szCs w:val="24"/>
          <w:lang w:val="es-419"/>
        </w:rPr>
        <w:t xml:space="preserve"> </w:t>
      </w:r>
      <w:r w:rsidRPr="00224C9A">
        <w:rPr>
          <w:rFonts w:cs="Times New Roman"/>
          <w:sz w:val="24"/>
          <w:szCs w:val="24"/>
          <w:lang w:val="es-419"/>
        </w:rPr>
        <w:t>que</w:t>
      </w:r>
      <w:r w:rsidRPr="00745B16">
        <w:rPr>
          <w:rFonts w:cs="Times New Roman"/>
          <w:sz w:val="24"/>
          <w:szCs w:val="24"/>
          <w:lang w:val="es-419"/>
        </w:rPr>
        <w:t xml:space="preserve"> sea capaz de cumplir con las Observaciones Finales del Comité de la CEDAW (CEDAW / C / BRA / CO / 7)</w:t>
      </w:r>
      <w:r w:rsidR="00224C9A">
        <w:rPr>
          <w:rFonts w:cs="Times New Roman"/>
          <w:sz w:val="24"/>
          <w:szCs w:val="24"/>
          <w:lang w:val="es-419"/>
        </w:rPr>
        <w:t xml:space="preserve">, en especial </w:t>
      </w:r>
      <w:r w:rsidRPr="00745B16">
        <w:rPr>
          <w:rFonts w:cs="Times New Roman"/>
          <w:sz w:val="24"/>
          <w:szCs w:val="24"/>
          <w:lang w:val="es-419"/>
        </w:rPr>
        <w:t>la “Recolección de datos” (temas 34 y 35). En este sentido, se analizaron los cuadros presentados por la Encuesta Nacional Continua por Muestra de Hogares (PNAD) en 2019 y la Síntesis de Indicadores Sociales de Brasil (SIS</w:t>
      </w:r>
      <w:r>
        <w:rPr>
          <w:rFonts w:cs="Times New Roman"/>
          <w:sz w:val="24"/>
          <w:szCs w:val="24"/>
          <w:lang w:val="es-419"/>
        </w:rPr>
        <w:t>, 2018</w:t>
      </w:r>
      <w:r w:rsidRPr="00745B16">
        <w:rPr>
          <w:rFonts w:cs="Times New Roman"/>
          <w:sz w:val="24"/>
          <w:szCs w:val="24"/>
          <w:lang w:val="es-419"/>
        </w:rPr>
        <w:t xml:space="preserve">) resultantes de los análisis de 2012 a 2018. Ambos documentos son </w:t>
      </w:r>
      <w:r>
        <w:rPr>
          <w:rFonts w:cs="Times New Roman"/>
          <w:sz w:val="24"/>
          <w:szCs w:val="24"/>
          <w:lang w:val="es-419"/>
        </w:rPr>
        <w:t>fruto</w:t>
      </w:r>
      <w:r w:rsidRPr="00745B16">
        <w:rPr>
          <w:rFonts w:cs="Times New Roman"/>
          <w:sz w:val="24"/>
          <w:szCs w:val="24"/>
          <w:lang w:val="es-419"/>
        </w:rPr>
        <w:t xml:space="preserve"> del trabajo de</w:t>
      </w:r>
      <w:r>
        <w:rPr>
          <w:rFonts w:cs="Times New Roman"/>
          <w:sz w:val="24"/>
          <w:szCs w:val="24"/>
          <w:lang w:val="es-419"/>
        </w:rPr>
        <w:t xml:space="preserve">l </w:t>
      </w:r>
      <w:r w:rsidRPr="00745B16">
        <w:rPr>
          <w:rFonts w:cs="Times New Roman"/>
          <w:sz w:val="24"/>
          <w:szCs w:val="24"/>
          <w:lang w:val="es-419"/>
        </w:rPr>
        <w:t xml:space="preserve">Instituto Brasileño de Geografía y Estadística (IBGE). El IBGE es el organismo oficial del Estado brasileño que produce datos sobre la realidad socioeconómica de la población. Uno de sus propósitos es apoyar el desarrollo de políticas públicas </w:t>
      </w:r>
      <w:r w:rsidR="00C71C21">
        <w:rPr>
          <w:rFonts w:cs="Times New Roman"/>
          <w:sz w:val="24"/>
          <w:szCs w:val="24"/>
          <w:lang w:val="es-419"/>
        </w:rPr>
        <w:t>para</w:t>
      </w:r>
      <w:r w:rsidRPr="00745B16">
        <w:rPr>
          <w:rFonts w:cs="Times New Roman"/>
          <w:sz w:val="24"/>
          <w:szCs w:val="24"/>
          <w:lang w:val="es-419"/>
        </w:rPr>
        <w:t xml:space="preserve"> superar las desigualdades.</w:t>
      </w:r>
    </w:p>
    <w:p w14:paraId="63F47894" w14:textId="77777777" w:rsidR="00D164E4" w:rsidRPr="00745B16" w:rsidRDefault="00D164E4" w:rsidP="00D164E4">
      <w:pPr>
        <w:pStyle w:val="PargrafodaLista"/>
        <w:ind w:firstLine="0"/>
        <w:rPr>
          <w:rFonts w:cs="Times New Roman"/>
          <w:sz w:val="24"/>
          <w:szCs w:val="24"/>
          <w:lang w:val="es-419"/>
        </w:rPr>
      </w:pPr>
    </w:p>
    <w:p w14:paraId="1E789EEF" w14:textId="2E3CA30C" w:rsidR="000F1490" w:rsidRDefault="00B81D9F" w:rsidP="000F1490">
      <w:pPr>
        <w:pStyle w:val="PargrafodaLista"/>
        <w:numPr>
          <w:ilvl w:val="0"/>
          <w:numId w:val="7"/>
        </w:numPr>
        <w:rPr>
          <w:rFonts w:cs="Times New Roman"/>
          <w:sz w:val="24"/>
          <w:szCs w:val="24"/>
          <w:lang w:val="es-419"/>
        </w:rPr>
      </w:pPr>
      <w:r w:rsidRPr="00B81D9F">
        <w:rPr>
          <w:rFonts w:cs="Times New Roman"/>
          <w:sz w:val="24"/>
          <w:szCs w:val="24"/>
          <w:lang w:val="es-419"/>
        </w:rPr>
        <w:t xml:space="preserve">Al analizar estos documentos, se pudo constatar que el Estado brasileño adopta lo que denomina cuestiones de género y raza. Así, produce datos demográficos de la población brasileña considerando categorías como raza y género. Sin embargo, no existe una adopción sistemática del criterio de raza y género de manera integrada. En varios ejes, los datos sobre género y raza aparecen por separado. En </w:t>
      </w:r>
      <w:r w:rsidR="0088498C">
        <w:rPr>
          <w:rFonts w:cs="Times New Roman"/>
          <w:sz w:val="24"/>
          <w:szCs w:val="24"/>
          <w:lang w:val="es-419"/>
        </w:rPr>
        <w:t>estos</w:t>
      </w:r>
      <w:r w:rsidRPr="00B81D9F">
        <w:rPr>
          <w:rFonts w:cs="Times New Roman"/>
          <w:sz w:val="24"/>
          <w:szCs w:val="24"/>
          <w:lang w:val="es-419"/>
        </w:rPr>
        <w:t xml:space="preserve"> casos, es imposible obtener información precisa sobre las diferencias entre mujeres blancas, negras e indígenas.</w:t>
      </w:r>
      <w:r w:rsidR="005F6940" w:rsidRPr="00125867">
        <w:rPr>
          <w:rStyle w:val="Refdenotaderodap"/>
          <w:rFonts w:cs="Times New Roman"/>
          <w:sz w:val="24"/>
          <w:szCs w:val="24"/>
          <w:lang w:val="es-419"/>
        </w:rPr>
        <w:footnoteReference w:id="3"/>
      </w:r>
    </w:p>
    <w:p w14:paraId="3BFD24D9" w14:textId="77777777" w:rsidR="000F1490" w:rsidRPr="000F1490" w:rsidRDefault="000F1490" w:rsidP="000F1490">
      <w:pPr>
        <w:pStyle w:val="PargrafodaLista"/>
        <w:rPr>
          <w:rFonts w:cs="Times New Roman"/>
          <w:sz w:val="24"/>
          <w:szCs w:val="24"/>
          <w:lang w:val="es-419"/>
        </w:rPr>
      </w:pPr>
    </w:p>
    <w:p w14:paraId="4787F537" w14:textId="6747D21B" w:rsidR="004058EA" w:rsidRDefault="000F1490" w:rsidP="000F1490">
      <w:pPr>
        <w:pStyle w:val="PargrafodaLista"/>
        <w:numPr>
          <w:ilvl w:val="0"/>
          <w:numId w:val="7"/>
        </w:numPr>
        <w:rPr>
          <w:rFonts w:cs="Times New Roman"/>
          <w:sz w:val="24"/>
          <w:szCs w:val="24"/>
          <w:lang w:val="es-419"/>
        </w:rPr>
      </w:pPr>
      <w:r w:rsidRPr="000F1490">
        <w:rPr>
          <w:rFonts w:cs="Times New Roman"/>
          <w:sz w:val="24"/>
          <w:szCs w:val="24"/>
          <w:lang w:val="es-419"/>
        </w:rPr>
        <w:t>Por ello, el Estado brasileño, en respuesta a las preguntas formuladas por el Comité CEDAW, al analizar el Informe VII, afirmó que cuenta con una base sólida, confiable y amplia de indicadores sociales que incluyen variables de género y raza</w:t>
      </w:r>
      <w:r w:rsidR="00EC35FD" w:rsidRPr="00125867">
        <w:rPr>
          <w:rFonts w:cs="Times New Roman"/>
          <w:sz w:val="24"/>
          <w:szCs w:val="24"/>
          <w:lang w:val="es-419"/>
        </w:rPr>
        <w:t xml:space="preserve"> (CEDAW/C/BRA/Q/7/Add.1)</w:t>
      </w:r>
      <w:r w:rsidR="00121349" w:rsidRPr="00125867">
        <w:rPr>
          <w:rFonts w:cs="Times New Roman"/>
          <w:sz w:val="24"/>
          <w:szCs w:val="24"/>
          <w:lang w:val="es-419"/>
        </w:rPr>
        <w:t>.</w:t>
      </w:r>
    </w:p>
    <w:p w14:paraId="75E232FE" w14:textId="77777777" w:rsidR="00CF6BD6" w:rsidRPr="00CF6BD6" w:rsidRDefault="00CF6BD6" w:rsidP="00CF6BD6">
      <w:pPr>
        <w:pStyle w:val="PargrafodaLista"/>
        <w:rPr>
          <w:rFonts w:cs="Times New Roman"/>
          <w:sz w:val="24"/>
          <w:szCs w:val="24"/>
          <w:lang w:val="es-419"/>
        </w:rPr>
      </w:pPr>
    </w:p>
    <w:p w14:paraId="7E96AFC6" w14:textId="7DD00A9E" w:rsidR="00CF6BD6" w:rsidRDefault="00CF6BD6" w:rsidP="000F1490">
      <w:pPr>
        <w:pStyle w:val="PargrafodaLista"/>
        <w:numPr>
          <w:ilvl w:val="0"/>
          <w:numId w:val="7"/>
        </w:numPr>
        <w:rPr>
          <w:rFonts w:cs="Times New Roman"/>
          <w:sz w:val="24"/>
          <w:szCs w:val="24"/>
          <w:lang w:val="es-419"/>
        </w:rPr>
      </w:pPr>
      <w:r w:rsidRPr="00CF6BD6">
        <w:rPr>
          <w:rFonts w:cs="Times New Roman"/>
          <w:sz w:val="24"/>
          <w:szCs w:val="24"/>
          <w:lang w:val="es-419"/>
        </w:rPr>
        <w:t>Sin embargo, el Estado brasileño aún recopila gran parte de sus datos considerando la raza y el género como categorías exclusivas</w:t>
      </w:r>
      <w:r w:rsidR="001814A0" w:rsidRPr="00125867">
        <w:rPr>
          <w:rStyle w:val="Refdenotaderodap"/>
          <w:rFonts w:cs="Times New Roman"/>
          <w:sz w:val="24"/>
          <w:szCs w:val="24"/>
          <w:lang w:val="es-419"/>
        </w:rPr>
        <w:footnoteReference w:id="4"/>
      </w:r>
      <w:r w:rsidRPr="00CF6BD6">
        <w:rPr>
          <w:rFonts w:cs="Times New Roman"/>
          <w:sz w:val="24"/>
          <w:szCs w:val="24"/>
          <w:lang w:val="es-419"/>
        </w:rPr>
        <w:t xml:space="preserve">. En este sentido, al considerar el elemento racial, no distingue entre hombres negros y mujeres </w:t>
      </w:r>
      <w:r w:rsidR="00E569B6">
        <w:rPr>
          <w:rFonts w:cs="Times New Roman"/>
          <w:sz w:val="24"/>
          <w:szCs w:val="24"/>
          <w:lang w:val="es-419"/>
        </w:rPr>
        <w:t>no-</w:t>
      </w:r>
      <w:r w:rsidR="00E569B6">
        <w:rPr>
          <w:rFonts w:cs="Times New Roman"/>
          <w:sz w:val="24"/>
          <w:szCs w:val="24"/>
          <w:lang w:val="es-419"/>
        </w:rPr>
        <w:lastRenderedPageBreak/>
        <w:t>blancas</w:t>
      </w:r>
      <w:r w:rsidRPr="00CF6BD6">
        <w:rPr>
          <w:rFonts w:cs="Times New Roman"/>
          <w:sz w:val="24"/>
          <w:szCs w:val="24"/>
          <w:lang w:val="es-419"/>
        </w:rPr>
        <w:t xml:space="preserve">; asimismo, al considerar la categoría de sexo, no distingue entre mujeres blancas y mujeres </w:t>
      </w:r>
      <w:r w:rsidR="00E569B6">
        <w:rPr>
          <w:rFonts w:cs="Times New Roman"/>
          <w:sz w:val="24"/>
          <w:szCs w:val="24"/>
          <w:lang w:val="es-419"/>
        </w:rPr>
        <w:t>no-blancas</w:t>
      </w:r>
      <w:r w:rsidRPr="00CF6BD6">
        <w:rPr>
          <w:rFonts w:cs="Times New Roman"/>
          <w:sz w:val="24"/>
          <w:szCs w:val="24"/>
          <w:lang w:val="es-419"/>
        </w:rPr>
        <w:t>.</w:t>
      </w:r>
    </w:p>
    <w:p w14:paraId="546C19A8" w14:textId="77777777" w:rsidR="003A03D6" w:rsidRPr="003A03D6" w:rsidRDefault="003A03D6" w:rsidP="003A03D6">
      <w:pPr>
        <w:pStyle w:val="PargrafodaLista"/>
        <w:rPr>
          <w:rFonts w:cs="Times New Roman"/>
          <w:sz w:val="24"/>
          <w:szCs w:val="24"/>
          <w:lang w:val="es-419"/>
        </w:rPr>
      </w:pPr>
    </w:p>
    <w:p w14:paraId="7D056E79" w14:textId="52A49F5D" w:rsidR="003A03D6" w:rsidRDefault="003A03D6" w:rsidP="000F1490">
      <w:pPr>
        <w:pStyle w:val="PargrafodaLista"/>
        <w:numPr>
          <w:ilvl w:val="0"/>
          <w:numId w:val="7"/>
        </w:numPr>
        <w:rPr>
          <w:rFonts w:cs="Times New Roman"/>
          <w:sz w:val="24"/>
          <w:szCs w:val="24"/>
          <w:lang w:val="es-419"/>
        </w:rPr>
      </w:pPr>
      <w:r w:rsidRPr="003A03D6">
        <w:rPr>
          <w:rFonts w:cs="Times New Roman"/>
          <w:sz w:val="24"/>
          <w:szCs w:val="24"/>
          <w:lang w:val="es-419"/>
        </w:rPr>
        <w:t xml:space="preserve">Debido al predominio de enfoques con esta </w:t>
      </w:r>
      <w:r w:rsidR="003C6149">
        <w:rPr>
          <w:rFonts w:cs="Times New Roman"/>
          <w:sz w:val="24"/>
          <w:szCs w:val="24"/>
          <w:lang w:val="es-419"/>
        </w:rPr>
        <w:t>ausencia</w:t>
      </w:r>
      <w:r w:rsidRPr="003A03D6">
        <w:rPr>
          <w:rFonts w:cs="Times New Roman"/>
          <w:sz w:val="24"/>
          <w:szCs w:val="24"/>
          <w:lang w:val="es-419"/>
        </w:rPr>
        <w:t xml:space="preserve">, Kimberlé Crenshaw (1989) </w:t>
      </w:r>
      <w:r w:rsidR="003F7CD1">
        <w:rPr>
          <w:rFonts w:cs="Times New Roman"/>
          <w:sz w:val="24"/>
          <w:szCs w:val="24"/>
          <w:lang w:val="es-419"/>
        </w:rPr>
        <w:t>demostró</w:t>
      </w:r>
      <w:r w:rsidRPr="003A03D6">
        <w:rPr>
          <w:rFonts w:cs="Times New Roman"/>
          <w:sz w:val="24"/>
          <w:szCs w:val="24"/>
          <w:lang w:val="es-419"/>
        </w:rPr>
        <w:t xml:space="preserve"> que</w:t>
      </w:r>
      <w:r w:rsidR="0088498C">
        <w:rPr>
          <w:rFonts w:cs="Times New Roman"/>
          <w:sz w:val="24"/>
          <w:szCs w:val="24"/>
          <w:lang w:val="es-419"/>
        </w:rPr>
        <w:t xml:space="preserve"> recurrentemente</w:t>
      </w:r>
      <w:r w:rsidRPr="003A03D6">
        <w:rPr>
          <w:rFonts w:cs="Times New Roman"/>
          <w:sz w:val="24"/>
          <w:szCs w:val="24"/>
          <w:lang w:val="es-419"/>
        </w:rPr>
        <w:t xml:space="preserve"> la raza y el género se tratan como categorías de análisis mutuamente excluyentes. Como lo ha hecho el Estado brasileño en gran parte de sus encuestas de población. Así, </w:t>
      </w:r>
      <w:r w:rsidR="003F7CD1">
        <w:rPr>
          <w:rFonts w:cs="Times New Roman"/>
          <w:sz w:val="24"/>
          <w:szCs w:val="24"/>
          <w:lang w:val="es-419"/>
        </w:rPr>
        <w:t>la</w:t>
      </w:r>
      <w:r w:rsidRPr="003A03D6">
        <w:rPr>
          <w:rFonts w:cs="Times New Roman"/>
          <w:sz w:val="24"/>
          <w:szCs w:val="24"/>
          <w:lang w:val="es-419"/>
        </w:rPr>
        <w:t xml:space="preserve"> autor</w:t>
      </w:r>
      <w:r w:rsidR="003F7CD1">
        <w:rPr>
          <w:rFonts w:cs="Times New Roman"/>
          <w:sz w:val="24"/>
          <w:szCs w:val="24"/>
          <w:lang w:val="es-419"/>
        </w:rPr>
        <w:t>a</w:t>
      </w:r>
      <w:r w:rsidRPr="003A03D6">
        <w:rPr>
          <w:rFonts w:cs="Times New Roman"/>
          <w:sz w:val="24"/>
          <w:szCs w:val="24"/>
          <w:lang w:val="es-419"/>
        </w:rPr>
        <w:t xml:space="preserve"> refuerza que esta modalidad de eje único invisibiliza a las mujeres más vulnerables, especialmente a </w:t>
      </w:r>
      <w:r w:rsidR="007F5FAA">
        <w:rPr>
          <w:rFonts w:cs="Times New Roman"/>
          <w:sz w:val="24"/>
          <w:szCs w:val="24"/>
          <w:lang w:val="es-419"/>
        </w:rPr>
        <w:t>no-blancas</w:t>
      </w:r>
      <w:r w:rsidRPr="003A03D6">
        <w:rPr>
          <w:rFonts w:cs="Times New Roman"/>
          <w:sz w:val="24"/>
          <w:szCs w:val="24"/>
          <w:lang w:val="es-419"/>
        </w:rPr>
        <w:t>. De esta forma</w:t>
      </w:r>
      <w:r w:rsidR="009358AC">
        <w:rPr>
          <w:rFonts w:cs="Times New Roman"/>
          <w:sz w:val="24"/>
          <w:szCs w:val="24"/>
          <w:lang w:val="es-419"/>
        </w:rPr>
        <w:t>,</w:t>
      </w:r>
      <w:r w:rsidRPr="003A03D6">
        <w:rPr>
          <w:rFonts w:cs="Times New Roman"/>
          <w:sz w:val="24"/>
          <w:szCs w:val="24"/>
          <w:lang w:val="es-419"/>
        </w:rPr>
        <w:t xml:space="preserve"> se perpetúa un eje único que domina la producción de leyes contra la discriminación racial y teorías feministas y antirracistas</w:t>
      </w:r>
      <w:r w:rsidR="0059273C">
        <w:rPr>
          <w:rFonts w:cs="Times New Roman"/>
          <w:sz w:val="24"/>
          <w:szCs w:val="24"/>
          <w:lang w:val="es-419"/>
        </w:rPr>
        <w:t xml:space="preserve"> </w:t>
      </w:r>
      <w:r w:rsidR="0059273C" w:rsidRPr="00125867">
        <w:rPr>
          <w:rFonts w:cs="Times New Roman"/>
          <w:sz w:val="24"/>
          <w:szCs w:val="24"/>
          <w:lang w:val="es-419"/>
        </w:rPr>
        <w:t>(CRENSHAW, 1989).</w:t>
      </w:r>
    </w:p>
    <w:p w14:paraId="25A7634F" w14:textId="77777777" w:rsidR="0059273C" w:rsidRPr="0059273C" w:rsidRDefault="0059273C" w:rsidP="0059273C">
      <w:pPr>
        <w:pStyle w:val="PargrafodaLista"/>
        <w:rPr>
          <w:rFonts w:cs="Times New Roman"/>
          <w:sz w:val="24"/>
          <w:szCs w:val="24"/>
          <w:lang w:val="es-419"/>
        </w:rPr>
      </w:pPr>
    </w:p>
    <w:p w14:paraId="2B74D204" w14:textId="6306E093" w:rsidR="00501F7F" w:rsidRDefault="0059273C" w:rsidP="009545DC">
      <w:pPr>
        <w:pStyle w:val="PargrafodaLista"/>
        <w:numPr>
          <w:ilvl w:val="0"/>
          <w:numId w:val="7"/>
        </w:numPr>
        <w:rPr>
          <w:rFonts w:cs="Times New Roman"/>
          <w:sz w:val="24"/>
          <w:szCs w:val="24"/>
          <w:lang w:val="es-419"/>
        </w:rPr>
      </w:pPr>
      <w:r w:rsidRPr="0088498C">
        <w:rPr>
          <w:rFonts w:cs="Times New Roman"/>
          <w:sz w:val="24"/>
          <w:szCs w:val="24"/>
          <w:lang w:val="es-419"/>
        </w:rPr>
        <w:t xml:space="preserve">Por </w:t>
      </w:r>
      <w:r w:rsidR="0088498C" w:rsidRPr="0088498C">
        <w:rPr>
          <w:rFonts w:cs="Times New Roman"/>
          <w:sz w:val="24"/>
          <w:szCs w:val="24"/>
          <w:lang w:val="es-419"/>
        </w:rPr>
        <w:t xml:space="preserve">lo </w:t>
      </w:r>
      <w:r w:rsidRPr="0088498C">
        <w:rPr>
          <w:rFonts w:cs="Times New Roman"/>
          <w:sz w:val="24"/>
          <w:szCs w:val="24"/>
          <w:lang w:val="es-419"/>
        </w:rPr>
        <w:t>tanto</w:t>
      </w:r>
      <w:r w:rsidRPr="0059273C">
        <w:rPr>
          <w:rFonts w:cs="Times New Roman"/>
          <w:sz w:val="24"/>
          <w:szCs w:val="24"/>
          <w:lang w:val="es-419"/>
        </w:rPr>
        <w:t>, parece urgente que las estrategias que se adopten a favor del acceso de las mujeres a los derechos humanos se construyan de manera interseccional. Para ello, la producción de datos que consideren género y raza simultáneamente es fundamental.</w:t>
      </w:r>
    </w:p>
    <w:p w14:paraId="37F4C15D" w14:textId="77777777" w:rsidR="00343547" w:rsidRPr="00343547" w:rsidRDefault="00343547" w:rsidP="00343547">
      <w:pPr>
        <w:pStyle w:val="PargrafodaLista"/>
        <w:rPr>
          <w:rFonts w:cs="Times New Roman"/>
          <w:sz w:val="24"/>
          <w:szCs w:val="24"/>
          <w:lang w:val="es-419"/>
        </w:rPr>
      </w:pPr>
    </w:p>
    <w:p w14:paraId="392412DF" w14:textId="2AE1156E" w:rsidR="00343547" w:rsidRPr="00343547" w:rsidRDefault="00343547" w:rsidP="00343547">
      <w:pPr>
        <w:ind w:left="2268"/>
        <w:jc w:val="both"/>
        <w:rPr>
          <w:rFonts w:ascii="Times New Roman" w:hAnsi="Times New Roman" w:cs="Times New Roman"/>
          <w:lang w:val="es-419"/>
        </w:rPr>
      </w:pPr>
      <w:proofErr w:type="gramStart"/>
      <w:r w:rsidRPr="00343547">
        <w:rPr>
          <w:rFonts w:ascii="Times New Roman" w:hAnsi="Times New Roman" w:cs="Times New Roman"/>
          <w:lang w:val="es-419"/>
        </w:rPr>
        <w:t>Asegurar</w:t>
      </w:r>
      <w:proofErr w:type="gramEnd"/>
      <w:r w:rsidRPr="00343547">
        <w:rPr>
          <w:rFonts w:ascii="Times New Roman" w:hAnsi="Times New Roman" w:cs="Times New Roman"/>
          <w:lang w:val="es-419"/>
        </w:rPr>
        <w:t xml:space="preserve"> que todas las mujeres se beneficien de una mayor protección de los derechos humanos basados ​​en el género requiere </w:t>
      </w:r>
      <w:r w:rsidR="001345B3">
        <w:rPr>
          <w:rFonts w:ascii="Times New Roman" w:hAnsi="Times New Roman" w:cs="Times New Roman"/>
          <w:lang w:val="es-419"/>
        </w:rPr>
        <w:t>ser atent</w:t>
      </w:r>
      <w:r w:rsidR="00FD55D3">
        <w:rPr>
          <w:rFonts w:ascii="Times New Roman" w:hAnsi="Times New Roman" w:cs="Times New Roman"/>
          <w:lang w:val="es-419"/>
        </w:rPr>
        <w:t>a</w:t>
      </w:r>
      <w:r w:rsidRPr="00343547">
        <w:rPr>
          <w:rFonts w:ascii="Times New Roman" w:hAnsi="Times New Roman" w:cs="Times New Roman"/>
          <w:lang w:val="es-419"/>
        </w:rPr>
        <w:t xml:space="preserve"> a las diversas formas en que el género se cruza con una variedad de otras identidades y la forma en que estas intersecciones contribuyen </w:t>
      </w:r>
      <w:r w:rsidR="00036EC7">
        <w:rPr>
          <w:rFonts w:ascii="Times New Roman" w:hAnsi="Times New Roman" w:cs="Times New Roman"/>
          <w:lang w:val="es-419"/>
        </w:rPr>
        <w:t>para</w:t>
      </w:r>
      <w:r w:rsidRPr="00343547">
        <w:rPr>
          <w:rFonts w:ascii="Times New Roman" w:hAnsi="Times New Roman" w:cs="Times New Roman"/>
          <w:lang w:val="es-419"/>
        </w:rPr>
        <w:t xml:space="preserve"> </w:t>
      </w:r>
      <w:r w:rsidR="00036EC7">
        <w:rPr>
          <w:rFonts w:ascii="Times New Roman" w:hAnsi="Times New Roman" w:cs="Times New Roman"/>
          <w:lang w:val="es-419"/>
        </w:rPr>
        <w:t xml:space="preserve">una forma </w:t>
      </w:r>
      <w:r w:rsidRPr="00343547">
        <w:rPr>
          <w:rFonts w:ascii="Times New Roman" w:hAnsi="Times New Roman" w:cs="Times New Roman"/>
          <w:lang w:val="es-419"/>
        </w:rPr>
        <w:t xml:space="preserve">particular </w:t>
      </w:r>
      <w:r w:rsidR="00036EC7">
        <w:rPr>
          <w:rFonts w:ascii="Times New Roman" w:hAnsi="Times New Roman" w:cs="Times New Roman"/>
          <w:lang w:val="es-419"/>
        </w:rPr>
        <w:t xml:space="preserve">de </w:t>
      </w:r>
      <w:r w:rsidRPr="00343547">
        <w:rPr>
          <w:rFonts w:ascii="Times New Roman" w:hAnsi="Times New Roman" w:cs="Times New Roman"/>
          <w:lang w:val="es-419"/>
        </w:rPr>
        <w:t xml:space="preserve">vulnerabilidad </w:t>
      </w:r>
      <w:r w:rsidR="00036EC7">
        <w:rPr>
          <w:rFonts w:ascii="Times New Roman" w:hAnsi="Times New Roman" w:cs="Times New Roman"/>
          <w:lang w:val="es-419"/>
        </w:rPr>
        <w:t>entre</w:t>
      </w:r>
      <w:r w:rsidRPr="00343547">
        <w:rPr>
          <w:rFonts w:ascii="Times New Roman" w:hAnsi="Times New Roman" w:cs="Times New Roman"/>
          <w:lang w:val="es-419"/>
        </w:rPr>
        <w:t xml:space="preserve"> diferentes grupos de mujeres. Dado que las experiencias específicas de las mujeres de grupos étnicos o raciales a menudo se ocultan dentro de categorías más amplias de raza y género, aún se desconoce el alcance total de su vulnerabilidad interseccional y, en última instancia, debe construirse desde cero.</w:t>
      </w:r>
      <w:r>
        <w:rPr>
          <w:rStyle w:val="Refdenotaderodap"/>
          <w:rFonts w:ascii="Times New Roman" w:hAnsi="Times New Roman" w:cs="Times New Roman"/>
          <w:lang w:val="es-419"/>
        </w:rPr>
        <w:footnoteReference w:id="5"/>
      </w:r>
      <w:r w:rsidRPr="00343547">
        <w:rPr>
          <w:rFonts w:ascii="Times New Roman" w:hAnsi="Times New Roman" w:cs="Times New Roman"/>
          <w:lang w:val="es-419" w:eastAsia="pt-BR"/>
        </w:rPr>
        <w:t xml:space="preserve"> </w:t>
      </w:r>
      <w:r w:rsidRPr="00125867">
        <w:rPr>
          <w:rFonts w:ascii="Times New Roman" w:hAnsi="Times New Roman" w:cs="Times New Roman"/>
          <w:lang w:val="es-419" w:eastAsia="pt-BR"/>
        </w:rPr>
        <w:t>(CRENSHAW, 2002, p. 174)</w:t>
      </w:r>
    </w:p>
    <w:p w14:paraId="45794BCE" w14:textId="77777777" w:rsidR="00343547" w:rsidRPr="00343547" w:rsidRDefault="00343547" w:rsidP="00343547">
      <w:pPr>
        <w:pStyle w:val="PargrafodaLista"/>
        <w:rPr>
          <w:rFonts w:cs="Times New Roman"/>
          <w:sz w:val="24"/>
          <w:szCs w:val="24"/>
          <w:lang w:val="es-419"/>
        </w:rPr>
      </w:pPr>
    </w:p>
    <w:p w14:paraId="52A600CB" w14:textId="0E5A5D42" w:rsidR="00343547" w:rsidRDefault="00E17F4B" w:rsidP="009545DC">
      <w:pPr>
        <w:pStyle w:val="PargrafodaLista"/>
        <w:numPr>
          <w:ilvl w:val="0"/>
          <w:numId w:val="7"/>
        </w:numPr>
        <w:rPr>
          <w:rFonts w:cs="Times New Roman"/>
          <w:sz w:val="24"/>
          <w:szCs w:val="24"/>
          <w:lang w:val="es-419"/>
        </w:rPr>
      </w:pPr>
      <w:r w:rsidRPr="00E17F4B">
        <w:rPr>
          <w:rFonts w:cs="Times New Roman"/>
          <w:sz w:val="24"/>
          <w:szCs w:val="24"/>
          <w:lang w:val="es-419"/>
        </w:rPr>
        <w:t xml:space="preserve">Ante esto, este documento busca demostrar que el Estado brasileño continúa ignorando parcialmente la necesaria producción de datos que permitan diagnósticos precisos de la realidad socioeconómica brasileña de todas las mujeres. Cabe señalar que </w:t>
      </w:r>
      <w:r>
        <w:rPr>
          <w:rFonts w:cs="Times New Roman"/>
          <w:sz w:val="24"/>
          <w:szCs w:val="24"/>
          <w:lang w:val="es-419"/>
        </w:rPr>
        <w:t>“</w:t>
      </w:r>
      <w:r w:rsidRPr="00E17F4B">
        <w:rPr>
          <w:rFonts w:cs="Times New Roman"/>
          <w:sz w:val="24"/>
          <w:szCs w:val="24"/>
          <w:lang w:val="es-419"/>
        </w:rPr>
        <w:t>cuando no se comprenden bien los contornos específicos de la discriminación de género, es probable que las intervenciones para abordar los abusos de los derechos humanos por parte de las mujeres sean menos eficaces</w:t>
      </w:r>
      <w:r>
        <w:rPr>
          <w:rFonts w:cs="Times New Roman"/>
          <w:sz w:val="24"/>
          <w:szCs w:val="24"/>
          <w:lang w:val="es-419"/>
        </w:rPr>
        <w:t>”</w:t>
      </w:r>
      <w:r w:rsidR="000C74E2">
        <w:rPr>
          <w:rStyle w:val="Refdenotaderodap"/>
          <w:rFonts w:cs="Times New Roman"/>
          <w:sz w:val="24"/>
          <w:szCs w:val="24"/>
          <w:lang w:val="es-419"/>
        </w:rPr>
        <w:footnoteReference w:id="6"/>
      </w:r>
      <w:r w:rsidRPr="00E17F4B">
        <w:rPr>
          <w:rFonts w:cs="Times New Roman"/>
          <w:sz w:val="24"/>
          <w:szCs w:val="24"/>
          <w:lang w:val="es-419"/>
        </w:rPr>
        <w:t xml:space="preserve"> (CRENSHAW, 2002, p</w:t>
      </w:r>
      <w:r w:rsidR="000C74E2">
        <w:rPr>
          <w:rFonts w:cs="Times New Roman"/>
          <w:sz w:val="24"/>
          <w:szCs w:val="24"/>
          <w:lang w:val="es-419"/>
        </w:rPr>
        <w:t>.</w:t>
      </w:r>
      <w:r w:rsidRPr="00E17F4B">
        <w:rPr>
          <w:rFonts w:cs="Times New Roman"/>
          <w:sz w:val="24"/>
          <w:szCs w:val="24"/>
          <w:lang w:val="es-419"/>
        </w:rPr>
        <w:t xml:space="preserve"> 174). No es de extrañar, </w:t>
      </w:r>
      <w:r w:rsidRPr="0088498C">
        <w:rPr>
          <w:rFonts w:cs="Times New Roman"/>
          <w:sz w:val="24"/>
          <w:szCs w:val="24"/>
          <w:lang w:val="es-419"/>
        </w:rPr>
        <w:t xml:space="preserve">por </w:t>
      </w:r>
      <w:r w:rsidR="0088498C" w:rsidRPr="0088498C">
        <w:rPr>
          <w:rFonts w:cs="Times New Roman"/>
          <w:sz w:val="24"/>
          <w:szCs w:val="24"/>
          <w:lang w:val="es-419"/>
        </w:rPr>
        <w:t xml:space="preserve">lo </w:t>
      </w:r>
      <w:r w:rsidRPr="0088498C">
        <w:rPr>
          <w:rFonts w:cs="Times New Roman"/>
          <w:sz w:val="24"/>
          <w:szCs w:val="24"/>
          <w:lang w:val="es-419"/>
        </w:rPr>
        <w:t>tanto, que las estrategias señaladas por el Estado brasileño en sus Informes anteriores hayan sido</w:t>
      </w:r>
      <w:r w:rsidRPr="00E17F4B">
        <w:rPr>
          <w:rFonts w:cs="Times New Roman"/>
          <w:sz w:val="24"/>
          <w:szCs w:val="24"/>
          <w:lang w:val="es-419"/>
        </w:rPr>
        <w:t xml:space="preserve"> ineficaces en cuanto a la elaboración de propuestas que consideren género y raza de manera interseccional</w:t>
      </w:r>
      <w:r w:rsidR="000212F2" w:rsidRPr="00125867">
        <w:rPr>
          <w:rStyle w:val="Refdenotaderodap"/>
          <w:rFonts w:cs="Times New Roman"/>
          <w:sz w:val="24"/>
          <w:szCs w:val="24"/>
          <w:lang w:val="es-419"/>
        </w:rPr>
        <w:footnoteReference w:id="7"/>
      </w:r>
      <w:r w:rsidR="000212F2">
        <w:rPr>
          <w:rFonts w:cs="Times New Roman"/>
          <w:sz w:val="24"/>
          <w:szCs w:val="24"/>
          <w:lang w:val="es-419"/>
        </w:rPr>
        <w:t xml:space="preserve"> </w:t>
      </w:r>
      <w:r w:rsidR="000212F2" w:rsidRPr="00125867">
        <w:rPr>
          <w:rFonts w:cs="Times New Roman"/>
          <w:sz w:val="24"/>
          <w:szCs w:val="24"/>
          <w:lang w:val="es-419"/>
        </w:rPr>
        <w:fldChar w:fldCharType="begin"/>
      </w:r>
      <w:r w:rsidR="000212F2" w:rsidRPr="00125867">
        <w:rPr>
          <w:rFonts w:cs="Times New Roman"/>
          <w:sz w:val="24"/>
          <w:szCs w:val="24"/>
          <w:lang w:val="es-419"/>
        </w:rPr>
        <w:instrText xml:space="preserve"> ADDIN ZOTERO_ITEM CSL_CITATION {"citationID":"zLKN6Am3","properties":{"formattedCitation":"(KYRILLOS, 2018)","plainCitation":"(KYRILLOS, 2018)","noteIndex":0},"citationItems":[{"id":567,"uris":["http://zotero.org/users/6847824/items/MVTVA8IT"],"uri":["http://zotero.org/users/6847824/items/MVTVA8IT"],"itemData":{"id":567,"type":"thesis","event-place":"Florianópolis","language":"pt","number-of-pages":"289","publisher":"Universidade Federal de Santa Catarina","publisher-place":"Florianópolis","source":"Zotero","title":"OS DIREITOS HUMANOS DAS MULHERES NO BRASIL A PARTIR DE UMA ANÁLISE INTERSECCIONAL DE GÊNERO E RAÇA SOBRE A EFICÁCIA DA CONVENÇÃO PARA A ELIMINAÇÃO DE TODAS AS FORMAS DE DISCRIMINAÇÃO CONTRA A MULHER (CEDAW)","author":[{"family":"Kyrillos","given":"Gabriela de Moraes"}],"issued":{"date-parts":[["2018"]]}}}],"schema":"https://github.com/citation-style-language/schema/raw/master/csl-citation.json"} </w:instrText>
      </w:r>
      <w:r w:rsidR="000212F2" w:rsidRPr="00125867">
        <w:rPr>
          <w:rFonts w:cs="Times New Roman"/>
          <w:sz w:val="24"/>
          <w:szCs w:val="24"/>
          <w:lang w:val="es-419"/>
        </w:rPr>
        <w:fldChar w:fldCharType="separate"/>
      </w:r>
      <w:r w:rsidR="000212F2" w:rsidRPr="00125867">
        <w:rPr>
          <w:rFonts w:cs="Times New Roman"/>
          <w:sz w:val="24"/>
          <w:lang w:val="es-419"/>
        </w:rPr>
        <w:t>(KYRILLOS, 2018)</w:t>
      </w:r>
      <w:r w:rsidR="000212F2" w:rsidRPr="00125867">
        <w:rPr>
          <w:rFonts w:cs="Times New Roman"/>
          <w:sz w:val="24"/>
          <w:szCs w:val="24"/>
          <w:lang w:val="es-419"/>
        </w:rPr>
        <w:fldChar w:fldCharType="end"/>
      </w:r>
      <w:r w:rsidR="000212F2" w:rsidRPr="00125867">
        <w:rPr>
          <w:rFonts w:cs="Times New Roman"/>
          <w:sz w:val="24"/>
          <w:szCs w:val="24"/>
          <w:lang w:val="es-419"/>
        </w:rPr>
        <w:t>.</w:t>
      </w:r>
    </w:p>
    <w:p w14:paraId="633C65D1" w14:textId="5AB2C5EE" w:rsidR="006F7F1A" w:rsidRPr="0088498C" w:rsidRDefault="006F7F1A" w:rsidP="009545DC">
      <w:pPr>
        <w:pStyle w:val="PargrafodaLista"/>
        <w:numPr>
          <w:ilvl w:val="0"/>
          <w:numId w:val="7"/>
        </w:numPr>
        <w:rPr>
          <w:rFonts w:cs="Times New Roman"/>
          <w:sz w:val="24"/>
          <w:szCs w:val="24"/>
          <w:lang w:val="es-419"/>
        </w:rPr>
      </w:pPr>
      <w:r w:rsidRPr="006F7F1A">
        <w:rPr>
          <w:rFonts w:cs="Times New Roman"/>
          <w:sz w:val="24"/>
          <w:szCs w:val="24"/>
          <w:lang w:val="es-419"/>
        </w:rPr>
        <w:lastRenderedPageBreak/>
        <w:t xml:space="preserve">Por lo tanto, se espera que este documento apoye al Comité CEDAW sobre el escenario en Brasil </w:t>
      </w:r>
      <w:r w:rsidR="0088498C">
        <w:rPr>
          <w:rFonts w:cs="Times New Roman"/>
          <w:sz w:val="24"/>
          <w:szCs w:val="24"/>
          <w:lang w:val="es-419"/>
        </w:rPr>
        <w:t>sobre</w:t>
      </w:r>
      <w:r w:rsidRPr="006F7F1A">
        <w:rPr>
          <w:rFonts w:cs="Times New Roman"/>
          <w:sz w:val="24"/>
          <w:szCs w:val="24"/>
          <w:lang w:val="es-419"/>
        </w:rPr>
        <w:t xml:space="preserve"> los Derechos Humanos de las mujeres, en particular, la producción de datos sobre esta realidad. Contribuyendo así</w:t>
      </w:r>
      <w:r w:rsidR="0072755F">
        <w:rPr>
          <w:rFonts w:cs="Times New Roman"/>
          <w:sz w:val="24"/>
          <w:szCs w:val="24"/>
          <w:lang w:val="es-419"/>
        </w:rPr>
        <w:t>,</w:t>
      </w:r>
      <w:r w:rsidRPr="006F7F1A">
        <w:rPr>
          <w:rFonts w:cs="Times New Roman"/>
          <w:sz w:val="24"/>
          <w:szCs w:val="24"/>
          <w:lang w:val="es-419"/>
        </w:rPr>
        <w:t xml:space="preserve"> a reforzar la importancia de que el Estado brasileño adopte un compromiso con la elaboración de datos no s</w:t>
      </w:r>
      <w:r w:rsidR="0072755F">
        <w:rPr>
          <w:rFonts w:cs="Times New Roman"/>
          <w:sz w:val="24"/>
          <w:szCs w:val="24"/>
          <w:lang w:val="es-419"/>
        </w:rPr>
        <w:t>ó</w:t>
      </w:r>
      <w:r w:rsidRPr="006F7F1A">
        <w:rPr>
          <w:rFonts w:cs="Times New Roman"/>
          <w:sz w:val="24"/>
          <w:szCs w:val="24"/>
          <w:lang w:val="es-419"/>
        </w:rPr>
        <w:t>lo de forma transversal, s</w:t>
      </w:r>
      <w:r w:rsidRPr="0088498C">
        <w:rPr>
          <w:rFonts w:cs="Times New Roman"/>
          <w:sz w:val="24"/>
          <w:szCs w:val="24"/>
          <w:lang w:val="es-419"/>
        </w:rPr>
        <w:t>ino también de forma interseccional.</w:t>
      </w:r>
    </w:p>
    <w:p w14:paraId="53ABED96" w14:textId="1082BDF6" w:rsidR="004904FA" w:rsidRDefault="004904FA" w:rsidP="009545DC">
      <w:pPr>
        <w:pStyle w:val="PargrafodaLista"/>
        <w:numPr>
          <w:ilvl w:val="0"/>
          <w:numId w:val="7"/>
        </w:numPr>
        <w:rPr>
          <w:rFonts w:cs="Times New Roman"/>
          <w:sz w:val="24"/>
          <w:szCs w:val="24"/>
          <w:lang w:val="es-419"/>
        </w:rPr>
      </w:pPr>
      <w:r w:rsidRPr="0088498C">
        <w:rPr>
          <w:rFonts w:cs="Times New Roman"/>
          <w:sz w:val="24"/>
          <w:szCs w:val="24"/>
          <w:lang w:val="es-419"/>
        </w:rPr>
        <w:t>Este documento busca</w:t>
      </w:r>
      <w:r w:rsidR="0088498C" w:rsidRPr="0088498C">
        <w:rPr>
          <w:rFonts w:cs="Times New Roman"/>
          <w:sz w:val="24"/>
          <w:szCs w:val="24"/>
          <w:lang w:val="es-419"/>
        </w:rPr>
        <w:t xml:space="preserve">, </w:t>
      </w:r>
      <w:r w:rsidR="00DA2FB1" w:rsidRPr="0088498C">
        <w:rPr>
          <w:rFonts w:cs="Times New Roman"/>
          <w:sz w:val="24"/>
          <w:szCs w:val="24"/>
          <w:lang w:val="es-419"/>
        </w:rPr>
        <w:t xml:space="preserve">de este modo, </w:t>
      </w:r>
      <w:r w:rsidRPr="004904FA">
        <w:rPr>
          <w:rFonts w:cs="Times New Roman"/>
          <w:sz w:val="24"/>
          <w:szCs w:val="24"/>
          <w:lang w:val="es-419"/>
        </w:rPr>
        <w:t xml:space="preserve">demostrar que el Estado brasileño aún no cumple plenamente con las recomendaciones 34 y 35 de las Observaciones Finales del Comité CEDAW al Estado Brasileño (CEDAW/C/BRA/CO/7) </w:t>
      </w:r>
      <w:r>
        <w:rPr>
          <w:rFonts w:cs="Times New Roman"/>
          <w:sz w:val="24"/>
          <w:szCs w:val="24"/>
          <w:lang w:val="es-419"/>
        </w:rPr>
        <w:t xml:space="preserve">– </w:t>
      </w:r>
      <w:r w:rsidRPr="004904FA">
        <w:rPr>
          <w:rFonts w:cs="Times New Roman"/>
          <w:sz w:val="24"/>
          <w:szCs w:val="24"/>
          <w:lang w:val="es-419"/>
        </w:rPr>
        <w:t>que trata de la producción de datos exclusivamente desagregados por sexo o raza.</w:t>
      </w:r>
    </w:p>
    <w:p w14:paraId="3645C548" w14:textId="53D89701" w:rsidR="001C6477" w:rsidRDefault="001C6477" w:rsidP="009545DC">
      <w:pPr>
        <w:pStyle w:val="PargrafodaLista"/>
        <w:numPr>
          <w:ilvl w:val="0"/>
          <w:numId w:val="7"/>
        </w:numPr>
        <w:rPr>
          <w:rFonts w:cs="Times New Roman"/>
          <w:sz w:val="24"/>
          <w:szCs w:val="24"/>
          <w:lang w:val="es-419"/>
        </w:rPr>
      </w:pPr>
      <w:r w:rsidRPr="001C6477">
        <w:rPr>
          <w:rFonts w:cs="Times New Roman"/>
          <w:sz w:val="24"/>
          <w:szCs w:val="24"/>
          <w:lang w:val="es-419"/>
        </w:rPr>
        <w:t>Además, pretende reforzar que los resultados de estas recopilaciones de datos se difundan de manera amplia y accesible para toda la sociedad brasileña. En particular, enfatizando los datos que presentan los indicadores socioeconómicos construidos a partir de las categorías de sexo, raza y otros indicadores como educación y ocupación, de manera interseccional.</w:t>
      </w:r>
    </w:p>
    <w:p w14:paraId="770C4E23" w14:textId="69794AE1" w:rsidR="00EC35FD" w:rsidRPr="008911B7" w:rsidRDefault="008911B7" w:rsidP="00E31FF3">
      <w:pPr>
        <w:pStyle w:val="PargrafodaLista"/>
        <w:numPr>
          <w:ilvl w:val="0"/>
          <w:numId w:val="7"/>
        </w:numPr>
        <w:rPr>
          <w:rFonts w:cs="Times New Roman"/>
          <w:sz w:val="24"/>
          <w:szCs w:val="24"/>
          <w:lang w:val="es-419"/>
        </w:rPr>
      </w:pPr>
      <w:r w:rsidRPr="008911B7">
        <w:rPr>
          <w:rFonts w:cs="Times New Roman"/>
          <w:sz w:val="24"/>
          <w:szCs w:val="24"/>
          <w:lang w:val="es-419"/>
        </w:rPr>
        <w:t xml:space="preserve">Además, se espera que estos datos sean fundamentales para la elaboración de políticas públicas capaces de </w:t>
      </w:r>
      <w:r>
        <w:rPr>
          <w:rFonts w:cs="Times New Roman"/>
          <w:sz w:val="24"/>
          <w:szCs w:val="24"/>
          <w:lang w:val="es-419"/>
        </w:rPr>
        <w:t xml:space="preserve">superar el </w:t>
      </w:r>
      <w:r w:rsidRPr="008911B7">
        <w:rPr>
          <w:rFonts w:cs="Times New Roman"/>
          <w:i/>
          <w:iCs/>
          <w:sz w:val="24"/>
          <w:szCs w:val="24"/>
          <w:lang w:val="es-419"/>
        </w:rPr>
        <w:t>gap</w:t>
      </w:r>
      <w:r w:rsidRPr="008911B7">
        <w:rPr>
          <w:rFonts w:cs="Times New Roman"/>
          <w:sz w:val="24"/>
          <w:szCs w:val="24"/>
          <w:lang w:val="es-419"/>
        </w:rPr>
        <w:t xml:space="preserve"> entre los derechos de las mujeres formalmente reconocidos y el acceso a ellos en el país, tema recurrente de varios Informes del Comité CEDAW a Brasil. Especialmente prestando atención a los grupos de mujeres más vulnerables en Brasil, incluidas las mujeres pobres y no blancas.</w:t>
      </w:r>
      <w:r w:rsidR="00EC35FD" w:rsidRPr="008911B7">
        <w:rPr>
          <w:rFonts w:cs="Times New Roman"/>
          <w:sz w:val="24"/>
          <w:szCs w:val="24"/>
          <w:lang w:val="es-419"/>
        </w:rPr>
        <w:t xml:space="preserve"> </w:t>
      </w:r>
    </w:p>
    <w:p w14:paraId="611357ED" w14:textId="77777777" w:rsidR="00BB6DD7" w:rsidRPr="00125867" w:rsidRDefault="00BB6DD7" w:rsidP="00E31FF3">
      <w:pPr>
        <w:jc w:val="both"/>
        <w:rPr>
          <w:rFonts w:ascii="Times New Roman" w:hAnsi="Times New Roman" w:cs="Times New Roman"/>
          <w:sz w:val="24"/>
          <w:szCs w:val="24"/>
          <w:lang w:val="es-419" w:eastAsia="pt-BR"/>
        </w:rPr>
      </w:pPr>
    </w:p>
    <w:p w14:paraId="5EC83672" w14:textId="441578EE" w:rsidR="009E1C6D" w:rsidRPr="00125867" w:rsidRDefault="00BB6DD7" w:rsidP="00B4556D">
      <w:pPr>
        <w:jc w:val="both"/>
        <w:rPr>
          <w:rFonts w:ascii="Times New Roman" w:hAnsi="Times New Roman" w:cs="Times New Roman"/>
          <w:sz w:val="24"/>
          <w:szCs w:val="24"/>
          <w:lang w:val="es-419" w:eastAsia="pt-BR"/>
        </w:rPr>
      </w:pPr>
      <w:r w:rsidRPr="00125867">
        <w:rPr>
          <w:rFonts w:ascii="Times New Roman" w:hAnsi="Times New Roman" w:cs="Times New Roman"/>
          <w:sz w:val="24"/>
          <w:szCs w:val="24"/>
          <w:lang w:val="es-419" w:eastAsia="pt-BR"/>
        </w:rPr>
        <w:t>REFER</w:t>
      </w:r>
      <w:r w:rsidR="002F6BC6">
        <w:rPr>
          <w:rFonts w:ascii="Times New Roman" w:hAnsi="Times New Roman" w:cs="Times New Roman"/>
          <w:sz w:val="24"/>
          <w:szCs w:val="24"/>
          <w:lang w:val="es-419" w:eastAsia="pt-BR"/>
        </w:rPr>
        <w:t>E</w:t>
      </w:r>
      <w:r w:rsidRPr="00125867">
        <w:rPr>
          <w:rFonts w:ascii="Times New Roman" w:hAnsi="Times New Roman" w:cs="Times New Roman"/>
          <w:sz w:val="24"/>
          <w:szCs w:val="24"/>
          <w:lang w:val="es-419" w:eastAsia="pt-BR"/>
        </w:rPr>
        <w:t>NCIAS</w:t>
      </w:r>
    </w:p>
    <w:p w14:paraId="0EA4C989" w14:textId="77777777" w:rsidR="00E31FF3" w:rsidRPr="00125867" w:rsidRDefault="00E31FF3" w:rsidP="006D7886">
      <w:pPr>
        <w:jc w:val="both"/>
        <w:rPr>
          <w:rFonts w:ascii="Times New Roman" w:hAnsi="Times New Roman" w:cs="Times New Roman"/>
          <w:sz w:val="24"/>
          <w:szCs w:val="24"/>
          <w:lang w:val="es-419" w:eastAsia="pt-BR"/>
        </w:rPr>
      </w:pPr>
    </w:p>
    <w:p w14:paraId="5068D59E" w14:textId="04BAD5B2" w:rsidR="006D7886" w:rsidRPr="00125867" w:rsidRDefault="006D7886" w:rsidP="006D7886">
      <w:pPr>
        <w:jc w:val="both"/>
        <w:rPr>
          <w:rFonts w:ascii="Times New Roman" w:hAnsi="Times New Roman" w:cs="Times New Roman"/>
          <w:sz w:val="24"/>
          <w:szCs w:val="24"/>
          <w:lang w:val="es-419" w:eastAsia="pt-BR"/>
        </w:rPr>
      </w:pPr>
      <w:r w:rsidRPr="00125867">
        <w:rPr>
          <w:rFonts w:ascii="Times New Roman" w:hAnsi="Times New Roman" w:cs="Times New Roman"/>
          <w:sz w:val="24"/>
          <w:szCs w:val="24"/>
          <w:lang w:val="es-419" w:eastAsia="pt-BR"/>
        </w:rPr>
        <w:t xml:space="preserve">BLACKWELL, </w:t>
      </w:r>
      <w:proofErr w:type="spellStart"/>
      <w:r w:rsidRPr="00125867">
        <w:rPr>
          <w:rFonts w:ascii="Times New Roman" w:hAnsi="Times New Roman" w:cs="Times New Roman"/>
          <w:sz w:val="24"/>
          <w:szCs w:val="24"/>
          <w:lang w:val="es-419" w:eastAsia="pt-BR"/>
        </w:rPr>
        <w:t>Maylei</w:t>
      </w:r>
      <w:proofErr w:type="spellEnd"/>
      <w:r w:rsidRPr="00125867">
        <w:rPr>
          <w:rFonts w:ascii="Times New Roman" w:hAnsi="Times New Roman" w:cs="Times New Roman"/>
          <w:sz w:val="24"/>
          <w:szCs w:val="24"/>
          <w:lang w:val="es-419" w:eastAsia="pt-BR"/>
        </w:rPr>
        <w:t xml:space="preserve">. NABER, Nadine. </w:t>
      </w:r>
      <w:proofErr w:type="spellStart"/>
      <w:r w:rsidRPr="00125867">
        <w:rPr>
          <w:rFonts w:ascii="Times New Roman" w:hAnsi="Times New Roman" w:cs="Times New Roman"/>
          <w:sz w:val="24"/>
          <w:szCs w:val="24"/>
          <w:lang w:val="es-419" w:eastAsia="pt-BR"/>
        </w:rPr>
        <w:t>Intersectionality</w:t>
      </w:r>
      <w:proofErr w:type="spellEnd"/>
      <w:r w:rsidRPr="00125867">
        <w:rPr>
          <w:rFonts w:ascii="Times New Roman" w:hAnsi="Times New Roman" w:cs="Times New Roman"/>
          <w:sz w:val="24"/>
          <w:szCs w:val="24"/>
          <w:lang w:val="es-419" w:eastAsia="pt-BR"/>
        </w:rPr>
        <w:t xml:space="preserve"> in </w:t>
      </w:r>
      <w:proofErr w:type="spellStart"/>
      <w:r w:rsidRPr="00125867">
        <w:rPr>
          <w:rFonts w:ascii="Times New Roman" w:hAnsi="Times New Roman" w:cs="Times New Roman"/>
          <w:sz w:val="24"/>
          <w:szCs w:val="24"/>
          <w:lang w:val="es-419" w:eastAsia="pt-BR"/>
        </w:rPr>
        <w:t>an</w:t>
      </w:r>
      <w:proofErr w:type="spellEnd"/>
      <w:r w:rsidRPr="00125867">
        <w:rPr>
          <w:rFonts w:ascii="Times New Roman" w:hAnsi="Times New Roman" w:cs="Times New Roman"/>
          <w:sz w:val="24"/>
          <w:szCs w:val="24"/>
          <w:lang w:val="es-419" w:eastAsia="pt-BR"/>
        </w:rPr>
        <w:t xml:space="preserve"> Era </w:t>
      </w:r>
      <w:proofErr w:type="spellStart"/>
      <w:r w:rsidRPr="00125867">
        <w:rPr>
          <w:rFonts w:ascii="Times New Roman" w:hAnsi="Times New Roman" w:cs="Times New Roman"/>
          <w:sz w:val="24"/>
          <w:szCs w:val="24"/>
          <w:lang w:val="es-419" w:eastAsia="pt-BR"/>
        </w:rPr>
        <w:t>of</w:t>
      </w:r>
      <w:proofErr w:type="spellEnd"/>
      <w:r w:rsidRPr="00125867">
        <w:rPr>
          <w:rFonts w:ascii="Times New Roman" w:hAnsi="Times New Roman" w:cs="Times New Roman"/>
          <w:sz w:val="24"/>
          <w:szCs w:val="24"/>
          <w:lang w:val="es-419" w:eastAsia="pt-BR"/>
        </w:rPr>
        <w:t xml:space="preserve"> </w:t>
      </w:r>
      <w:proofErr w:type="spellStart"/>
      <w:r w:rsidRPr="00125867">
        <w:rPr>
          <w:rFonts w:ascii="Times New Roman" w:hAnsi="Times New Roman" w:cs="Times New Roman"/>
          <w:sz w:val="24"/>
          <w:szCs w:val="24"/>
          <w:lang w:val="es-419" w:eastAsia="pt-BR"/>
        </w:rPr>
        <w:t>Globalization</w:t>
      </w:r>
      <w:proofErr w:type="spellEnd"/>
      <w:r w:rsidRPr="00125867">
        <w:rPr>
          <w:rFonts w:ascii="Times New Roman" w:hAnsi="Times New Roman" w:cs="Times New Roman"/>
          <w:sz w:val="24"/>
          <w:szCs w:val="24"/>
          <w:lang w:val="es-419" w:eastAsia="pt-BR"/>
        </w:rPr>
        <w:t xml:space="preserve">: </w:t>
      </w:r>
      <w:proofErr w:type="spellStart"/>
      <w:r w:rsidRPr="00125867">
        <w:rPr>
          <w:rFonts w:ascii="Times New Roman" w:hAnsi="Times New Roman" w:cs="Times New Roman"/>
          <w:sz w:val="24"/>
          <w:szCs w:val="24"/>
          <w:lang w:val="es-419" w:eastAsia="pt-BR"/>
        </w:rPr>
        <w:t>The</w:t>
      </w:r>
      <w:proofErr w:type="spellEnd"/>
      <w:r w:rsidRPr="00125867">
        <w:rPr>
          <w:rFonts w:ascii="Times New Roman" w:hAnsi="Times New Roman" w:cs="Times New Roman"/>
          <w:sz w:val="24"/>
          <w:szCs w:val="24"/>
          <w:lang w:val="es-419" w:eastAsia="pt-BR"/>
        </w:rPr>
        <w:t xml:space="preserve"> </w:t>
      </w:r>
      <w:proofErr w:type="spellStart"/>
      <w:r w:rsidRPr="00125867">
        <w:rPr>
          <w:rFonts w:ascii="Times New Roman" w:hAnsi="Times New Roman" w:cs="Times New Roman"/>
          <w:sz w:val="24"/>
          <w:szCs w:val="24"/>
          <w:lang w:val="es-419" w:eastAsia="pt-BR"/>
        </w:rPr>
        <w:t>Implications</w:t>
      </w:r>
      <w:proofErr w:type="spellEnd"/>
      <w:r w:rsidRPr="00125867">
        <w:rPr>
          <w:rFonts w:ascii="Times New Roman" w:hAnsi="Times New Roman" w:cs="Times New Roman"/>
          <w:sz w:val="24"/>
          <w:szCs w:val="24"/>
          <w:lang w:val="es-419" w:eastAsia="pt-BR"/>
        </w:rPr>
        <w:t xml:space="preserve"> </w:t>
      </w:r>
      <w:proofErr w:type="spellStart"/>
      <w:r w:rsidRPr="00125867">
        <w:rPr>
          <w:rFonts w:ascii="Times New Roman" w:hAnsi="Times New Roman" w:cs="Times New Roman"/>
          <w:sz w:val="24"/>
          <w:szCs w:val="24"/>
          <w:lang w:val="es-419" w:eastAsia="pt-BR"/>
        </w:rPr>
        <w:t>of</w:t>
      </w:r>
      <w:proofErr w:type="spellEnd"/>
      <w:r w:rsidRPr="00125867">
        <w:rPr>
          <w:rFonts w:ascii="Times New Roman" w:hAnsi="Times New Roman" w:cs="Times New Roman"/>
          <w:sz w:val="24"/>
          <w:szCs w:val="24"/>
          <w:lang w:val="es-419" w:eastAsia="pt-BR"/>
        </w:rPr>
        <w:t xml:space="preserve"> </w:t>
      </w:r>
      <w:proofErr w:type="spellStart"/>
      <w:r w:rsidRPr="00125867">
        <w:rPr>
          <w:rFonts w:ascii="Times New Roman" w:hAnsi="Times New Roman" w:cs="Times New Roman"/>
          <w:sz w:val="24"/>
          <w:szCs w:val="24"/>
          <w:lang w:val="es-419" w:eastAsia="pt-BR"/>
        </w:rPr>
        <w:t>the</w:t>
      </w:r>
      <w:proofErr w:type="spellEnd"/>
      <w:r w:rsidRPr="00125867">
        <w:rPr>
          <w:rFonts w:ascii="Times New Roman" w:hAnsi="Times New Roman" w:cs="Times New Roman"/>
          <w:sz w:val="24"/>
          <w:szCs w:val="24"/>
          <w:lang w:val="es-419" w:eastAsia="pt-BR"/>
        </w:rPr>
        <w:t xml:space="preserve"> U.N. </w:t>
      </w:r>
      <w:proofErr w:type="spellStart"/>
      <w:r w:rsidRPr="00125867">
        <w:rPr>
          <w:rFonts w:ascii="Times New Roman" w:hAnsi="Times New Roman" w:cs="Times New Roman"/>
          <w:sz w:val="24"/>
          <w:szCs w:val="24"/>
          <w:lang w:val="es-419" w:eastAsia="pt-BR"/>
        </w:rPr>
        <w:t>Conference</w:t>
      </w:r>
      <w:proofErr w:type="spellEnd"/>
      <w:r w:rsidRPr="00125867">
        <w:rPr>
          <w:rFonts w:ascii="Times New Roman" w:hAnsi="Times New Roman" w:cs="Times New Roman"/>
          <w:sz w:val="24"/>
          <w:szCs w:val="24"/>
          <w:lang w:val="es-419" w:eastAsia="pt-BR"/>
        </w:rPr>
        <w:t xml:space="preserve"> </w:t>
      </w:r>
      <w:proofErr w:type="spellStart"/>
      <w:r w:rsidRPr="00125867">
        <w:rPr>
          <w:rFonts w:ascii="Times New Roman" w:hAnsi="Times New Roman" w:cs="Times New Roman"/>
          <w:sz w:val="24"/>
          <w:szCs w:val="24"/>
          <w:lang w:val="es-419" w:eastAsia="pt-BR"/>
        </w:rPr>
        <w:t>against</w:t>
      </w:r>
      <w:proofErr w:type="spellEnd"/>
      <w:r w:rsidRPr="00125867">
        <w:rPr>
          <w:rFonts w:ascii="Times New Roman" w:hAnsi="Times New Roman" w:cs="Times New Roman"/>
          <w:sz w:val="24"/>
          <w:szCs w:val="24"/>
          <w:lang w:val="es-419" w:eastAsia="pt-BR"/>
        </w:rPr>
        <w:t xml:space="preserve"> </w:t>
      </w:r>
      <w:proofErr w:type="spellStart"/>
      <w:r w:rsidRPr="00125867">
        <w:rPr>
          <w:rFonts w:ascii="Times New Roman" w:hAnsi="Times New Roman" w:cs="Times New Roman"/>
          <w:sz w:val="24"/>
          <w:szCs w:val="24"/>
          <w:lang w:val="es-419" w:eastAsia="pt-BR"/>
        </w:rPr>
        <w:t>Racism</w:t>
      </w:r>
      <w:proofErr w:type="spellEnd"/>
      <w:r w:rsidRPr="00125867">
        <w:rPr>
          <w:rFonts w:ascii="Times New Roman" w:hAnsi="Times New Roman" w:cs="Times New Roman"/>
          <w:sz w:val="24"/>
          <w:szCs w:val="24"/>
          <w:lang w:val="es-419" w:eastAsia="pt-BR"/>
        </w:rPr>
        <w:t xml:space="preserve"> </w:t>
      </w:r>
      <w:proofErr w:type="spellStart"/>
      <w:r w:rsidRPr="00125867">
        <w:rPr>
          <w:rFonts w:ascii="Times New Roman" w:hAnsi="Times New Roman" w:cs="Times New Roman"/>
          <w:sz w:val="24"/>
          <w:szCs w:val="24"/>
          <w:lang w:val="es-419" w:eastAsia="pt-BR"/>
        </w:rPr>
        <w:t>for</w:t>
      </w:r>
      <w:proofErr w:type="spellEnd"/>
      <w:r w:rsidRPr="00125867">
        <w:rPr>
          <w:rFonts w:ascii="Times New Roman" w:hAnsi="Times New Roman" w:cs="Times New Roman"/>
          <w:sz w:val="24"/>
          <w:szCs w:val="24"/>
          <w:lang w:val="es-419" w:eastAsia="pt-BR"/>
        </w:rPr>
        <w:t xml:space="preserve"> </w:t>
      </w:r>
      <w:proofErr w:type="spellStart"/>
      <w:r w:rsidRPr="00125867">
        <w:rPr>
          <w:rFonts w:ascii="Times New Roman" w:hAnsi="Times New Roman" w:cs="Times New Roman"/>
          <w:sz w:val="24"/>
          <w:szCs w:val="24"/>
          <w:lang w:val="es-419" w:eastAsia="pt-BR"/>
        </w:rPr>
        <w:t>Transnational</w:t>
      </w:r>
      <w:proofErr w:type="spellEnd"/>
      <w:r w:rsidRPr="00125867">
        <w:rPr>
          <w:rFonts w:ascii="Times New Roman" w:hAnsi="Times New Roman" w:cs="Times New Roman"/>
          <w:sz w:val="24"/>
          <w:szCs w:val="24"/>
          <w:lang w:val="es-419" w:eastAsia="pt-BR"/>
        </w:rPr>
        <w:t xml:space="preserve"> </w:t>
      </w:r>
      <w:proofErr w:type="spellStart"/>
      <w:r w:rsidRPr="00125867">
        <w:rPr>
          <w:rFonts w:ascii="Times New Roman" w:hAnsi="Times New Roman" w:cs="Times New Roman"/>
          <w:sz w:val="24"/>
          <w:szCs w:val="24"/>
          <w:lang w:val="es-419" w:eastAsia="pt-BR"/>
        </w:rPr>
        <w:t>Feminist</w:t>
      </w:r>
      <w:proofErr w:type="spellEnd"/>
      <w:r w:rsidRPr="00125867">
        <w:rPr>
          <w:rFonts w:ascii="Times New Roman" w:hAnsi="Times New Roman" w:cs="Times New Roman"/>
          <w:sz w:val="24"/>
          <w:szCs w:val="24"/>
          <w:lang w:val="es-419" w:eastAsia="pt-BR"/>
        </w:rPr>
        <w:t xml:space="preserve"> </w:t>
      </w:r>
      <w:proofErr w:type="spellStart"/>
      <w:r w:rsidRPr="00125867">
        <w:rPr>
          <w:rFonts w:ascii="Times New Roman" w:hAnsi="Times New Roman" w:cs="Times New Roman"/>
          <w:sz w:val="24"/>
          <w:szCs w:val="24"/>
          <w:lang w:val="es-419" w:eastAsia="pt-BR"/>
        </w:rPr>
        <w:t>Practices</w:t>
      </w:r>
      <w:proofErr w:type="spellEnd"/>
      <w:r w:rsidRPr="00125867">
        <w:rPr>
          <w:rFonts w:ascii="Times New Roman" w:hAnsi="Times New Roman" w:cs="Times New Roman"/>
          <w:sz w:val="24"/>
          <w:szCs w:val="24"/>
          <w:lang w:val="es-419" w:eastAsia="pt-BR"/>
        </w:rPr>
        <w:t xml:space="preserve">. </w:t>
      </w:r>
      <w:proofErr w:type="spellStart"/>
      <w:r w:rsidRPr="00125867">
        <w:rPr>
          <w:rFonts w:ascii="Times New Roman" w:hAnsi="Times New Roman" w:cs="Times New Roman"/>
          <w:b/>
          <w:bCs/>
          <w:sz w:val="24"/>
          <w:szCs w:val="24"/>
          <w:lang w:val="es-419" w:eastAsia="pt-BR"/>
        </w:rPr>
        <w:t>Meridians</w:t>
      </w:r>
      <w:proofErr w:type="spellEnd"/>
      <w:r w:rsidRPr="00125867">
        <w:rPr>
          <w:rFonts w:ascii="Times New Roman" w:hAnsi="Times New Roman" w:cs="Times New Roman"/>
          <w:b/>
          <w:bCs/>
          <w:sz w:val="24"/>
          <w:szCs w:val="24"/>
          <w:lang w:val="es-419" w:eastAsia="pt-BR"/>
        </w:rPr>
        <w:t xml:space="preserve">: A </w:t>
      </w:r>
      <w:proofErr w:type="spellStart"/>
      <w:r w:rsidRPr="00125867">
        <w:rPr>
          <w:rFonts w:ascii="Times New Roman" w:hAnsi="Times New Roman" w:cs="Times New Roman"/>
          <w:b/>
          <w:bCs/>
          <w:sz w:val="24"/>
          <w:szCs w:val="24"/>
          <w:lang w:val="es-419" w:eastAsia="pt-BR"/>
        </w:rPr>
        <w:t>Journal</w:t>
      </w:r>
      <w:proofErr w:type="spellEnd"/>
      <w:r w:rsidRPr="00125867">
        <w:rPr>
          <w:rFonts w:ascii="Times New Roman" w:hAnsi="Times New Roman" w:cs="Times New Roman"/>
          <w:b/>
          <w:bCs/>
          <w:sz w:val="24"/>
          <w:szCs w:val="24"/>
          <w:lang w:val="es-419" w:eastAsia="pt-BR"/>
        </w:rPr>
        <w:t xml:space="preserve"> </w:t>
      </w:r>
      <w:proofErr w:type="spellStart"/>
      <w:r w:rsidRPr="00125867">
        <w:rPr>
          <w:rFonts w:ascii="Times New Roman" w:hAnsi="Times New Roman" w:cs="Times New Roman"/>
          <w:b/>
          <w:bCs/>
          <w:sz w:val="24"/>
          <w:szCs w:val="24"/>
          <w:lang w:val="es-419" w:eastAsia="pt-BR"/>
        </w:rPr>
        <w:t>of</w:t>
      </w:r>
      <w:proofErr w:type="spellEnd"/>
      <w:r w:rsidRPr="00125867">
        <w:rPr>
          <w:rFonts w:ascii="Times New Roman" w:hAnsi="Times New Roman" w:cs="Times New Roman"/>
          <w:b/>
          <w:bCs/>
          <w:sz w:val="24"/>
          <w:szCs w:val="24"/>
          <w:lang w:val="es-419" w:eastAsia="pt-BR"/>
        </w:rPr>
        <w:t xml:space="preserve"> </w:t>
      </w:r>
      <w:proofErr w:type="spellStart"/>
      <w:r w:rsidRPr="00125867">
        <w:rPr>
          <w:rFonts w:ascii="Times New Roman" w:hAnsi="Times New Roman" w:cs="Times New Roman"/>
          <w:b/>
          <w:bCs/>
          <w:sz w:val="24"/>
          <w:szCs w:val="24"/>
          <w:lang w:val="es-419" w:eastAsia="pt-BR"/>
        </w:rPr>
        <w:t>Feminism</w:t>
      </w:r>
      <w:proofErr w:type="spellEnd"/>
      <w:r w:rsidRPr="00125867">
        <w:rPr>
          <w:rFonts w:ascii="Times New Roman" w:hAnsi="Times New Roman" w:cs="Times New Roman"/>
          <w:b/>
          <w:bCs/>
          <w:sz w:val="24"/>
          <w:szCs w:val="24"/>
          <w:lang w:val="es-419" w:eastAsia="pt-BR"/>
        </w:rPr>
        <w:t xml:space="preserve">, </w:t>
      </w:r>
      <w:proofErr w:type="spellStart"/>
      <w:r w:rsidRPr="00125867">
        <w:rPr>
          <w:rFonts w:ascii="Times New Roman" w:hAnsi="Times New Roman" w:cs="Times New Roman"/>
          <w:b/>
          <w:bCs/>
          <w:sz w:val="24"/>
          <w:szCs w:val="24"/>
          <w:lang w:val="es-419" w:eastAsia="pt-BR"/>
        </w:rPr>
        <w:t>Race</w:t>
      </w:r>
      <w:proofErr w:type="spellEnd"/>
      <w:r w:rsidRPr="00125867">
        <w:rPr>
          <w:rFonts w:ascii="Times New Roman" w:hAnsi="Times New Roman" w:cs="Times New Roman"/>
          <w:b/>
          <w:bCs/>
          <w:sz w:val="24"/>
          <w:szCs w:val="24"/>
          <w:lang w:val="es-419" w:eastAsia="pt-BR"/>
        </w:rPr>
        <w:t xml:space="preserve">, </w:t>
      </w:r>
      <w:proofErr w:type="spellStart"/>
      <w:r w:rsidRPr="00125867">
        <w:rPr>
          <w:rFonts w:ascii="Times New Roman" w:hAnsi="Times New Roman" w:cs="Times New Roman"/>
          <w:b/>
          <w:bCs/>
          <w:sz w:val="24"/>
          <w:szCs w:val="24"/>
          <w:lang w:val="es-419" w:eastAsia="pt-BR"/>
        </w:rPr>
        <w:t>Transnationalism</w:t>
      </w:r>
      <w:proofErr w:type="spellEnd"/>
      <w:r w:rsidRPr="00125867">
        <w:rPr>
          <w:rFonts w:ascii="Times New Roman" w:hAnsi="Times New Roman" w:cs="Times New Roman"/>
          <w:sz w:val="24"/>
          <w:szCs w:val="24"/>
          <w:lang w:val="es-419" w:eastAsia="pt-BR"/>
        </w:rPr>
        <w:t>, v. 2, n. 2, p. 237-248, 2002.</w:t>
      </w:r>
    </w:p>
    <w:p w14:paraId="586400B5" w14:textId="77777777" w:rsidR="00506483" w:rsidRPr="00125867" w:rsidRDefault="00B97E0B" w:rsidP="00506483">
      <w:pPr>
        <w:pStyle w:val="Bibliografia"/>
        <w:rPr>
          <w:rFonts w:ascii="Times New Roman" w:hAnsi="Times New Roman" w:cs="Times New Roman"/>
          <w:sz w:val="24"/>
          <w:szCs w:val="24"/>
          <w:lang w:val="es-419"/>
        </w:rPr>
      </w:pPr>
      <w:r w:rsidRPr="00125867">
        <w:rPr>
          <w:rFonts w:ascii="Times New Roman" w:hAnsi="Times New Roman" w:cs="Times New Roman"/>
          <w:lang w:val="es-419" w:eastAsia="pt-BR"/>
        </w:rPr>
        <w:fldChar w:fldCharType="begin"/>
      </w:r>
      <w:r w:rsidR="00506483" w:rsidRPr="00125867">
        <w:rPr>
          <w:rFonts w:ascii="Times New Roman" w:hAnsi="Times New Roman" w:cs="Times New Roman"/>
          <w:lang w:val="es-419" w:eastAsia="pt-BR"/>
        </w:rPr>
        <w:instrText xml:space="preserve"> ADDIN ZOTERO_BIBL {"uncited":[],"omitted":[],"custom":[]} CSL_BIBLIOGRAPHY </w:instrText>
      </w:r>
      <w:r w:rsidRPr="00125867">
        <w:rPr>
          <w:rFonts w:ascii="Times New Roman" w:hAnsi="Times New Roman" w:cs="Times New Roman"/>
          <w:lang w:val="es-419" w:eastAsia="pt-BR"/>
        </w:rPr>
        <w:fldChar w:fldCharType="separate"/>
      </w:r>
      <w:r w:rsidR="00506483" w:rsidRPr="00125867">
        <w:rPr>
          <w:rFonts w:ascii="Times New Roman" w:hAnsi="Times New Roman" w:cs="Times New Roman"/>
          <w:sz w:val="24"/>
          <w:szCs w:val="24"/>
          <w:lang w:val="es-419"/>
        </w:rPr>
        <w:t xml:space="preserve">ALMEIDA, S. </w:t>
      </w:r>
      <w:r w:rsidR="00506483" w:rsidRPr="00125867">
        <w:rPr>
          <w:rFonts w:ascii="Times New Roman" w:hAnsi="Times New Roman" w:cs="Times New Roman"/>
          <w:b/>
          <w:bCs/>
          <w:sz w:val="24"/>
          <w:szCs w:val="24"/>
          <w:lang w:val="es-419"/>
        </w:rPr>
        <w:t>Racismo Estrutural</w:t>
      </w:r>
      <w:r w:rsidR="00506483" w:rsidRPr="00125867">
        <w:rPr>
          <w:rFonts w:ascii="Times New Roman" w:hAnsi="Times New Roman" w:cs="Times New Roman"/>
          <w:sz w:val="24"/>
          <w:szCs w:val="24"/>
          <w:lang w:val="es-419"/>
        </w:rPr>
        <w:t xml:space="preserve">. 1. ed. São Paulo: Pólen, 2019. </w:t>
      </w:r>
    </w:p>
    <w:p w14:paraId="0F7C13AC" w14:textId="77777777" w:rsidR="00506483" w:rsidRPr="00125867" w:rsidRDefault="00506483" w:rsidP="00506483">
      <w:pPr>
        <w:pStyle w:val="Bibliografia"/>
        <w:rPr>
          <w:rFonts w:ascii="Times New Roman" w:hAnsi="Times New Roman" w:cs="Times New Roman"/>
          <w:sz w:val="24"/>
          <w:szCs w:val="24"/>
          <w:lang w:val="es-419"/>
        </w:rPr>
      </w:pPr>
      <w:r w:rsidRPr="00125867">
        <w:rPr>
          <w:rFonts w:ascii="Times New Roman" w:hAnsi="Times New Roman" w:cs="Times New Roman"/>
          <w:sz w:val="24"/>
          <w:szCs w:val="24"/>
          <w:lang w:val="es-419"/>
        </w:rPr>
        <w:t xml:space="preserve">BANIWA, G. DOS S. </w:t>
      </w:r>
      <w:r w:rsidRPr="00125867">
        <w:rPr>
          <w:rFonts w:ascii="Times New Roman" w:hAnsi="Times New Roman" w:cs="Times New Roman"/>
          <w:b/>
          <w:bCs/>
          <w:sz w:val="24"/>
          <w:szCs w:val="24"/>
          <w:lang w:val="es-419"/>
        </w:rPr>
        <w:t>O Índio Brasileiro: o que você precisa saber sobre os povos indígenas no Brasil de hoje</w:t>
      </w:r>
      <w:r w:rsidRPr="00125867">
        <w:rPr>
          <w:rFonts w:ascii="Times New Roman" w:hAnsi="Times New Roman" w:cs="Times New Roman"/>
          <w:sz w:val="24"/>
          <w:szCs w:val="24"/>
          <w:lang w:val="es-419"/>
        </w:rPr>
        <w:t xml:space="preserve">. Brasilia: Ministério da Educação, Secretaria de Educação Continuada, Alfabetização e Diversidade; LACED/Museu Nacional, 2006. </w:t>
      </w:r>
    </w:p>
    <w:p w14:paraId="260B60E3" w14:textId="77777777" w:rsidR="00506483" w:rsidRPr="00125867" w:rsidRDefault="00506483" w:rsidP="00506483">
      <w:pPr>
        <w:pStyle w:val="Bibliografia"/>
        <w:rPr>
          <w:rFonts w:ascii="Times New Roman" w:hAnsi="Times New Roman" w:cs="Times New Roman"/>
          <w:sz w:val="24"/>
          <w:szCs w:val="24"/>
          <w:lang w:val="es-419"/>
        </w:rPr>
      </w:pPr>
      <w:r w:rsidRPr="00125867">
        <w:rPr>
          <w:rFonts w:ascii="Times New Roman" w:hAnsi="Times New Roman" w:cs="Times New Roman"/>
          <w:sz w:val="24"/>
          <w:szCs w:val="24"/>
          <w:lang w:val="es-419"/>
        </w:rPr>
        <w:lastRenderedPageBreak/>
        <w:t xml:space="preserve">CAMPBELL, M. CEDAW and Women’s Intersecting Identities: A Pioneering New Approach to Intersectional Discrimination. </w:t>
      </w:r>
      <w:r w:rsidRPr="00125867">
        <w:rPr>
          <w:rFonts w:ascii="Times New Roman" w:hAnsi="Times New Roman" w:cs="Times New Roman"/>
          <w:b/>
          <w:bCs/>
          <w:sz w:val="24"/>
          <w:szCs w:val="24"/>
          <w:lang w:val="es-419"/>
        </w:rPr>
        <w:t>Revista Direito GV</w:t>
      </w:r>
      <w:r w:rsidRPr="00125867">
        <w:rPr>
          <w:rFonts w:ascii="Times New Roman" w:hAnsi="Times New Roman" w:cs="Times New Roman"/>
          <w:sz w:val="24"/>
          <w:szCs w:val="24"/>
          <w:lang w:val="es-419"/>
        </w:rPr>
        <w:t xml:space="preserve">, v. 11, n. 2, p. 479–504, dez. 2015. </w:t>
      </w:r>
    </w:p>
    <w:p w14:paraId="1D90AF2C" w14:textId="77777777" w:rsidR="00506483" w:rsidRPr="00125867" w:rsidRDefault="00506483" w:rsidP="00506483">
      <w:pPr>
        <w:pStyle w:val="Bibliografia"/>
        <w:rPr>
          <w:rFonts w:ascii="Times New Roman" w:hAnsi="Times New Roman" w:cs="Times New Roman"/>
          <w:sz w:val="24"/>
          <w:szCs w:val="24"/>
          <w:lang w:val="es-419"/>
        </w:rPr>
      </w:pPr>
      <w:r w:rsidRPr="00125867">
        <w:rPr>
          <w:rFonts w:ascii="Times New Roman" w:hAnsi="Times New Roman" w:cs="Times New Roman"/>
          <w:sz w:val="24"/>
          <w:szCs w:val="24"/>
          <w:lang w:val="es-419"/>
        </w:rPr>
        <w:t xml:space="preserve">CARNEIRO, S. Gênero, Raça e Ascençao Social. </w:t>
      </w:r>
      <w:r w:rsidRPr="00125867">
        <w:rPr>
          <w:rFonts w:ascii="Times New Roman" w:hAnsi="Times New Roman" w:cs="Times New Roman"/>
          <w:b/>
          <w:bCs/>
          <w:sz w:val="24"/>
          <w:szCs w:val="24"/>
          <w:lang w:val="es-419"/>
        </w:rPr>
        <w:t>Revista Estudos Feministas</w:t>
      </w:r>
      <w:r w:rsidRPr="00125867">
        <w:rPr>
          <w:rFonts w:ascii="Times New Roman" w:hAnsi="Times New Roman" w:cs="Times New Roman"/>
          <w:sz w:val="24"/>
          <w:szCs w:val="24"/>
          <w:lang w:val="es-419"/>
        </w:rPr>
        <w:t xml:space="preserve">, v. 3, n. 2, p. 544–552, 1995. </w:t>
      </w:r>
    </w:p>
    <w:p w14:paraId="529CE221" w14:textId="77777777" w:rsidR="00506483" w:rsidRPr="00125867" w:rsidRDefault="00506483" w:rsidP="00506483">
      <w:pPr>
        <w:pStyle w:val="Bibliografia"/>
        <w:rPr>
          <w:rFonts w:ascii="Times New Roman" w:hAnsi="Times New Roman" w:cs="Times New Roman"/>
          <w:sz w:val="24"/>
          <w:szCs w:val="24"/>
          <w:lang w:val="es-419"/>
        </w:rPr>
      </w:pPr>
      <w:r w:rsidRPr="00125867">
        <w:rPr>
          <w:rFonts w:ascii="Times New Roman" w:hAnsi="Times New Roman" w:cs="Times New Roman"/>
          <w:sz w:val="24"/>
          <w:szCs w:val="24"/>
          <w:lang w:val="es-419"/>
        </w:rPr>
        <w:t xml:space="preserve">CATOIA, C. DE C. et al. Caso “Alyne Pimentel”: Violência de Gênero e Interseccionalidades. </w:t>
      </w:r>
      <w:r w:rsidRPr="00125867">
        <w:rPr>
          <w:rFonts w:ascii="Times New Roman" w:hAnsi="Times New Roman" w:cs="Times New Roman"/>
          <w:b/>
          <w:bCs/>
          <w:sz w:val="24"/>
          <w:szCs w:val="24"/>
          <w:lang w:val="es-419"/>
        </w:rPr>
        <w:t>Revista Estudos Feministas</w:t>
      </w:r>
      <w:r w:rsidRPr="00125867">
        <w:rPr>
          <w:rFonts w:ascii="Times New Roman" w:hAnsi="Times New Roman" w:cs="Times New Roman"/>
          <w:sz w:val="24"/>
          <w:szCs w:val="24"/>
          <w:lang w:val="es-419"/>
        </w:rPr>
        <w:t xml:space="preserve">, v. 28, n. 1, 2020. </w:t>
      </w:r>
    </w:p>
    <w:p w14:paraId="679C0033" w14:textId="77777777" w:rsidR="00506483" w:rsidRPr="00125867" w:rsidRDefault="00506483" w:rsidP="00506483">
      <w:pPr>
        <w:pStyle w:val="Bibliografia"/>
        <w:rPr>
          <w:rFonts w:ascii="Times New Roman" w:hAnsi="Times New Roman" w:cs="Times New Roman"/>
          <w:sz w:val="24"/>
          <w:szCs w:val="24"/>
          <w:lang w:val="es-419"/>
        </w:rPr>
      </w:pPr>
      <w:r w:rsidRPr="00125867">
        <w:rPr>
          <w:rFonts w:ascii="Times New Roman" w:hAnsi="Times New Roman" w:cs="Times New Roman"/>
          <w:sz w:val="24"/>
          <w:szCs w:val="24"/>
          <w:lang w:val="es-419"/>
        </w:rPr>
        <w:t xml:space="preserve">COLLINS, P. H.; BILGE, S. </w:t>
      </w:r>
      <w:r w:rsidRPr="00125867">
        <w:rPr>
          <w:rFonts w:ascii="Times New Roman" w:hAnsi="Times New Roman" w:cs="Times New Roman"/>
          <w:b/>
          <w:bCs/>
          <w:sz w:val="24"/>
          <w:szCs w:val="24"/>
          <w:lang w:val="es-419"/>
        </w:rPr>
        <w:t>Intersectionality</w:t>
      </w:r>
      <w:r w:rsidRPr="00125867">
        <w:rPr>
          <w:rFonts w:ascii="Times New Roman" w:hAnsi="Times New Roman" w:cs="Times New Roman"/>
          <w:sz w:val="24"/>
          <w:szCs w:val="24"/>
          <w:lang w:val="es-419"/>
        </w:rPr>
        <w:t>. 1. ed. Cambridge: Polity Press, 2016. v. 1</w:t>
      </w:r>
    </w:p>
    <w:p w14:paraId="66C09A2A" w14:textId="77777777" w:rsidR="00506483" w:rsidRPr="00125867" w:rsidRDefault="00506483" w:rsidP="00506483">
      <w:pPr>
        <w:pStyle w:val="Bibliografia"/>
        <w:rPr>
          <w:rFonts w:ascii="Times New Roman" w:hAnsi="Times New Roman" w:cs="Times New Roman"/>
          <w:sz w:val="24"/>
          <w:szCs w:val="24"/>
          <w:lang w:val="es-419"/>
        </w:rPr>
      </w:pPr>
      <w:r w:rsidRPr="00125867">
        <w:rPr>
          <w:rFonts w:ascii="Times New Roman" w:hAnsi="Times New Roman" w:cs="Times New Roman"/>
          <w:sz w:val="24"/>
          <w:szCs w:val="24"/>
          <w:lang w:val="es-419"/>
        </w:rPr>
        <w:t xml:space="preserve">CRENSHAW, K. Demarginalizing the Intersection of Race and Sex: A Black Feminist Critique of Antidiscrimination Doctrine, Feminist Theory and Antiracist Politics. </w:t>
      </w:r>
      <w:r w:rsidRPr="00125867">
        <w:rPr>
          <w:rFonts w:ascii="Times New Roman" w:hAnsi="Times New Roman" w:cs="Times New Roman"/>
          <w:b/>
          <w:bCs/>
          <w:sz w:val="24"/>
          <w:szCs w:val="24"/>
          <w:lang w:val="es-419"/>
        </w:rPr>
        <w:t>University of Chicago Legal Forum</w:t>
      </w:r>
      <w:r w:rsidRPr="00125867">
        <w:rPr>
          <w:rFonts w:ascii="Times New Roman" w:hAnsi="Times New Roman" w:cs="Times New Roman"/>
          <w:sz w:val="24"/>
          <w:szCs w:val="24"/>
          <w:lang w:val="es-419"/>
        </w:rPr>
        <w:t xml:space="preserve">, v. 1989, p. 139, 1989. </w:t>
      </w:r>
    </w:p>
    <w:p w14:paraId="05E71DD8" w14:textId="77777777" w:rsidR="00506483" w:rsidRPr="00125867" w:rsidRDefault="00506483" w:rsidP="00506483">
      <w:pPr>
        <w:pStyle w:val="Bibliografia"/>
        <w:rPr>
          <w:rFonts w:ascii="Times New Roman" w:hAnsi="Times New Roman" w:cs="Times New Roman"/>
          <w:sz w:val="24"/>
          <w:szCs w:val="24"/>
          <w:lang w:val="es-419"/>
        </w:rPr>
      </w:pPr>
      <w:r w:rsidRPr="00125867">
        <w:rPr>
          <w:rFonts w:ascii="Times New Roman" w:hAnsi="Times New Roman" w:cs="Times New Roman"/>
          <w:sz w:val="24"/>
          <w:szCs w:val="24"/>
          <w:lang w:val="es-419"/>
        </w:rPr>
        <w:t xml:space="preserve">CRENSHAW, K. Documento para o encontro de especialistas em aspectos da discriminação racial relativos ao gênero. </w:t>
      </w:r>
      <w:r w:rsidRPr="00125867">
        <w:rPr>
          <w:rFonts w:ascii="Times New Roman" w:hAnsi="Times New Roman" w:cs="Times New Roman"/>
          <w:b/>
          <w:bCs/>
          <w:sz w:val="24"/>
          <w:szCs w:val="24"/>
          <w:lang w:val="es-419"/>
        </w:rPr>
        <w:t>Revista Estudos Feministas</w:t>
      </w:r>
      <w:r w:rsidRPr="00125867">
        <w:rPr>
          <w:rFonts w:ascii="Times New Roman" w:hAnsi="Times New Roman" w:cs="Times New Roman"/>
          <w:sz w:val="24"/>
          <w:szCs w:val="24"/>
          <w:lang w:val="es-419"/>
        </w:rPr>
        <w:t xml:space="preserve">, v. 10, n. 1, p. 171–188, jan. 2002. </w:t>
      </w:r>
    </w:p>
    <w:p w14:paraId="0E70A01E" w14:textId="77777777" w:rsidR="00506483" w:rsidRPr="00125867" w:rsidRDefault="00506483" w:rsidP="00506483">
      <w:pPr>
        <w:pStyle w:val="Bibliografia"/>
        <w:rPr>
          <w:rFonts w:ascii="Times New Roman" w:hAnsi="Times New Roman" w:cs="Times New Roman"/>
          <w:sz w:val="24"/>
          <w:szCs w:val="24"/>
          <w:lang w:val="es-419"/>
        </w:rPr>
      </w:pPr>
      <w:r w:rsidRPr="00125867">
        <w:rPr>
          <w:rFonts w:ascii="Times New Roman" w:hAnsi="Times New Roman" w:cs="Times New Roman"/>
          <w:sz w:val="24"/>
          <w:szCs w:val="24"/>
          <w:lang w:val="es-419"/>
        </w:rPr>
        <w:t xml:space="preserve">GONZALES, L. Racismo e Sexismo na Cultura Brasileira. </w:t>
      </w:r>
      <w:r w:rsidRPr="00125867">
        <w:rPr>
          <w:rFonts w:ascii="Times New Roman" w:hAnsi="Times New Roman" w:cs="Times New Roman"/>
          <w:b/>
          <w:bCs/>
          <w:sz w:val="24"/>
          <w:szCs w:val="24"/>
          <w:lang w:val="es-419"/>
        </w:rPr>
        <w:t>Revista Ciências Sociais Hoje, Anpocs</w:t>
      </w:r>
      <w:r w:rsidRPr="00125867">
        <w:rPr>
          <w:rFonts w:ascii="Times New Roman" w:hAnsi="Times New Roman" w:cs="Times New Roman"/>
          <w:sz w:val="24"/>
          <w:szCs w:val="24"/>
          <w:lang w:val="es-419"/>
        </w:rPr>
        <w:t xml:space="preserve">, p. 223–244, 1984. </w:t>
      </w:r>
    </w:p>
    <w:p w14:paraId="11BB5EAA" w14:textId="7488630D" w:rsidR="00506483" w:rsidRPr="00125867" w:rsidRDefault="00506483" w:rsidP="00506483">
      <w:pPr>
        <w:pStyle w:val="Bibliografia"/>
        <w:rPr>
          <w:rFonts w:ascii="Times New Roman" w:hAnsi="Times New Roman" w:cs="Times New Roman"/>
          <w:sz w:val="24"/>
          <w:szCs w:val="24"/>
          <w:lang w:val="es-419"/>
        </w:rPr>
      </w:pPr>
      <w:r w:rsidRPr="00125867">
        <w:rPr>
          <w:rFonts w:ascii="Times New Roman" w:hAnsi="Times New Roman" w:cs="Times New Roman"/>
          <w:sz w:val="24"/>
          <w:szCs w:val="24"/>
          <w:lang w:val="es-419"/>
        </w:rPr>
        <w:t>KYRILLOS, G</w:t>
      </w:r>
      <w:r w:rsidR="00554B69">
        <w:rPr>
          <w:rFonts w:ascii="Times New Roman" w:hAnsi="Times New Roman" w:cs="Times New Roman"/>
          <w:sz w:val="24"/>
          <w:szCs w:val="24"/>
          <w:lang w:val="es-419"/>
        </w:rPr>
        <w:t>abriela de M.</w:t>
      </w:r>
      <w:r w:rsidRPr="00125867">
        <w:rPr>
          <w:rFonts w:ascii="Times New Roman" w:hAnsi="Times New Roman" w:cs="Times New Roman"/>
          <w:sz w:val="24"/>
          <w:szCs w:val="24"/>
          <w:lang w:val="es-419"/>
        </w:rPr>
        <w:t xml:space="preserve"> </w:t>
      </w:r>
      <w:r w:rsidR="00BB6DD7" w:rsidRPr="00125867">
        <w:rPr>
          <w:rFonts w:ascii="Times New Roman" w:hAnsi="Times New Roman" w:cs="Times New Roman"/>
          <w:b/>
          <w:bCs/>
          <w:sz w:val="24"/>
          <w:szCs w:val="24"/>
          <w:lang w:val="es-419"/>
        </w:rPr>
        <w:t>Os Direitos Humanos das Mulheres no Brasil a Partir de uma Análise Interseccional de Gênero e Raça sobre a Eficácia da Convenção Para a Eliminação de todas as Formas se Discriminação Contra a Mulher</w:t>
      </w:r>
      <w:r w:rsidRPr="00125867">
        <w:rPr>
          <w:rFonts w:ascii="Times New Roman" w:hAnsi="Times New Roman" w:cs="Times New Roman"/>
          <w:b/>
          <w:bCs/>
          <w:sz w:val="24"/>
          <w:szCs w:val="24"/>
          <w:lang w:val="es-419"/>
        </w:rPr>
        <w:t xml:space="preserve"> (CEDAW)</w:t>
      </w:r>
      <w:r w:rsidRPr="00125867">
        <w:rPr>
          <w:rFonts w:ascii="Times New Roman" w:hAnsi="Times New Roman" w:cs="Times New Roman"/>
          <w:sz w:val="24"/>
          <w:szCs w:val="24"/>
          <w:lang w:val="es-419"/>
        </w:rPr>
        <w:t xml:space="preserve">. </w:t>
      </w:r>
      <w:r w:rsidR="00750079" w:rsidRPr="00125867">
        <w:rPr>
          <w:rFonts w:ascii="Times New Roman" w:hAnsi="Times New Roman" w:cs="Times New Roman"/>
          <w:sz w:val="24"/>
          <w:szCs w:val="24"/>
          <w:lang w:val="es-419"/>
        </w:rPr>
        <w:t xml:space="preserve">Tese. Programa de Pós-Graduação em Direito. </w:t>
      </w:r>
      <w:r w:rsidRPr="00125867">
        <w:rPr>
          <w:rFonts w:ascii="Times New Roman" w:hAnsi="Times New Roman" w:cs="Times New Roman"/>
          <w:sz w:val="24"/>
          <w:szCs w:val="24"/>
          <w:lang w:val="es-419"/>
        </w:rPr>
        <w:t>Florianópolis: Universidade Federal de Santa Catarina, 2018.</w:t>
      </w:r>
    </w:p>
    <w:p w14:paraId="6CCAC28C" w14:textId="43227267" w:rsidR="004F546E" w:rsidRPr="00125867" w:rsidRDefault="00506483" w:rsidP="00EF33D8">
      <w:pPr>
        <w:pStyle w:val="Bibliografia"/>
        <w:rPr>
          <w:rFonts w:ascii="Times New Roman" w:hAnsi="Times New Roman" w:cs="Times New Roman"/>
          <w:sz w:val="24"/>
          <w:szCs w:val="24"/>
          <w:lang w:val="es-419" w:eastAsia="pt-BR"/>
        </w:rPr>
      </w:pPr>
      <w:r w:rsidRPr="00125867">
        <w:rPr>
          <w:rFonts w:ascii="Times New Roman" w:hAnsi="Times New Roman" w:cs="Times New Roman"/>
          <w:sz w:val="24"/>
          <w:szCs w:val="24"/>
          <w:lang w:val="es-419"/>
        </w:rPr>
        <w:t xml:space="preserve">STELZER, J.; KYRILLOS, G. DE M. Inclusão da Interseccionalidade no âmbito dos Direitos Humanos/ Inclusion of intersectionality in the scope of human rights. </w:t>
      </w:r>
      <w:r w:rsidRPr="00125867">
        <w:rPr>
          <w:rFonts w:ascii="Times New Roman" w:hAnsi="Times New Roman" w:cs="Times New Roman"/>
          <w:b/>
          <w:bCs/>
          <w:sz w:val="24"/>
          <w:szCs w:val="24"/>
          <w:lang w:val="es-419"/>
        </w:rPr>
        <w:t>Revista Direito e Práxis</w:t>
      </w:r>
      <w:r w:rsidRPr="00125867">
        <w:rPr>
          <w:rFonts w:ascii="Times New Roman" w:hAnsi="Times New Roman" w:cs="Times New Roman"/>
          <w:sz w:val="24"/>
          <w:szCs w:val="24"/>
          <w:lang w:val="es-419"/>
        </w:rPr>
        <w:t xml:space="preserve">, v. 0, n. 0, 4 maio 2020. </w:t>
      </w:r>
      <w:r w:rsidR="00B97E0B" w:rsidRPr="00125867">
        <w:rPr>
          <w:rFonts w:ascii="Times New Roman" w:hAnsi="Times New Roman" w:cs="Times New Roman"/>
          <w:sz w:val="24"/>
          <w:szCs w:val="24"/>
          <w:lang w:val="es-419" w:eastAsia="pt-BR"/>
        </w:rPr>
        <w:fldChar w:fldCharType="end"/>
      </w:r>
    </w:p>
    <w:sectPr w:rsidR="004F546E" w:rsidRPr="0012586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1AF8E3" w14:textId="77777777" w:rsidR="00025937" w:rsidRDefault="00025937" w:rsidP="004E564D">
      <w:pPr>
        <w:spacing w:after="0" w:line="240" w:lineRule="auto"/>
      </w:pPr>
      <w:r>
        <w:separator/>
      </w:r>
    </w:p>
  </w:endnote>
  <w:endnote w:type="continuationSeparator" w:id="0">
    <w:p w14:paraId="0E2F1F4B" w14:textId="77777777" w:rsidR="00025937" w:rsidRDefault="00025937" w:rsidP="004E5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5F78C2" w14:textId="77777777" w:rsidR="00025937" w:rsidRDefault="00025937" w:rsidP="004E564D">
      <w:pPr>
        <w:spacing w:after="0" w:line="240" w:lineRule="auto"/>
      </w:pPr>
      <w:r>
        <w:separator/>
      </w:r>
    </w:p>
  </w:footnote>
  <w:footnote w:type="continuationSeparator" w:id="0">
    <w:p w14:paraId="74A954EB" w14:textId="77777777" w:rsidR="00025937" w:rsidRDefault="00025937" w:rsidP="004E564D">
      <w:pPr>
        <w:spacing w:after="0" w:line="240" w:lineRule="auto"/>
      </w:pPr>
      <w:r>
        <w:continuationSeparator/>
      </w:r>
    </w:p>
  </w:footnote>
  <w:footnote w:id="1">
    <w:p w14:paraId="4C852FEC" w14:textId="6B833E63" w:rsidR="00B54D8E" w:rsidRPr="00D558A1" w:rsidRDefault="00B54D8E" w:rsidP="000C74E2">
      <w:pPr>
        <w:pStyle w:val="Textodenotaderodap"/>
        <w:jc w:val="both"/>
        <w:rPr>
          <w:rFonts w:ascii="Times New Roman" w:hAnsi="Times New Roman" w:cs="Times New Roman"/>
          <w:sz w:val="22"/>
          <w:szCs w:val="22"/>
          <w:lang w:val="es-419"/>
        </w:rPr>
      </w:pPr>
      <w:r w:rsidRPr="000C74E2">
        <w:rPr>
          <w:rStyle w:val="Refdenotaderodap"/>
          <w:rFonts w:ascii="Times New Roman" w:hAnsi="Times New Roman" w:cs="Times New Roman"/>
          <w:sz w:val="22"/>
          <w:szCs w:val="22"/>
          <w:lang w:val="es-419"/>
        </w:rPr>
        <w:footnoteRef/>
      </w:r>
      <w:r w:rsidRPr="000C74E2">
        <w:rPr>
          <w:rFonts w:ascii="Times New Roman" w:hAnsi="Times New Roman" w:cs="Times New Roman"/>
          <w:sz w:val="22"/>
          <w:szCs w:val="22"/>
          <w:lang w:val="es-419"/>
        </w:rPr>
        <w:t xml:space="preserve"> </w:t>
      </w:r>
      <w:r w:rsidR="00FB0C67" w:rsidRPr="000C74E2">
        <w:rPr>
          <w:rFonts w:ascii="Times New Roman" w:hAnsi="Times New Roman" w:cs="Times New Roman"/>
          <w:sz w:val="22"/>
          <w:szCs w:val="22"/>
          <w:lang w:val="es-419"/>
        </w:rPr>
        <w:t>Profesora</w:t>
      </w:r>
      <w:r w:rsidRPr="000C74E2">
        <w:rPr>
          <w:rFonts w:ascii="Times New Roman" w:hAnsi="Times New Roman" w:cs="Times New Roman"/>
          <w:sz w:val="22"/>
          <w:szCs w:val="22"/>
          <w:lang w:val="es-419"/>
        </w:rPr>
        <w:t xml:space="preserve"> d</w:t>
      </w:r>
      <w:r w:rsidR="00CD6ECC" w:rsidRPr="000C74E2">
        <w:rPr>
          <w:rFonts w:ascii="Times New Roman" w:hAnsi="Times New Roman" w:cs="Times New Roman"/>
          <w:sz w:val="22"/>
          <w:szCs w:val="22"/>
          <w:lang w:val="es-419"/>
        </w:rPr>
        <w:t>e la Facultad de Derecho de la Universidad Federal d</w:t>
      </w:r>
      <w:r w:rsidR="001A3857">
        <w:rPr>
          <w:rFonts w:ascii="Times New Roman" w:hAnsi="Times New Roman" w:cs="Times New Roman"/>
          <w:sz w:val="22"/>
          <w:szCs w:val="22"/>
          <w:lang w:val="es-419"/>
        </w:rPr>
        <w:t>e</w:t>
      </w:r>
      <w:r w:rsidR="00CD6ECC" w:rsidRPr="000C74E2">
        <w:rPr>
          <w:rFonts w:ascii="Times New Roman" w:hAnsi="Times New Roman" w:cs="Times New Roman"/>
          <w:sz w:val="22"/>
          <w:szCs w:val="22"/>
          <w:lang w:val="es-419"/>
        </w:rPr>
        <w:t xml:space="preserve"> Rio Grande (FURG</w:t>
      </w:r>
      <w:r w:rsidR="00224C9A">
        <w:rPr>
          <w:rFonts w:ascii="Times New Roman" w:hAnsi="Times New Roman" w:cs="Times New Roman"/>
          <w:sz w:val="22"/>
          <w:szCs w:val="22"/>
          <w:lang w:val="es-419"/>
        </w:rPr>
        <w:t xml:space="preserve"> - Brasil</w:t>
      </w:r>
      <w:r w:rsidR="00CD6ECC" w:rsidRPr="000C74E2">
        <w:rPr>
          <w:rFonts w:ascii="Times New Roman" w:hAnsi="Times New Roman" w:cs="Times New Roman"/>
          <w:sz w:val="22"/>
          <w:szCs w:val="22"/>
          <w:lang w:val="es-419"/>
        </w:rPr>
        <w:t>).</w:t>
      </w:r>
      <w:r w:rsidR="00CD6ECC" w:rsidRPr="00D558A1">
        <w:rPr>
          <w:rFonts w:ascii="Times New Roman" w:hAnsi="Times New Roman" w:cs="Times New Roman"/>
          <w:sz w:val="22"/>
          <w:szCs w:val="22"/>
          <w:lang w:val="es-419"/>
        </w:rPr>
        <w:t xml:space="preserve"> Junto con </w:t>
      </w:r>
      <w:r w:rsidR="00CC05AA">
        <w:rPr>
          <w:rFonts w:ascii="Times New Roman" w:hAnsi="Times New Roman" w:cs="Times New Roman"/>
          <w:sz w:val="22"/>
          <w:szCs w:val="22"/>
          <w:lang w:val="es-419"/>
        </w:rPr>
        <w:t xml:space="preserve">la </w:t>
      </w:r>
      <w:r w:rsidR="00CD6ECC" w:rsidRPr="00D558A1">
        <w:rPr>
          <w:rFonts w:ascii="Times New Roman" w:hAnsi="Times New Roman" w:cs="Times New Roman"/>
          <w:sz w:val="22"/>
          <w:szCs w:val="22"/>
          <w:lang w:val="es-419"/>
        </w:rPr>
        <w:t xml:space="preserve">Profa. Dra. </w:t>
      </w:r>
      <w:proofErr w:type="spellStart"/>
      <w:r w:rsidR="00CD6ECC" w:rsidRPr="00D558A1">
        <w:rPr>
          <w:rFonts w:ascii="Times New Roman" w:hAnsi="Times New Roman" w:cs="Times New Roman"/>
          <w:sz w:val="22"/>
          <w:szCs w:val="22"/>
          <w:lang w:val="es-419"/>
        </w:rPr>
        <w:t>Fabiane</w:t>
      </w:r>
      <w:proofErr w:type="spellEnd"/>
      <w:r w:rsidR="00CD6ECC" w:rsidRPr="00D558A1">
        <w:rPr>
          <w:rFonts w:ascii="Times New Roman" w:hAnsi="Times New Roman" w:cs="Times New Roman"/>
          <w:sz w:val="22"/>
          <w:szCs w:val="22"/>
          <w:lang w:val="es-419"/>
        </w:rPr>
        <w:t xml:space="preserve"> Simioni, coordina el Grupo de Investigación sobre Interseccionalidad y Descolonialidad en las Relaciones Internacionales (INDERI/</w:t>
      </w:r>
      <w:proofErr w:type="spellStart"/>
      <w:r w:rsidR="00CD6ECC" w:rsidRPr="00D558A1">
        <w:rPr>
          <w:rFonts w:ascii="Times New Roman" w:hAnsi="Times New Roman" w:cs="Times New Roman"/>
          <w:sz w:val="22"/>
          <w:szCs w:val="22"/>
          <w:lang w:val="es-419"/>
        </w:rPr>
        <w:t>CNPq</w:t>
      </w:r>
      <w:proofErr w:type="spellEnd"/>
      <w:r w:rsidR="00CD6ECC" w:rsidRPr="00D558A1">
        <w:rPr>
          <w:rFonts w:ascii="Times New Roman" w:hAnsi="Times New Roman" w:cs="Times New Roman"/>
          <w:sz w:val="22"/>
          <w:szCs w:val="22"/>
          <w:lang w:val="es-419"/>
        </w:rPr>
        <w:t>/FURG). Doctor</w:t>
      </w:r>
      <w:r w:rsidR="00FB0C67" w:rsidRPr="00D558A1">
        <w:rPr>
          <w:rFonts w:ascii="Times New Roman" w:hAnsi="Times New Roman" w:cs="Times New Roman"/>
          <w:sz w:val="22"/>
          <w:szCs w:val="22"/>
          <w:lang w:val="es-419"/>
        </w:rPr>
        <w:t>a</w:t>
      </w:r>
      <w:r w:rsidR="00CD6ECC" w:rsidRPr="00D558A1">
        <w:rPr>
          <w:rFonts w:ascii="Times New Roman" w:hAnsi="Times New Roman" w:cs="Times New Roman"/>
          <w:sz w:val="22"/>
          <w:szCs w:val="22"/>
          <w:lang w:val="es-419"/>
        </w:rPr>
        <w:t xml:space="preserve"> en Derecho por la Universidad Federal de Santa Catarina</w:t>
      </w:r>
      <w:r w:rsidR="00224C9A">
        <w:rPr>
          <w:rFonts w:ascii="Times New Roman" w:hAnsi="Times New Roman" w:cs="Times New Roman"/>
          <w:sz w:val="22"/>
          <w:szCs w:val="22"/>
          <w:lang w:val="es-419"/>
        </w:rPr>
        <w:t xml:space="preserve"> (UFSC – Brasil)</w:t>
      </w:r>
      <w:r w:rsidR="00CD6ECC" w:rsidRPr="00D558A1">
        <w:rPr>
          <w:rFonts w:ascii="Times New Roman" w:hAnsi="Times New Roman" w:cs="Times New Roman"/>
          <w:sz w:val="22"/>
          <w:szCs w:val="22"/>
          <w:lang w:val="es-419"/>
        </w:rPr>
        <w:t xml:space="preserve">. Realizó un </w:t>
      </w:r>
      <w:r w:rsidR="00FB0C67" w:rsidRPr="00D558A1">
        <w:rPr>
          <w:rFonts w:ascii="Times New Roman" w:hAnsi="Times New Roman" w:cs="Times New Roman"/>
          <w:sz w:val="22"/>
          <w:szCs w:val="22"/>
          <w:lang w:val="es-419"/>
        </w:rPr>
        <w:t>Postdoctorado</w:t>
      </w:r>
      <w:r w:rsidR="00CD6ECC" w:rsidRPr="00D558A1">
        <w:rPr>
          <w:rFonts w:ascii="Times New Roman" w:hAnsi="Times New Roman" w:cs="Times New Roman"/>
          <w:sz w:val="22"/>
          <w:szCs w:val="22"/>
          <w:lang w:val="es-419"/>
        </w:rPr>
        <w:t xml:space="preserve"> en Derecho y Justicia Social en el Programa de Postgrado en Derecho y Justicia Social de la FURG.</w:t>
      </w:r>
      <w:r w:rsidR="00C60CED" w:rsidRPr="00D558A1">
        <w:rPr>
          <w:rFonts w:ascii="Times New Roman" w:hAnsi="Times New Roman" w:cs="Times New Roman"/>
          <w:sz w:val="22"/>
          <w:szCs w:val="22"/>
          <w:lang w:val="es-419"/>
        </w:rPr>
        <w:t xml:space="preserve"> </w:t>
      </w:r>
      <w:r w:rsidR="00F83680" w:rsidRPr="00D558A1">
        <w:rPr>
          <w:rFonts w:ascii="Times New Roman" w:hAnsi="Times New Roman" w:cs="Times New Roman"/>
          <w:sz w:val="22"/>
          <w:szCs w:val="22"/>
          <w:lang w:val="es-419"/>
        </w:rPr>
        <w:t>Correo electrónico</w:t>
      </w:r>
      <w:r w:rsidR="00C60CED" w:rsidRPr="00D558A1">
        <w:rPr>
          <w:rFonts w:ascii="Times New Roman" w:hAnsi="Times New Roman" w:cs="Times New Roman"/>
          <w:sz w:val="22"/>
          <w:szCs w:val="22"/>
          <w:lang w:val="es-419"/>
        </w:rPr>
        <w:t xml:space="preserve">: </w:t>
      </w:r>
      <w:r w:rsidR="00AC2EDE" w:rsidRPr="00D558A1">
        <w:rPr>
          <w:rFonts w:ascii="Times New Roman" w:hAnsi="Times New Roman" w:cs="Times New Roman"/>
          <w:sz w:val="22"/>
          <w:szCs w:val="22"/>
          <w:lang w:val="es-419"/>
        </w:rPr>
        <w:t>gabrielakyrillos@furg.br</w:t>
      </w:r>
      <w:r w:rsidR="00C60CED" w:rsidRPr="00D558A1">
        <w:rPr>
          <w:rFonts w:ascii="Times New Roman" w:hAnsi="Times New Roman" w:cs="Times New Roman"/>
          <w:sz w:val="22"/>
          <w:szCs w:val="22"/>
          <w:lang w:val="es-419"/>
        </w:rPr>
        <w:t xml:space="preserve"> </w:t>
      </w:r>
    </w:p>
  </w:footnote>
  <w:footnote w:id="2">
    <w:p w14:paraId="1EEA716F" w14:textId="15D51130" w:rsidR="007F5FAA" w:rsidRPr="000C6807" w:rsidRDefault="007F5FAA" w:rsidP="007D60B2">
      <w:pPr>
        <w:pStyle w:val="Textodenotaderodap"/>
        <w:jc w:val="both"/>
        <w:rPr>
          <w:lang w:val="es-419"/>
        </w:rPr>
      </w:pPr>
      <w:r w:rsidRPr="00D558A1">
        <w:rPr>
          <w:rStyle w:val="Refdenotaderodap"/>
          <w:rFonts w:ascii="Times New Roman" w:hAnsi="Times New Roman" w:cs="Times New Roman"/>
          <w:sz w:val="22"/>
          <w:szCs w:val="22"/>
          <w:lang w:val="es-419"/>
        </w:rPr>
        <w:footnoteRef/>
      </w:r>
      <w:r w:rsidRPr="00D558A1">
        <w:rPr>
          <w:rFonts w:ascii="Times New Roman" w:hAnsi="Times New Roman" w:cs="Times New Roman"/>
          <w:sz w:val="22"/>
          <w:szCs w:val="22"/>
          <w:lang w:val="es-419"/>
        </w:rPr>
        <w:t xml:space="preserve"> E</w:t>
      </w:r>
      <w:r w:rsidR="000C6807" w:rsidRPr="00D558A1">
        <w:rPr>
          <w:rFonts w:ascii="Times New Roman" w:hAnsi="Times New Roman" w:cs="Times New Roman"/>
          <w:sz w:val="22"/>
          <w:szCs w:val="22"/>
          <w:lang w:val="es-419"/>
        </w:rPr>
        <w:t>n</w:t>
      </w:r>
      <w:r w:rsidRPr="00D558A1">
        <w:rPr>
          <w:rFonts w:ascii="Times New Roman" w:hAnsi="Times New Roman" w:cs="Times New Roman"/>
          <w:sz w:val="22"/>
          <w:szCs w:val="22"/>
          <w:lang w:val="es-419"/>
        </w:rPr>
        <w:t xml:space="preserve"> Brasil</w:t>
      </w:r>
      <w:r w:rsidR="0026324C" w:rsidRPr="00D558A1">
        <w:rPr>
          <w:rFonts w:ascii="Times New Roman" w:hAnsi="Times New Roman" w:cs="Times New Roman"/>
          <w:sz w:val="22"/>
          <w:szCs w:val="22"/>
          <w:lang w:val="es-419"/>
        </w:rPr>
        <w:t>, el IBGE</w:t>
      </w:r>
      <w:r w:rsidR="000C6807" w:rsidRPr="00D558A1">
        <w:rPr>
          <w:rFonts w:ascii="Times New Roman" w:hAnsi="Times New Roman" w:cs="Times New Roman"/>
          <w:sz w:val="22"/>
          <w:szCs w:val="22"/>
          <w:lang w:val="es-419"/>
        </w:rPr>
        <w:t xml:space="preserve"> utiliza la </w:t>
      </w:r>
      <w:r w:rsidR="0026324C" w:rsidRPr="00D558A1">
        <w:rPr>
          <w:rFonts w:ascii="Times New Roman" w:hAnsi="Times New Roman" w:cs="Times New Roman"/>
          <w:sz w:val="22"/>
          <w:szCs w:val="22"/>
          <w:lang w:val="es-419"/>
        </w:rPr>
        <w:t xml:space="preserve">categoría de personas negras </w:t>
      </w:r>
      <w:r w:rsidR="008F6E2A" w:rsidRPr="00D558A1">
        <w:rPr>
          <w:rFonts w:ascii="Times New Roman" w:hAnsi="Times New Roman" w:cs="Times New Roman"/>
          <w:sz w:val="22"/>
          <w:szCs w:val="22"/>
          <w:lang w:val="es-419"/>
        </w:rPr>
        <w:t>y</w:t>
      </w:r>
      <w:r w:rsidR="0026324C" w:rsidRPr="00D558A1">
        <w:rPr>
          <w:rFonts w:ascii="Times New Roman" w:hAnsi="Times New Roman" w:cs="Times New Roman"/>
          <w:sz w:val="22"/>
          <w:szCs w:val="22"/>
          <w:lang w:val="es-419"/>
        </w:rPr>
        <w:t xml:space="preserve"> </w:t>
      </w:r>
      <w:r w:rsidR="008F6E2A" w:rsidRPr="00D558A1">
        <w:rPr>
          <w:rFonts w:ascii="Times New Roman" w:hAnsi="Times New Roman" w:cs="Times New Roman"/>
          <w:sz w:val="22"/>
          <w:szCs w:val="22"/>
          <w:lang w:val="es-419"/>
        </w:rPr>
        <w:t>“</w:t>
      </w:r>
      <w:r w:rsidR="0026324C" w:rsidRPr="00D558A1">
        <w:rPr>
          <w:rFonts w:ascii="Times New Roman" w:hAnsi="Times New Roman" w:cs="Times New Roman"/>
          <w:sz w:val="22"/>
          <w:szCs w:val="22"/>
          <w:lang w:val="es-419"/>
        </w:rPr>
        <w:t>pardas”</w:t>
      </w:r>
      <w:r w:rsidR="00E2630C" w:rsidRPr="00D558A1">
        <w:rPr>
          <w:rFonts w:ascii="Times New Roman" w:hAnsi="Times New Roman" w:cs="Times New Roman"/>
          <w:sz w:val="22"/>
          <w:szCs w:val="22"/>
          <w:lang w:val="es-419"/>
        </w:rPr>
        <w:t xml:space="preserve">. Esta categoría </w:t>
      </w:r>
      <w:r w:rsidR="00937281" w:rsidRPr="00D558A1">
        <w:rPr>
          <w:rFonts w:ascii="Times New Roman" w:hAnsi="Times New Roman" w:cs="Times New Roman"/>
          <w:sz w:val="22"/>
          <w:szCs w:val="22"/>
          <w:lang w:val="es-419"/>
        </w:rPr>
        <w:t xml:space="preserve">es útil en el país </w:t>
      </w:r>
      <w:r w:rsidR="00BD0812" w:rsidRPr="00D558A1">
        <w:rPr>
          <w:rFonts w:ascii="Times New Roman" w:hAnsi="Times New Roman" w:cs="Times New Roman"/>
          <w:sz w:val="22"/>
          <w:szCs w:val="22"/>
          <w:lang w:val="es-419"/>
        </w:rPr>
        <w:t>debido al</w:t>
      </w:r>
      <w:r w:rsidR="00D449F4" w:rsidRPr="00D558A1">
        <w:rPr>
          <w:rFonts w:ascii="Times New Roman" w:hAnsi="Times New Roman" w:cs="Times New Roman"/>
          <w:sz w:val="22"/>
          <w:szCs w:val="22"/>
          <w:lang w:val="es-419"/>
        </w:rPr>
        <w:t xml:space="preserve"> mestizaje </w:t>
      </w:r>
      <w:r w:rsidR="003703E4" w:rsidRPr="00D558A1">
        <w:rPr>
          <w:rFonts w:ascii="Times New Roman" w:hAnsi="Times New Roman" w:cs="Times New Roman"/>
          <w:sz w:val="22"/>
          <w:szCs w:val="22"/>
          <w:lang w:val="es-419"/>
        </w:rPr>
        <w:t>y</w:t>
      </w:r>
      <w:r w:rsidR="00D449F4" w:rsidRPr="00D558A1">
        <w:rPr>
          <w:rFonts w:ascii="Times New Roman" w:hAnsi="Times New Roman" w:cs="Times New Roman"/>
          <w:sz w:val="22"/>
          <w:szCs w:val="22"/>
          <w:lang w:val="es-419"/>
        </w:rPr>
        <w:t xml:space="preserve"> de</w:t>
      </w:r>
      <w:r w:rsidR="00A557FB" w:rsidRPr="00D558A1">
        <w:rPr>
          <w:rFonts w:ascii="Times New Roman" w:hAnsi="Times New Roman" w:cs="Times New Roman"/>
          <w:sz w:val="22"/>
          <w:szCs w:val="22"/>
          <w:lang w:val="es-419"/>
        </w:rPr>
        <w:t>l históricamente</w:t>
      </w:r>
      <w:r w:rsidR="00D449F4" w:rsidRPr="00D558A1">
        <w:rPr>
          <w:rFonts w:ascii="Times New Roman" w:hAnsi="Times New Roman" w:cs="Times New Roman"/>
          <w:sz w:val="22"/>
          <w:szCs w:val="22"/>
          <w:lang w:val="es-419"/>
        </w:rPr>
        <w:t xml:space="preserve"> violento proceso de </w:t>
      </w:r>
      <w:r w:rsidR="007D60B2" w:rsidRPr="00D558A1">
        <w:rPr>
          <w:rFonts w:ascii="Times New Roman" w:hAnsi="Times New Roman" w:cs="Times New Roman"/>
          <w:sz w:val="22"/>
          <w:szCs w:val="22"/>
          <w:lang w:val="es-419"/>
        </w:rPr>
        <w:t xml:space="preserve">blanqueamiento desarrollado en </w:t>
      </w:r>
      <w:r w:rsidR="002551E5">
        <w:rPr>
          <w:rFonts w:ascii="Times New Roman" w:hAnsi="Times New Roman" w:cs="Times New Roman"/>
          <w:sz w:val="22"/>
          <w:szCs w:val="22"/>
          <w:lang w:val="es-419"/>
        </w:rPr>
        <w:t>Brasil</w:t>
      </w:r>
      <w:r w:rsidR="007D60B2" w:rsidRPr="00D558A1">
        <w:rPr>
          <w:rFonts w:ascii="Times New Roman" w:hAnsi="Times New Roman" w:cs="Times New Roman"/>
          <w:sz w:val="22"/>
          <w:szCs w:val="22"/>
          <w:lang w:val="es-419"/>
        </w:rPr>
        <w:t>.</w:t>
      </w:r>
      <w:r w:rsidR="00A557FB" w:rsidRPr="00D558A1">
        <w:rPr>
          <w:rFonts w:ascii="Times New Roman" w:hAnsi="Times New Roman" w:cs="Times New Roman"/>
          <w:sz w:val="22"/>
          <w:szCs w:val="22"/>
          <w:lang w:val="es-419"/>
        </w:rPr>
        <w:t xml:space="preserve"> </w:t>
      </w:r>
      <w:r w:rsidR="00BD0812" w:rsidRPr="00D558A1">
        <w:rPr>
          <w:rFonts w:ascii="Times New Roman" w:hAnsi="Times New Roman" w:cs="Times New Roman"/>
          <w:sz w:val="22"/>
          <w:szCs w:val="22"/>
          <w:lang w:val="es-419"/>
        </w:rPr>
        <w:t xml:space="preserve">En este texto, </w:t>
      </w:r>
      <w:r w:rsidR="000440C2" w:rsidRPr="00D558A1">
        <w:rPr>
          <w:rFonts w:ascii="Times New Roman" w:hAnsi="Times New Roman" w:cs="Times New Roman"/>
          <w:sz w:val="22"/>
          <w:szCs w:val="22"/>
          <w:lang w:val="es-419"/>
        </w:rPr>
        <w:t>cuando se dice personas no-blancas se incluye personas negras (sea cual sea su tono de piel)</w:t>
      </w:r>
      <w:r w:rsidR="00D558A1" w:rsidRPr="00D558A1">
        <w:rPr>
          <w:rFonts w:ascii="Times New Roman" w:hAnsi="Times New Roman" w:cs="Times New Roman"/>
          <w:sz w:val="22"/>
          <w:szCs w:val="22"/>
          <w:lang w:val="es-419"/>
        </w:rPr>
        <w:t xml:space="preserve"> </w:t>
      </w:r>
      <w:r w:rsidR="00224C9A">
        <w:rPr>
          <w:rFonts w:ascii="Times New Roman" w:hAnsi="Times New Roman" w:cs="Times New Roman"/>
          <w:sz w:val="22"/>
          <w:szCs w:val="22"/>
          <w:lang w:val="es-419"/>
        </w:rPr>
        <w:t>e</w:t>
      </w:r>
      <w:r w:rsidR="000440C2" w:rsidRPr="00D558A1">
        <w:rPr>
          <w:rFonts w:ascii="Times New Roman" w:hAnsi="Times New Roman" w:cs="Times New Roman"/>
          <w:sz w:val="22"/>
          <w:szCs w:val="22"/>
          <w:lang w:val="es-419"/>
        </w:rPr>
        <w:t xml:space="preserve"> indígenas</w:t>
      </w:r>
      <w:r w:rsidR="00D558A1" w:rsidRPr="00D558A1">
        <w:rPr>
          <w:rFonts w:ascii="Times New Roman" w:hAnsi="Times New Roman" w:cs="Times New Roman"/>
          <w:sz w:val="22"/>
          <w:szCs w:val="22"/>
          <w:lang w:val="es-419"/>
        </w:rPr>
        <w:t>.</w:t>
      </w:r>
    </w:p>
  </w:footnote>
  <w:footnote w:id="3">
    <w:p w14:paraId="1A64520A" w14:textId="77777777" w:rsidR="005F6940" w:rsidRPr="000C74E2" w:rsidRDefault="005F6940" w:rsidP="000C74E2">
      <w:pPr>
        <w:pStyle w:val="Textodenotaderodap"/>
        <w:jc w:val="both"/>
        <w:rPr>
          <w:rFonts w:ascii="Times New Roman" w:hAnsi="Times New Roman" w:cs="Times New Roman"/>
          <w:sz w:val="22"/>
          <w:szCs w:val="22"/>
          <w:lang w:val="es-419"/>
        </w:rPr>
      </w:pPr>
      <w:r w:rsidRPr="000C74E2">
        <w:rPr>
          <w:rStyle w:val="Refdenotaderodap"/>
          <w:rFonts w:ascii="Times New Roman" w:hAnsi="Times New Roman" w:cs="Times New Roman"/>
          <w:sz w:val="22"/>
          <w:szCs w:val="22"/>
          <w:lang w:val="es-419"/>
        </w:rPr>
        <w:footnoteRef/>
      </w:r>
      <w:r w:rsidRPr="000C74E2">
        <w:rPr>
          <w:rFonts w:ascii="Times New Roman" w:hAnsi="Times New Roman" w:cs="Times New Roman"/>
          <w:sz w:val="22"/>
          <w:szCs w:val="22"/>
          <w:lang w:val="es-419"/>
        </w:rPr>
        <w:t xml:space="preserve"> Algunos ejemplos de esto son los datos de la Encuesta Nacional Continua por Muestra de Hogares - PNAD 2019 (Fuente: https://www.ibge.gov.br/estatisticas/sociais/educacao/17270-pnad-continua.html?edicao=28203&amp;t= resultados) y la Síntesis de los Indicadores Sociales de Brasil - SIS 2018 (Fuente: https://biblioteca.ibge.gov.br/visualizacao/livros/liv101709_informativo.pdf); que están desagregados por sexo </w:t>
      </w:r>
      <w:r w:rsidRPr="000C74E2">
        <w:rPr>
          <w:rFonts w:ascii="Times New Roman" w:hAnsi="Times New Roman" w:cs="Times New Roman"/>
          <w:b/>
          <w:bCs/>
          <w:sz w:val="22"/>
          <w:szCs w:val="22"/>
          <w:lang w:val="es-419"/>
        </w:rPr>
        <w:t>o</w:t>
      </w:r>
      <w:r w:rsidRPr="000C74E2">
        <w:rPr>
          <w:rFonts w:ascii="Times New Roman" w:hAnsi="Times New Roman" w:cs="Times New Roman"/>
          <w:sz w:val="22"/>
          <w:szCs w:val="22"/>
          <w:lang w:val="es-419"/>
        </w:rPr>
        <w:t xml:space="preserve"> raza: (1) sobre educación formal en Brasil; (2) sobre ingresos de todas las fuentes; (3) sobre la educación superior y la desigualdad salarial permanente, y; (4) sobre la tasa de desempleo en el mercado laboral.</w:t>
      </w:r>
    </w:p>
  </w:footnote>
  <w:footnote w:id="4">
    <w:p w14:paraId="6A10810C" w14:textId="785DC6A1" w:rsidR="001814A0" w:rsidRPr="000C74E2" w:rsidRDefault="001814A0" w:rsidP="000C74E2">
      <w:pPr>
        <w:pStyle w:val="Textodenotaderodap"/>
        <w:jc w:val="both"/>
        <w:rPr>
          <w:rFonts w:ascii="Times New Roman" w:hAnsi="Times New Roman" w:cs="Times New Roman"/>
          <w:sz w:val="22"/>
          <w:szCs w:val="22"/>
          <w:lang w:val="es-419"/>
        </w:rPr>
      </w:pPr>
      <w:r w:rsidRPr="000C74E2">
        <w:rPr>
          <w:rStyle w:val="Refdenotaderodap"/>
          <w:rFonts w:ascii="Times New Roman" w:hAnsi="Times New Roman" w:cs="Times New Roman"/>
          <w:sz w:val="22"/>
          <w:szCs w:val="22"/>
          <w:lang w:val="es-419"/>
        </w:rPr>
        <w:footnoteRef/>
      </w:r>
      <w:r w:rsidRPr="000C74E2">
        <w:rPr>
          <w:rFonts w:ascii="Times New Roman" w:hAnsi="Times New Roman" w:cs="Times New Roman"/>
          <w:sz w:val="22"/>
          <w:szCs w:val="22"/>
          <w:lang w:val="es-419"/>
        </w:rPr>
        <w:t xml:space="preserve"> Una de las excepciones más importantes son los datos que se refieren a los indicadores estructurales del mercado laboral. En estos, las categorías son recurrentes: hombres </w:t>
      </w:r>
      <w:r w:rsidR="00630F3F">
        <w:rPr>
          <w:rFonts w:ascii="Times New Roman" w:hAnsi="Times New Roman" w:cs="Times New Roman"/>
          <w:sz w:val="22"/>
          <w:szCs w:val="22"/>
          <w:lang w:val="es-419"/>
        </w:rPr>
        <w:t>no-blancos</w:t>
      </w:r>
      <w:r w:rsidRPr="000C74E2">
        <w:rPr>
          <w:rFonts w:ascii="Times New Roman" w:hAnsi="Times New Roman" w:cs="Times New Roman"/>
          <w:sz w:val="22"/>
          <w:szCs w:val="22"/>
          <w:lang w:val="es-419"/>
        </w:rPr>
        <w:t xml:space="preserve">, hombres blancos, mujeres </w:t>
      </w:r>
      <w:r w:rsidR="00630F3F">
        <w:rPr>
          <w:rFonts w:ascii="Times New Roman" w:hAnsi="Times New Roman" w:cs="Times New Roman"/>
          <w:sz w:val="22"/>
          <w:szCs w:val="22"/>
          <w:lang w:val="es-419"/>
        </w:rPr>
        <w:t>no-blancas</w:t>
      </w:r>
      <w:r w:rsidRPr="000C74E2">
        <w:rPr>
          <w:rFonts w:ascii="Times New Roman" w:hAnsi="Times New Roman" w:cs="Times New Roman"/>
          <w:sz w:val="22"/>
          <w:szCs w:val="22"/>
          <w:lang w:val="es-419"/>
        </w:rPr>
        <w:t xml:space="preserve"> y mujeres blancas. La importancia de esto se refleja en el hecho de que solo así se sabe que en Brasil el salario de las mujeres </w:t>
      </w:r>
      <w:r w:rsidR="007F5FAA">
        <w:rPr>
          <w:rFonts w:ascii="Times New Roman" w:hAnsi="Times New Roman" w:cs="Times New Roman"/>
          <w:sz w:val="22"/>
          <w:szCs w:val="22"/>
          <w:lang w:val="es-419"/>
        </w:rPr>
        <w:t>no-blancas</w:t>
      </w:r>
      <w:r w:rsidRPr="000C74E2">
        <w:rPr>
          <w:rFonts w:ascii="Times New Roman" w:hAnsi="Times New Roman" w:cs="Times New Roman"/>
          <w:sz w:val="22"/>
          <w:szCs w:val="22"/>
          <w:lang w:val="es-419"/>
        </w:rPr>
        <w:t xml:space="preserve"> equivale al 44% del salario de los hombres blancos.</w:t>
      </w:r>
    </w:p>
  </w:footnote>
  <w:footnote w:id="5">
    <w:p w14:paraId="0D7A84CD" w14:textId="1C6B59E8" w:rsidR="00343547" w:rsidRPr="000C74E2" w:rsidRDefault="00343547" w:rsidP="000C74E2">
      <w:pPr>
        <w:spacing w:after="0" w:line="240" w:lineRule="auto"/>
        <w:jc w:val="both"/>
        <w:rPr>
          <w:rFonts w:ascii="Times New Roman" w:eastAsiaTheme="minorEastAsia" w:hAnsi="Times New Roman" w:cs="Times New Roman"/>
          <w:lang w:eastAsia="pt-BR"/>
        </w:rPr>
      </w:pPr>
      <w:r w:rsidRPr="000C74E2">
        <w:rPr>
          <w:rStyle w:val="Refdenotaderodap"/>
          <w:rFonts w:ascii="Times New Roman" w:hAnsi="Times New Roman" w:cs="Times New Roman"/>
        </w:rPr>
        <w:footnoteRef/>
      </w:r>
      <w:r w:rsidRPr="000C74E2">
        <w:rPr>
          <w:rFonts w:ascii="Times New Roman" w:hAnsi="Times New Roman" w:cs="Times New Roman"/>
        </w:rPr>
        <w:t xml:space="preserve"> </w:t>
      </w:r>
      <w:proofErr w:type="spellStart"/>
      <w:r w:rsidR="00D04EB1" w:rsidRPr="000C74E2">
        <w:rPr>
          <w:rFonts w:ascii="Times New Roman" w:hAnsi="Times New Roman" w:cs="Times New Roman"/>
        </w:rPr>
        <w:t>Nuestra</w:t>
      </w:r>
      <w:proofErr w:type="spellEnd"/>
      <w:r w:rsidR="00D04EB1" w:rsidRPr="000C74E2">
        <w:rPr>
          <w:rFonts w:ascii="Times New Roman" w:hAnsi="Times New Roman" w:cs="Times New Roman"/>
        </w:rPr>
        <w:t xml:space="preserve"> </w:t>
      </w:r>
      <w:proofErr w:type="spellStart"/>
      <w:r w:rsidR="00D04EB1" w:rsidRPr="000C74E2">
        <w:rPr>
          <w:rFonts w:ascii="Times New Roman" w:hAnsi="Times New Roman" w:cs="Times New Roman"/>
        </w:rPr>
        <w:t>traducción</w:t>
      </w:r>
      <w:proofErr w:type="spellEnd"/>
      <w:r w:rsidR="00D04EB1" w:rsidRPr="000C74E2">
        <w:rPr>
          <w:rFonts w:ascii="Times New Roman" w:hAnsi="Times New Roman" w:cs="Times New Roman"/>
        </w:rPr>
        <w:t xml:space="preserve">, </w:t>
      </w:r>
      <w:proofErr w:type="spellStart"/>
      <w:r w:rsidR="00D04EB1" w:rsidRPr="000C74E2">
        <w:rPr>
          <w:rFonts w:ascii="Times New Roman" w:hAnsi="Times New Roman" w:cs="Times New Roman"/>
        </w:rPr>
        <w:t>en</w:t>
      </w:r>
      <w:proofErr w:type="spellEnd"/>
      <w:r w:rsidR="00D04EB1" w:rsidRPr="000C74E2">
        <w:rPr>
          <w:rFonts w:ascii="Times New Roman" w:hAnsi="Times New Roman" w:cs="Times New Roman"/>
        </w:rPr>
        <w:t xml:space="preserve"> </w:t>
      </w:r>
      <w:proofErr w:type="spellStart"/>
      <w:r w:rsidR="00D04EB1" w:rsidRPr="000C74E2">
        <w:rPr>
          <w:rFonts w:ascii="Times New Roman" w:hAnsi="Times New Roman" w:cs="Times New Roman"/>
        </w:rPr>
        <w:t>el</w:t>
      </w:r>
      <w:proofErr w:type="spellEnd"/>
      <w:r w:rsidR="00D04EB1" w:rsidRPr="000C74E2">
        <w:rPr>
          <w:rFonts w:ascii="Times New Roman" w:hAnsi="Times New Roman" w:cs="Times New Roman"/>
        </w:rPr>
        <w:t xml:space="preserve"> original:</w:t>
      </w:r>
      <w:r w:rsidRPr="000C74E2">
        <w:rPr>
          <w:rFonts w:ascii="Times New Roman" w:hAnsi="Times New Roman" w:cs="Times New Roman"/>
        </w:rPr>
        <w:t xml:space="preserve"> “</w:t>
      </w:r>
      <w:r w:rsidRPr="000C74E2">
        <w:rPr>
          <w:rFonts w:ascii="Times New Roman" w:eastAsiaTheme="minorEastAsia" w:hAnsi="Times New Roman" w:cs="Times New Roman"/>
          <w:lang w:eastAsia="pt-BR"/>
        </w:rPr>
        <w:t>A garantia de que todas as mulheres sejam beneficiadas pela ampliação da proteção dos direitos humanos baseados no gênero exige que se dê atenção às várias formas pelas quais o gênero intersecta-se com uma gama de outras identidades e ao modo pelo qual essas intersecções contribuem para a vulnerabilidade particular de diferentes grupos de mulheres. Como as experiências específicas de mulheres de grupos étnicos ou raciais definidos são muitas vezes obscurecidas dentro de categorias mais amplas de raça e gênero, a extensão total da sua vulnerabilidade interseccional ainda permanece desconhecida e precisa, em última análise, ser construída a partir do zero.”</w:t>
      </w:r>
      <w:r w:rsidR="00D04EB1" w:rsidRPr="000C74E2">
        <w:rPr>
          <w:rFonts w:ascii="Times New Roman" w:eastAsiaTheme="minorEastAsia" w:hAnsi="Times New Roman" w:cs="Times New Roman"/>
          <w:lang w:eastAsia="pt-BR"/>
        </w:rPr>
        <w:t xml:space="preserve"> </w:t>
      </w:r>
      <w:r w:rsidR="00D04EB1" w:rsidRPr="000C74E2">
        <w:rPr>
          <w:rFonts w:ascii="Times New Roman" w:hAnsi="Times New Roman" w:cs="Times New Roman"/>
          <w:lang w:val="es-419" w:eastAsia="pt-BR"/>
        </w:rPr>
        <w:t>(CRENSHAW, 2002, p. 174).</w:t>
      </w:r>
    </w:p>
  </w:footnote>
  <w:footnote w:id="6">
    <w:p w14:paraId="238D5EE2" w14:textId="7F0A7AF5" w:rsidR="000C74E2" w:rsidRPr="000C74E2" w:rsidRDefault="000C74E2" w:rsidP="000C74E2">
      <w:pPr>
        <w:pStyle w:val="Textodenotaderodap"/>
        <w:jc w:val="both"/>
        <w:rPr>
          <w:rFonts w:ascii="Times New Roman" w:hAnsi="Times New Roman" w:cs="Times New Roman"/>
          <w:sz w:val="22"/>
          <w:szCs w:val="22"/>
          <w:lang w:val="es-419"/>
        </w:rPr>
      </w:pPr>
      <w:r w:rsidRPr="000C74E2">
        <w:rPr>
          <w:rStyle w:val="Refdenotaderodap"/>
          <w:rFonts w:ascii="Times New Roman" w:hAnsi="Times New Roman" w:cs="Times New Roman"/>
          <w:sz w:val="22"/>
          <w:szCs w:val="22"/>
          <w:lang w:val="es-419"/>
        </w:rPr>
        <w:footnoteRef/>
      </w:r>
      <w:r w:rsidRPr="000C74E2">
        <w:rPr>
          <w:rFonts w:ascii="Times New Roman" w:hAnsi="Times New Roman" w:cs="Times New Roman"/>
          <w:sz w:val="22"/>
          <w:szCs w:val="22"/>
          <w:lang w:val="es-419"/>
        </w:rPr>
        <w:t xml:space="preserve"> Nuestra traducción, en el original: “Onde os contornos específicos da </w:t>
      </w:r>
      <w:proofErr w:type="spellStart"/>
      <w:r w:rsidRPr="000C74E2">
        <w:rPr>
          <w:rFonts w:ascii="Times New Roman" w:hAnsi="Times New Roman" w:cs="Times New Roman"/>
          <w:sz w:val="22"/>
          <w:szCs w:val="22"/>
          <w:lang w:val="es-419"/>
        </w:rPr>
        <w:t>discriminação</w:t>
      </w:r>
      <w:proofErr w:type="spellEnd"/>
      <w:r w:rsidRPr="000C74E2">
        <w:rPr>
          <w:rFonts w:ascii="Times New Roman" w:hAnsi="Times New Roman" w:cs="Times New Roman"/>
          <w:sz w:val="22"/>
          <w:szCs w:val="22"/>
          <w:lang w:val="es-419"/>
        </w:rPr>
        <w:t xml:space="preserve"> de </w:t>
      </w:r>
      <w:proofErr w:type="spellStart"/>
      <w:r w:rsidRPr="000C74E2">
        <w:rPr>
          <w:rFonts w:ascii="Times New Roman" w:hAnsi="Times New Roman" w:cs="Times New Roman"/>
          <w:sz w:val="22"/>
          <w:szCs w:val="22"/>
          <w:lang w:val="es-419"/>
        </w:rPr>
        <w:t>gênero</w:t>
      </w:r>
      <w:proofErr w:type="spellEnd"/>
      <w:r w:rsidRPr="000C74E2">
        <w:rPr>
          <w:rFonts w:ascii="Times New Roman" w:hAnsi="Times New Roman" w:cs="Times New Roman"/>
          <w:sz w:val="22"/>
          <w:szCs w:val="22"/>
          <w:lang w:val="es-419"/>
        </w:rPr>
        <w:t xml:space="preserve"> </w:t>
      </w:r>
      <w:proofErr w:type="spellStart"/>
      <w:r w:rsidRPr="000C74E2">
        <w:rPr>
          <w:rFonts w:ascii="Times New Roman" w:hAnsi="Times New Roman" w:cs="Times New Roman"/>
          <w:sz w:val="22"/>
          <w:szCs w:val="22"/>
          <w:lang w:val="es-419"/>
        </w:rPr>
        <w:t>não</w:t>
      </w:r>
      <w:proofErr w:type="spellEnd"/>
      <w:r w:rsidRPr="000C74E2">
        <w:rPr>
          <w:rFonts w:ascii="Times New Roman" w:hAnsi="Times New Roman" w:cs="Times New Roman"/>
          <w:sz w:val="22"/>
          <w:szCs w:val="22"/>
          <w:lang w:val="es-419"/>
        </w:rPr>
        <w:t xml:space="preserve"> </w:t>
      </w:r>
      <w:proofErr w:type="spellStart"/>
      <w:r w:rsidRPr="000C74E2">
        <w:rPr>
          <w:rFonts w:ascii="Times New Roman" w:hAnsi="Times New Roman" w:cs="Times New Roman"/>
          <w:sz w:val="22"/>
          <w:szCs w:val="22"/>
          <w:lang w:val="es-419"/>
        </w:rPr>
        <w:t>são</w:t>
      </w:r>
      <w:proofErr w:type="spellEnd"/>
      <w:r w:rsidRPr="000C74E2">
        <w:rPr>
          <w:rFonts w:ascii="Times New Roman" w:hAnsi="Times New Roman" w:cs="Times New Roman"/>
          <w:sz w:val="22"/>
          <w:szCs w:val="22"/>
          <w:lang w:val="es-419"/>
        </w:rPr>
        <w:t xml:space="preserve"> </w:t>
      </w:r>
      <w:proofErr w:type="spellStart"/>
      <w:r w:rsidRPr="000C74E2">
        <w:rPr>
          <w:rFonts w:ascii="Times New Roman" w:hAnsi="Times New Roman" w:cs="Times New Roman"/>
          <w:sz w:val="22"/>
          <w:szCs w:val="22"/>
          <w:lang w:val="es-419"/>
        </w:rPr>
        <w:t>bem</w:t>
      </w:r>
      <w:proofErr w:type="spellEnd"/>
      <w:r w:rsidRPr="000C74E2">
        <w:rPr>
          <w:rFonts w:ascii="Times New Roman" w:hAnsi="Times New Roman" w:cs="Times New Roman"/>
          <w:sz w:val="22"/>
          <w:szCs w:val="22"/>
          <w:lang w:val="es-419"/>
        </w:rPr>
        <w:t xml:space="preserve"> </w:t>
      </w:r>
      <w:proofErr w:type="spellStart"/>
      <w:r w:rsidRPr="000C74E2">
        <w:rPr>
          <w:rFonts w:ascii="Times New Roman" w:hAnsi="Times New Roman" w:cs="Times New Roman"/>
          <w:sz w:val="22"/>
          <w:szCs w:val="22"/>
          <w:lang w:val="es-419"/>
        </w:rPr>
        <w:t>compreendidos</w:t>
      </w:r>
      <w:proofErr w:type="spellEnd"/>
      <w:r w:rsidRPr="000C74E2">
        <w:rPr>
          <w:rFonts w:ascii="Times New Roman" w:hAnsi="Times New Roman" w:cs="Times New Roman"/>
          <w:sz w:val="22"/>
          <w:szCs w:val="22"/>
          <w:lang w:val="es-419"/>
        </w:rPr>
        <w:t xml:space="preserve">, as </w:t>
      </w:r>
      <w:proofErr w:type="spellStart"/>
      <w:r w:rsidRPr="000C74E2">
        <w:rPr>
          <w:rFonts w:ascii="Times New Roman" w:hAnsi="Times New Roman" w:cs="Times New Roman"/>
          <w:sz w:val="22"/>
          <w:szCs w:val="22"/>
          <w:lang w:val="es-419"/>
        </w:rPr>
        <w:t>intervenções</w:t>
      </w:r>
      <w:proofErr w:type="spellEnd"/>
      <w:r w:rsidRPr="000C74E2">
        <w:rPr>
          <w:rFonts w:ascii="Times New Roman" w:hAnsi="Times New Roman" w:cs="Times New Roman"/>
          <w:sz w:val="22"/>
          <w:szCs w:val="22"/>
          <w:lang w:val="es-419"/>
        </w:rPr>
        <w:t xml:space="preserve"> para tratar de abusos </w:t>
      </w:r>
      <w:proofErr w:type="spellStart"/>
      <w:r w:rsidRPr="000C74E2">
        <w:rPr>
          <w:rFonts w:ascii="Times New Roman" w:hAnsi="Times New Roman" w:cs="Times New Roman"/>
          <w:sz w:val="22"/>
          <w:szCs w:val="22"/>
          <w:lang w:val="es-419"/>
        </w:rPr>
        <w:t>aos</w:t>
      </w:r>
      <w:proofErr w:type="spellEnd"/>
      <w:r w:rsidRPr="000C74E2">
        <w:rPr>
          <w:rFonts w:ascii="Times New Roman" w:hAnsi="Times New Roman" w:cs="Times New Roman"/>
          <w:sz w:val="22"/>
          <w:szCs w:val="22"/>
          <w:lang w:val="es-419"/>
        </w:rPr>
        <w:t xml:space="preserve"> </w:t>
      </w:r>
      <w:proofErr w:type="spellStart"/>
      <w:r w:rsidRPr="000C74E2">
        <w:rPr>
          <w:rFonts w:ascii="Times New Roman" w:hAnsi="Times New Roman" w:cs="Times New Roman"/>
          <w:sz w:val="22"/>
          <w:szCs w:val="22"/>
          <w:lang w:val="es-419"/>
        </w:rPr>
        <w:t>direitos</w:t>
      </w:r>
      <w:proofErr w:type="spellEnd"/>
      <w:r w:rsidRPr="000C74E2">
        <w:rPr>
          <w:rFonts w:ascii="Times New Roman" w:hAnsi="Times New Roman" w:cs="Times New Roman"/>
          <w:sz w:val="22"/>
          <w:szCs w:val="22"/>
          <w:lang w:val="es-419"/>
        </w:rPr>
        <w:t xml:space="preserve"> humanos das </w:t>
      </w:r>
      <w:proofErr w:type="spellStart"/>
      <w:r w:rsidRPr="000C74E2">
        <w:rPr>
          <w:rFonts w:ascii="Times New Roman" w:hAnsi="Times New Roman" w:cs="Times New Roman"/>
          <w:sz w:val="22"/>
          <w:szCs w:val="22"/>
          <w:lang w:val="es-419"/>
        </w:rPr>
        <w:t>mulheres</w:t>
      </w:r>
      <w:proofErr w:type="spellEnd"/>
      <w:r w:rsidRPr="000C74E2">
        <w:rPr>
          <w:rFonts w:ascii="Times New Roman" w:hAnsi="Times New Roman" w:cs="Times New Roman"/>
          <w:sz w:val="22"/>
          <w:szCs w:val="22"/>
          <w:lang w:val="es-419"/>
        </w:rPr>
        <w:t xml:space="preserve"> </w:t>
      </w:r>
      <w:proofErr w:type="spellStart"/>
      <w:r w:rsidRPr="000C74E2">
        <w:rPr>
          <w:rFonts w:ascii="Times New Roman" w:hAnsi="Times New Roman" w:cs="Times New Roman"/>
          <w:sz w:val="22"/>
          <w:szCs w:val="22"/>
          <w:lang w:val="es-419"/>
        </w:rPr>
        <w:t>serão</w:t>
      </w:r>
      <w:proofErr w:type="spellEnd"/>
      <w:r w:rsidRPr="000C74E2">
        <w:rPr>
          <w:rFonts w:ascii="Times New Roman" w:hAnsi="Times New Roman" w:cs="Times New Roman"/>
          <w:sz w:val="22"/>
          <w:szCs w:val="22"/>
          <w:lang w:val="es-419"/>
        </w:rPr>
        <w:t xml:space="preserve"> </w:t>
      </w:r>
      <w:proofErr w:type="spellStart"/>
      <w:r w:rsidRPr="000C74E2">
        <w:rPr>
          <w:rFonts w:ascii="Times New Roman" w:hAnsi="Times New Roman" w:cs="Times New Roman"/>
          <w:sz w:val="22"/>
          <w:szCs w:val="22"/>
          <w:lang w:val="es-419"/>
        </w:rPr>
        <w:t>provavelmente</w:t>
      </w:r>
      <w:proofErr w:type="spellEnd"/>
      <w:r w:rsidRPr="000C74E2">
        <w:rPr>
          <w:rFonts w:ascii="Times New Roman" w:hAnsi="Times New Roman" w:cs="Times New Roman"/>
          <w:sz w:val="22"/>
          <w:szCs w:val="22"/>
          <w:lang w:val="es-419"/>
        </w:rPr>
        <w:t xml:space="preserve"> menos </w:t>
      </w:r>
      <w:proofErr w:type="spellStart"/>
      <w:r w:rsidRPr="000C74E2">
        <w:rPr>
          <w:rFonts w:ascii="Times New Roman" w:hAnsi="Times New Roman" w:cs="Times New Roman"/>
          <w:sz w:val="22"/>
          <w:szCs w:val="22"/>
          <w:lang w:val="es-419"/>
        </w:rPr>
        <w:t>efetivas</w:t>
      </w:r>
      <w:proofErr w:type="spellEnd"/>
      <w:r w:rsidRPr="000C74E2">
        <w:rPr>
          <w:rFonts w:ascii="Times New Roman" w:hAnsi="Times New Roman" w:cs="Times New Roman"/>
          <w:sz w:val="22"/>
          <w:szCs w:val="22"/>
          <w:lang w:val="es-419"/>
        </w:rPr>
        <w:t>” (CRENSHAW, 2002, p. 174).</w:t>
      </w:r>
    </w:p>
  </w:footnote>
  <w:footnote w:id="7">
    <w:p w14:paraId="09FB1F6C" w14:textId="50FC519B" w:rsidR="000212F2" w:rsidRPr="00186C96" w:rsidRDefault="000212F2" w:rsidP="000212F2">
      <w:pPr>
        <w:pStyle w:val="Textodenotaderodap"/>
        <w:jc w:val="both"/>
        <w:rPr>
          <w:rFonts w:ascii="Times New Roman" w:hAnsi="Times New Roman" w:cs="Times New Roman"/>
          <w:sz w:val="22"/>
          <w:szCs w:val="22"/>
          <w:lang w:val="es-419"/>
        </w:rPr>
      </w:pPr>
      <w:r w:rsidRPr="00186C96">
        <w:rPr>
          <w:rStyle w:val="Refdenotaderodap"/>
          <w:rFonts w:ascii="Times New Roman" w:hAnsi="Times New Roman" w:cs="Times New Roman"/>
          <w:sz w:val="22"/>
          <w:szCs w:val="22"/>
          <w:lang w:val="es-419"/>
        </w:rPr>
        <w:footnoteRef/>
      </w:r>
      <w:r w:rsidR="00186C96" w:rsidRPr="00186C96">
        <w:rPr>
          <w:rFonts w:ascii="Times New Roman" w:hAnsi="Times New Roman" w:cs="Times New Roman"/>
          <w:sz w:val="22"/>
          <w:szCs w:val="22"/>
          <w:lang w:val="es-419"/>
        </w:rPr>
        <w:t xml:space="preserve"> Un ejemplo es el caso del surgimiento de </w:t>
      </w:r>
      <w:r w:rsidR="00B259A2" w:rsidRPr="00B259A2">
        <w:rPr>
          <w:rFonts w:ascii="Times New Roman" w:hAnsi="Times New Roman" w:cs="Times New Roman"/>
          <w:sz w:val="22"/>
          <w:szCs w:val="22"/>
          <w:lang w:val="es-419"/>
        </w:rPr>
        <w:t>discriminaciones positivas</w:t>
      </w:r>
      <w:r w:rsidR="00BA5B4A">
        <w:rPr>
          <w:rFonts w:ascii="Times New Roman" w:hAnsi="Times New Roman" w:cs="Times New Roman"/>
          <w:sz w:val="22"/>
          <w:szCs w:val="22"/>
          <w:lang w:val="es-419"/>
        </w:rPr>
        <w:t xml:space="preserve"> </w:t>
      </w:r>
      <w:r w:rsidR="00B259A2">
        <w:rPr>
          <w:rFonts w:ascii="Times New Roman" w:hAnsi="Times New Roman" w:cs="Times New Roman"/>
          <w:sz w:val="22"/>
          <w:szCs w:val="22"/>
          <w:lang w:val="es-419"/>
        </w:rPr>
        <w:t>de carácter</w:t>
      </w:r>
      <w:r w:rsidR="00186C96" w:rsidRPr="00186C96">
        <w:rPr>
          <w:rFonts w:ascii="Times New Roman" w:hAnsi="Times New Roman" w:cs="Times New Roman"/>
          <w:sz w:val="22"/>
          <w:szCs w:val="22"/>
          <w:lang w:val="es-419"/>
        </w:rPr>
        <w:t xml:space="preserve"> social y racial </w:t>
      </w:r>
      <w:r w:rsidR="00550E7D">
        <w:rPr>
          <w:rFonts w:ascii="Times New Roman" w:hAnsi="Times New Roman" w:cs="Times New Roman"/>
          <w:sz w:val="22"/>
          <w:szCs w:val="22"/>
          <w:lang w:val="es-419"/>
        </w:rPr>
        <w:t>de reserva de vagas</w:t>
      </w:r>
      <w:r w:rsidR="00550E7D" w:rsidRPr="00B259A2">
        <w:rPr>
          <w:rFonts w:ascii="Times New Roman" w:hAnsi="Times New Roman" w:cs="Times New Roman"/>
          <w:sz w:val="22"/>
          <w:szCs w:val="22"/>
          <w:lang w:val="es-419"/>
        </w:rPr>
        <w:t xml:space="preserve"> </w:t>
      </w:r>
      <w:r w:rsidR="00186C96" w:rsidRPr="00186C96">
        <w:rPr>
          <w:rFonts w:ascii="Times New Roman" w:hAnsi="Times New Roman" w:cs="Times New Roman"/>
          <w:sz w:val="22"/>
          <w:szCs w:val="22"/>
          <w:lang w:val="es-419"/>
        </w:rPr>
        <w:t>para la educación superior en Brasil presentado en el VI Informe del Estado brasileño al Comité CEDAW (CEDAW/C/BRA/6). Como resultado, el Comité CEDAW incluyó la pregunta 1</w:t>
      </w:r>
      <w:r w:rsidR="0088498C">
        <w:rPr>
          <w:rFonts w:ascii="Times New Roman" w:hAnsi="Times New Roman" w:cs="Times New Roman"/>
          <w:sz w:val="22"/>
          <w:szCs w:val="22"/>
          <w:lang w:val="es-419"/>
        </w:rPr>
        <w:t>8</w:t>
      </w:r>
      <w:r w:rsidR="00186C96" w:rsidRPr="00186C96">
        <w:rPr>
          <w:rFonts w:ascii="Times New Roman" w:hAnsi="Times New Roman" w:cs="Times New Roman"/>
          <w:sz w:val="22"/>
          <w:szCs w:val="22"/>
          <w:lang w:val="es-419"/>
        </w:rPr>
        <w:t xml:space="preserve"> en sus preguntas al Estado brasileño: </w:t>
      </w:r>
      <w:r w:rsidR="00AE7673">
        <w:rPr>
          <w:rFonts w:ascii="Times New Roman" w:hAnsi="Times New Roman" w:cs="Times New Roman"/>
          <w:sz w:val="22"/>
          <w:szCs w:val="22"/>
          <w:lang w:val="es-419"/>
        </w:rPr>
        <w:t>“</w:t>
      </w:r>
      <w:r w:rsidR="00186C96" w:rsidRPr="00186C96">
        <w:rPr>
          <w:rFonts w:ascii="Times New Roman" w:hAnsi="Times New Roman" w:cs="Times New Roman"/>
          <w:sz w:val="22"/>
          <w:szCs w:val="22"/>
          <w:lang w:val="es-419"/>
        </w:rPr>
        <w:t xml:space="preserve">¿Esta legislación incluye </w:t>
      </w:r>
      <w:r w:rsidR="00550E7D">
        <w:rPr>
          <w:rFonts w:ascii="Times New Roman" w:hAnsi="Times New Roman" w:cs="Times New Roman"/>
          <w:sz w:val="22"/>
          <w:szCs w:val="22"/>
          <w:lang w:val="es-419"/>
        </w:rPr>
        <w:t>reserva de</w:t>
      </w:r>
      <w:r w:rsidR="0088498C">
        <w:rPr>
          <w:rFonts w:ascii="Times New Roman" w:hAnsi="Times New Roman" w:cs="Times New Roman"/>
          <w:sz w:val="22"/>
          <w:szCs w:val="22"/>
          <w:lang w:val="es-419"/>
        </w:rPr>
        <w:t xml:space="preserve"> vacantes</w:t>
      </w:r>
      <w:r w:rsidR="00186C96" w:rsidRPr="00186C96">
        <w:rPr>
          <w:rFonts w:ascii="Times New Roman" w:hAnsi="Times New Roman" w:cs="Times New Roman"/>
          <w:sz w:val="22"/>
          <w:szCs w:val="22"/>
          <w:lang w:val="es-419"/>
        </w:rPr>
        <w:t xml:space="preserve"> específicas para mujeres y cuál es el impacto esperado por esta legislación?</w:t>
      </w:r>
      <w:r w:rsidR="00AE7673">
        <w:rPr>
          <w:rFonts w:ascii="Times New Roman" w:hAnsi="Times New Roman" w:cs="Times New Roman"/>
          <w:sz w:val="22"/>
          <w:szCs w:val="22"/>
          <w:lang w:val="es-419"/>
        </w:rPr>
        <w:t>”</w:t>
      </w:r>
      <w:r w:rsidR="00186C96" w:rsidRPr="00186C96">
        <w:rPr>
          <w:rFonts w:ascii="Times New Roman" w:hAnsi="Times New Roman" w:cs="Times New Roman"/>
          <w:sz w:val="22"/>
          <w:szCs w:val="22"/>
          <w:lang w:val="es-419"/>
        </w:rPr>
        <w:t xml:space="preserve"> (CEDAW/</w:t>
      </w:r>
      <w:r w:rsidR="00AE7673">
        <w:rPr>
          <w:rFonts w:ascii="Times New Roman" w:hAnsi="Times New Roman" w:cs="Times New Roman"/>
          <w:sz w:val="22"/>
          <w:szCs w:val="22"/>
          <w:lang w:val="es-419"/>
        </w:rPr>
        <w:t>C</w:t>
      </w:r>
      <w:r w:rsidR="00186C96" w:rsidRPr="00186C96">
        <w:rPr>
          <w:rFonts w:ascii="Times New Roman" w:hAnsi="Times New Roman" w:cs="Times New Roman"/>
          <w:sz w:val="22"/>
          <w:szCs w:val="22"/>
          <w:lang w:val="es-419"/>
        </w:rPr>
        <w:t xml:space="preserve">/BRA/Q/6). La respuesta del Estado brasileño confirmó la ausencia de </w:t>
      </w:r>
      <w:r w:rsidR="000C2261">
        <w:rPr>
          <w:rFonts w:ascii="Times New Roman" w:hAnsi="Times New Roman" w:cs="Times New Roman"/>
          <w:sz w:val="22"/>
          <w:szCs w:val="22"/>
          <w:lang w:val="es-419"/>
        </w:rPr>
        <w:t xml:space="preserve">cuotas </w:t>
      </w:r>
      <w:r w:rsidR="000C2261" w:rsidRPr="000C2261">
        <w:rPr>
          <w:rFonts w:ascii="Times New Roman" w:hAnsi="Times New Roman" w:cs="Times New Roman"/>
          <w:sz w:val="22"/>
          <w:szCs w:val="22"/>
          <w:lang w:val="es-419"/>
        </w:rPr>
        <w:t>(reserva de una parte de las vacantes)</w:t>
      </w:r>
      <w:r w:rsidR="00186C96" w:rsidRPr="00186C96">
        <w:rPr>
          <w:rFonts w:ascii="Times New Roman" w:hAnsi="Times New Roman" w:cs="Times New Roman"/>
          <w:sz w:val="22"/>
          <w:szCs w:val="22"/>
          <w:lang w:val="es-419"/>
        </w:rPr>
        <w:t xml:space="preserve"> exclusivamente para mujeres, destacando que las mujeres brasileñas representan la mayoría de las personas que ingresan y egresan de las universidades (CEDAW/C/BRA/Q/6/Add.1). En el mismo documento de Respuesta enviado al Comité</w:t>
      </w:r>
      <w:r w:rsidR="002D7099">
        <w:rPr>
          <w:rFonts w:ascii="Times New Roman" w:hAnsi="Times New Roman" w:cs="Times New Roman"/>
          <w:sz w:val="22"/>
          <w:szCs w:val="22"/>
          <w:lang w:val="es-419"/>
        </w:rPr>
        <w:t xml:space="preserve"> </w:t>
      </w:r>
      <w:r w:rsidR="00186C96" w:rsidRPr="00186C96">
        <w:rPr>
          <w:rFonts w:ascii="Times New Roman" w:hAnsi="Times New Roman" w:cs="Times New Roman"/>
          <w:sz w:val="22"/>
          <w:szCs w:val="22"/>
          <w:lang w:val="es-419"/>
        </w:rPr>
        <w:t xml:space="preserve">CEDAW, el Estado brasileño reconoce que solo el 24,1% de las </w:t>
      </w:r>
      <w:r w:rsidR="00186C96" w:rsidRPr="000C2261">
        <w:rPr>
          <w:rFonts w:ascii="Times New Roman" w:hAnsi="Times New Roman" w:cs="Times New Roman"/>
          <w:sz w:val="22"/>
          <w:szCs w:val="22"/>
          <w:lang w:val="es-419"/>
        </w:rPr>
        <w:t>vacantes</w:t>
      </w:r>
      <w:r w:rsidR="00186C96" w:rsidRPr="00186C96">
        <w:rPr>
          <w:rFonts w:ascii="Times New Roman" w:hAnsi="Times New Roman" w:cs="Times New Roman"/>
          <w:sz w:val="22"/>
          <w:szCs w:val="22"/>
          <w:lang w:val="es-419"/>
        </w:rPr>
        <w:t xml:space="preserve"> en las instituciones de educación superior están ocupadas por</w:t>
      </w:r>
      <w:r w:rsidR="002D7099">
        <w:rPr>
          <w:rFonts w:ascii="Times New Roman" w:hAnsi="Times New Roman" w:cs="Times New Roman"/>
          <w:sz w:val="22"/>
          <w:szCs w:val="22"/>
          <w:lang w:val="es-419"/>
        </w:rPr>
        <w:t xml:space="preserve"> personas</w:t>
      </w:r>
      <w:r w:rsidR="00186C96" w:rsidRPr="00186C96">
        <w:rPr>
          <w:rFonts w:ascii="Times New Roman" w:hAnsi="Times New Roman" w:cs="Times New Roman"/>
          <w:sz w:val="22"/>
          <w:szCs w:val="22"/>
          <w:lang w:val="es-419"/>
        </w:rPr>
        <w:t xml:space="preserve"> </w:t>
      </w:r>
      <w:r w:rsidR="0088498C">
        <w:rPr>
          <w:rFonts w:ascii="Times New Roman" w:hAnsi="Times New Roman" w:cs="Times New Roman"/>
          <w:sz w:val="22"/>
          <w:szCs w:val="22"/>
          <w:lang w:val="es-419"/>
        </w:rPr>
        <w:t>no-blancas</w:t>
      </w:r>
      <w:r w:rsidR="00186C96" w:rsidRPr="00186C96">
        <w:rPr>
          <w:rFonts w:ascii="Times New Roman" w:hAnsi="Times New Roman" w:cs="Times New Roman"/>
          <w:sz w:val="22"/>
          <w:szCs w:val="22"/>
          <w:lang w:val="es-419"/>
        </w:rPr>
        <w:t xml:space="preserve">. De ahí que se pueda deducir que cuando las estadísticas muestran que la mayoría de las </w:t>
      </w:r>
      <w:r w:rsidR="00186C96" w:rsidRPr="000C2261">
        <w:rPr>
          <w:rFonts w:ascii="Times New Roman" w:hAnsi="Times New Roman" w:cs="Times New Roman"/>
          <w:sz w:val="22"/>
          <w:szCs w:val="22"/>
          <w:lang w:val="es-419"/>
        </w:rPr>
        <w:t>vacantes</w:t>
      </w:r>
      <w:r w:rsidR="00186C96" w:rsidRPr="00186C96">
        <w:rPr>
          <w:rFonts w:ascii="Times New Roman" w:hAnsi="Times New Roman" w:cs="Times New Roman"/>
          <w:sz w:val="22"/>
          <w:szCs w:val="22"/>
          <w:lang w:val="es-419"/>
        </w:rPr>
        <w:t xml:space="preserve"> están ocupadas por mujeres, se tiende a ocultar el perfil racial de estas mujeres, que son en su inmensa mayoría mujeres blancas. Así, es posible observar que la ausencia de datos que indiquen cuántas de estas mujeres son blancas o no</w:t>
      </w:r>
      <w:r w:rsidR="0088498C">
        <w:rPr>
          <w:rFonts w:ascii="Times New Roman" w:hAnsi="Times New Roman" w:cs="Times New Roman"/>
          <w:sz w:val="22"/>
          <w:szCs w:val="22"/>
          <w:lang w:val="es-419"/>
        </w:rPr>
        <w:t>-</w:t>
      </w:r>
      <w:r w:rsidR="00186C96" w:rsidRPr="00186C96">
        <w:rPr>
          <w:rFonts w:ascii="Times New Roman" w:hAnsi="Times New Roman" w:cs="Times New Roman"/>
          <w:sz w:val="22"/>
          <w:szCs w:val="22"/>
          <w:lang w:val="es-419"/>
        </w:rPr>
        <w:t>blancas puede hacer invisible un grave problema de acceso desigual a los derechos fundamentales.</w:t>
      </w:r>
      <w:r w:rsidRPr="00186C96">
        <w:rPr>
          <w:rFonts w:ascii="Times New Roman" w:hAnsi="Times New Roman" w:cs="Times New Roman"/>
          <w:sz w:val="22"/>
          <w:szCs w:val="22"/>
          <w:lang w:val="es-419"/>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B5B6F"/>
    <w:multiLevelType w:val="hybridMultilevel"/>
    <w:tmpl w:val="814CA3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6B561D"/>
    <w:multiLevelType w:val="hybridMultilevel"/>
    <w:tmpl w:val="14CE86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B0D5AAD"/>
    <w:multiLevelType w:val="hybridMultilevel"/>
    <w:tmpl w:val="D5E0AD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94174C"/>
    <w:multiLevelType w:val="multilevel"/>
    <w:tmpl w:val="81E0DC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76" w:hanging="576"/>
      </w:pPr>
      <w:rPr>
        <w:b w:val="0"/>
        <w:i w:val="0"/>
      </w:rPr>
    </w:lvl>
    <w:lvl w:ilvl="2">
      <w:start w:val="1"/>
      <w:numFmt w:val="decimal"/>
      <w:pStyle w:val="Ttulo3"/>
      <w:lvlText w:val="%1.%2.%3"/>
      <w:lvlJc w:val="left"/>
      <w:pPr>
        <w:ind w:left="720" w:hanging="720"/>
      </w:pPr>
      <w:rPr>
        <w:i w:val="0"/>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324FE3"/>
    <w:multiLevelType w:val="hybridMultilevel"/>
    <w:tmpl w:val="C180BE7A"/>
    <w:lvl w:ilvl="0" w:tplc="A0927458">
      <w:start w:val="2019"/>
      <w:numFmt w:val="bullet"/>
      <w:lvlText w:val=""/>
      <w:lvlJc w:val="left"/>
      <w:pPr>
        <w:ind w:left="720" w:hanging="360"/>
      </w:pPr>
      <w:rPr>
        <w:rFonts w:ascii="Wingdings" w:eastAsiaTheme="minorHAnsi" w:hAnsi="Wingdings"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DB5"/>
    <w:rsid w:val="000018B5"/>
    <w:rsid w:val="00002CC5"/>
    <w:rsid w:val="000044DB"/>
    <w:rsid w:val="00006145"/>
    <w:rsid w:val="000212F2"/>
    <w:rsid w:val="00021786"/>
    <w:rsid w:val="00022437"/>
    <w:rsid w:val="00025937"/>
    <w:rsid w:val="00026AE6"/>
    <w:rsid w:val="000276D2"/>
    <w:rsid w:val="00036EC7"/>
    <w:rsid w:val="000440C2"/>
    <w:rsid w:val="00045D5D"/>
    <w:rsid w:val="000463FA"/>
    <w:rsid w:val="0006616E"/>
    <w:rsid w:val="00072650"/>
    <w:rsid w:val="000756DD"/>
    <w:rsid w:val="00080E55"/>
    <w:rsid w:val="000A0BD1"/>
    <w:rsid w:val="000B0EAC"/>
    <w:rsid w:val="000B4C3B"/>
    <w:rsid w:val="000C0B22"/>
    <w:rsid w:val="000C2261"/>
    <w:rsid w:val="000C6807"/>
    <w:rsid w:val="000C74E2"/>
    <w:rsid w:val="000E0D8F"/>
    <w:rsid w:val="000F1490"/>
    <w:rsid w:val="000F2756"/>
    <w:rsid w:val="000F4A63"/>
    <w:rsid w:val="00110FEF"/>
    <w:rsid w:val="00114DA7"/>
    <w:rsid w:val="001151FF"/>
    <w:rsid w:val="00121349"/>
    <w:rsid w:val="00121CA6"/>
    <w:rsid w:val="00125867"/>
    <w:rsid w:val="0013408A"/>
    <w:rsid w:val="001345B3"/>
    <w:rsid w:val="00147CA7"/>
    <w:rsid w:val="00154FBF"/>
    <w:rsid w:val="00155CF9"/>
    <w:rsid w:val="00160992"/>
    <w:rsid w:val="0017090E"/>
    <w:rsid w:val="00172009"/>
    <w:rsid w:val="001760A9"/>
    <w:rsid w:val="00181102"/>
    <w:rsid w:val="001814A0"/>
    <w:rsid w:val="00186C96"/>
    <w:rsid w:val="00190CC6"/>
    <w:rsid w:val="00192C21"/>
    <w:rsid w:val="00192F0F"/>
    <w:rsid w:val="00195D50"/>
    <w:rsid w:val="00196F42"/>
    <w:rsid w:val="001A3857"/>
    <w:rsid w:val="001A4037"/>
    <w:rsid w:val="001A718B"/>
    <w:rsid w:val="001B3143"/>
    <w:rsid w:val="001C56C2"/>
    <w:rsid w:val="001C5A53"/>
    <w:rsid w:val="001C6477"/>
    <w:rsid w:val="001D113C"/>
    <w:rsid w:val="001D26A8"/>
    <w:rsid w:val="001D528C"/>
    <w:rsid w:val="001D6AFA"/>
    <w:rsid w:val="001D7589"/>
    <w:rsid w:val="001E45BC"/>
    <w:rsid w:val="001E56A2"/>
    <w:rsid w:val="001F67C2"/>
    <w:rsid w:val="00200B0D"/>
    <w:rsid w:val="00202879"/>
    <w:rsid w:val="00203A11"/>
    <w:rsid w:val="0021379D"/>
    <w:rsid w:val="002247F7"/>
    <w:rsid w:val="00224C9A"/>
    <w:rsid w:val="00232935"/>
    <w:rsid w:val="0023598D"/>
    <w:rsid w:val="00237A63"/>
    <w:rsid w:val="002469DC"/>
    <w:rsid w:val="0025224C"/>
    <w:rsid w:val="002551E5"/>
    <w:rsid w:val="00257E58"/>
    <w:rsid w:val="0026324C"/>
    <w:rsid w:val="002807F7"/>
    <w:rsid w:val="00283A85"/>
    <w:rsid w:val="002A258B"/>
    <w:rsid w:val="002B03BF"/>
    <w:rsid w:val="002B1141"/>
    <w:rsid w:val="002B7048"/>
    <w:rsid w:val="002B7D34"/>
    <w:rsid w:val="002C2009"/>
    <w:rsid w:val="002C4223"/>
    <w:rsid w:val="002C6474"/>
    <w:rsid w:val="002D141B"/>
    <w:rsid w:val="002D3E64"/>
    <w:rsid w:val="002D7099"/>
    <w:rsid w:val="002D7F3D"/>
    <w:rsid w:val="002F3DBB"/>
    <w:rsid w:val="002F6BC6"/>
    <w:rsid w:val="003046AF"/>
    <w:rsid w:val="00316FA9"/>
    <w:rsid w:val="0033356A"/>
    <w:rsid w:val="00333F10"/>
    <w:rsid w:val="0033587E"/>
    <w:rsid w:val="00343547"/>
    <w:rsid w:val="003703E4"/>
    <w:rsid w:val="003739C5"/>
    <w:rsid w:val="00374805"/>
    <w:rsid w:val="00376139"/>
    <w:rsid w:val="0037669B"/>
    <w:rsid w:val="003973B6"/>
    <w:rsid w:val="003A03D6"/>
    <w:rsid w:val="003B692A"/>
    <w:rsid w:val="003C59BC"/>
    <w:rsid w:val="003C6149"/>
    <w:rsid w:val="003D0F64"/>
    <w:rsid w:val="003E24B9"/>
    <w:rsid w:val="003E5B95"/>
    <w:rsid w:val="003E5FF6"/>
    <w:rsid w:val="003E6564"/>
    <w:rsid w:val="003F5453"/>
    <w:rsid w:val="003F7CD1"/>
    <w:rsid w:val="004058EA"/>
    <w:rsid w:val="004115B9"/>
    <w:rsid w:val="0041716A"/>
    <w:rsid w:val="00433845"/>
    <w:rsid w:val="004344A8"/>
    <w:rsid w:val="004374AF"/>
    <w:rsid w:val="00437631"/>
    <w:rsid w:val="00437FD8"/>
    <w:rsid w:val="00440570"/>
    <w:rsid w:val="0045061F"/>
    <w:rsid w:val="00450F50"/>
    <w:rsid w:val="00452E54"/>
    <w:rsid w:val="00454B10"/>
    <w:rsid w:val="00460CD2"/>
    <w:rsid w:val="00462259"/>
    <w:rsid w:val="00463FE4"/>
    <w:rsid w:val="00466BFC"/>
    <w:rsid w:val="00476D94"/>
    <w:rsid w:val="00482BB6"/>
    <w:rsid w:val="00486359"/>
    <w:rsid w:val="004904FA"/>
    <w:rsid w:val="004A3C65"/>
    <w:rsid w:val="004B2095"/>
    <w:rsid w:val="004B3B2E"/>
    <w:rsid w:val="004B5804"/>
    <w:rsid w:val="004B7DB7"/>
    <w:rsid w:val="004C54A5"/>
    <w:rsid w:val="004C5B73"/>
    <w:rsid w:val="004E1042"/>
    <w:rsid w:val="004E564D"/>
    <w:rsid w:val="004E64C7"/>
    <w:rsid w:val="004E7F67"/>
    <w:rsid w:val="004F546E"/>
    <w:rsid w:val="00500877"/>
    <w:rsid w:val="00501F7F"/>
    <w:rsid w:val="00502473"/>
    <w:rsid w:val="00506483"/>
    <w:rsid w:val="00521985"/>
    <w:rsid w:val="005231D5"/>
    <w:rsid w:val="0052458F"/>
    <w:rsid w:val="005403C9"/>
    <w:rsid w:val="005426DF"/>
    <w:rsid w:val="005445D7"/>
    <w:rsid w:val="00547C82"/>
    <w:rsid w:val="005504F3"/>
    <w:rsid w:val="00550E7D"/>
    <w:rsid w:val="00554B69"/>
    <w:rsid w:val="005564DF"/>
    <w:rsid w:val="00557E0E"/>
    <w:rsid w:val="00565E2F"/>
    <w:rsid w:val="00566CB5"/>
    <w:rsid w:val="00573E60"/>
    <w:rsid w:val="0059273C"/>
    <w:rsid w:val="0059657C"/>
    <w:rsid w:val="005A0BD8"/>
    <w:rsid w:val="005A0C38"/>
    <w:rsid w:val="005B64F6"/>
    <w:rsid w:val="005B6CCA"/>
    <w:rsid w:val="005C1732"/>
    <w:rsid w:val="005C4EA1"/>
    <w:rsid w:val="005C534C"/>
    <w:rsid w:val="005D1DB0"/>
    <w:rsid w:val="005D7C51"/>
    <w:rsid w:val="005E04E0"/>
    <w:rsid w:val="005E2304"/>
    <w:rsid w:val="005F37F9"/>
    <w:rsid w:val="005F6500"/>
    <w:rsid w:val="005F6940"/>
    <w:rsid w:val="00601D57"/>
    <w:rsid w:val="00604003"/>
    <w:rsid w:val="0061177F"/>
    <w:rsid w:val="00620853"/>
    <w:rsid w:val="0062422F"/>
    <w:rsid w:val="00627FE6"/>
    <w:rsid w:val="00630F3F"/>
    <w:rsid w:val="0063141C"/>
    <w:rsid w:val="006452C9"/>
    <w:rsid w:val="00694BB5"/>
    <w:rsid w:val="006B4913"/>
    <w:rsid w:val="006B4B80"/>
    <w:rsid w:val="006B7A2B"/>
    <w:rsid w:val="006C6A50"/>
    <w:rsid w:val="006D09B2"/>
    <w:rsid w:val="006D189D"/>
    <w:rsid w:val="006D5FCC"/>
    <w:rsid w:val="006D7886"/>
    <w:rsid w:val="006E09F8"/>
    <w:rsid w:val="006E6AE9"/>
    <w:rsid w:val="006F7F1A"/>
    <w:rsid w:val="0070388F"/>
    <w:rsid w:val="007038DD"/>
    <w:rsid w:val="00711061"/>
    <w:rsid w:val="00713D6B"/>
    <w:rsid w:val="0071414E"/>
    <w:rsid w:val="00715A15"/>
    <w:rsid w:val="007212B5"/>
    <w:rsid w:val="007230FB"/>
    <w:rsid w:val="0072755F"/>
    <w:rsid w:val="00730466"/>
    <w:rsid w:val="00734474"/>
    <w:rsid w:val="007354DF"/>
    <w:rsid w:val="00736E00"/>
    <w:rsid w:val="00745382"/>
    <w:rsid w:val="00745B16"/>
    <w:rsid w:val="007476EB"/>
    <w:rsid w:val="00750079"/>
    <w:rsid w:val="00753DC6"/>
    <w:rsid w:val="007577F1"/>
    <w:rsid w:val="007610BC"/>
    <w:rsid w:val="00762B4F"/>
    <w:rsid w:val="00774147"/>
    <w:rsid w:val="007746BB"/>
    <w:rsid w:val="007A696A"/>
    <w:rsid w:val="007C3315"/>
    <w:rsid w:val="007C3F0F"/>
    <w:rsid w:val="007D60B2"/>
    <w:rsid w:val="007F0D8B"/>
    <w:rsid w:val="007F5FAA"/>
    <w:rsid w:val="00804DAF"/>
    <w:rsid w:val="00806413"/>
    <w:rsid w:val="0082497C"/>
    <w:rsid w:val="008308DF"/>
    <w:rsid w:val="00830F74"/>
    <w:rsid w:val="00832224"/>
    <w:rsid w:val="008362BC"/>
    <w:rsid w:val="00852D49"/>
    <w:rsid w:val="0085514A"/>
    <w:rsid w:val="00855C96"/>
    <w:rsid w:val="0086042B"/>
    <w:rsid w:val="00860691"/>
    <w:rsid w:val="00862330"/>
    <w:rsid w:val="00863FCB"/>
    <w:rsid w:val="00871C84"/>
    <w:rsid w:val="00872D26"/>
    <w:rsid w:val="0087337E"/>
    <w:rsid w:val="0088498C"/>
    <w:rsid w:val="008911B7"/>
    <w:rsid w:val="008A3783"/>
    <w:rsid w:val="008C31F7"/>
    <w:rsid w:val="008D3BFE"/>
    <w:rsid w:val="008E2AAE"/>
    <w:rsid w:val="008F1330"/>
    <w:rsid w:val="008F42DA"/>
    <w:rsid w:val="008F531D"/>
    <w:rsid w:val="008F5642"/>
    <w:rsid w:val="008F6E2A"/>
    <w:rsid w:val="00903919"/>
    <w:rsid w:val="00917136"/>
    <w:rsid w:val="00917348"/>
    <w:rsid w:val="009239A6"/>
    <w:rsid w:val="00923E86"/>
    <w:rsid w:val="009342F1"/>
    <w:rsid w:val="009358AC"/>
    <w:rsid w:val="00937281"/>
    <w:rsid w:val="00942B5F"/>
    <w:rsid w:val="00943A56"/>
    <w:rsid w:val="009545DC"/>
    <w:rsid w:val="0096022D"/>
    <w:rsid w:val="009702D7"/>
    <w:rsid w:val="00971877"/>
    <w:rsid w:val="00977C8D"/>
    <w:rsid w:val="00980749"/>
    <w:rsid w:val="0098219D"/>
    <w:rsid w:val="00986AE8"/>
    <w:rsid w:val="00995AC7"/>
    <w:rsid w:val="00997F63"/>
    <w:rsid w:val="009A4DEB"/>
    <w:rsid w:val="009B3BE0"/>
    <w:rsid w:val="009B7246"/>
    <w:rsid w:val="009B783D"/>
    <w:rsid w:val="009C21DE"/>
    <w:rsid w:val="009C5414"/>
    <w:rsid w:val="009C57C3"/>
    <w:rsid w:val="009C755C"/>
    <w:rsid w:val="009D6970"/>
    <w:rsid w:val="009E1C6D"/>
    <w:rsid w:val="009E5041"/>
    <w:rsid w:val="009F5FDA"/>
    <w:rsid w:val="00A1106A"/>
    <w:rsid w:val="00A13A41"/>
    <w:rsid w:val="00A13BAE"/>
    <w:rsid w:val="00A21D9F"/>
    <w:rsid w:val="00A23130"/>
    <w:rsid w:val="00A3262C"/>
    <w:rsid w:val="00A41BFF"/>
    <w:rsid w:val="00A4218B"/>
    <w:rsid w:val="00A42270"/>
    <w:rsid w:val="00A509A3"/>
    <w:rsid w:val="00A557FB"/>
    <w:rsid w:val="00A563B5"/>
    <w:rsid w:val="00A613D2"/>
    <w:rsid w:val="00A61530"/>
    <w:rsid w:val="00A62AAE"/>
    <w:rsid w:val="00A63A61"/>
    <w:rsid w:val="00A65ACD"/>
    <w:rsid w:val="00A71B8D"/>
    <w:rsid w:val="00A7276C"/>
    <w:rsid w:val="00A73522"/>
    <w:rsid w:val="00A73C98"/>
    <w:rsid w:val="00A806E0"/>
    <w:rsid w:val="00A838EA"/>
    <w:rsid w:val="00A9395E"/>
    <w:rsid w:val="00A97942"/>
    <w:rsid w:val="00AA6E28"/>
    <w:rsid w:val="00AB05A6"/>
    <w:rsid w:val="00AC2EDE"/>
    <w:rsid w:val="00AC5518"/>
    <w:rsid w:val="00AD7753"/>
    <w:rsid w:val="00AE412B"/>
    <w:rsid w:val="00AE6F58"/>
    <w:rsid w:val="00AE7460"/>
    <w:rsid w:val="00AE7673"/>
    <w:rsid w:val="00AF0528"/>
    <w:rsid w:val="00AF4F6E"/>
    <w:rsid w:val="00B14160"/>
    <w:rsid w:val="00B259A2"/>
    <w:rsid w:val="00B26453"/>
    <w:rsid w:val="00B32D25"/>
    <w:rsid w:val="00B41943"/>
    <w:rsid w:val="00B4556D"/>
    <w:rsid w:val="00B46540"/>
    <w:rsid w:val="00B54D8E"/>
    <w:rsid w:val="00B552E5"/>
    <w:rsid w:val="00B603A4"/>
    <w:rsid w:val="00B671FE"/>
    <w:rsid w:val="00B81D9F"/>
    <w:rsid w:val="00B907D4"/>
    <w:rsid w:val="00B94E22"/>
    <w:rsid w:val="00B963E0"/>
    <w:rsid w:val="00B97E0B"/>
    <w:rsid w:val="00BA120E"/>
    <w:rsid w:val="00BA330D"/>
    <w:rsid w:val="00BA42F3"/>
    <w:rsid w:val="00BA597A"/>
    <w:rsid w:val="00BA5B4A"/>
    <w:rsid w:val="00BB5F12"/>
    <w:rsid w:val="00BB6DD7"/>
    <w:rsid w:val="00BC160F"/>
    <w:rsid w:val="00BD04FA"/>
    <w:rsid w:val="00BD0812"/>
    <w:rsid w:val="00BD5EF4"/>
    <w:rsid w:val="00BD6A7B"/>
    <w:rsid w:val="00BE478C"/>
    <w:rsid w:val="00BE600A"/>
    <w:rsid w:val="00BF075D"/>
    <w:rsid w:val="00BF3851"/>
    <w:rsid w:val="00C10B09"/>
    <w:rsid w:val="00C11182"/>
    <w:rsid w:val="00C222DB"/>
    <w:rsid w:val="00C23308"/>
    <w:rsid w:val="00C324F2"/>
    <w:rsid w:val="00C36212"/>
    <w:rsid w:val="00C42233"/>
    <w:rsid w:val="00C60CED"/>
    <w:rsid w:val="00C71C21"/>
    <w:rsid w:val="00C74F15"/>
    <w:rsid w:val="00C80DC2"/>
    <w:rsid w:val="00C854F4"/>
    <w:rsid w:val="00CA0C80"/>
    <w:rsid w:val="00CA297C"/>
    <w:rsid w:val="00CB68A0"/>
    <w:rsid w:val="00CC05AA"/>
    <w:rsid w:val="00CC105F"/>
    <w:rsid w:val="00CD2359"/>
    <w:rsid w:val="00CD6ECC"/>
    <w:rsid w:val="00CE0FC6"/>
    <w:rsid w:val="00CE5570"/>
    <w:rsid w:val="00CE7C09"/>
    <w:rsid w:val="00CF6BD6"/>
    <w:rsid w:val="00D04EB1"/>
    <w:rsid w:val="00D145AA"/>
    <w:rsid w:val="00D164E4"/>
    <w:rsid w:val="00D25C8B"/>
    <w:rsid w:val="00D35E18"/>
    <w:rsid w:val="00D449F4"/>
    <w:rsid w:val="00D50EF3"/>
    <w:rsid w:val="00D5199F"/>
    <w:rsid w:val="00D558A1"/>
    <w:rsid w:val="00D57561"/>
    <w:rsid w:val="00D7165C"/>
    <w:rsid w:val="00D71A90"/>
    <w:rsid w:val="00D71D2F"/>
    <w:rsid w:val="00D848D6"/>
    <w:rsid w:val="00D8558E"/>
    <w:rsid w:val="00D92332"/>
    <w:rsid w:val="00D95ABA"/>
    <w:rsid w:val="00D9678C"/>
    <w:rsid w:val="00DA2FB1"/>
    <w:rsid w:val="00DB060C"/>
    <w:rsid w:val="00DB7321"/>
    <w:rsid w:val="00DC5FE8"/>
    <w:rsid w:val="00DD5C16"/>
    <w:rsid w:val="00DF74C2"/>
    <w:rsid w:val="00E038B3"/>
    <w:rsid w:val="00E03F89"/>
    <w:rsid w:val="00E04339"/>
    <w:rsid w:val="00E17F4B"/>
    <w:rsid w:val="00E2000C"/>
    <w:rsid w:val="00E2630C"/>
    <w:rsid w:val="00E31D95"/>
    <w:rsid w:val="00E31FF3"/>
    <w:rsid w:val="00E32EB8"/>
    <w:rsid w:val="00E3676D"/>
    <w:rsid w:val="00E37223"/>
    <w:rsid w:val="00E42EDA"/>
    <w:rsid w:val="00E47741"/>
    <w:rsid w:val="00E569B6"/>
    <w:rsid w:val="00E73E3B"/>
    <w:rsid w:val="00E73FE6"/>
    <w:rsid w:val="00E803BD"/>
    <w:rsid w:val="00E907ED"/>
    <w:rsid w:val="00E94BB9"/>
    <w:rsid w:val="00EB19C8"/>
    <w:rsid w:val="00EB4CF4"/>
    <w:rsid w:val="00EB7E4F"/>
    <w:rsid w:val="00EC024C"/>
    <w:rsid w:val="00EC35FD"/>
    <w:rsid w:val="00EC79C2"/>
    <w:rsid w:val="00ED42C3"/>
    <w:rsid w:val="00ED43BE"/>
    <w:rsid w:val="00ED52BF"/>
    <w:rsid w:val="00EE4BEE"/>
    <w:rsid w:val="00EE51A4"/>
    <w:rsid w:val="00EE53FE"/>
    <w:rsid w:val="00EE5CB4"/>
    <w:rsid w:val="00EF33D8"/>
    <w:rsid w:val="00EF62F1"/>
    <w:rsid w:val="00EF75C4"/>
    <w:rsid w:val="00F22C62"/>
    <w:rsid w:val="00F348AB"/>
    <w:rsid w:val="00F46CEE"/>
    <w:rsid w:val="00F46D62"/>
    <w:rsid w:val="00F744FD"/>
    <w:rsid w:val="00F74B97"/>
    <w:rsid w:val="00F76B20"/>
    <w:rsid w:val="00F82C16"/>
    <w:rsid w:val="00F83680"/>
    <w:rsid w:val="00F84CB0"/>
    <w:rsid w:val="00F86A54"/>
    <w:rsid w:val="00F86DB5"/>
    <w:rsid w:val="00F90CBD"/>
    <w:rsid w:val="00F9290B"/>
    <w:rsid w:val="00F93484"/>
    <w:rsid w:val="00FA0C65"/>
    <w:rsid w:val="00FA74A5"/>
    <w:rsid w:val="00FB049A"/>
    <w:rsid w:val="00FB0C67"/>
    <w:rsid w:val="00FB738F"/>
    <w:rsid w:val="00FC1BA8"/>
    <w:rsid w:val="00FD06EE"/>
    <w:rsid w:val="00FD22EC"/>
    <w:rsid w:val="00FD55D3"/>
    <w:rsid w:val="00FD6295"/>
    <w:rsid w:val="00FE30D5"/>
    <w:rsid w:val="00FE32EE"/>
    <w:rsid w:val="00FF72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92212"/>
  <w15:chartTrackingRefBased/>
  <w15:docId w15:val="{23CB6596-4558-4862-8693-E12041358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4E564D"/>
    <w:pPr>
      <w:keepNext/>
      <w:keepLines/>
      <w:numPr>
        <w:numId w:val="2"/>
      </w:numPr>
      <w:spacing w:after="0" w:line="240" w:lineRule="auto"/>
      <w:ind w:left="0" w:firstLine="0"/>
      <w:jc w:val="both"/>
      <w:outlineLvl w:val="0"/>
    </w:pPr>
    <w:rPr>
      <w:rFonts w:ascii="Times New Roman" w:eastAsiaTheme="majorEastAsia" w:hAnsi="Times New Roman" w:cstheme="majorBidi"/>
      <w:b/>
      <w:bCs/>
      <w:sz w:val="21"/>
      <w:szCs w:val="28"/>
      <w:lang w:eastAsia="pt-BR"/>
    </w:rPr>
  </w:style>
  <w:style w:type="paragraph" w:styleId="Ttulo2">
    <w:name w:val="heading 2"/>
    <w:basedOn w:val="Normal"/>
    <w:next w:val="Normal"/>
    <w:link w:val="Ttulo2Char"/>
    <w:uiPriority w:val="9"/>
    <w:unhideWhenUsed/>
    <w:qFormat/>
    <w:rsid w:val="004E564D"/>
    <w:pPr>
      <w:keepNext/>
      <w:keepLines/>
      <w:numPr>
        <w:ilvl w:val="1"/>
        <w:numId w:val="2"/>
      </w:numPr>
      <w:spacing w:after="0" w:line="240" w:lineRule="auto"/>
      <w:ind w:left="0" w:firstLine="0"/>
      <w:outlineLvl w:val="1"/>
    </w:pPr>
    <w:rPr>
      <w:rFonts w:ascii="Times New Roman" w:eastAsiaTheme="majorEastAsia" w:hAnsi="Times New Roman" w:cstheme="majorBidi"/>
      <w:bCs/>
      <w:sz w:val="21"/>
      <w:szCs w:val="26"/>
      <w:lang w:eastAsia="pt-BR"/>
    </w:rPr>
  </w:style>
  <w:style w:type="paragraph" w:styleId="Ttulo3">
    <w:name w:val="heading 3"/>
    <w:basedOn w:val="Normal"/>
    <w:next w:val="Normal"/>
    <w:link w:val="Ttulo3Char"/>
    <w:uiPriority w:val="9"/>
    <w:unhideWhenUsed/>
    <w:qFormat/>
    <w:rsid w:val="004E564D"/>
    <w:pPr>
      <w:keepNext/>
      <w:keepLines/>
      <w:numPr>
        <w:ilvl w:val="2"/>
        <w:numId w:val="2"/>
      </w:numPr>
      <w:spacing w:after="0" w:line="240" w:lineRule="auto"/>
      <w:ind w:left="0" w:firstLine="0"/>
      <w:outlineLvl w:val="2"/>
    </w:pPr>
    <w:rPr>
      <w:rFonts w:ascii="Times New Roman" w:eastAsiaTheme="majorEastAsia" w:hAnsi="Times New Roman" w:cstheme="majorBidi"/>
      <w:b/>
      <w:bCs/>
      <w:sz w:val="21"/>
      <w:lang w:eastAsia="pt-BR"/>
    </w:rPr>
  </w:style>
  <w:style w:type="paragraph" w:styleId="Ttulo4">
    <w:name w:val="heading 4"/>
    <w:basedOn w:val="Normal"/>
    <w:next w:val="Normal"/>
    <w:link w:val="Ttulo4Char"/>
    <w:uiPriority w:val="9"/>
    <w:unhideWhenUsed/>
    <w:qFormat/>
    <w:rsid w:val="004E564D"/>
    <w:pPr>
      <w:keepNext/>
      <w:keepLines/>
      <w:numPr>
        <w:ilvl w:val="3"/>
        <w:numId w:val="2"/>
      </w:numPr>
      <w:spacing w:after="0" w:line="240" w:lineRule="auto"/>
      <w:ind w:left="0" w:firstLine="0"/>
      <w:outlineLvl w:val="3"/>
    </w:pPr>
    <w:rPr>
      <w:rFonts w:ascii="Times New Roman" w:eastAsiaTheme="majorEastAsia" w:hAnsi="Times New Roman" w:cstheme="majorBidi"/>
      <w:bCs/>
      <w:iCs/>
      <w:sz w:val="21"/>
      <w:lang w:eastAsia="pt-BR"/>
    </w:rPr>
  </w:style>
  <w:style w:type="paragraph" w:styleId="Ttulo5">
    <w:name w:val="heading 5"/>
    <w:basedOn w:val="Normal"/>
    <w:next w:val="Normal"/>
    <w:link w:val="Ttulo5Char"/>
    <w:uiPriority w:val="9"/>
    <w:unhideWhenUsed/>
    <w:qFormat/>
    <w:rsid w:val="004E564D"/>
    <w:pPr>
      <w:keepNext/>
      <w:keepLines/>
      <w:numPr>
        <w:ilvl w:val="4"/>
        <w:numId w:val="2"/>
      </w:numPr>
      <w:spacing w:after="0" w:line="240" w:lineRule="auto"/>
      <w:ind w:left="0" w:firstLine="0"/>
      <w:outlineLvl w:val="4"/>
    </w:pPr>
    <w:rPr>
      <w:rFonts w:ascii="Times New Roman" w:eastAsiaTheme="majorEastAsia" w:hAnsi="Times New Roman" w:cstheme="majorBidi"/>
      <w:i/>
      <w:sz w:val="21"/>
      <w:lang w:eastAsia="pt-BR"/>
    </w:rPr>
  </w:style>
  <w:style w:type="paragraph" w:styleId="Ttulo8">
    <w:name w:val="heading 8"/>
    <w:basedOn w:val="Normal"/>
    <w:next w:val="Normal"/>
    <w:link w:val="Ttulo8Char"/>
    <w:uiPriority w:val="9"/>
    <w:semiHidden/>
    <w:unhideWhenUsed/>
    <w:qFormat/>
    <w:rsid w:val="004E564D"/>
    <w:pPr>
      <w:keepNext/>
      <w:keepLines/>
      <w:numPr>
        <w:ilvl w:val="7"/>
        <w:numId w:val="2"/>
      </w:numPr>
      <w:spacing w:before="200" w:after="0" w:line="240" w:lineRule="auto"/>
      <w:jc w:val="both"/>
      <w:outlineLvl w:val="7"/>
    </w:pPr>
    <w:rPr>
      <w:rFonts w:asciiTheme="majorHAnsi" w:eastAsiaTheme="majorEastAsia" w:hAnsiTheme="majorHAnsi" w:cstheme="majorBidi"/>
      <w:color w:val="404040" w:themeColor="text1" w:themeTint="BF"/>
      <w:sz w:val="20"/>
      <w:szCs w:val="20"/>
      <w:lang w:eastAsia="pt-BR"/>
    </w:rPr>
  </w:style>
  <w:style w:type="paragraph" w:styleId="Ttulo9">
    <w:name w:val="heading 9"/>
    <w:basedOn w:val="Normal"/>
    <w:next w:val="Normal"/>
    <w:link w:val="Ttulo9Char"/>
    <w:uiPriority w:val="9"/>
    <w:semiHidden/>
    <w:unhideWhenUsed/>
    <w:qFormat/>
    <w:rsid w:val="004E564D"/>
    <w:pPr>
      <w:keepNext/>
      <w:keepLines/>
      <w:numPr>
        <w:ilvl w:val="8"/>
        <w:numId w:val="2"/>
      </w:numPr>
      <w:spacing w:before="200" w:after="0" w:line="240" w:lineRule="auto"/>
      <w:jc w:val="both"/>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F86DB5"/>
    <w:pPr>
      <w:spacing w:after="0" w:line="240" w:lineRule="auto"/>
      <w:ind w:left="720" w:firstLine="567"/>
      <w:contextualSpacing/>
      <w:jc w:val="both"/>
    </w:pPr>
    <w:rPr>
      <w:rFonts w:ascii="Times New Roman" w:hAnsi="Times New Roman"/>
      <w:sz w:val="21"/>
      <w:lang w:eastAsia="pt-BR"/>
    </w:rPr>
  </w:style>
  <w:style w:type="table" w:styleId="Tabelacomgrade">
    <w:name w:val="Table Grid"/>
    <w:basedOn w:val="Tabelanormal"/>
    <w:uiPriority w:val="59"/>
    <w:rsid w:val="00ED52B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next w:val="Normal"/>
    <w:link w:val="CitaoChar"/>
    <w:uiPriority w:val="29"/>
    <w:qFormat/>
    <w:rsid w:val="00ED52BF"/>
    <w:pPr>
      <w:spacing w:after="0" w:line="240" w:lineRule="auto"/>
      <w:ind w:left="2268"/>
      <w:jc w:val="both"/>
    </w:pPr>
    <w:rPr>
      <w:rFonts w:ascii="Times New Roman" w:hAnsi="Times New Roman"/>
      <w:iCs/>
      <w:sz w:val="19"/>
      <w:lang w:eastAsia="pt-BR"/>
    </w:rPr>
  </w:style>
  <w:style w:type="character" w:customStyle="1" w:styleId="CitaoChar">
    <w:name w:val="Citação Char"/>
    <w:basedOn w:val="Fontepargpadro"/>
    <w:link w:val="Citao"/>
    <w:uiPriority w:val="29"/>
    <w:rsid w:val="00ED52BF"/>
    <w:rPr>
      <w:rFonts w:ascii="Times New Roman" w:hAnsi="Times New Roman"/>
      <w:iCs/>
      <w:sz w:val="19"/>
      <w:lang w:eastAsia="pt-BR"/>
    </w:rPr>
  </w:style>
  <w:style w:type="character" w:customStyle="1" w:styleId="Ttulo1Char">
    <w:name w:val="Título 1 Char"/>
    <w:basedOn w:val="Fontepargpadro"/>
    <w:link w:val="Ttulo1"/>
    <w:uiPriority w:val="9"/>
    <w:rsid w:val="004E564D"/>
    <w:rPr>
      <w:rFonts w:ascii="Times New Roman" w:eastAsiaTheme="majorEastAsia" w:hAnsi="Times New Roman" w:cstheme="majorBidi"/>
      <w:b/>
      <w:bCs/>
      <w:sz w:val="21"/>
      <w:szCs w:val="28"/>
      <w:lang w:eastAsia="pt-BR"/>
    </w:rPr>
  </w:style>
  <w:style w:type="character" w:customStyle="1" w:styleId="Ttulo2Char">
    <w:name w:val="Título 2 Char"/>
    <w:basedOn w:val="Fontepargpadro"/>
    <w:link w:val="Ttulo2"/>
    <w:uiPriority w:val="9"/>
    <w:rsid w:val="004E564D"/>
    <w:rPr>
      <w:rFonts w:ascii="Times New Roman" w:eastAsiaTheme="majorEastAsia" w:hAnsi="Times New Roman" w:cstheme="majorBidi"/>
      <w:bCs/>
      <w:sz w:val="21"/>
      <w:szCs w:val="26"/>
      <w:lang w:eastAsia="pt-BR"/>
    </w:rPr>
  </w:style>
  <w:style w:type="character" w:customStyle="1" w:styleId="Ttulo3Char">
    <w:name w:val="Título 3 Char"/>
    <w:basedOn w:val="Fontepargpadro"/>
    <w:link w:val="Ttulo3"/>
    <w:uiPriority w:val="9"/>
    <w:rsid w:val="004E564D"/>
    <w:rPr>
      <w:rFonts w:ascii="Times New Roman" w:eastAsiaTheme="majorEastAsia" w:hAnsi="Times New Roman" w:cstheme="majorBidi"/>
      <w:b/>
      <w:bCs/>
      <w:sz w:val="21"/>
      <w:lang w:eastAsia="pt-BR"/>
    </w:rPr>
  </w:style>
  <w:style w:type="character" w:customStyle="1" w:styleId="Ttulo4Char">
    <w:name w:val="Título 4 Char"/>
    <w:basedOn w:val="Fontepargpadro"/>
    <w:link w:val="Ttulo4"/>
    <w:uiPriority w:val="9"/>
    <w:rsid w:val="004E564D"/>
    <w:rPr>
      <w:rFonts w:ascii="Times New Roman" w:eastAsiaTheme="majorEastAsia" w:hAnsi="Times New Roman" w:cstheme="majorBidi"/>
      <w:bCs/>
      <w:iCs/>
      <w:sz w:val="21"/>
      <w:lang w:eastAsia="pt-BR"/>
    </w:rPr>
  </w:style>
  <w:style w:type="character" w:customStyle="1" w:styleId="Ttulo5Char">
    <w:name w:val="Título 5 Char"/>
    <w:basedOn w:val="Fontepargpadro"/>
    <w:link w:val="Ttulo5"/>
    <w:uiPriority w:val="9"/>
    <w:rsid w:val="004E564D"/>
    <w:rPr>
      <w:rFonts w:ascii="Times New Roman" w:eastAsiaTheme="majorEastAsia" w:hAnsi="Times New Roman" w:cstheme="majorBidi"/>
      <w:i/>
      <w:sz w:val="21"/>
      <w:lang w:eastAsia="pt-BR"/>
    </w:rPr>
  </w:style>
  <w:style w:type="character" w:customStyle="1" w:styleId="Ttulo8Char">
    <w:name w:val="Título 8 Char"/>
    <w:basedOn w:val="Fontepargpadro"/>
    <w:link w:val="Ttulo8"/>
    <w:uiPriority w:val="9"/>
    <w:semiHidden/>
    <w:rsid w:val="004E564D"/>
    <w:rPr>
      <w:rFonts w:asciiTheme="majorHAnsi" w:eastAsiaTheme="majorEastAsia" w:hAnsiTheme="majorHAnsi" w:cstheme="majorBidi"/>
      <w:color w:val="404040" w:themeColor="text1" w:themeTint="BF"/>
      <w:sz w:val="20"/>
      <w:szCs w:val="20"/>
      <w:lang w:eastAsia="pt-BR"/>
    </w:rPr>
  </w:style>
  <w:style w:type="character" w:customStyle="1" w:styleId="Ttulo9Char">
    <w:name w:val="Título 9 Char"/>
    <w:basedOn w:val="Fontepargpadro"/>
    <w:link w:val="Ttulo9"/>
    <w:uiPriority w:val="9"/>
    <w:semiHidden/>
    <w:rsid w:val="004E564D"/>
    <w:rPr>
      <w:rFonts w:asciiTheme="majorHAnsi" w:eastAsiaTheme="majorEastAsia" w:hAnsiTheme="majorHAnsi" w:cstheme="majorBidi"/>
      <w:i/>
      <w:iCs/>
      <w:color w:val="404040" w:themeColor="text1" w:themeTint="BF"/>
      <w:sz w:val="20"/>
      <w:szCs w:val="20"/>
      <w:lang w:eastAsia="pt-BR"/>
    </w:rPr>
  </w:style>
  <w:style w:type="character" w:styleId="Refdenotaderodap">
    <w:name w:val="footnote reference"/>
    <w:basedOn w:val="Fontepargpadro"/>
    <w:unhideWhenUsed/>
    <w:qFormat/>
    <w:rsid w:val="004E564D"/>
    <w:rPr>
      <w:vertAlign w:val="superscript"/>
    </w:rPr>
  </w:style>
  <w:style w:type="paragraph" w:styleId="Textodenotaderodap">
    <w:name w:val="footnote text"/>
    <w:basedOn w:val="Normal"/>
    <w:link w:val="TextodenotaderodapChar"/>
    <w:uiPriority w:val="99"/>
    <w:unhideWhenUsed/>
    <w:qFormat/>
    <w:rsid w:val="004E564D"/>
    <w:pPr>
      <w:spacing w:after="0" w:line="240" w:lineRule="auto"/>
    </w:pPr>
    <w:rPr>
      <w:rFonts w:eastAsiaTheme="minorEastAsia"/>
      <w:sz w:val="20"/>
      <w:szCs w:val="20"/>
      <w:lang w:eastAsia="pt-BR"/>
    </w:rPr>
  </w:style>
  <w:style w:type="character" w:customStyle="1" w:styleId="TextodenotaderodapChar">
    <w:name w:val="Texto de nota de rodapé Char"/>
    <w:basedOn w:val="Fontepargpadro"/>
    <w:link w:val="Textodenotaderodap"/>
    <w:uiPriority w:val="99"/>
    <w:qFormat/>
    <w:rsid w:val="004E564D"/>
    <w:rPr>
      <w:rFonts w:eastAsiaTheme="minorEastAsia"/>
      <w:sz w:val="20"/>
      <w:szCs w:val="20"/>
      <w:lang w:eastAsia="pt-BR"/>
    </w:rPr>
  </w:style>
  <w:style w:type="paragraph" w:customStyle="1" w:styleId="western">
    <w:name w:val="western"/>
    <w:basedOn w:val="Normal"/>
    <w:rsid w:val="004E564D"/>
    <w:pPr>
      <w:spacing w:before="100" w:beforeAutospacing="1" w:after="142" w:line="288" w:lineRule="auto"/>
    </w:pPr>
    <w:rPr>
      <w:rFonts w:ascii="Calibri" w:eastAsia="Times New Roman" w:hAnsi="Calibri" w:cs="Times New Roman"/>
      <w:color w:val="000000"/>
      <w:lang w:eastAsia="pt-BR"/>
    </w:rPr>
  </w:style>
  <w:style w:type="character" w:styleId="Refdecomentrio">
    <w:name w:val="annotation reference"/>
    <w:basedOn w:val="Fontepargpadro"/>
    <w:uiPriority w:val="99"/>
    <w:semiHidden/>
    <w:unhideWhenUsed/>
    <w:rsid w:val="004E564D"/>
    <w:rPr>
      <w:sz w:val="16"/>
      <w:szCs w:val="16"/>
    </w:rPr>
  </w:style>
  <w:style w:type="paragraph" w:styleId="Textodecomentrio">
    <w:name w:val="annotation text"/>
    <w:basedOn w:val="Normal"/>
    <w:link w:val="TextodecomentrioChar"/>
    <w:uiPriority w:val="99"/>
    <w:unhideWhenUsed/>
    <w:rsid w:val="004E564D"/>
    <w:pPr>
      <w:spacing w:line="240" w:lineRule="auto"/>
    </w:pPr>
    <w:rPr>
      <w:sz w:val="20"/>
      <w:szCs w:val="20"/>
    </w:rPr>
  </w:style>
  <w:style w:type="character" w:customStyle="1" w:styleId="TextodecomentrioChar">
    <w:name w:val="Texto de comentário Char"/>
    <w:basedOn w:val="Fontepargpadro"/>
    <w:link w:val="Textodecomentrio"/>
    <w:uiPriority w:val="99"/>
    <w:rsid w:val="004E564D"/>
    <w:rPr>
      <w:sz w:val="20"/>
      <w:szCs w:val="20"/>
    </w:rPr>
  </w:style>
  <w:style w:type="paragraph" w:styleId="Assuntodocomentrio">
    <w:name w:val="annotation subject"/>
    <w:basedOn w:val="Textodecomentrio"/>
    <w:next w:val="Textodecomentrio"/>
    <w:link w:val="AssuntodocomentrioChar"/>
    <w:uiPriority w:val="99"/>
    <w:semiHidden/>
    <w:unhideWhenUsed/>
    <w:rsid w:val="004E564D"/>
    <w:rPr>
      <w:b/>
      <w:bCs/>
    </w:rPr>
  </w:style>
  <w:style w:type="character" w:customStyle="1" w:styleId="AssuntodocomentrioChar">
    <w:name w:val="Assunto do comentário Char"/>
    <w:basedOn w:val="TextodecomentrioChar"/>
    <w:link w:val="Assuntodocomentrio"/>
    <w:uiPriority w:val="99"/>
    <w:semiHidden/>
    <w:rsid w:val="004E564D"/>
    <w:rPr>
      <w:b/>
      <w:bCs/>
      <w:sz w:val="20"/>
      <w:szCs w:val="20"/>
    </w:rPr>
  </w:style>
  <w:style w:type="paragraph" w:styleId="Textodebalo">
    <w:name w:val="Balloon Text"/>
    <w:basedOn w:val="Normal"/>
    <w:link w:val="TextodebaloChar"/>
    <w:uiPriority w:val="99"/>
    <w:semiHidden/>
    <w:unhideWhenUsed/>
    <w:rsid w:val="004E564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E564D"/>
    <w:rPr>
      <w:rFonts w:ascii="Segoe UI" w:hAnsi="Segoe UI" w:cs="Segoe UI"/>
      <w:sz w:val="18"/>
      <w:szCs w:val="18"/>
    </w:rPr>
  </w:style>
  <w:style w:type="character" w:styleId="Hyperlink">
    <w:name w:val="Hyperlink"/>
    <w:basedOn w:val="Fontepargpadro"/>
    <w:uiPriority w:val="99"/>
    <w:unhideWhenUsed/>
    <w:rsid w:val="0086042B"/>
    <w:rPr>
      <w:color w:val="0563C1" w:themeColor="hyperlink"/>
      <w:u w:val="single"/>
    </w:rPr>
  </w:style>
  <w:style w:type="character" w:styleId="MenoPendente">
    <w:name w:val="Unresolved Mention"/>
    <w:basedOn w:val="Fontepargpadro"/>
    <w:uiPriority w:val="99"/>
    <w:semiHidden/>
    <w:unhideWhenUsed/>
    <w:rsid w:val="0086042B"/>
    <w:rPr>
      <w:color w:val="605E5C"/>
      <w:shd w:val="clear" w:color="auto" w:fill="E1DFDD"/>
    </w:rPr>
  </w:style>
  <w:style w:type="paragraph" w:styleId="Bibliografia">
    <w:name w:val="Bibliography"/>
    <w:basedOn w:val="Normal"/>
    <w:next w:val="Normal"/>
    <w:uiPriority w:val="37"/>
    <w:unhideWhenUsed/>
    <w:rsid w:val="00B97E0B"/>
    <w:pPr>
      <w:spacing w:after="240" w:line="240" w:lineRule="auto"/>
    </w:pPr>
  </w:style>
  <w:style w:type="character" w:customStyle="1" w:styleId="itenstermos">
    <w:name w:val="itens_termos"/>
    <w:basedOn w:val="Fontepargpadro"/>
    <w:rsid w:val="00FA74A5"/>
  </w:style>
  <w:style w:type="character" w:customStyle="1" w:styleId="itensconteudos">
    <w:name w:val="itens_conteudos"/>
    <w:basedOn w:val="Fontepargpadro"/>
    <w:rsid w:val="00FA7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01178">
      <w:bodyDiv w:val="1"/>
      <w:marLeft w:val="0"/>
      <w:marRight w:val="0"/>
      <w:marTop w:val="0"/>
      <w:marBottom w:val="0"/>
      <w:divBdr>
        <w:top w:val="none" w:sz="0" w:space="0" w:color="auto"/>
        <w:left w:val="none" w:sz="0" w:space="0" w:color="auto"/>
        <w:bottom w:val="none" w:sz="0" w:space="0" w:color="auto"/>
        <w:right w:val="none" w:sz="0" w:space="0" w:color="auto"/>
      </w:divBdr>
    </w:div>
    <w:div w:id="454643692">
      <w:bodyDiv w:val="1"/>
      <w:marLeft w:val="0"/>
      <w:marRight w:val="0"/>
      <w:marTop w:val="0"/>
      <w:marBottom w:val="0"/>
      <w:divBdr>
        <w:top w:val="none" w:sz="0" w:space="0" w:color="auto"/>
        <w:left w:val="none" w:sz="0" w:space="0" w:color="auto"/>
        <w:bottom w:val="none" w:sz="0" w:space="0" w:color="auto"/>
        <w:right w:val="none" w:sz="0" w:space="0" w:color="auto"/>
      </w:divBdr>
    </w:div>
    <w:div w:id="91897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BB1B15-838E-4D2F-8729-B6A34A395B94}">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7502FA0D-8B05-403B-BC01-E3DDC9A1AD7B}"/>
</file>

<file path=customXml/itemProps3.xml><?xml version="1.0" encoding="utf-8"?>
<ds:datastoreItem xmlns:ds="http://schemas.openxmlformats.org/officeDocument/2006/customXml" ds:itemID="{45D33F5F-985A-46F2-913A-05D8121A00DF}"/>
</file>

<file path=customXml/itemProps4.xml><?xml version="1.0" encoding="utf-8"?>
<ds:datastoreItem xmlns:ds="http://schemas.openxmlformats.org/officeDocument/2006/customXml" ds:itemID="{3F05B499-2AD1-417F-8F0E-C9D41EE80E8B}"/>
</file>

<file path=docProps/app.xml><?xml version="1.0" encoding="utf-8"?>
<Properties xmlns="http://schemas.openxmlformats.org/officeDocument/2006/extended-properties" xmlns:vt="http://schemas.openxmlformats.org/officeDocument/2006/docPropsVTypes">
  <Template>Normal</Template>
  <TotalTime>10</TotalTime>
  <Pages>6</Pages>
  <Words>3033</Words>
  <Characters>16382</Characters>
  <Application>Microsoft Office Word</Application>
  <DocSecurity>0</DocSecurity>
  <Lines>136</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Kyrillos</dc:creator>
  <cp:keywords/>
  <dc:description/>
  <cp:lastModifiedBy>Gabriela Kyrillos</cp:lastModifiedBy>
  <cp:revision>2</cp:revision>
  <dcterms:created xsi:type="dcterms:W3CDTF">2020-10-11T15:44:00Z</dcterms:created>
  <dcterms:modified xsi:type="dcterms:W3CDTF">2020-10-11T15:44:00Z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zotero-version="5.0.89"&gt;&lt;session id="swXS2dU6"/&gt;&lt;style id="http://www.zotero.org/styles/associacao-brasileira-de-normas-tecnicas" hasBibliography="1" bibliographyStyleHasBeenSet="1"/&gt;&lt;prefs&gt;&lt;pref name="fieldType" value="Field"/&gt;&lt;pre</vt:lpwstr>
  </property>
  <property fmtid="{D5CDD505-2E9C-101B-9397-08002B2CF9AE}" pid="3" name="ZOTERO_PREF_2">
    <vt:lpwstr>f name="automaticJournalAbbreviations" value="true"/&gt;&lt;/prefs&gt;&lt;/data&gt;</vt:lpwstr>
  </property>
  <property fmtid="{D5CDD505-2E9C-101B-9397-08002B2CF9AE}" pid="4" name="ContentTypeId">
    <vt:lpwstr>0x010100F397614B75B84E4C841CE911BA0CCB9D</vt:lpwstr>
  </property>
</Properties>
</file>