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3739D" w:rsidRDefault="00A3739D">
      <w:pPr>
        <w:spacing w:after="0" w:line="360" w:lineRule="auto"/>
        <w:ind w:right="909"/>
        <w:jc w:val="both"/>
        <w:rPr>
          <w:rFonts w:ascii="Times New Roman" w:eastAsia="Times New Roman" w:hAnsi="Times New Roman" w:cs="Times New Roman"/>
          <w:b/>
          <w:sz w:val="24"/>
          <w:szCs w:val="24"/>
        </w:rPr>
      </w:pPr>
      <w:bookmarkStart w:id="0" w:name="_heading=h.hvwojs6tj3xz" w:colFirst="0" w:colLast="0"/>
      <w:bookmarkEnd w:id="0"/>
    </w:p>
    <w:p w14:paraId="00000002" w14:textId="77777777" w:rsidR="00A3739D" w:rsidRDefault="00A3739D">
      <w:pPr>
        <w:spacing w:after="0" w:line="360" w:lineRule="auto"/>
        <w:ind w:right="909"/>
        <w:jc w:val="both"/>
        <w:rPr>
          <w:rFonts w:ascii="Times New Roman" w:eastAsia="Times New Roman" w:hAnsi="Times New Roman" w:cs="Times New Roman"/>
          <w:b/>
          <w:sz w:val="24"/>
          <w:szCs w:val="24"/>
        </w:rPr>
      </w:pPr>
      <w:bookmarkStart w:id="1" w:name="_heading=h.3shqss2hl182" w:colFirst="0" w:colLast="0"/>
      <w:bookmarkEnd w:id="1"/>
    </w:p>
    <w:p w14:paraId="00000003" w14:textId="77777777" w:rsidR="00A3739D" w:rsidRDefault="00A3739D">
      <w:pPr>
        <w:spacing w:after="0" w:line="360" w:lineRule="auto"/>
        <w:ind w:right="909"/>
        <w:jc w:val="center"/>
        <w:rPr>
          <w:rFonts w:ascii="Times New Roman" w:eastAsia="Times New Roman" w:hAnsi="Times New Roman" w:cs="Times New Roman"/>
          <w:b/>
          <w:sz w:val="24"/>
          <w:szCs w:val="24"/>
        </w:rPr>
      </w:pPr>
      <w:bookmarkStart w:id="2" w:name="_heading=h.v2usrehhekra" w:colFirst="0" w:colLast="0"/>
      <w:bookmarkEnd w:id="2"/>
    </w:p>
    <w:p w14:paraId="00000004" w14:textId="512DAAF9" w:rsidR="00A3739D" w:rsidRDefault="004C7D9D">
      <w:pPr>
        <w:spacing w:after="0" w:line="360" w:lineRule="auto"/>
        <w:ind w:right="909"/>
        <w:jc w:val="center"/>
        <w:rPr>
          <w:rFonts w:ascii="Times New Roman" w:eastAsia="Times New Roman" w:hAnsi="Times New Roman" w:cs="Times New Roman"/>
          <w:b/>
          <w:sz w:val="24"/>
          <w:szCs w:val="24"/>
        </w:rPr>
      </w:pPr>
      <w:bookmarkStart w:id="3" w:name="_heading=h.44sinio" w:colFirst="0" w:colLast="0"/>
      <w:bookmarkEnd w:id="3"/>
      <w:r>
        <w:rPr>
          <w:rFonts w:ascii="Times New Roman" w:eastAsia="Times New Roman" w:hAnsi="Times New Roman" w:cs="Times New Roman"/>
          <w:b/>
          <w:sz w:val="24"/>
          <w:szCs w:val="24"/>
        </w:rPr>
        <w:t>7TH</w:t>
      </w:r>
      <w:r w:rsidR="009C7D53">
        <w:rPr>
          <w:rFonts w:ascii="Times New Roman" w:eastAsia="Times New Roman" w:hAnsi="Times New Roman" w:cs="Times New Roman"/>
          <w:b/>
          <w:sz w:val="24"/>
          <w:szCs w:val="24"/>
        </w:rPr>
        <w:t xml:space="preserve"> </w:t>
      </w:r>
      <w:r w:rsidR="008D1A07">
        <w:rPr>
          <w:rFonts w:ascii="Times New Roman" w:eastAsia="Times New Roman" w:hAnsi="Times New Roman" w:cs="Times New Roman"/>
          <w:b/>
          <w:sz w:val="24"/>
          <w:szCs w:val="24"/>
        </w:rPr>
        <w:t>PERIODIC REPORT OF SRI LANKA SUBMITTED TO</w:t>
      </w:r>
    </w:p>
    <w:p w14:paraId="00000005" w14:textId="77777777" w:rsidR="00A3739D" w:rsidRDefault="008D1A07">
      <w:pPr>
        <w:spacing w:after="0" w:line="360" w:lineRule="auto"/>
        <w:ind w:right="9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COMMITTEE ON THE RIGHTS OF THE CHILD</w:t>
      </w:r>
    </w:p>
    <w:p w14:paraId="00000006"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7"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8"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9"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A"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B"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C" w14:textId="77777777" w:rsidR="00A3739D" w:rsidRDefault="00A3739D">
      <w:pPr>
        <w:spacing w:after="0" w:line="360" w:lineRule="auto"/>
        <w:ind w:right="909"/>
        <w:jc w:val="center"/>
        <w:rPr>
          <w:rFonts w:ascii="Times New Roman" w:eastAsia="Times New Roman" w:hAnsi="Times New Roman" w:cs="Times New Roman"/>
          <w:b/>
          <w:sz w:val="24"/>
          <w:szCs w:val="24"/>
        </w:rPr>
      </w:pPr>
    </w:p>
    <w:p w14:paraId="0000000D" w14:textId="77777777" w:rsidR="00A3739D" w:rsidRDefault="008D1A07">
      <w:pPr>
        <w:spacing w:after="0" w:line="360" w:lineRule="auto"/>
        <w:ind w:right="9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UNITED NATIONS CONVENTION ON THE RIGHTS OF THE CHILD</w:t>
      </w:r>
    </w:p>
    <w:p w14:paraId="0000000E"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0F"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0"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1"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2"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3"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4"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5"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6"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7"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8"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9"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A"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B"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C"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D"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E"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1F"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20"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21"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022"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2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LIST OF ABBREVIATIONS</w:t>
      </w:r>
    </w:p>
    <w:p w14:paraId="00000024"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2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AG’s Department</w:t>
      </w:r>
      <w:r>
        <w:rPr>
          <w:rFonts w:ascii="Times New Roman" w:eastAsia="Times New Roman" w:hAnsi="Times New Roman" w:cs="Times New Roman"/>
          <w:sz w:val="24"/>
          <w:szCs w:val="24"/>
        </w:rPr>
        <w:t xml:space="preserve"> – Hon. Attorney General’s Department</w:t>
      </w:r>
    </w:p>
    <w:p w14:paraId="0000002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BIMSTEC</w:t>
      </w:r>
      <w:r>
        <w:rPr>
          <w:rFonts w:ascii="Times New Roman" w:eastAsia="Times New Roman" w:hAnsi="Times New Roman" w:cs="Times New Roman"/>
          <w:sz w:val="24"/>
          <w:szCs w:val="24"/>
        </w:rPr>
        <w:t xml:space="preserve"> – Bay of Bengal Initiative for Multi-Sectoral, Technical and Economic Cooperation</w:t>
      </w:r>
    </w:p>
    <w:p w14:paraId="0000002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BOI</w:t>
      </w:r>
      <w:r>
        <w:rPr>
          <w:rFonts w:ascii="Times New Roman" w:eastAsia="Times New Roman" w:hAnsi="Times New Roman" w:cs="Times New Roman"/>
          <w:sz w:val="24"/>
          <w:szCs w:val="24"/>
        </w:rPr>
        <w:t xml:space="preserve"> – Board of Investment</w:t>
      </w:r>
    </w:p>
    <w:p w14:paraId="00000028"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CCIU</w:t>
      </w:r>
      <w:r>
        <w:rPr>
          <w:rFonts w:ascii="Times New Roman" w:eastAsia="Times New Roman" w:hAnsi="Times New Roman" w:cs="Times New Roman"/>
          <w:sz w:val="24"/>
          <w:szCs w:val="24"/>
        </w:rPr>
        <w:t xml:space="preserve"> – Cyber Crime Investigation Unit</w:t>
      </w:r>
    </w:p>
    <w:p w14:paraId="0000002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CEDAW</w:t>
      </w:r>
      <w:r>
        <w:rPr>
          <w:rFonts w:ascii="Times New Roman" w:eastAsia="Times New Roman" w:hAnsi="Times New Roman" w:cs="Times New Roman"/>
          <w:sz w:val="24"/>
          <w:szCs w:val="24"/>
        </w:rPr>
        <w:t xml:space="preserve"> – Convention on the Elimination of All Forms of Discrimination Against Women</w:t>
      </w:r>
    </w:p>
    <w:p w14:paraId="0000002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CERT</w:t>
      </w:r>
      <w:r>
        <w:rPr>
          <w:rFonts w:ascii="Times New Roman" w:eastAsia="Times New Roman" w:hAnsi="Times New Roman" w:cs="Times New Roman"/>
          <w:sz w:val="24"/>
          <w:szCs w:val="24"/>
        </w:rPr>
        <w:t xml:space="preserve"> – Computer Emergency Response Team</w:t>
      </w:r>
    </w:p>
    <w:p w14:paraId="0000002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CID</w:t>
      </w:r>
      <w:r>
        <w:rPr>
          <w:rFonts w:ascii="Times New Roman" w:eastAsia="Times New Roman" w:hAnsi="Times New Roman" w:cs="Times New Roman"/>
          <w:sz w:val="24"/>
          <w:szCs w:val="24"/>
        </w:rPr>
        <w:t xml:space="preserve"> – Criminal Investigation Department</w:t>
      </w:r>
    </w:p>
    <w:p w14:paraId="0000002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CIABOC</w:t>
      </w:r>
      <w:r>
        <w:rPr>
          <w:rFonts w:ascii="Times New Roman" w:eastAsia="Times New Roman" w:hAnsi="Times New Roman" w:cs="Times New Roman"/>
          <w:sz w:val="24"/>
          <w:szCs w:val="24"/>
        </w:rPr>
        <w:t xml:space="preserve"> – Commission to Investigate Allegations of Bribery or Corruption</w:t>
      </w:r>
    </w:p>
    <w:p w14:paraId="0000002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CMPI</w:t>
      </w:r>
      <w:r>
        <w:rPr>
          <w:rFonts w:ascii="Times New Roman" w:eastAsia="Times New Roman" w:hAnsi="Times New Roman" w:cs="Times New Roman"/>
          <w:sz w:val="24"/>
          <w:szCs w:val="24"/>
        </w:rPr>
        <w:t xml:space="preserve"> – Child Multidimensional Poverty Index</w:t>
      </w:r>
    </w:p>
    <w:p w14:paraId="0000002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CPU</w:t>
      </w:r>
      <w:r>
        <w:rPr>
          <w:rFonts w:ascii="Times New Roman" w:eastAsia="Times New Roman" w:hAnsi="Times New Roman" w:cs="Times New Roman"/>
          <w:sz w:val="24"/>
          <w:szCs w:val="24"/>
        </w:rPr>
        <w:t xml:space="preserve"> – Child Protection Unit</w:t>
      </w:r>
    </w:p>
    <w:p w14:paraId="0000002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CRPO</w:t>
      </w:r>
      <w:r>
        <w:rPr>
          <w:rFonts w:ascii="Times New Roman" w:eastAsia="Times New Roman" w:hAnsi="Times New Roman" w:cs="Times New Roman"/>
          <w:sz w:val="24"/>
          <w:szCs w:val="24"/>
        </w:rPr>
        <w:t xml:space="preserve"> – Child Rights Promotion Officer</w:t>
      </w:r>
    </w:p>
    <w:p w14:paraId="0000003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CRC</w:t>
      </w:r>
      <w:r>
        <w:rPr>
          <w:rFonts w:ascii="Times New Roman" w:eastAsia="Times New Roman" w:hAnsi="Times New Roman" w:cs="Times New Roman"/>
          <w:sz w:val="24"/>
          <w:szCs w:val="24"/>
        </w:rPr>
        <w:t xml:space="preserve"> – Convention on the Rights of the Child</w:t>
      </w:r>
    </w:p>
    <w:p w14:paraId="0000003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CSO</w:t>
      </w:r>
      <w:r>
        <w:rPr>
          <w:rFonts w:ascii="Times New Roman" w:eastAsia="Times New Roman" w:hAnsi="Times New Roman" w:cs="Times New Roman"/>
          <w:sz w:val="24"/>
          <w:szCs w:val="24"/>
        </w:rPr>
        <w:t xml:space="preserve"> – Civil Society Organisation</w:t>
      </w:r>
    </w:p>
    <w:p w14:paraId="0000003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CWG</w:t>
      </w:r>
      <w:r>
        <w:rPr>
          <w:rFonts w:ascii="Times New Roman" w:eastAsia="Times New Roman" w:hAnsi="Times New Roman" w:cs="Times New Roman"/>
          <w:sz w:val="24"/>
          <w:szCs w:val="24"/>
        </w:rPr>
        <w:t xml:space="preserve"> – Community Watch Groups</w:t>
      </w:r>
    </w:p>
    <w:p w14:paraId="0000003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CYPO</w:t>
      </w:r>
      <w:r>
        <w:rPr>
          <w:rFonts w:ascii="Times New Roman" w:eastAsia="Times New Roman" w:hAnsi="Times New Roman" w:cs="Times New Roman"/>
          <w:sz w:val="24"/>
          <w:szCs w:val="24"/>
        </w:rPr>
        <w:t xml:space="preserve"> – Children and Young Persons Ordinance</w:t>
      </w:r>
    </w:p>
    <w:p w14:paraId="0000003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DCPO</w:t>
      </w:r>
      <w:r>
        <w:rPr>
          <w:rFonts w:ascii="Times New Roman" w:eastAsia="Times New Roman" w:hAnsi="Times New Roman" w:cs="Times New Roman"/>
          <w:sz w:val="24"/>
          <w:szCs w:val="24"/>
        </w:rPr>
        <w:t xml:space="preserve"> – District Child Protection Officers</w:t>
      </w:r>
    </w:p>
    <w:p w14:paraId="0000003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DCPOs</w:t>
      </w:r>
      <w:r>
        <w:rPr>
          <w:rFonts w:ascii="Times New Roman" w:eastAsia="Times New Roman" w:hAnsi="Times New Roman" w:cs="Times New Roman"/>
          <w:sz w:val="24"/>
          <w:szCs w:val="24"/>
        </w:rPr>
        <w:t xml:space="preserve"> – District Child Protection Officer</w:t>
      </w:r>
    </w:p>
    <w:p w14:paraId="0000003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DCS</w:t>
      </w:r>
      <w:r>
        <w:rPr>
          <w:rFonts w:ascii="Times New Roman" w:eastAsia="Times New Roman" w:hAnsi="Times New Roman" w:cs="Times New Roman"/>
          <w:sz w:val="24"/>
          <w:szCs w:val="24"/>
        </w:rPr>
        <w:t xml:space="preserve"> – Department of Census and Statistics</w:t>
      </w:r>
    </w:p>
    <w:p w14:paraId="0000003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DECDOs</w:t>
      </w:r>
      <w:r>
        <w:rPr>
          <w:rFonts w:ascii="Times New Roman" w:eastAsia="Times New Roman" w:hAnsi="Times New Roman" w:cs="Times New Roman"/>
          <w:sz w:val="24"/>
          <w:szCs w:val="24"/>
        </w:rPr>
        <w:t xml:space="preserve"> – Divisional Early Child Development Officers</w:t>
      </w:r>
    </w:p>
    <w:p w14:paraId="0000003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DIG</w:t>
      </w:r>
      <w:r>
        <w:rPr>
          <w:rFonts w:ascii="Times New Roman" w:eastAsia="Times New Roman" w:hAnsi="Times New Roman" w:cs="Times New Roman"/>
          <w:sz w:val="24"/>
          <w:szCs w:val="24"/>
        </w:rPr>
        <w:t xml:space="preserve"> – Deputy Inspector General of Police</w:t>
      </w:r>
    </w:p>
    <w:p w14:paraId="0000003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DMC</w:t>
      </w:r>
      <w:r>
        <w:rPr>
          <w:rFonts w:ascii="Times New Roman" w:eastAsia="Times New Roman" w:hAnsi="Times New Roman" w:cs="Times New Roman"/>
          <w:sz w:val="24"/>
          <w:szCs w:val="24"/>
        </w:rPr>
        <w:t xml:space="preserve"> – Disaster Management </w:t>
      </w:r>
      <w:proofErr w:type="spellStart"/>
      <w:r>
        <w:rPr>
          <w:rFonts w:ascii="Times New Roman" w:eastAsia="Times New Roman" w:hAnsi="Times New Roman" w:cs="Times New Roman"/>
          <w:sz w:val="24"/>
          <w:szCs w:val="24"/>
        </w:rPr>
        <w:t>Center</w:t>
      </w:r>
      <w:proofErr w:type="spellEnd"/>
    </w:p>
    <w:p w14:paraId="0000003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DNMS</w:t>
      </w:r>
      <w:r>
        <w:rPr>
          <w:rFonts w:ascii="Times New Roman" w:eastAsia="Times New Roman" w:hAnsi="Times New Roman" w:cs="Times New Roman"/>
          <w:sz w:val="24"/>
          <w:szCs w:val="24"/>
        </w:rPr>
        <w:t xml:space="preserve"> – District Nutrition Management System</w:t>
      </w:r>
    </w:p>
    <w:p w14:paraId="0000003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DOL</w:t>
      </w:r>
      <w:r>
        <w:rPr>
          <w:rFonts w:ascii="Times New Roman" w:eastAsia="Times New Roman" w:hAnsi="Times New Roman" w:cs="Times New Roman"/>
          <w:sz w:val="24"/>
          <w:szCs w:val="24"/>
        </w:rPr>
        <w:t xml:space="preserve"> – Department of Labour</w:t>
      </w:r>
    </w:p>
    <w:p w14:paraId="0000003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DOSS</w:t>
      </w:r>
      <w:r>
        <w:rPr>
          <w:rFonts w:ascii="Times New Roman" w:eastAsia="Times New Roman" w:hAnsi="Times New Roman" w:cs="Times New Roman"/>
          <w:sz w:val="24"/>
          <w:szCs w:val="24"/>
        </w:rPr>
        <w:t xml:space="preserve"> – Department of Social Services</w:t>
      </w:r>
    </w:p>
    <w:p w14:paraId="0000003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DPCCS</w:t>
      </w:r>
      <w:r>
        <w:rPr>
          <w:rFonts w:ascii="Times New Roman" w:eastAsia="Times New Roman" w:hAnsi="Times New Roman" w:cs="Times New Roman"/>
          <w:sz w:val="24"/>
          <w:szCs w:val="24"/>
        </w:rPr>
        <w:t xml:space="preserve"> – Department of Probation and Childcare Services</w:t>
      </w:r>
    </w:p>
    <w:p w14:paraId="0000003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ECD</w:t>
      </w:r>
      <w:r>
        <w:rPr>
          <w:rFonts w:ascii="Times New Roman" w:eastAsia="Times New Roman" w:hAnsi="Times New Roman" w:cs="Times New Roman"/>
          <w:sz w:val="24"/>
          <w:szCs w:val="24"/>
        </w:rPr>
        <w:t xml:space="preserve"> – Early Childhood Development</w:t>
      </w:r>
    </w:p>
    <w:p w14:paraId="0000003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FHB</w:t>
      </w:r>
      <w:r>
        <w:rPr>
          <w:rFonts w:ascii="Times New Roman" w:eastAsia="Times New Roman" w:hAnsi="Times New Roman" w:cs="Times New Roman"/>
          <w:sz w:val="24"/>
          <w:szCs w:val="24"/>
        </w:rPr>
        <w:t xml:space="preserve"> – Family Health Bureau</w:t>
      </w:r>
    </w:p>
    <w:p w14:paraId="0000004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FGM</w:t>
      </w:r>
      <w:r>
        <w:rPr>
          <w:rFonts w:ascii="Times New Roman" w:eastAsia="Times New Roman" w:hAnsi="Times New Roman" w:cs="Times New Roman"/>
          <w:sz w:val="24"/>
          <w:szCs w:val="24"/>
        </w:rPr>
        <w:t xml:space="preserve"> – Female Genital Mutilation</w:t>
      </w:r>
    </w:p>
    <w:p w14:paraId="0000004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FISD</w:t>
      </w:r>
      <w:r>
        <w:rPr>
          <w:rFonts w:ascii="Times New Roman" w:eastAsia="Times New Roman" w:hAnsi="Times New Roman" w:cs="Times New Roman"/>
          <w:sz w:val="24"/>
          <w:szCs w:val="24"/>
        </w:rPr>
        <w:t xml:space="preserve"> – Foundation for Innovative Social Development</w:t>
      </w:r>
    </w:p>
    <w:p w14:paraId="0000004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GANHRI</w:t>
      </w:r>
      <w:r>
        <w:rPr>
          <w:rFonts w:ascii="Times New Roman" w:eastAsia="Times New Roman" w:hAnsi="Times New Roman" w:cs="Times New Roman"/>
          <w:sz w:val="24"/>
          <w:szCs w:val="24"/>
        </w:rPr>
        <w:t xml:space="preserve"> – Global Alliance of National Human Rights Institutions</w:t>
      </w:r>
    </w:p>
    <w:p w14:paraId="0000004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GMO</w:t>
      </w:r>
      <w:r>
        <w:rPr>
          <w:rFonts w:ascii="Times New Roman" w:eastAsia="Times New Roman" w:hAnsi="Times New Roman" w:cs="Times New Roman"/>
          <w:sz w:val="24"/>
          <w:szCs w:val="24"/>
        </w:rPr>
        <w:t xml:space="preserve"> – General Marriage Ordinance</w:t>
      </w:r>
    </w:p>
    <w:p w14:paraId="0000004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GoSL</w:t>
      </w:r>
      <w:r>
        <w:rPr>
          <w:rFonts w:ascii="Times New Roman" w:eastAsia="Times New Roman" w:hAnsi="Times New Roman" w:cs="Times New Roman"/>
          <w:sz w:val="24"/>
          <w:szCs w:val="24"/>
        </w:rPr>
        <w:t xml:space="preserve"> – Government of Sri Lanka</w:t>
      </w:r>
    </w:p>
    <w:p w14:paraId="0000004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HIES</w:t>
      </w:r>
      <w:r>
        <w:rPr>
          <w:rFonts w:ascii="Times New Roman" w:eastAsia="Times New Roman" w:hAnsi="Times New Roman" w:cs="Times New Roman"/>
          <w:sz w:val="24"/>
          <w:szCs w:val="24"/>
        </w:rPr>
        <w:t xml:space="preserve"> – Household Income and Expenditure Survey</w:t>
      </w:r>
    </w:p>
    <w:p w14:paraId="0000004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HRCSL</w:t>
      </w:r>
      <w:r>
        <w:rPr>
          <w:rFonts w:ascii="Times New Roman" w:eastAsia="Times New Roman" w:hAnsi="Times New Roman" w:cs="Times New Roman"/>
          <w:sz w:val="24"/>
          <w:szCs w:val="24"/>
        </w:rPr>
        <w:t xml:space="preserve"> – Human Rights Commission of Sri Lanka</w:t>
      </w:r>
    </w:p>
    <w:p w14:paraId="0000004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ICRC</w:t>
      </w:r>
      <w:r>
        <w:rPr>
          <w:rFonts w:ascii="Times New Roman" w:eastAsia="Times New Roman" w:hAnsi="Times New Roman" w:cs="Times New Roman"/>
          <w:sz w:val="24"/>
          <w:szCs w:val="24"/>
        </w:rPr>
        <w:t xml:space="preserve"> – International Committee of the Red Cross</w:t>
      </w:r>
    </w:p>
    <w:p w14:paraId="0000004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IGP</w:t>
      </w:r>
      <w:r>
        <w:rPr>
          <w:rFonts w:ascii="Times New Roman" w:eastAsia="Times New Roman" w:hAnsi="Times New Roman" w:cs="Times New Roman"/>
          <w:sz w:val="24"/>
          <w:szCs w:val="24"/>
        </w:rPr>
        <w:t xml:space="preserve"> – Inspector General of Police</w:t>
      </w:r>
    </w:p>
    <w:p w14:paraId="0000004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ILO</w:t>
      </w:r>
      <w:r>
        <w:rPr>
          <w:rFonts w:ascii="Times New Roman" w:eastAsia="Times New Roman" w:hAnsi="Times New Roman" w:cs="Times New Roman"/>
          <w:sz w:val="24"/>
          <w:szCs w:val="24"/>
        </w:rPr>
        <w:t xml:space="preserve"> – International Labour Organisation</w:t>
      </w:r>
    </w:p>
    <w:p w14:paraId="0000004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IMF</w:t>
      </w:r>
      <w:r>
        <w:rPr>
          <w:rFonts w:ascii="Times New Roman" w:eastAsia="Times New Roman" w:hAnsi="Times New Roman" w:cs="Times New Roman"/>
          <w:sz w:val="24"/>
          <w:szCs w:val="24"/>
        </w:rPr>
        <w:t xml:space="preserve"> – International Monetary Fund</w:t>
      </w:r>
    </w:p>
    <w:p w14:paraId="0000004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IOM</w:t>
      </w:r>
      <w:r>
        <w:rPr>
          <w:rFonts w:ascii="Times New Roman" w:eastAsia="Times New Roman" w:hAnsi="Times New Roman" w:cs="Times New Roman"/>
          <w:sz w:val="24"/>
          <w:szCs w:val="24"/>
        </w:rPr>
        <w:t xml:space="preserve"> – International Organisation for Migration</w:t>
      </w:r>
    </w:p>
    <w:p w14:paraId="0000004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ISP</w:t>
      </w:r>
      <w:r>
        <w:rPr>
          <w:rFonts w:ascii="Times New Roman" w:eastAsia="Times New Roman" w:hAnsi="Times New Roman" w:cs="Times New Roman"/>
          <w:sz w:val="24"/>
          <w:szCs w:val="24"/>
        </w:rPr>
        <w:t xml:space="preserve"> – Internet Service Provider</w:t>
      </w:r>
    </w:p>
    <w:p w14:paraId="0000004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IWF</w:t>
      </w:r>
      <w:r>
        <w:rPr>
          <w:rFonts w:ascii="Times New Roman" w:eastAsia="Times New Roman" w:hAnsi="Times New Roman" w:cs="Times New Roman"/>
          <w:sz w:val="24"/>
          <w:szCs w:val="24"/>
        </w:rPr>
        <w:t xml:space="preserve"> – Internet Watch Foundation</w:t>
      </w:r>
    </w:p>
    <w:p w14:paraId="0000004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JMO</w:t>
      </w:r>
      <w:r>
        <w:rPr>
          <w:rFonts w:ascii="Times New Roman" w:eastAsia="Times New Roman" w:hAnsi="Times New Roman" w:cs="Times New Roman"/>
          <w:sz w:val="24"/>
          <w:szCs w:val="24"/>
        </w:rPr>
        <w:t xml:space="preserve"> – Judicial Medical Officers</w:t>
      </w:r>
    </w:p>
    <w:p w14:paraId="0000004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JSC</w:t>
      </w:r>
      <w:r>
        <w:rPr>
          <w:rFonts w:ascii="Times New Roman" w:eastAsia="Times New Roman" w:hAnsi="Times New Roman" w:cs="Times New Roman"/>
          <w:sz w:val="24"/>
          <w:szCs w:val="24"/>
        </w:rPr>
        <w:t xml:space="preserve"> – Judicial Service Commission</w:t>
      </w:r>
    </w:p>
    <w:p w14:paraId="0000005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LAC</w:t>
      </w:r>
      <w:r>
        <w:rPr>
          <w:rFonts w:ascii="Times New Roman" w:eastAsia="Times New Roman" w:hAnsi="Times New Roman" w:cs="Times New Roman"/>
          <w:sz w:val="24"/>
          <w:szCs w:val="24"/>
        </w:rPr>
        <w:t xml:space="preserve"> – Legal Aid Commission</w:t>
      </w:r>
    </w:p>
    <w:p w14:paraId="0000005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LGBTQ+</w:t>
      </w:r>
      <w:r>
        <w:rPr>
          <w:rFonts w:ascii="Times New Roman" w:eastAsia="Times New Roman" w:hAnsi="Times New Roman" w:cs="Times New Roman"/>
          <w:sz w:val="24"/>
          <w:szCs w:val="24"/>
        </w:rPr>
        <w:t xml:space="preserve"> – Lesbian, Gay, Bisexual, Transgender and Questioning (or Queer)</w:t>
      </w:r>
    </w:p>
    <w:p w14:paraId="0000005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MINUSTAH</w:t>
      </w:r>
      <w:r>
        <w:rPr>
          <w:rFonts w:ascii="Times New Roman" w:eastAsia="Times New Roman" w:hAnsi="Times New Roman" w:cs="Times New Roman"/>
          <w:sz w:val="24"/>
          <w:szCs w:val="24"/>
        </w:rPr>
        <w:t xml:space="preserve"> – United Nations Stabilization Mission in Haiti</w:t>
      </w:r>
    </w:p>
    <w:p w14:paraId="0000005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MMDA</w:t>
      </w:r>
      <w:r>
        <w:rPr>
          <w:rFonts w:ascii="Times New Roman" w:eastAsia="Times New Roman" w:hAnsi="Times New Roman" w:cs="Times New Roman"/>
          <w:sz w:val="24"/>
          <w:szCs w:val="24"/>
        </w:rPr>
        <w:t xml:space="preserve"> – Muslim Marriage and Divorce Act</w:t>
      </w:r>
    </w:p>
    <w:p w14:paraId="0000005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MOBRCA</w:t>
      </w:r>
      <w:r>
        <w:rPr>
          <w:rFonts w:ascii="Times New Roman" w:eastAsia="Times New Roman" w:hAnsi="Times New Roman" w:cs="Times New Roman"/>
          <w:sz w:val="24"/>
          <w:szCs w:val="24"/>
        </w:rPr>
        <w:t xml:space="preserve"> – Ministry of </w:t>
      </w:r>
      <w:proofErr w:type="spellStart"/>
      <w:r>
        <w:rPr>
          <w:rFonts w:ascii="Times New Roman" w:eastAsia="Times New Roman" w:hAnsi="Times New Roman" w:cs="Times New Roman"/>
          <w:sz w:val="24"/>
          <w:szCs w:val="24"/>
        </w:rPr>
        <w:t>Buddhasasana</w:t>
      </w:r>
      <w:proofErr w:type="spellEnd"/>
      <w:r>
        <w:rPr>
          <w:rFonts w:ascii="Times New Roman" w:eastAsia="Times New Roman" w:hAnsi="Times New Roman" w:cs="Times New Roman"/>
          <w:sz w:val="24"/>
          <w:szCs w:val="24"/>
        </w:rPr>
        <w:t>, Religious and Cultural Affairs</w:t>
      </w:r>
    </w:p>
    <w:p w14:paraId="0000005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w:t>
      </w:r>
      <w:r>
        <w:rPr>
          <w:rFonts w:ascii="Times New Roman" w:eastAsia="Times New Roman" w:hAnsi="Times New Roman" w:cs="Times New Roman"/>
          <w:sz w:val="24"/>
          <w:szCs w:val="24"/>
        </w:rPr>
        <w:t xml:space="preserve"> – Ministry of Defence</w:t>
      </w:r>
    </w:p>
    <w:p w14:paraId="0000005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MOE</w:t>
      </w:r>
      <w:r>
        <w:rPr>
          <w:rFonts w:ascii="Times New Roman" w:eastAsia="Times New Roman" w:hAnsi="Times New Roman" w:cs="Times New Roman"/>
          <w:sz w:val="24"/>
          <w:szCs w:val="24"/>
        </w:rPr>
        <w:t xml:space="preserve"> – Ministry of Education</w:t>
      </w:r>
    </w:p>
    <w:p w14:paraId="0000005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MOH</w:t>
      </w:r>
      <w:r>
        <w:rPr>
          <w:rFonts w:ascii="Times New Roman" w:eastAsia="Times New Roman" w:hAnsi="Times New Roman" w:cs="Times New Roman"/>
          <w:sz w:val="24"/>
          <w:szCs w:val="24"/>
        </w:rPr>
        <w:t xml:space="preserve"> – Ministry of Health</w:t>
      </w:r>
    </w:p>
    <w:p w14:paraId="0000005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MOJ</w:t>
      </w:r>
      <w:r>
        <w:rPr>
          <w:rFonts w:ascii="Times New Roman" w:eastAsia="Times New Roman" w:hAnsi="Times New Roman" w:cs="Times New Roman"/>
          <w:sz w:val="24"/>
          <w:szCs w:val="24"/>
        </w:rPr>
        <w:t xml:space="preserve"> – Ministry of Justice</w:t>
      </w:r>
    </w:p>
    <w:p w14:paraId="0000005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MWCA</w:t>
      </w:r>
      <w:r>
        <w:rPr>
          <w:rFonts w:ascii="Times New Roman" w:eastAsia="Times New Roman" w:hAnsi="Times New Roman" w:cs="Times New Roman"/>
          <w:sz w:val="24"/>
          <w:szCs w:val="24"/>
        </w:rPr>
        <w:t xml:space="preserve"> – Ministry of Women and Child Affairs</w:t>
      </w:r>
    </w:p>
    <w:p w14:paraId="0000005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NAHTTF</w:t>
      </w:r>
      <w:r>
        <w:rPr>
          <w:rFonts w:ascii="Times New Roman" w:eastAsia="Times New Roman" w:hAnsi="Times New Roman" w:cs="Times New Roman"/>
          <w:sz w:val="24"/>
          <w:szCs w:val="24"/>
        </w:rPr>
        <w:t xml:space="preserve"> – National Anti-Human Trafficking Task Force</w:t>
      </w:r>
    </w:p>
    <w:p w14:paraId="0000005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NACP</w:t>
      </w:r>
      <w:r>
        <w:rPr>
          <w:rFonts w:ascii="Times New Roman" w:eastAsia="Times New Roman" w:hAnsi="Times New Roman" w:cs="Times New Roman"/>
          <w:sz w:val="24"/>
          <w:szCs w:val="24"/>
        </w:rPr>
        <w:t xml:space="preserve"> – National Alternative Care Policy</w:t>
      </w:r>
    </w:p>
    <w:p w14:paraId="0000005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NATA</w:t>
      </w:r>
      <w:r>
        <w:rPr>
          <w:rFonts w:ascii="Times New Roman" w:eastAsia="Times New Roman" w:hAnsi="Times New Roman" w:cs="Times New Roman"/>
          <w:sz w:val="24"/>
          <w:szCs w:val="24"/>
        </w:rPr>
        <w:t xml:space="preserve"> – National Authority on Tobacco and Alcohol</w:t>
      </w:r>
    </w:p>
    <w:p w14:paraId="0000005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NAPVCW</w:t>
      </w:r>
      <w:r>
        <w:rPr>
          <w:rFonts w:ascii="Times New Roman" w:eastAsia="Times New Roman" w:hAnsi="Times New Roman" w:cs="Times New Roman"/>
          <w:sz w:val="24"/>
          <w:szCs w:val="24"/>
        </w:rPr>
        <w:t xml:space="preserve"> – National Authority for the Protection of Victims of Crimes and Witnesses</w:t>
      </w:r>
    </w:p>
    <w:p w14:paraId="0000005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NCPP</w:t>
      </w:r>
      <w:r>
        <w:rPr>
          <w:rFonts w:ascii="Times New Roman" w:eastAsia="Times New Roman" w:hAnsi="Times New Roman" w:cs="Times New Roman"/>
          <w:sz w:val="24"/>
          <w:szCs w:val="24"/>
        </w:rPr>
        <w:t xml:space="preserve"> – National Child Protection Policy</w:t>
      </w:r>
    </w:p>
    <w:p w14:paraId="0000005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NCPA</w:t>
      </w:r>
      <w:r>
        <w:rPr>
          <w:rFonts w:ascii="Times New Roman" w:eastAsia="Times New Roman" w:hAnsi="Times New Roman" w:cs="Times New Roman"/>
          <w:sz w:val="24"/>
          <w:szCs w:val="24"/>
        </w:rPr>
        <w:t xml:space="preserve"> – National Child Protection Authority</w:t>
      </w:r>
    </w:p>
    <w:p w14:paraId="0000006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NDDCB</w:t>
      </w:r>
      <w:r>
        <w:rPr>
          <w:rFonts w:ascii="Times New Roman" w:eastAsia="Times New Roman" w:hAnsi="Times New Roman" w:cs="Times New Roman"/>
          <w:sz w:val="24"/>
          <w:szCs w:val="24"/>
        </w:rPr>
        <w:t xml:space="preserve"> – National Dangerous Drugs Control Board</w:t>
      </w:r>
    </w:p>
    <w:p w14:paraId="0000006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NIE</w:t>
      </w:r>
      <w:r>
        <w:rPr>
          <w:rFonts w:ascii="Times New Roman" w:eastAsia="Times New Roman" w:hAnsi="Times New Roman" w:cs="Times New Roman"/>
          <w:sz w:val="24"/>
          <w:szCs w:val="24"/>
        </w:rPr>
        <w:t xml:space="preserve"> – National Institute of Education</w:t>
      </w:r>
    </w:p>
    <w:p w14:paraId="0000006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NGO</w:t>
      </w:r>
      <w:r>
        <w:rPr>
          <w:rFonts w:ascii="Times New Roman" w:eastAsia="Times New Roman" w:hAnsi="Times New Roman" w:cs="Times New Roman"/>
          <w:sz w:val="24"/>
          <w:szCs w:val="24"/>
        </w:rPr>
        <w:t xml:space="preserve"> – Non-governmental Organisations</w:t>
      </w:r>
    </w:p>
    <w:p w14:paraId="0000006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NHSM</w:t>
      </w:r>
      <w:r>
        <w:rPr>
          <w:rFonts w:ascii="Times New Roman" w:eastAsia="Times New Roman" w:hAnsi="Times New Roman" w:cs="Times New Roman"/>
          <w:sz w:val="24"/>
          <w:szCs w:val="24"/>
        </w:rPr>
        <w:t xml:space="preserve"> – National Health Strategic Master Plan</w:t>
      </w:r>
    </w:p>
    <w:p w14:paraId="0000006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NMAC</w:t>
      </w:r>
      <w:r>
        <w:rPr>
          <w:rFonts w:ascii="Times New Roman" w:eastAsia="Times New Roman" w:hAnsi="Times New Roman" w:cs="Times New Roman"/>
          <w:sz w:val="24"/>
          <w:szCs w:val="24"/>
        </w:rPr>
        <w:t xml:space="preserve"> – National Mine Action </w:t>
      </w:r>
      <w:proofErr w:type="spellStart"/>
      <w:r>
        <w:rPr>
          <w:rFonts w:ascii="Times New Roman" w:eastAsia="Times New Roman" w:hAnsi="Times New Roman" w:cs="Times New Roman"/>
          <w:sz w:val="24"/>
          <w:szCs w:val="24"/>
        </w:rPr>
        <w:t>Center</w:t>
      </w:r>
      <w:proofErr w:type="spellEnd"/>
    </w:p>
    <w:p w14:paraId="00000065"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NMPI</w:t>
      </w:r>
      <w:r>
        <w:rPr>
          <w:rFonts w:ascii="Times New Roman" w:eastAsia="Times New Roman" w:hAnsi="Times New Roman" w:cs="Times New Roman"/>
          <w:sz w:val="24"/>
          <w:szCs w:val="24"/>
        </w:rPr>
        <w:t xml:space="preserve"> – National Multidimensional Poverty Index</w:t>
      </w:r>
    </w:p>
    <w:p w14:paraId="00000066"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lastRenderedPageBreak/>
        <w:t>MOD</w:t>
      </w:r>
      <w:r>
        <w:rPr>
          <w:rFonts w:ascii="Times New Roman" w:eastAsia="Times New Roman" w:hAnsi="Times New Roman" w:cs="Times New Roman"/>
          <w:sz w:val="24"/>
          <w:szCs w:val="24"/>
        </w:rPr>
        <w:t xml:space="preserve"> – Ministry of Defence</w:t>
      </w:r>
    </w:p>
    <w:p w14:paraId="0000006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NMPI</w:t>
      </w:r>
      <w:r>
        <w:rPr>
          <w:rFonts w:ascii="Times New Roman" w:eastAsia="Times New Roman" w:hAnsi="Times New Roman" w:cs="Times New Roman"/>
          <w:sz w:val="24"/>
          <w:szCs w:val="24"/>
        </w:rPr>
        <w:t xml:space="preserve"> – National Multidimensional Poverty Index</w:t>
      </w:r>
    </w:p>
    <w:p w14:paraId="0000006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NPGEWE</w:t>
      </w:r>
      <w:r>
        <w:rPr>
          <w:rFonts w:ascii="Times New Roman" w:eastAsia="Times New Roman" w:hAnsi="Times New Roman" w:cs="Times New Roman"/>
          <w:sz w:val="24"/>
          <w:szCs w:val="24"/>
        </w:rPr>
        <w:t xml:space="preserve"> – National Policy on Gender Equality and Women’s Empowerment</w:t>
      </w:r>
    </w:p>
    <w:p w14:paraId="0000006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NPECCDP</w:t>
      </w:r>
      <w:r>
        <w:rPr>
          <w:rFonts w:ascii="Times New Roman" w:eastAsia="Times New Roman" w:hAnsi="Times New Roman" w:cs="Times New Roman"/>
          <w:sz w:val="24"/>
          <w:szCs w:val="24"/>
        </w:rPr>
        <w:t xml:space="preserve"> – National Policy on Early Childhood Care and Development</w:t>
      </w:r>
    </w:p>
    <w:p w14:paraId="0000006A"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NPECL</w:t>
      </w:r>
      <w:r>
        <w:rPr>
          <w:rFonts w:ascii="Times New Roman" w:eastAsia="Times New Roman" w:hAnsi="Times New Roman" w:cs="Times New Roman"/>
          <w:sz w:val="24"/>
          <w:szCs w:val="24"/>
        </w:rPr>
        <w:t xml:space="preserve"> – National Policy on Elimination of Child Labour</w:t>
      </w:r>
    </w:p>
    <w:p w14:paraId="0000006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NSPAYH</w:t>
      </w:r>
      <w:r>
        <w:rPr>
          <w:rFonts w:ascii="Times New Roman" w:eastAsia="Times New Roman" w:hAnsi="Times New Roman" w:cs="Times New Roman"/>
          <w:sz w:val="24"/>
          <w:szCs w:val="24"/>
        </w:rPr>
        <w:t xml:space="preserve"> – National Strategic Plan on Adolescent and Youth Health</w:t>
      </w:r>
    </w:p>
    <w:p w14:paraId="0000006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NSPCH</w:t>
      </w:r>
      <w:r>
        <w:rPr>
          <w:rFonts w:ascii="Times New Roman" w:eastAsia="Times New Roman" w:hAnsi="Times New Roman" w:cs="Times New Roman"/>
          <w:sz w:val="24"/>
          <w:szCs w:val="24"/>
        </w:rPr>
        <w:t xml:space="preserve"> – National Strategic Plan on Child Health</w:t>
      </w:r>
    </w:p>
    <w:p w14:paraId="0000006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NSPD</w:t>
      </w:r>
      <w:r>
        <w:rPr>
          <w:rFonts w:ascii="Times New Roman" w:eastAsia="Times New Roman" w:hAnsi="Times New Roman" w:cs="Times New Roman"/>
          <w:sz w:val="24"/>
          <w:szCs w:val="24"/>
        </w:rPr>
        <w:t xml:space="preserve"> – National Secretariat for Persons With Disabilities</w:t>
      </w:r>
    </w:p>
    <w:p w14:paraId="0000006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NSECD</w:t>
      </w:r>
      <w:r>
        <w:rPr>
          <w:rFonts w:ascii="Times New Roman" w:eastAsia="Times New Roman" w:hAnsi="Times New Roman" w:cs="Times New Roman"/>
          <w:sz w:val="24"/>
          <w:szCs w:val="24"/>
        </w:rPr>
        <w:t xml:space="preserve"> – National Secretariat for Early Childhood Development</w:t>
      </w:r>
    </w:p>
    <w:p w14:paraId="0000006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NSPMNH</w:t>
      </w:r>
      <w:r>
        <w:rPr>
          <w:rFonts w:ascii="Times New Roman" w:eastAsia="Times New Roman" w:hAnsi="Times New Roman" w:cs="Times New Roman"/>
          <w:sz w:val="24"/>
          <w:szCs w:val="24"/>
        </w:rPr>
        <w:t xml:space="preserve"> – National Strategic Plan on Maternal and Newborn Health</w:t>
      </w:r>
    </w:p>
    <w:p w14:paraId="0000007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OIC</w:t>
      </w:r>
      <w:r>
        <w:rPr>
          <w:rFonts w:ascii="Times New Roman" w:eastAsia="Times New Roman" w:hAnsi="Times New Roman" w:cs="Times New Roman"/>
          <w:sz w:val="24"/>
          <w:szCs w:val="24"/>
        </w:rPr>
        <w:t xml:space="preserve"> – Officers-in-Charge</w:t>
      </w:r>
    </w:p>
    <w:p w14:paraId="0000007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OMP</w:t>
      </w:r>
      <w:r>
        <w:rPr>
          <w:rFonts w:ascii="Times New Roman" w:eastAsia="Times New Roman" w:hAnsi="Times New Roman" w:cs="Times New Roman"/>
          <w:sz w:val="24"/>
          <w:szCs w:val="24"/>
        </w:rPr>
        <w:t xml:space="preserve"> – Office on Missing Persons</w:t>
      </w:r>
    </w:p>
    <w:p w14:paraId="0000007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PDPA</w:t>
      </w:r>
      <w:r>
        <w:rPr>
          <w:rFonts w:ascii="Times New Roman" w:eastAsia="Times New Roman" w:hAnsi="Times New Roman" w:cs="Times New Roman"/>
          <w:sz w:val="24"/>
          <w:szCs w:val="24"/>
        </w:rPr>
        <w:t xml:space="preserve"> – Personal Data Protection Act</w:t>
      </w:r>
    </w:p>
    <w:p w14:paraId="0000007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w:t>
      </w:r>
      <w:r>
        <w:rPr>
          <w:rFonts w:ascii="Times New Roman" w:eastAsia="Times New Roman" w:hAnsi="Times New Roman" w:cs="Times New Roman"/>
          <w:sz w:val="24"/>
          <w:szCs w:val="24"/>
        </w:rPr>
        <w:t xml:space="preserve"> – Probation Officer</w:t>
      </w:r>
    </w:p>
    <w:p w14:paraId="0000007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PTA</w:t>
      </w:r>
      <w:r>
        <w:rPr>
          <w:rFonts w:ascii="Times New Roman" w:eastAsia="Times New Roman" w:hAnsi="Times New Roman" w:cs="Times New Roman"/>
          <w:sz w:val="24"/>
          <w:szCs w:val="24"/>
        </w:rPr>
        <w:t xml:space="preserve"> – Prevention of Terrorism Act</w:t>
      </w:r>
    </w:p>
    <w:p w14:paraId="0000007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SC</w:t>
      </w:r>
      <w:r>
        <w:rPr>
          <w:rFonts w:ascii="Times New Roman" w:eastAsia="Times New Roman" w:hAnsi="Times New Roman" w:cs="Times New Roman"/>
          <w:sz w:val="24"/>
          <w:szCs w:val="24"/>
        </w:rPr>
        <w:t xml:space="preserve"> – Supreme Court</w:t>
      </w:r>
    </w:p>
    <w:p w14:paraId="0000007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SGBV</w:t>
      </w:r>
      <w:r>
        <w:rPr>
          <w:rFonts w:ascii="Times New Roman" w:eastAsia="Times New Roman" w:hAnsi="Times New Roman" w:cs="Times New Roman"/>
          <w:sz w:val="24"/>
          <w:szCs w:val="24"/>
        </w:rPr>
        <w:t xml:space="preserve"> – Sexual and Gender Based Violence</w:t>
      </w:r>
    </w:p>
    <w:p w14:paraId="0000007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SESIP</w:t>
      </w:r>
      <w:r>
        <w:rPr>
          <w:rFonts w:ascii="Times New Roman" w:eastAsia="Times New Roman" w:hAnsi="Times New Roman" w:cs="Times New Roman"/>
          <w:sz w:val="24"/>
          <w:szCs w:val="24"/>
        </w:rPr>
        <w:t xml:space="preserve"> – Secondary Education Sector Improvement Programme</w:t>
      </w:r>
    </w:p>
    <w:p w14:paraId="0000007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SLSI</w:t>
      </w:r>
      <w:r>
        <w:rPr>
          <w:rFonts w:ascii="Times New Roman" w:eastAsia="Times New Roman" w:hAnsi="Times New Roman" w:cs="Times New Roman"/>
          <w:sz w:val="24"/>
          <w:szCs w:val="24"/>
        </w:rPr>
        <w:t xml:space="preserve"> – Sri Lanka Standards Institution</w:t>
      </w:r>
    </w:p>
    <w:p w14:paraId="0000007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SLBFE</w:t>
      </w:r>
      <w:r>
        <w:rPr>
          <w:rFonts w:ascii="Times New Roman" w:eastAsia="Times New Roman" w:hAnsi="Times New Roman" w:cs="Times New Roman"/>
          <w:sz w:val="24"/>
          <w:szCs w:val="24"/>
        </w:rPr>
        <w:t xml:space="preserve"> – Sri Lanka Bureau of Foreign Employment</w:t>
      </w:r>
    </w:p>
    <w:p w14:paraId="0000007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SOP</w:t>
      </w:r>
      <w:r>
        <w:rPr>
          <w:rFonts w:ascii="Times New Roman" w:eastAsia="Times New Roman" w:hAnsi="Times New Roman" w:cs="Times New Roman"/>
          <w:sz w:val="24"/>
          <w:szCs w:val="24"/>
        </w:rPr>
        <w:t xml:space="preserve"> – Standard Operating Procedure</w:t>
      </w:r>
    </w:p>
    <w:p w14:paraId="0000007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STMC</w:t>
      </w:r>
      <w:r>
        <w:rPr>
          <w:rFonts w:ascii="Times New Roman" w:eastAsia="Times New Roman" w:hAnsi="Times New Roman" w:cs="Times New Roman"/>
          <w:sz w:val="24"/>
          <w:szCs w:val="24"/>
        </w:rPr>
        <w:t xml:space="preserve"> – Science, Technology, Mathematics and Commerce</w:t>
      </w:r>
    </w:p>
    <w:p w14:paraId="0000007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TFSGBV</w:t>
      </w:r>
      <w:r>
        <w:rPr>
          <w:rFonts w:ascii="Times New Roman" w:eastAsia="Times New Roman" w:hAnsi="Times New Roman" w:cs="Times New Roman"/>
          <w:sz w:val="24"/>
          <w:szCs w:val="24"/>
        </w:rPr>
        <w:t xml:space="preserve"> – Technology Facilitated Sexual and Gender Based Violence</w:t>
      </w:r>
    </w:p>
    <w:p w14:paraId="0000007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TIP</w:t>
      </w:r>
      <w:r>
        <w:rPr>
          <w:rFonts w:ascii="Times New Roman" w:eastAsia="Times New Roman" w:hAnsi="Times New Roman" w:cs="Times New Roman"/>
          <w:sz w:val="24"/>
          <w:szCs w:val="24"/>
        </w:rPr>
        <w:t xml:space="preserve"> – Trafficking in Persons</w:t>
      </w:r>
    </w:p>
    <w:p w14:paraId="0000007E"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TOT</w:t>
      </w:r>
      <w:r>
        <w:rPr>
          <w:rFonts w:ascii="Times New Roman" w:eastAsia="Times New Roman" w:hAnsi="Times New Roman" w:cs="Times New Roman"/>
          <w:sz w:val="24"/>
          <w:szCs w:val="24"/>
        </w:rPr>
        <w:t xml:space="preserve"> – Training of Trainers</w:t>
      </w:r>
    </w:p>
    <w:p w14:paraId="0000007F"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TRCSL</w:t>
      </w:r>
      <w:r>
        <w:rPr>
          <w:rFonts w:ascii="Times New Roman" w:eastAsia="Times New Roman" w:hAnsi="Times New Roman" w:cs="Times New Roman"/>
          <w:sz w:val="24"/>
          <w:szCs w:val="24"/>
        </w:rPr>
        <w:t xml:space="preserve"> – Telecommunications Regulatory Commission of Sri Lanka</w:t>
      </w:r>
    </w:p>
    <w:p w14:paraId="00000080"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UNCRPD</w:t>
      </w:r>
      <w:r>
        <w:rPr>
          <w:rFonts w:ascii="Times New Roman" w:eastAsia="Times New Roman" w:hAnsi="Times New Roman" w:cs="Times New Roman"/>
          <w:sz w:val="24"/>
          <w:szCs w:val="24"/>
        </w:rPr>
        <w:t xml:space="preserve"> – United Nations Convention on the Rights of Persons with Disabilities</w:t>
      </w:r>
    </w:p>
    <w:p w14:paraId="0000008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UNCAC</w:t>
      </w:r>
      <w:r>
        <w:rPr>
          <w:rFonts w:ascii="Times New Roman" w:eastAsia="Times New Roman" w:hAnsi="Times New Roman" w:cs="Times New Roman"/>
          <w:sz w:val="24"/>
          <w:szCs w:val="24"/>
        </w:rPr>
        <w:t xml:space="preserve"> – UN Convention Against Corruption</w:t>
      </w:r>
    </w:p>
    <w:p w14:paraId="0000008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UNDP</w:t>
      </w:r>
      <w:r>
        <w:rPr>
          <w:rFonts w:ascii="Times New Roman" w:eastAsia="Times New Roman" w:hAnsi="Times New Roman" w:cs="Times New Roman"/>
          <w:sz w:val="24"/>
          <w:szCs w:val="24"/>
        </w:rPr>
        <w:t xml:space="preserve"> – United Nations Development Programme</w:t>
      </w:r>
    </w:p>
    <w:p w14:paraId="00000083"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UNFPA</w:t>
      </w:r>
      <w:r>
        <w:rPr>
          <w:rFonts w:ascii="Times New Roman" w:eastAsia="Times New Roman" w:hAnsi="Times New Roman" w:cs="Times New Roman"/>
          <w:sz w:val="24"/>
          <w:szCs w:val="24"/>
        </w:rPr>
        <w:t xml:space="preserve"> – United Nations Population Fund</w:t>
      </w:r>
    </w:p>
    <w:p w14:paraId="00000084"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UNICEF</w:t>
      </w:r>
      <w:r>
        <w:rPr>
          <w:rFonts w:ascii="Times New Roman" w:eastAsia="Times New Roman" w:hAnsi="Times New Roman" w:cs="Times New Roman"/>
          <w:sz w:val="24"/>
          <w:szCs w:val="24"/>
        </w:rPr>
        <w:t xml:space="preserve"> – United Nations Children’s Fund</w:t>
      </w:r>
    </w:p>
    <w:p w14:paraId="00000085"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UNOCHA</w:t>
      </w:r>
      <w:r>
        <w:rPr>
          <w:rFonts w:ascii="Times New Roman" w:eastAsia="Times New Roman" w:hAnsi="Times New Roman" w:cs="Times New Roman"/>
          <w:sz w:val="24"/>
          <w:szCs w:val="24"/>
        </w:rPr>
        <w:t xml:space="preserve"> – United Nations Office for the Coordination of Humanitarian Affairs</w:t>
      </w:r>
    </w:p>
    <w:p w14:paraId="00000086"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UNODC</w:t>
      </w:r>
      <w:r>
        <w:rPr>
          <w:rFonts w:ascii="Times New Roman" w:eastAsia="Times New Roman" w:hAnsi="Times New Roman" w:cs="Times New Roman"/>
          <w:sz w:val="24"/>
          <w:szCs w:val="24"/>
        </w:rPr>
        <w:t xml:space="preserve"> – United Nations Office on Drugs and Crime</w:t>
      </w:r>
    </w:p>
    <w:p w14:paraId="00000087"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UPR</w:t>
      </w:r>
      <w:r>
        <w:rPr>
          <w:rFonts w:ascii="Times New Roman" w:eastAsia="Times New Roman" w:hAnsi="Times New Roman" w:cs="Times New Roman"/>
          <w:sz w:val="24"/>
          <w:szCs w:val="24"/>
        </w:rPr>
        <w:t xml:space="preserve"> – Universal Periodic Review</w:t>
      </w:r>
    </w:p>
    <w:p w14:paraId="00000088"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VPN</w:t>
      </w:r>
      <w:r>
        <w:rPr>
          <w:rFonts w:ascii="Times New Roman" w:eastAsia="Times New Roman" w:hAnsi="Times New Roman" w:cs="Times New Roman"/>
          <w:sz w:val="24"/>
          <w:szCs w:val="24"/>
        </w:rPr>
        <w:t xml:space="preserve"> – Virtual Private Network</w:t>
      </w:r>
    </w:p>
    <w:p w14:paraId="00000089"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WCB</w:t>
      </w:r>
      <w:r>
        <w:rPr>
          <w:rFonts w:ascii="Times New Roman" w:eastAsia="Times New Roman" w:hAnsi="Times New Roman" w:cs="Times New Roman"/>
          <w:sz w:val="24"/>
          <w:szCs w:val="24"/>
        </w:rPr>
        <w:t xml:space="preserve"> – Women and Children Bureau</w:t>
      </w:r>
    </w:p>
    <w:p w14:paraId="0000008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WCD</w:t>
      </w:r>
      <w:r>
        <w:rPr>
          <w:rFonts w:ascii="Times New Roman" w:eastAsia="Times New Roman" w:hAnsi="Times New Roman" w:cs="Times New Roman"/>
          <w:sz w:val="24"/>
          <w:szCs w:val="24"/>
        </w:rPr>
        <w:t xml:space="preserve"> – Women and Child Desks</w:t>
      </w:r>
    </w:p>
    <w:p w14:paraId="0000008B"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WHO</w:t>
      </w:r>
      <w:r>
        <w:rPr>
          <w:rFonts w:ascii="Times New Roman" w:eastAsia="Times New Roman" w:hAnsi="Times New Roman" w:cs="Times New Roman"/>
          <w:sz w:val="24"/>
          <w:szCs w:val="24"/>
        </w:rPr>
        <w:t xml:space="preserve"> – World Health Organisation</w:t>
      </w:r>
    </w:p>
    <w:p w14:paraId="0000008C"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8D" w14:textId="77777777" w:rsidR="00A3739D" w:rsidRDefault="00A3739D">
      <w:pPr>
        <w:pStyle w:val="Heading1"/>
        <w:ind w:left="0" w:right="909" w:firstLine="0"/>
      </w:pPr>
      <w:bookmarkStart w:id="4" w:name="_heading=h.n8txz07jv4ql" w:colFirst="0" w:colLast="0"/>
      <w:bookmarkEnd w:id="4"/>
    </w:p>
    <w:p w14:paraId="0000008E" w14:textId="77777777" w:rsidR="00A3739D" w:rsidRDefault="008D1A07">
      <w:pPr>
        <w:pStyle w:val="Heading1"/>
        <w:ind w:left="0" w:right="909" w:firstLine="0"/>
      </w:pPr>
      <w:bookmarkStart w:id="5" w:name="_heading=h.3zh04moz5mt" w:colFirst="0" w:colLast="0"/>
      <w:bookmarkEnd w:id="5"/>
      <w:r>
        <w:br w:type="page"/>
      </w:r>
    </w:p>
    <w:p w14:paraId="0000008F" w14:textId="77777777" w:rsidR="00A3739D" w:rsidRDefault="008D1A07">
      <w:pPr>
        <w:pStyle w:val="Heading1"/>
        <w:ind w:left="0" w:right="909" w:firstLine="0"/>
      </w:pPr>
      <w:bookmarkStart w:id="6" w:name="_heading=h.k4qh6ew4epl" w:colFirst="0" w:colLast="0"/>
      <w:bookmarkEnd w:id="6"/>
      <w:r>
        <w:lastRenderedPageBreak/>
        <w:t>Introduction</w:t>
      </w:r>
    </w:p>
    <w:p w14:paraId="0000009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7" w:name="_heading=h.3j2qqm3" w:colFirst="0" w:colLast="0"/>
      <w:bookmarkEnd w:id="7"/>
      <w:r>
        <w:rPr>
          <w:rFonts w:ascii="Times New Roman" w:eastAsia="Times New Roman" w:hAnsi="Times New Roman" w:cs="Times New Roman"/>
          <w:sz w:val="24"/>
          <w:szCs w:val="24"/>
        </w:rPr>
        <w:t xml:space="preserve">This is the seventh periodic report of the Government of Sri Lanka (GoSL) submitted in accordance with Article 44 of the Convention on the Rights of the Child (CRC), on the measures taken to give effect to its obligations under the CRC. This report covers the period from March 2018 to July 2025. It focuses primarily on the Concluding Observations made by the Committee (CRC/C/LKA/CO/5-6) following the review of the combined fifth and sixth periodic report of Sri Lanka (CRC/C/LKA/5-6) submitted by the GoSL in 2016 and reviewed by the Committee in 2018. The report will follow the recommendations in the sequence in which they have been set out in the Concluding Observations. The report also includes significant new initiatives and developments that are not directly relevant to the Concluding Observations. </w:t>
      </w:r>
    </w:p>
    <w:p w14:paraId="0000009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92"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bookmarkStart w:id="8" w:name="_heading=h.jv8qe8n04uo9" w:colFirst="0" w:colLast="0"/>
      <w:bookmarkEnd w:id="8"/>
      <w:r>
        <w:rPr>
          <w:rFonts w:ascii="Times New Roman" w:eastAsia="Times New Roman" w:hAnsi="Times New Roman" w:cs="Times New Roman"/>
          <w:sz w:val="24"/>
          <w:szCs w:val="24"/>
        </w:rPr>
        <w:t>The period under reference posed unprecedented challenges for Sri Lanka including the COVID-19 pandemic, Easter Sunday terror attacks (April 2019), and global crises that led to unprecedented socio-economic challenges in the country, particularly in the year 2022. However, the Government took all necessary actions to mitigate the effects of these challenges on the education of children. With the aim of promoting online education during lockdowns, computers and laptops were distributed by the Government among school children and children living in the Childcare Institutions island wide. The MOE introduced an online application system for the Ordinary Level and Advanced Level examinations.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Government instructed students to use the admission card as the travel pass for the students facing examinations during lockdowns and arranged special transport services for them.</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With these efforts, the right to education of children in Sri Lanka was upheld with minimum disruption and the introduction of e-learning methods enabled them to navigate new learning tools that are more efficient and effective.</w:t>
      </w:r>
    </w:p>
    <w:p w14:paraId="00000093"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9" w:name="_heading=h.siv6cinxd2xi" w:colFirst="0" w:colLast="0"/>
      <w:bookmarkEnd w:id="9"/>
    </w:p>
    <w:p w14:paraId="0000009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w:t>
      </w:r>
      <w:r>
        <w:rPr>
          <w:rFonts w:ascii="Times New Roman" w:eastAsia="Times New Roman" w:hAnsi="Times New Roman" w:cs="Times New Roman"/>
          <w:sz w:val="24"/>
          <w:szCs w:val="24"/>
          <w:highlight w:val="white"/>
        </w:rPr>
        <w:t>Sri Lanka experiencing its most challenging period in recent times, as a result of the 2022 economic crisis amidst unprecedented global crises, in overcoming these challenges, the Government ensured that Sri Lanka’s democratic traditions and institutions remained stable.</w:t>
      </w:r>
    </w:p>
    <w:p w14:paraId="00000095" w14:textId="77777777" w:rsidR="00A3739D" w:rsidRDefault="00A3739D">
      <w:pPr>
        <w:spacing w:after="0" w:line="360" w:lineRule="auto"/>
        <w:ind w:right="909"/>
        <w:jc w:val="both"/>
        <w:rPr>
          <w:rFonts w:ascii="Times New Roman" w:eastAsia="Times New Roman" w:hAnsi="Times New Roman" w:cs="Times New Roman"/>
          <w:sz w:val="24"/>
          <w:szCs w:val="24"/>
          <w:highlight w:val="white"/>
        </w:rPr>
      </w:pPr>
    </w:p>
    <w:p w14:paraId="00000096"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The GoSL has succeeded in ensuring Sri Lanka’s economic revitalization, while addressing the underlying fiscal and financial governance issues on a priority basis. Inflation has dramatically decreased to one digit. The exchange rate has shown positive movement. Tourist arrivals have increased exponentially. Foreign remittances have revived, and shortages of essential items, fuel and medicine have been overcome. Sri Lanka is witnessing the stabilising outcomes of the economic reforms undertaken with the support of the IMF and the revival of confidence internally and externally in the progress of the country.</w:t>
      </w:r>
    </w:p>
    <w:p w14:paraId="00000097" w14:textId="77777777" w:rsidR="00A3739D" w:rsidRDefault="00A3739D">
      <w:pPr>
        <w:spacing w:after="0" w:line="360" w:lineRule="auto"/>
        <w:ind w:right="909"/>
        <w:jc w:val="both"/>
        <w:rPr>
          <w:rFonts w:ascii="Times New Roman" w:eastAsia="Times New Roman" w:hAnsi="Times New Roman" w:cs="Times New Roman"/>
          <w:sz w:val="24"/>
          <w:szCs w:val="24"/>
          <w:highlight w:val="white"/>
        </w:rPr>
      </w:pPr>
    </w:p>
    <w:p w14:paraId="00000098"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Following a free, fair, and peaceful election and a dignified power transition in keeping with our decades of democratic practice, President Anura Kumara </w:t>
      </w:r>
      <w:proofErr w:type="spellStart"/>
      <w:r>
        <w:rPr>
          <w:rFonts w:ascii="Times New Roman" w:eastAsia="Times New Roman" w:hAnsi="Times New Roman" w:cs="Times New Roman"/>
          <w:sz w:val="24"/>
          <w:szCs w:val="24"/>
          <w:highlight w:val="white"/>
        </w:rPr>
        <w:t>Disanayaka</w:t>
      </w:r>
      <w:proofErr w:type="spellEnd"/>
      <w:r>
        <w:rPr>
          <w:rFonts w:ascii="Times New Roman" w:eastAsia="Times New Roman" w:hAnsi="Times New Roman" w:cs="Times New Roman"/>
          <w:sz w:val="24"/>
          <w:szCs w:val="24"/>
          <w:highlight w:val="white"/>
        </w:rPr>
        <w:t xml:space="preserve"> was sworn in as Sri Lanka’s 9th Executive President on 23 September 2024. According to the relevant constitutional procedures, the Parliamentary Election was held 14 November 2024. The current Parliament which was formed after the election is one of the most inclusive in our history, with a record number of women representatives of different communities including from the </w:t>
      </w:r>
      <w:proofErr w:type="spellStart"/>
      <w:r>
        <w:rPr>
          <w:rFonts w:ascii="Times New Roman" w:eastAsia="Times New Roman" w:hAnsi="Times New Roman" w:cs="Times New Roman"/>
          <w:sz w:val="24"/>
          <w:szCs w:val="24"/>
          <w:highlight w:val="white"/>
        </w:rPr>
        <w:t>Malayaga</w:t>
      </w:r>
      <w:proofErr w:type="spellEnd"/>
      <w:r>
        <w:rPr>
          <w:rFonts w:ascii="Times New Roman" w:eastAsia="Times New Roman" w:hAnsi="Times New Roman" w:cs="Times New Roman"/>
          <w:sz w:val="24"/>
          <w:szCs w:val="24"/>
          <w:highlight w:val="white"/>
        </w:rPr>
        <w:t xml:space="preserve"> community and a visually impaired person being part of the Legislature of the country.</w:t>
      </w:r>
    </w:p>
    <w:p w14:paraId="00000099" w14:textId="77777777" w:rsidR="00A3739D" w:rsidRDefault="00A3739D">
      <w:pPr>
        <w:spacing w:after="0" w:line="360" w:lineRule="auto"/>
        <w:ind w:right="909"/>
        <w:jc w:val="both"/>
        <w:rPr>
          <w:rFonts w:ascii="Times New Roman" w:eastAsia="Times New Roman" w:hAnsi="Times New Roman" w:cs="Times New Roman"/>
          <w:sz w:val="24"/>
          <w:szCs w:val="24"/>
          <w:highlight w:val="white"/>
        </w:rPr>
      </w:pPr>
    </w:p>
    <w:p w14:paraId="0000009A"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GoSL’s National Policy Framework for 2025, titled “A Thriving Nation, A Beautiful Life”,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includes strategic priorities with regard to children such as revising discriminatory laws that oppress women and children; strengthening and implementation of laws and policies for the prevention of women and child abuse; amending existing laws and formulating and implementing new laws and policies to prevent discrimination against women on the basis of sex and gender; development and implementation of programmes and projects in line with international standards to protect the rights of vulnerable children; implementation of the Children’s Charter; regulating child care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implementation of the foster parent scheme titled “</w:t>
      </w:r>
      <w:proofErr w:type="spellStart"/>
      <w:r>
        <w:rPr>
          <w:rFonts w:ascii="Times New Roman" w:eastAsia="Times New Roman" w:hAnsi="Times New Roman" w:cs="Times New Roman"/>
          <w:sz w:val="24"/>
          <w:szCs w:val="24"/>
        </w:rPr>
        <w:t>SewanaSarana</w:t>
      </w:r>
      <w:proofErr w:type="spellEnd"/>
      <w:r>
        <w:rPr>
          <w:rFonts w:ascii="Times New Roman" w:eastAsia="Times New Roman" w:hAnsi="Times New Roman" w:cs="Times New Roman"/>
          <w:sz w:val="24"/>
          <w:szCs w:val="24"/>
        </w:rPr>
        <w:t>”; providing financial assistance for developing the skills of exceptionally talented children, to name a few.</w:t>
      </w:r>
    </w:p>
    <w:p w14:paraId="0000009B"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9C"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his speech for Children’s Day in 2024, President Anura Kumara Dissanayake reiterated that “Our mission in this renaissance era is to free children from harmful prejudices and social effects, and the pressures of exam-focused education, which hinder </w:t>
      </w:r>
      <w:r>
        <w:rPr>
          <w:rFonts w:ascii="Times New Roman" w:eastAsia="Times New Roman" w:hAnsi="Times New Roman" w:cs="Times New Roman"/>
          <w:sz w:val="24"/>
          <w:szCs w:val="24"/>
          <w:highlight w:val="white"/>
        </w:rPr>
        <w:lastRenderedPageBreak/>
        <w:t>their psychosocial development. We aim to reclaim the joyful, carefree childhood that every child deserves.”</w:t>
      </w:r>
      <w:r>
        <w:rPr>
          <w:rFonts w:ascii="Times New Roman" w:eastAsia="Times New Roman" w:hAnsi="Times New Roman" w:cs="Times New Roman"/>
          <w:sz w:val="24"/>
          <w:szCs w:val="24"/>
          <w:highlight w:val="white"/>
          <w:vertAlign w:val="superscript"/>
        </w:rPr>
        <w:footnoteReference w:id="4"/>
      </w:r>
    </w:p>
    <w:p w14:paraId="0000009D" w14:textId="77777777" w:rsidR="00A3739D" w:rsidRDefault="00A3739D">
      <w:pPr>
        <w:spacing w:after="0" w:line="360" w:lineRule="auto"/>
        <w:ind w:right="909"/>
        <w:jc w:val="both"/>
        <w:rPr>
          <w:rFonts w:ascii="Times New Roman" w:eastAsia="Times New Roman" w:hAnsi="Times New Roman" w:cs="Times New Roman"/>
          <w:sz w:val="24"/>
          <w:szCs w:val="24"/>
          <w:highlight w:val="white"/>
        </w:rPr>
      </w:pPr>
    </w:p>
    <w:p w14:paraId="0000009E" w14:textId="77777777" w:rsidR="00A3739D" w:rsidRDefault="008D1A07">
      <w:pPr>
        <w:pStyle w:val="Heading1"/>
        <w:numPr>
          <w:ilvl w:val="0"/>
          <w:numId w:val="2"/>
        </w:numPr>
        <w:ind w:left="0" w:right="909" w:firstLine="0"/>
      </w:pPr>
      <w:r>
        <w:t xml:space="preserve"> General measures of implementation (Arts. 4, 42 and 44 (6))</w:t>
      </w:r>
    </w:p>
    <w:p w14:paraId="0000009F" w14:textId="77777777" w:rsidR="00A3739D" w:rsidRDefault="008D1A07">
      <w:pPr>
        <w:pStyle w:val="Heading2"/>
      </w:pPr>
      <w:bookmarkStart w:id="10" w:name="_heading=h.d15rejzf477q" w:colFirst="0" w:colLast="0"/>
      <w:bookmarkEnd w:id="10"/>
      <w:r>
        <w:t>Legislation (paragraph 5)</w:t>
      </w:r>
    </w:p>
    <w:p w14:paraId="000000A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A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Children and Young Persons (Amendment) Act, No. 39 of 2022 has eliminated the distinction between a child and a young person, and identifies every person under the age of 18 years as a child.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Act came into force on 1 January 2024. </w:t>
      </w:r>
    </w:p>
    <w:p w14:paraId="000000A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A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Women’s Empowerment Act, No. 37 of 2024</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marks a significant step in Sri Lanka’s commitment to fulfilling its obligations under the CEDAW Convention, with important implications for children as well. The interpretation of women’s rights in the Women Empowerment Act refers to the goals described in CEDAW, such as formally recognising women’s rights to equality and non-discrimination.</w:t>
      </w:r>
    </w:p>
    <w:p w14:paraId="000000A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A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Kandyan Marriage and Divorce (Amendment) Act No. 37 of 2022</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increased the minimum age of marriage for </w:t>
      </w:r>
      <w:proofErr w:type="spellStart"/>
      <w:r>
        <w:rPr>
          <w:rFonts w:ascii="Times New Roman" w:eastAsia="Times New Roman" w:hAnsi="Times New Roman" w:cs="Times New Roman"/>
          <w:sz w:val="24"/>
          <w:szCs w:val="24"/>
        </w:rPr>
        <w:t>Kandyans</w:t>
      </w:r>
      <w:proofErr w:type="spellEnd"/>
      <w:r>
        <w:rPr>
          <w:rFonts w:ascii="Times New Roman" w:eastAsia="Times New Roman" w:hAnsi="Times New Roman" w:cs="Times New Roman"/>
          <w:sz w:val="24"/>
          <w:szCs w:val="24"/>
        </w:rPr>
        <w:t xml:space="preserve"> from 16 to 18 years. In respect of Kandyan Marriage, under the present law, a minor cannot be married, even with the consent of the parent/guardian of such minor.</w:t>
      </w:r>
    </w:p>
    <w:p w14:paraId="000000A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A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1" w:name="_heading=h.1y810tw" w:colFirst="0" w:colLast="0"/>
      <w:bookmarkEnd w:id="11"/>
      <w:r>
        <w:rPr>
          <w:rFonts w:ascii="Times New Roman" w:eastAsia="Times New Roman" w:hAnsi="Times New Roman" w:cs="Times New Roman"/>
          <w:sz w:val="24"/>
          <w:szCs w:val="24"/>
        </w:rPr>
        <w:t xml:space="preserve"> The Penal Code (Amendment) Act, No. 10 of 2018</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raised the age of criminal responsibility from 8 to 12 years. </w:t>
      </w:r>
      <w:r>
        <w:rPr>
          <w:rFonts w:ascii="Times New Roman" w:eastAsia="Times New Roman" w:hAnsi="Times New Roman" w:cs="Times New Roman"/>
          <w:sz w:val="24"/>
          <w:szCs w:val="24"/>
          <w:highlight w:val="white"/>
        </w:rPr>
        <w:t xml:space="preserve">This Amendment also provides that in cases where the child is above 12 years and under 14 years, the trial judge would have discretion to determine whether such child has the required degree of cognitive maturity to form the requisite intent or to certain requisite knowledge of the offence. </w:t>
      </w:r>
    </w:p>
    <w:p w14:paraId="000000A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white"/>
        </w:rPr>
      </w:pPr>
      <w:bookmarkStart w:id="12" w:name="_heading=h.f03447z7t4kx" w:colFirst="0" w:colLast="0"/>
      <w:bookmarkEnd w:id="12"/>
    </w:p>
    <w:p w14:paraId="000000A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highlight w:val="white"/>
        </w:rPr>
      </w:pPr>
      <w:bookmarkStart w:id="13" w:name="_heading=h.tnoc1e8h2d3n" w:colFirst="0" w:colLast="0"/>
      <w:bookmarkEnd w:id="13"/>
      <w:r>
        <w:rPr>
          <w:rFonts w:ascii="Times New Roman" w:eastAsia="Times New Roman" w:hAnsi="Times New Roman" w:cs="Times New Roman"/>
          <w:sz w:val="24"/>
          <w:szCs w:val="24"/>
          <w:highlight w:val="white"/>
        </w:rPr>
        <w:t>Following Penal Code (Amendment) Act, No. 25 of 2021, section 53 of the Penal Code was amended to provide that a sentence of death shall not be pronounced against any person who is under the age of 18 at the time of the commission of the offence.</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As per the </w:t>
      </w:r>
      <w:r>
        <w:rPr>
          <w:rFonts w:ascii="Times New Roman" w:eastAsia="Times New Roman" w:hAnsi="Times New Roman" w:cs="Times New Roman"/>
          <w:sz w:val="24"/>
          <w:szCs w:val="24"/>
          <w:highlight w:val="white"/>
        </w:rPr>
        <w:lastRenderedPageBreak/>
        <w:t>new law, the court shall, in lieu of the death penalty, sentence the minor to be detained in an institution established under any written law for the detention of persons under 18, for a period specified in the sentence.</w:t>
      </w:r>
    </w:p>
    <w:p w14:paraId="000000A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14" w:name="_heading=h.wrzqnsa4jky6" w:colFirst="0" w:colLast="0"/>
      <w:bookmarkEnd w:id="14"/>
    </w:p>
    <w:p w14:paraId="000000A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Employment of Women, Young Persons and Children (Amendment) Act, No. 2 of 2021 increased the minimum age of employment from 14 years to 16 years of age. The Hazardous Occupations Regulations No. 01 of 2021 effectively raised the minimum age for domestic work to 18.</w:t>
      </w:r>
    </w:p>
    <w:p w14:paraId="000000A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A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5" w:name="_heading=h.4i7ojhp" w:colFirst="0" w:colLast="0"/>
      <w:bookmarkEnd w:id="15"/>
      <w:r>
        <w:rPr>
          <w:rFonts w:ascii="Times New Roman" w:eastAsia="Times New Roman" w:hAnsi="Times New Roman" w:cs="Times New Roman"/>
          <w:sz w:val="24"/>
          <w:szCs w:val="24"/>
        </w:rPr>
        <w:t xml:space="preserve">Several amendments to the Penal Code have been drafted, such as one which introduces a new strict liability offence for corporal punishment. The Children and Young Persons (Amendment) Act, No. 39 of 2022 </w:t>
      </w:r>
      <w:r>
        <w:rPr>
          <w:rFonts w:ascii="Times New Roman" w:eastAsia="Times New Roman" w:hAnsi="Times New Roman" w:cs="Times New Roman"/>
          <w:sz w:val="24"/>
          <w:szCs w:val="24"/>
          <w:highlight w:val="white"/>
        </w:rPr>
        <w:t>repealed the section of the CYPO which permitted the use of corporal punishment on children and adolescents</w:t>
      </w:r>
      <w:r>
        <w:rPr>
          <w:rFonts w:ascii="Times New Roman" w:eastAsia="Times New Roman" w:hAnsi="Times New Roman" w:cs="Times New Roman"/>
          <w:sz w:val="24"/>
          <w:szCs w:val="24"/>
        </w:rPr>
        <w:t xml:space="preserve">. </w:t>
      </w:r>
    </w:p>
    <w:p w14:paraId="000000A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16" w:name="_heading=h.fm91rxupalzm" w:colFirst="0" w:colLast="0"/>
      <w:bookmarkEnd w:id="16"/>
    </w:p>
    <w:p w14:paraId="000000A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7" w:name="_heading=h.49pva7nv0ilg" w:colFirst="0" w:colLast="0"/>
      <w:bookmarkEnd w:id="17"/>
      <w:r>
        <w:rPr>
          <w:rFonts w:ascii="Times New Roman" w:eastAsia="Times New Roman" w:hAnsi="Times New Roman" w:cs="Times New Roman"/>
          <w:sz w:val="24"/>
          <w:szCs w:val="24"/>
        </w:rPr>
        <w:t xml:space="preserve">A committee has been appointed by the Social Services Department of the </w:t>
      </w:r>
      <w:r>
        <w:rPr>
          <w:rFonts w:ascii="Times New Roman" w:eastAsia="Times New Roman" w:hAnsi="Times New Roman" w:cs="Times New Roman"/>
          <w:sz w:val="24"/>
          <w:szCs w:val="24"/>
          <w:highlight w:val="white"/>
        </w:rPr>
        <w:t>Ministry of Rural Development, Social Security and Community Empowerment</w:t>
      </w:r>
      <w:r>
        <w:rPr>
          <w:rFonts w:ascii="Times New Roman" w:eastAsia="Times New Roman" w:hAnsi="Times New Roman" w:cs="Times New Roman"/>
          <w:sz w:val="24"/>
          <w:szCs w:val="24"/>
        </w:rPr>
        <w:t xml:space="preserve"> to review and suggest amendments or repeal the Vagrant’s Ordinance.</w:t>
      </w:r>
    </w:p>
    <w:p w14:paraId="000000B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18" w:name="_heading=h.wgl5grtyb2qv" w:colFirst="0" w:colLast="0"/>
      <w:bookmarkEnd w:id="18"/>
    </w:p>
    <w:p w14:paraId="000000B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bookmarkStart w:id="19" w:name="_heading=h.k6f0y3rifqsq" w:colFirst="0" w:colLast="0"/>
      <w:bookmarkEnd w:id="19"/>
      <w:r>
        <w:rPr>
          <w:rFonts w:ascii="Times New Roman" w:eastAsia="Times New Roman" w:hAnsi="Times New Roman" w:cs="Times New Roman"/>
          <w:sz w:val="24"/>
          <w:szCs w:val="24"/>
        </w:rPr>
        <w:t>The Assistance to and Protection of Victims of Crime and Witnesses Act, No. 10 of 2023</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which was enacted to protect witnesses and victims of crime, provides several protections for children. It guarantees that when a victim of crime is a child, they must be treated in a manner that ensures their best interests. The Act also allows for special protective measures for child victims or witnesses, which include safeguarding their rights, such as the right to education.</w:t>
      </w:r>
    </w:p>
    <w:p w14:paraId="000000B2"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20" w:name="_heading=h.ova2fk9dzsxe" w:colFirst="0" w:colLast="0"/>
      <w:bookmarkEnd w:id="20"/>
    </w:p>
    <w:p w14:paraId="000000B3"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in proceedings related to sexual offences or violence, the Act permits child victims or witnesses to give evidence or make statements through contemporaneous audio-visual links from a remote location, removing the need for personal attendance in court or before a commission. The Act also identifies a “vulnerable victim or witness” to include any person under eighteen years of age.</w:t>
      </w:r>
    </w:p>
    <w:p w14:paraId="000000B4"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21" w:name="_heading=h.spup2ynsn0ur" w:colFirst="0" w:colLast="0"/>
      <w:bookmarkEnd w:id="21"/>
    </w:p>
    <w:p w14:paraId="000000B5" w14:textId="77777777" w:rsidR="00A3739D" w:rsidRDefault="008D1A07">
      <w:pPr>
        <w:pStyle w:val="Heading2"/>
      </w:pPr>
      <w:bookmarkStart w:id="22" w:name="_heading=h.gavirh2m0dz6" w:colFirst="0" w:colLast="0"/>
      <w:bookmarkEnd w:id="22"/>
      <w:r>
        <w:t>Comprehensive policy and strategy (paragraph 6)</w:t>
      </w:r>
    </w:p>
    <w:p w14:paraId="000000B6"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0B7"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National Plan of Action for Children (2016-2020)</w:t>
      </w:r>
    </w:p>
    <w:p w14:paraId="000000B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of the activities included in the Plan were carried out by the Government and CSOs as part of other policies, plans, and activities. These are detailed as relevant in sections throughout this report. </w:t>
      </w:r>
    </w:p>
    <w:p w14:paraId="000000B9"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BA"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National Child Protection Policy</w:t>
      </w:r>
    </w:p>
    <w:p w14:paraId="000000B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Child Protection Policy (NCPP)</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was approved by the Cabinet of Ministers in 2019. The Policy seeks to provide a conceptual framework for a government-led multi sectoral approach to child protection. </w:t>
      </w:r>
    </w:p>
    <w:p w14:paraId="000000B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BD"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Other Child Related Policies and Strategies</w:t>
      </w:r>
    </w:p>
    <w:p w14:paraId="000000B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reporting period, several new policies and plans of action were introduced. </w:t>
      </w:r>
    </w:p>
    <w:p w14:paraId="000000B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a review of the 2016–2020 Multi-Sectoral Action Plan on Sexual and Gender-Based Violence, the second phase of the Action Plan for 2024–2028 was launched in 2024. The review reported a 70% implementation rate for the first phase. The current Action Plan includes 13 sectors, one of which is specifically dedicated to children. This sector focuses on preventing SGBV through a coordinated, rights-based approach that upholds the best interests of the child.</w:t>
      </w:r>
    </w:p>
    <w:p w14:paraId="000000C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Action Plan on Early Childcare and Development is being prepared and now it is in the Validation Stage.</w:t>
      </w:r>
    </w:p>
    <w:p w14:paraId="000000C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Alternative Care Policy (2019) (NACP),</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which was approved by Cabinet, is based on the United Nations Guidelines on the Alternative Care of Children (resolution A/RES/64/142 of the United Nations General Assembly) and is aligned to the principles of “necessity” and “suitability”. The National Guidelines for Child Day Care Centres in Sri </w:t>
      </w:r>
      <w:r>
        <w:rPr>
          <w:rFonts w:ascii="Times New Roman" w:eastAsia="Times New Roman" w:hAnsi="Times New Roman" w:cs="Times New Roman"/>
          <w:sz w:val="24"/>
          <w:szCs w:val="24"/>
        </w:rPr>
        <w:lastRenderedPageBreak/>
        <w:t>Lanka 2019</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seek to ensure that all daycare centres island wide follow a set of minimum standards. </w:t>
      </w:r>
    </w:p>
    <w:p w14:paraId="000000C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Policy on Elimination of Child Labour (2017) (NPECL) aims to contribute to ending and preventing child labour, with a priority on its worst forms.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 minimum age of employment was raised to 16 and the list of hazardous activities children are prohibited from engaging with was increased under this Policy. </w:t>
      </w:r>
    </w:p>
    <w:p w14:paraId="000000C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0C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of the effective implementation of the National Strategic Plan to Monitor and Combat Human Trafficking (2021–2025)</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Sri Lanka achieved a significant milestone in 2022. The country was promoted from the Tier 2 Watch List to Tier 2 in the United States State Department’s Trafficking in Persons (TIP) Report.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For more details, please refer to the paragraphs below.</w:t>
      </w:r>
      <w:r>
        <w:rPr>
          <w:rFonts w:ascii="Times New Roman" w:eastAsia="Times New Roman" w:hAnsi="Times New Roman" w:cs="Times New Roman"/>
          <w:sz w:val="24"/>
          <w:szCs w:val="24"/>
          <w:vertAlign w:val="superscript"/>
        </w:rPr>
        <w:footnoteReference w:id="17"/>
      </w:r>
    </w:p>
    <w:p w14:paraId="000000C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Policy on Gender Equality and Women’s Empowerment (NPGEWE)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(2023) and the National Action Plan for the Implementation of the UN Security Council Resolution No. 1325 on Women, Peace and Security (2023 - 2027) have been are in the process of being implemented and aim to address the situation of women and girl children.</w:t>
      </w:r>
    </w:p>
    <w:p w14:paraId="000000C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0C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Education Sector Development Plan (2020-2025)</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aims to address gaps and challenges in equity, equality, quality, efficiency, effectiveness, and adequacy and embrace the general education sector with sustained advancements.   </w:t>
      </w:r>
    </w:p>
    <w:p w14:paraId="000000C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C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Policy on Early Childhood Care and Development 2018</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(NPECCDP) focuses on all children in Sri Lanka from conception to 5 years. The National Policy on Preschool Education (2019) is aimed at providing equitable and inclusive learning opportunities for all children aged 3-5 years to develop their full potential.</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National </w:t>
      </w:r>
      <w:r>
        <w:rPr>
          <w:rFonts w:ascii="Times New Roman" w:eastAsia="Times New Roman" w:hAnsi="Times New Roman" w:cs="Times New Roman"/>
          <w:sz w:val="24"/>
          <w:szCs w:val="24"/>
        </w:rPr>
        <w:lastRenderedPageBreak/>
        <w:t>Guidelines on Preschool Health Promotion Setting Development Program</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aims at ensuring preschool children’s health. A 5 year Multisectoral Strategic Action Plan on Early Childhood Care and Development (2025-2029) has been drafted and is to be submitted for Cabinet approval.</w:t>
      </w:r>
    </w:p>
    <w:p w14:paraId="000000C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D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health sector, several Strategic Plans are in operation: National Health Strategic Master Plan for 2016–2025 (NHSM),</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National Strategic Plan on Maternal and Newborn Health for 2017-2025 (NSPMNH),</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National Strategic Plan on Child Health for 2018-2025 (NSPCH), National Strategic Plan on Adolescent and Youth Health for 2018-2025 (NSPAYH).</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Emergency Nutrition Plan 2022-24</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addresses inequities in food access/affordability, health systems gaps, and gaps in communication and empowerment of people towards preventing nutritional problems that are still within their means. </w:t>
      </w:r>
    </w:p>
    <w:p w14:paraId="000000D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D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social empowerment sector, the most significant development is the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Welfare Benefit Scheme which became effective on 1st July 2023 the largest cash transfer scheme in the country’s history. The scheme is described in more detail below.</w:t>
      </w:r>
      <w:r>
        <w:rPr>
          <w:rFonts w:ascii="Times New Roman" w:eastAsia="Times New Roman" w:hAnsi="Times New Roman" w:cs="Times New Roman"/>
          <w:sz w:val="24"/>
          <w:szCs w:val="24"/>
          <w:vertAlign w:val="superscript"/>
        </w:rPr>
        <w:footnoteReference w:id="27"/>
      </w:r>
    </w:p>
    <w:p w14:paraId="000000D3"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23" w:name="_heading=h.kphrb0ntvvas" w:colFirst="0" w:colLast="0"/>
      <w:bookmarkEnd w:id="23"/>
    </w:p>
    <w:p w14:paraId="000000D4" w14:textId="77777777" w:rsidR="00A3739D" w:rsidRDefault="008D1A07">
      <w:pPr>
        <w:pStyle w:val="Heading2"/>
        <w:keepNext/>
        <w:keepLines/>
      </w:pPr>
      <w:bookmarkStart w:id="24" w:name="_heading=h.v68ewrw2a8ks" w:colFirst="0" w:colLast="0"/>
      <w:bookmarkEnd w:id="24"/>
      <w:r>
        <w:t xml:space="preserve">Coordination (paragraph 7) </w:t>
      </w:r>
    </w:p>
    <w:p w14:paraId="000000D5"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0D6"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Coordination of the Sector and the Independence of the NCPA</w:t>
      </w:r>
    </w:p>
    <w:p w14:paraId="000000D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p>
    <w:p w14:paraId="000000D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25" w:name="_heading=h.1rxt6qw064by" w:colFirst="0" w:colLast="0"/>
      <w:bookmarkEnd w:id="25"/>
      <w:r>
        <w:rPr>
          <w:rFonts w:ascii="Times New Roman" w:eastAsia="Times New Roman" w:hAnsi="Times New Roman" w:cs="Times New Roman"/>
          <w:sz w:val="24"/>
          <w:szCs w:val="24"/>
        </w:rPr>
        <w:t>The overall responsibility for coordinating the implementation of the Convention and the Optional Protocols, including the submission of this report, is with the MWCA. The NCPA, DPCCS, NSECD, DOSS and NSPD come under the purview of the MWCA.</w:t>
      </w:r>
    </w:p>
    <w:p w14:paraId="000000D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p>
    <w:p w14:paraId="000000DA" w14:textId="77777777" w:rsidR="00A3739D" w:rsidRDefault="008D1A07">
      <w:pPr>
        <w:pStyle w:val="Heading2"/>
        <w:keepNext/>
        <w:keepLines/>
      </w:pPr>
      <w:bookmarkStart w:id="26" w:name="_heading=h.4puzjqcpqph3" w:colFirst="0" w:colLast="0"/>
      <w:bookmarkEnd w:id="26"/>
      <w:r>
        <w:t>Allocation of resources (paragraph 8)</w:t>
      </w:r>
    </w:p>
    <w:p w14:paraId="000000DB"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0DC"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Assessment of the Budget Needs of Children</w:t>
      </w:r>
    </w:p>
    <w:p w14:paraId="000000D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D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are faced in collecting disaggregated data regarding budgetary allocations for children in budget documents. However, all the relevant stakeholders, including UNICEF, are consulted before allocating funds for the respective institutions dealing with the protection and promotion of the rights of the children.</w:t>
      </w:r>
    </w:p>
    <w:p w14:paraId="000000D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E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government budget 2025</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makes special financial allocations for the wellbeing of the children and for children in institutional care, marginalised families, children at risk, and vulnerable circumstances. In addition, budget allocations have been increased for health and education.</w:t>
      </w:r>
    </w:p>
    <w:p w14:paraId="000000E1" w14:textId="77777777" w:rsidR="00A3739D" w:rsidRDefault="00A3739D">
      <w:pPr>
        <w:spacing w:after="0" w:line="360" w:lineRule="auto"/>
        <w:ind w:right="909"/>
        <w:jc w:val="both"/>
        <w:rPr>
          <w:rFonts w:ascii="Times New Roman" w:eastAsia="Times New Roman" w:hAnsi="Times New Roman" w:cs="Times New Roman"/>
          <w:sz w:val="24"/>
          <w:szCs w:val="24"/>
          <w:highlight w:val="yellow"/>
        </w:rPr>
      </w:pPr>
    </w:p>
    <w:p w14:paraId="000000E2"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Budget allocations for Child Related Sectors </w:t>
      </w:r>
    </w:p>
    <w:p w14:paraId="000000E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p>
    <w:p w14:paraId="000000E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27" w:name="_heading=h.2xcytpi" w:colFirst="0" w:colLast="0"/>
      <w:bookmarkEnd w:id="27"/>
      <w:r>
        <w:rPr>
          <w:rFonts w:ascii="Times New Roman" w:eastAsia="Times New Roman" w:hAnsi="Times New Roman" w:cs="Times New Roman"/>
          <w:sz w:val="24"/>
          <w:szCs w:val="24"/>
        </w:rPr>
        <w:t xml:space="preserve">Necessary finances are allocated based on existing policies, action plans, and available data and information. Spending on child-related sectors has generally seen an upward trend although it was interrupted for a brief period by COVID-19 and the economic crisis. </w:t>
      </w:r>
    </w:p>
    <w:p w14:paraId="000000E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bookmarkStart w:id="28" w:name="_heading=h.423dtx4fq7ye" w:colFirst="0" w:colLast="0"/>
      <w:bookmarkEnd w:id="28"/>
    </w:p>
    <w:p w14:paraId="000000E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expenditure on child protection falls under several ministries including the MWCA, the MOE, the MOJ, the Ministry of Public Security, the MOH, and the Provincial Councils. </w:t>
      </w:r>
    </w:p>
    <w:p w14:paraId="000000E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E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education sector, Sri Lanka outperforms the rest of the South Asian region in terms of basic education indicators such as literacy and access to education.</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Action is being taken by the Ministry of Education to increase enrolment at the tertiary level, produce more consistent examination performance, and bridge the gap between national schools and provincial schools. Even during the pandemic, the Department of Examination conducted 28 examinations in 2020, according to the circular instructions issued from time to time by the Secretary to the Ministry of Education.</w:t>
      </w:r>
      <w:r>
        <w:rPr>
          <w:rFonts w:ascii="Times New Roman" w:eastAsia="Times New Roman" w:hAnsi="Times New Roman" w:cs="Times New Roman"/>
          <w:sz w:val="24"/>
          <w:szCs w:val="24"/>
          <w:vertAlign w:val="superscript"/>
        </w:rPr>
        <w:footnoteReference w:id="30"/>
      </w:r>
    </w:p>
    <w:p w14:paraId="000000E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FF9900"/>
        </w:rPr>
      </w:pPr>
    </w:p>
    <w:p w14:paraId="000000E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Sri Lanka provides free healthcare to all its citizens irrespective of their socio-economic status or geographic location. As a result, Sri Lanka significantly outperforms its peers on major health indicators.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The Government has initiated immediate, multi-pronged measures to ensure the wellbeing of children in view of the socio-economic hardships faced by the vulnerable sectors of the society through targeted social protection measures. Further details are provided below.</w:t>
      </w:r>
    </w:p>
    <w:p w14:paraId="000000EB" w14:textId="77777777" w:rsidR="00A3739D" w:rsidRDefault="00A3739D">
      <w:pPr>
        <w:pBdr>
          <w:top w:val="nil"/>
          <w:left w:val="nil"/>
          <w:bottom w:val="nil"/>
          <w:right w:val="nil"/>
          <w:between w:val="nil"/>
        </w:pBdr>
        <w:spacing w:after="0" w:line="360" w:lineRule="auto"/>
        <w:ind w:left="720" w:right="909"/>
        <w:jc w:val="both"/>
        <w:rPr>
          <w:rFonts w:ascii="Times New Roman" w:eastAsia="Times New Roman" w:hAnsi="Times New Roman" w:cs="Times New Roman"/>
          <w:sz w:val="24"/>
          <w:szCs w:val="24"/>
        </w:rPr>
      </w:pPr>
    </w:p>
    <w:p w14:paraId="000000E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Starting in June 2024, the Ministry of Education launched an initiative to</w:t>
      </w:r>
      <w:r>
        <w:rPr>
          <w:rFonts w:ascii="Times New Roman" w:eastAsia="Times New Roman" w:hAnsi="Times New Roman" w:cs="Times New Roman"/>
          <w:sz w:val="24"/>
          <w:szCs w:val="24"/>
          <w:highlight w:val="white"/>
        </w:rPr>
        <w:t xml:space="preserve"> provide free vouchers for schoolgirls to purchase sanitary pads with the view of improving school attendance among female students and address issues related to educational neglect and health problems that arose during economic hardship. This initiative benefitted nearly 800,000 girl children in identified schools.</w:t>
      </w:r>
      <w:r>
        <w:rPr>
          <w:rFonts w:ascii="Times New Roman" w:eastAsia="Times New Roman" w:hAnsi="Times New Roman" w:cs="Times New Roman"/>
          <w:sz w:val="24"/>
          <w:szCs w:val="24"/>
          <w:highlight w:val="white"/>
          <w:vertAlign w:val="superscript"/>
        </w:rPr>
        <w:footnoteReference w:id="32"/>
      </w:r>
    </w:p>
    <w:p w14:paraId="000000E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white"/>
          <w:vertAlign w:val="superscript"/>
        </w:rPr>
      </w:pPr>
    </w:p>
    <w:p w14:paraId="000000E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Education Ministry announced that the 2025 Sanitary Napkin Distribution Programme for School Girls will be implemented solely through four officially certified trading organisations. These organisations, registered with the Sri Lanka Standards Institution (SLSI) and certified under SLS 1732:2022, have been granted permission to directly distribute sanitary napkin packets to students at school. This approach is intended to guarantee that the products delivered through the programme meet established standards of quality, safety and reliability. </w:t>
      </w:r>
    </w:p>
    <w:p w14:paraId="000000E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F0"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Further, the GoSL has increased the monthly scholarship allowance as well as the number of scholarships awarded to the students who passed Grade 5 scholarship examination in 2025. The monthly scholarship allowance was increased from Rs.750 to Rs.1500, and the number of scholarships awarded has increased from 20,000 to 30,000 with the total allocation of Rs.0.9 billion. The Government has also allocated another Rs. 64 million for different scholarship programmes: “Saubhagya”, “Sujatha Diyani” and “Technology Stream” Scholarship schemes.</w:t>
      </w:r>
      <w:r>
        <w:rPr>
          <w:rFonts w:ascii="Times New Roman" w:eastAsia="Times New Roman" w:hAnsi="Times New Roman" w:cs="Times New Roman"/>
          <w:sz w:val="24"/>
          <w:szCs w:val="24"/>
          <w:vertAlign w:val="superscript"/>
        </w:rPr>
        <w:footnoteReference w:id="33"/>
      </w:r>
    </w:p>
    <w:p w14:paraId="000000F1"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F2"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Rs. 100 million has been allocated for the Government Nutrition Programme, which aims to provide meals for school children, which is estimated to have </w:t>
      </w:r>
      <w:r>
        <w:rPr>
          <w:rFonts w:ascii="Times New Roman" w:eastAsia="Times New Roman" w:hAnsi="Times New Roman" w:cs="Times New Roman"/>
          <w:sz w:val="24"/>
          <w:szCs w:val="24"/>
        </w:rPr>
        <w:lastRenderedPageBreak/>
        <w:t xml:space="preserve">1.5 million beneficiaries. Further, Rs. 574 million has been allocated for the development of sanitary facilities, under the purview of the Engineering Division of the Ministry of Education, which will benefit 3.8 million beneficiaries. </w:t>
      </w:r>
    </w:p>
    <w:p w14:paraId="000000F3"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0F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Ministry of Education, Higher Education, and Vocational Education, the government allocated Rs. 2,590 million in 2025 to provide school shoes, benefiting approximately 862,239 children. Additionally, under the new budget, Rs. 3,000 million was allocated for the distribution of school supplies, with 490,175 students already benefiting out of the targeted 500,000.</w:t>
      </w:r>
    </w:p>
    <w:p w14:paraId="000000F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F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allocations to the above sectors, child-related Government spending includes other expenditure, for example directing school children to physical education and sports, creating an environment conducive to develop sports skills among the youth and subsidies for school and higher education season tickets for students.</w:t>
      </w:r>
    </w:p>
    <w:p w14:paraId="000000F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0F8"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Addressing Disparities through Budgetary Allocations</w:t>
      </w:r>
    </w:p>
    <w:p w14:paraId="000000F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29" w:name="_heading=h.1ci93xb" w:colFirst="0" w:colLast="0"/>
      <w:bookmarkEnd w:id="29"/>
      <w:r>
        <w:rPr>
          <w:rFonts w:ascii="Times New Roman" w:eastAsia="Times New Roman" w:hAnsi="Times New Roman" w:cs="Times New Roman"/>
          <w:sz w:val="24"/>
          <w:szCs w:val="24"/>
        </w:rPr>
        <w:t xml:space="preserve">In the education sector, based on educational outcomes, the Northern Province receives the highest allocation on a per capita basis, and the North Central, Uva, and Eastern Provinces receive comparatively high allocations on a per capita basis. </w:t>
      </w:r>
    </w:p>
    <w:p w14:paraId="000000F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30" w:name="_heading=h.u970sgn371ci" w:colFirst="0" w:colLast="0"/>
      <w:bookmarkEnd w:id="30"/>
    </w:p>
    <w:p w14:paraId="000000F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NCPA is collecting data on child abuse from all districts of the country.</w:t>
      </w:r>
      <w:r>
        <w:rPr>
          <w:rFonts w:ascii="Times New Roman" w:eastAsia="Times New Roman" w:hAnsi="Times New Roman" w:cs="Times New Roman"/>
          <w:sz w:val="24"/>
          <w:szCs w:val="24"/>
          <w:vertAlign w:val="superscript"/>
        </w:rPr>
        <w:footnoteReference w:id="34"/>
      </w:r>
    </w:p>
    <w:p w14:paraId="000000F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p>
    <w:p w14:paraId="000000FD"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Evaluating the Distribution of Resources and Prosecuting and Preventing Corruption</w:t>
      </w:r>
    </w:p>
    <w:p w14:paraId="000000FE"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0F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Under the National Audit Act, No. 19 of 2018, the Auditor General is mandated with ascertaining whether the money disbursed by audit entities was done legally.</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Each Government institution has to report the details of how funds were used.</w:t>
      </w:r>
    </w:p>
    <w:p w14:paraId="0000010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0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21st Amendment enables measures to implement the UN Convention Against Corruption (UNCAC) and any other international Convention relating to the prevention of corruption to which Sri Lanka is a party.</w:t>
      </w:r>
    </w:p>
    <w:p w14:paraId="00000102"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03"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Anti-Corruption Act, No. 9 of 2023</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received certification on the 8th of August, after which it came into effect. The Anti-Corruption Act gives effect to certain provisions of the United Nations Convention Against Corruption and other internationally recognized norms, standards, and best practices; it also provides for the establishment of an independent commission and institute prosecutions for offenses to detect and investigate allegations of bribery, corruption, and offenses related to the declaration of assets and liabilities and associated offenses. A key feature of this Act is the inclusion of sexual bribery as an offence. On 28 December 2023, a retired Judge of the Appeal Court was appointed as the Chairman of the Commission to Investigate Allegations of Bribery or Corruption and all Commissioners and the Director General of the Commission.</w:t>
      </w:r>
      <w:r>
        <w:rPr>
          <w:rFonts w:ascii="Times New Roman" w:eastAsia="Times New Roman" w:hAnsi="Times New Roman" w:cs="Times New Roman"/>
          <w:sz w:val="24"/>
          <w:szCs w:val="24"/>
          <w:vertAlign w:val="superscript"/>
        </w:rPr>
        <w:footnoteReference w:id="37"/>
      </w:r>
    </w:p>
    <w:p w14:paraId="00000104"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05" w14:textId="77777777" w:rsidR="00A3739D" w:rsidRDefault="008D1A07">
      <w:pPr>
        <w:pStyle w:val="Heading2"/>
      </w:pPr>
      <w:bookmarkStart w:id="31" w:name="_heading=h.evpwzdfnrciw" w:colFirst="0" w:colLast="0"/>
      <w:bookmarkEnd w:id="31"/>
      <w:r>
        <w:t>Data collection (paragraph 9)</w:t>
      </w:r>
    </w:p>
    <w:p w14:paraId="00000106" w14:textId="77777777" w:rsidR="00A3739D" w:rsidRDefault="00A3739D">
      <w:pPr>
        <w:spacing w:after="0"/>
        <w:rPr>
          <w:rFonts w:ascii="Times New Roman" w:eastAsia="Times New Roman" w:hAnsi="Times New Roman" w:cs="Times New Roman"/>
          <w:sz w:val="24"/>
          <w:szCs w:val="24"/>
        </w:rPr>
      </w:pPr>
    </w:p>
    <w:p w14:paraId="00000107"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C9DAF8"/>
        </w:rPr>
      </w:pPr>
      <w:r>
        <w:rPr>
          <w:rFonts w:ascii="Times New Roman" w:eastAsia="Times New Roman" w:hAnsi="Times New Roman" w:cs="Times New Roman"/>
          <w:i/>
          <w:sz w:val="24"/>
          <w:szCs w:val="24"/>
        </w:rPr>
        <w:t>Data Collection Systems</w:t>
      </w:r>
    </w:p>
    <w:p w14:paraId="0000010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has been increased awareness within the sector of the importance of data management for the planning and monitoring of policies and programmes. The Organizations that are working for children have separate databases. Discussions are ongoing to establish a separate national database for children using all such databases. </w:t>
      </w:r>
    </w:p>
    <w:p w14:paraId="0000010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p>
    <w:p w14:paraId="0000010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Sri Lanka, as in most other countries, the Census of Population and Housing is the largest data collection activity. The Census was last published in 2012 and the Report on the ‘Census of Population and Housing 2024’ was launched on 7 April 2025. The Department is in the process of updating its website which will include children as one category of subjects covering areas such as child population/economic circumstances, education, health and nutrition, child protection, and special concerns.</w:t>
      </w:r>
      <w:r>
        <w:rPr>
          <w:rFonts w:ascii="Times New Roman" w:eastAsia="Times New Roman" w:hAnsi="Times New Roman" w:cs="Times New Roman"/>
          <w:sz w:val="24"/>
          <w:szCs w:val="24"/>
          <w:vertAlign w:val="superscript"/>
        </w:rPr>
        <w:footnoteReference w:id="38"/>
      </w:r>
    </w:p>
    <w:p w14:paraId="0000010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0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DPCCS routinely collects data on children in childcare institutions, children in need of care &amp; protection, children in conflict with the law, and children in detention or pre-trial detention. In 2019, the DPCCS carried out the first ever census of children in childcare institutions.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The National Alternative Care Policy (NACP) is informed by the Census and </w:t>
      </w:r>
      <w:r>
        <w:rPr>
          <w:rFonts w:ascii="Times New Roman" w:eastAsia="Times New Roman" w:hAnsi="Times New Roman" w:cs="Times New Roman"/>
          <w:sz w:val="24"/>
          <w:szCs w:val="24"/>
        </w:rPr>
        <w:lastRenderedPageBreak/>
        <w:t xml:space="preserve">nine Provincial Action Plans are based on the particulars for the province contained in the Census. </w:t>
      </w:r>
    </w:p>
    <w:p w14:paraId="0000010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0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Sri Lanka Police operate a computerised database/virtual private network (VPN) system. Police data is collated at headquarters level, and headquarters provides instructions to specific stations/divisions with regards to areas of focus (both geographical and category of crime/issue). </w:t>
      </w:r>
    </w:p>
    <w:p w14:paraId="0000010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1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32" w:name="_heading=h.3whwml4" w:colFirst="0" w:colLast="0"/>
      <w:bookmarkEnd w:id="32"/>
      <w:r>
        <w:rPr>
          <w:rFonts w:ascii="Times New Roman" w:eastAsia="Times New Roman" w:hAnsi="Times New Roman" w:cs="Times New Roman"/>
          <w:sz w:val="24"/>
          <w:szCs w:val="24"/>
        </w:rPr>
        <w:t xml:space="preserve">The NCPA collects data on child victims of crimes and children in need of care and protection based on the complaints that come into their system. There is a cloud-based database for the hotline complaints received and a manual based system for reporting by DCPOs. </w:t>
      </w:r>
    </w:p>
    <w:p w14:paraId="0000011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1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MOJ requests data from the courts on a monthly and quarterly basis and from the AG’s Department Child Protection Unit (CPU) annually. Currently, data is collected from 247 courts. This data is then amalgamated to form an annual report, which is made publicly available and is sent to Parliament.</w:t>
      </w:r>
      <w:r>
        <w:rPr>
          <w:rFonts w:ascii="Times New Roman" w:eastAsia="Times New Roman" w:hAnsi="Times New Roman" w:cs="Times New Roman"/>
          <w:sz w:val="24"/>
          <w:szCs w:val="24"/>
          <w:vertAlign w:val="superscript"/>
        </w:rPr>
        <w:footnoteReference w:id="40"/>
      </w:r>
    </w:p>
    <w:p w14:paraId="0000011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1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education sector, the Census and Statistics division of the MOE prepares an annual school census comprising a range of disaggregated data related to the student and teacher population in government schools, private schools, special schools and </w:t>
      </w:r>
      <w:proofErr w:type="spellStart"/>
      <w:r>
        <w:rPr>
          <w:rFonts w:ascii="Times New Roman" w:eastAsia="Times New Roman" w:hAnsi="Times New Roman" w:cs="Times New Roman"/>
          <w:sz w:val="24"/>
          <w:szCs w:val="24"/>
        </w:rPr>
        <w:t>piriven</w:t>
      </w:r>
      <w:proofErr w:type="spellEnd"/>
      <w:r>
        <w:rPr>
          <w:rFonts w:ascii="Times New Roman" w:eastAsia="Times New Roman" w:hAnsi="Times New Roman" w:cs="Times New Roman"/>
          <w:sz w:val="24"/>
          <w:szCs w:val="24"/>
        </w:rPr>
        <w:t xml:space="preserve"> schools.</w:t>
      </w:r>
      <w:r>
        <w:rPr>
          <w:rFonts w:ascii="Times New Roman" w:eastAsia="Times New Roman" w:hAnsi="Times New Roman" w:cs="Times New Roman"/>
          <w:sz w:val="24"/>
          <w:szCs w:val="24"/>
          <w:vertAlign w:val="superscript"/>
        </w:rPr>
        <w:footnoteReference w:id="41"/>
      </w:r>
    </w:p>
    <w:p w14:paraId="0000011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1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health sector, the Family Health Bureau collects and publishes statistics on a large range of indicators relating to the health of children.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NSECD has gathered all data regarding the Pre Schools Children.</w:t>
      </w:r>
    </w:p>
    <w:p w14:paraId="0000011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1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social protection sphere, the Household Income and Expenditure Survey (HIES) conducted by the DCS in 2019</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is nationally representative and includes information on the wellbeing and vulnerabilities of households. In 2021, the DCS developed the first official National Multidimensional Poverty Index (NMPI) for Sri Lanka, </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using ten indicators to determine a deprivation score for each person within a survey. To further probe and support child poverty policies, DCS has crafted an individual Child MPI (CMPI) for children aged 0-4, which includes additional indicators on undernutrition and early childhood development. Sri Lanka’s CMPI is pioneering in being the first official measure of child poverty that links directly and precisely with the MPI. The MPI and the CMPI are both based on data from the HIES 2019. </w:t>
      </w:r>
    </w:p>
    <w:p w14:paraId="00000119" w14:textId="77777777" w:rsidR="00A3739D" w:rsidRDefault="00A3739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11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1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Privacy and Confidentiality of Data</w:t>
      </w:r>
    </w:p>
    <w:p w14:paraId="0000011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 Lanka has enacted comprehensive data protection legislation under the Personal Data Protection Act, No. 9 of 2022 (PDPA) to prevent the unauthorized or unlawful processing of personal data and the loss, destruction or damage of personal data. </w:t>
      </w:r>
      <w:r>
        <w:rPr>
          <w:rFonts w:ascii="Times New Roman" w:eastAsia="Times New Roman" w:hAnsi="Times New Roman" w:cs="Times New Roman"/>
          <w:sz w:val="24"/>
          <w:szCs w:val="24"/>
          <w:vertAlign w:val="superscript"/>
        </w:rPr>
        <w:footnoteReference w:id="45"/>
      </w:r>
    </w:p>
    <w:p w14:paraId="0000011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1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 agencies that store data about children take measures to protect that data. Data collected by the DCS and FHB do not include information by which a child could be individually identified. In other institutions too, information that identifies a child is only shared or stored when necessary. When data is saved on computers or online, it is password protected. Paper-based files are kept in locked storage. Limited personnel have access to the data.  </w:t>
      </w:r>
    </w:p>
    <w:p w14:paraId="0000011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20" w14:textId="77777777" w:rsidR="00A3739D" w:rsidRDefault="008D1A07">
      <w:pPr>
        <w:pStyle w:val="Heading2"/>
        <w:keepNext/>
        <w:keepLines/>
      </w:pPr>
      <w:r>
        <w:t>Independent monitoring (Paragraph 10)</w:t>
      </w:r>
    </w:p>
    <w:p w14:paraId="00000121" w14:textId="77777777" w:rsidR="00A3739D" w:rsidRDefault="00A3739D"/>
    <w:p w14:paraId="00000122"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Independence of the HRCSL</w:t>
      </w:r>
    </w:p>
    <w:p w14:paraId="0000012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Amendment to the Constitution enacted in 2022, the HRCSL Commissioners are appointed by the President according to the recommendations made by the Constitutional Council. New appointments to the Human Rights Commission have been </w:t>
      </w:r>
      <w:r>
        <w:rPr>
          <w:rFonts w:ascii="Times New Roman" w:eastAsia="Times New Roman" w:hAnsi="Times New Roman" w:cs="Times New Roman"/>
          <w:sz w:val="24"/>
          <w:szCs w:val="24"/>
        </w:rPr>
        <w:lastRenderedPageBreak/>
        <w:t>made. The Council is structured in a manner to ensure wide representation, including numerous political parties and members of CSOs which provides  guarantees of independence in the appointment of Commissioners. In May 2024, the HRCSL was reaccredited with ‘A’ status by the Global Alliance of National Human Rights Institutions (GANHRI) Sub-Committee on Accreditation.</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The HRCSL, as an independent observer, has engaged with the GoSL on its Periodic reporting under the UN Treaty bodies: most recently regarding the 9th periodic report for the Committee on Elimination of Discrimination Against Women (CEDAW), the 3</w:t>
      </w:r>
      <w:r>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report for the Committee on Migrant Workers (CMW), and on the National Report submitted under the 4</w:t>
      </w:r>
      <w:r>
        <w:rPr>
          <w:rFonts w:ascii="Times New Roman" w:eastAsia="Times New Roman" w:hAnsi="Times New Roman" w:cs="Times New Roman"/>
          <w:sz w:val="24"/>
          <w:szCs w:val="24"/>
          <w:vertAlign w:val="superscript"/>
        </w:rPr>
        <w:t xml:space="preserve">th </w:t>
      </w:r>
      <w:r>
        <w:rPr>
          <w:rFonts w:ascii="Times New Roman" w:eastAsia="Times New Roman" w:hAnsi="Times New Roman" w:cs="Times New Roman"/>
          <w:sz w:val="24"/>
          <w:szCs w:val="24"/>
        </w:rPr>
        <w:t>Cycle of the Universal Periodic Review (UPR).</w:t>
      </w:r>
    </w:p>
    <w:p w14:paraId="0000012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HRCSL also actively engages with the GOSL on legislative matters, offering recommendations to strengthen human rights protections. Notably, it provided observations on the draft Disability Rights Bill and the Women's Empowerment Act contributing to enhancing their effectiveness and scope.</w:t>
      </w:r>
    </w:p>
    <w:p w14:paraId="0000012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p>
    <w:p w14:paraId="00000126"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Resources of the HRCSL</w:t>
      </w:r>
    </w:p>
    <w:p w14:paraId="0000012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Necessary budgetary allocations have been made to the HRCSL to carry out their functions independently. </w:t>
      </w:r>
    </w:p>
    <w:p w14:paraId="0000012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29"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33" w:name="_heading=h.n35gw25rss5p" w:colFirst="0" w:colLast="0"/>
      <w:bookmarkEnd w:id="33"/>
      <w:r>
        <w:rPr>
          <w:rFonts w:ascii="Times New Roman" w:eastAsia="Times New Roman" w:hAnsi="Times New Roman" w:cs="Times New Roman"/>
          <w:i/>
          <w:sz w:val="24"/>
          <w:szCs w:val="24"/>
        </w:rPr>
        <w:t>HRCSL Dedicated Child Rights Protection Unit</w:t>
      </w:r>
    </w:p>
    <w:p w14:paraId="0000012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34" w:name="_heading=h.d1jvic8nmwyl" w:colFirst="0" w:colLast="0"/>
      <w:bookmarkEnd w:id="34"/>
      <w:r>
        <w:rPr>
          <w:rFonts w:ascii="Times New Roman" w:eastAsia="Times New Roman" w:hAnsi="Times New Roman" w:cs="Times New Roman"/>
          <w:sz w:val="24"/>
          <w:szCs w:val="24"/>
        </w:rPr>
        <w:t xml:space="preserve">The HRCSL established a Child Rights Protection Unit in 2022, dedicated to safeguarding and promoting children's rights. This unit has undertaken initiatives specifically aimed at prioritizing the rights outlined in the Convention on the Rights of the Child (CRC), ensuring greater protection and advocacy for children. The Unit this year conducted a special inquiry in Jaffna and is currently preparing recommendations for Probation, the Police, and the Courts. This Unit is continuing its work with the support of UNICEF. </w:t>
      </w:r>
    </w:p>
    <w:p w14:paraId="0000012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35" w:name="_heading=h.empliwcr2ctb" w:colFirst="0" w:colLast="0"/>
      <w:bookmarkEnd w:id="35"/>
    </w:p>
    <w:p w14:paraId="0000012C"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bookmarkStart w:id="36" w:name="_heading=h.r6z8hc5s8db7" w:colFirst="0" w:colLast="0"/>
      <w:bookmarkEnd w:id="36"/>
      <w:r>
        <w:rPr>
          <w:rFonts w:ascii="Times New Roman" w:eastAsia="Times New Roman" w:hAnsi="Times New Roman" w:cs="Times New Roman"/>
          <w:i/>
          <w:sz w:val="24"/>
          <w:szCs w:val="24"/>
        </w:rPr>
        <w:t>National Consultation on Advancing Child Rights</w:t>
      </w:r>
    </w:p>
    <w:p w14:paraId="0000012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37" w:name="_heading=h.8meo055c7nl" w:colFirst="0" w:colLast="0"/>
      <w:bookmarkEnd w:id="37"/>
      <w:r>
        <w:rPr>
          <w:rFonts w:ascii="Times New Roman" w:eastAsia="Times New Roman" w:hAnsi="Times New Roman" w:cs="Times New Roman"/>
          <w:sz w:val="24"/>
          <w:szCs w:val="24"/>
        </w:rPr>
        <w:t xml:space="preserve">On 25 March 2025, the Human Rights Commission of Sri Lanka (HRCSL) held a National Consultation on Advancing Child Rights. The meeting aimed to strengthen </w:t>
      </w:r>
      <w:r>
        <w:rPr>
          <w:rFonts w:ascii="Times New Roman" w:eastAsia="Times New Roman" w:hAnsi="Times New Roman" w:cs="Times New Roman"/>
          <w:sz w:val="24"/>
          <w:szCs w:val="24"/>
        </w:rPr>
        <w:lastRenderedPageBreak/>
        <w:t>collaboration among key child protection stakeholders, including governmental representatives and CSOs, and focused on critical issues related to the protection and promotion of the rights of the child.</w:t>
      </w:r>
      <w:r>
        <w:rPr>
          <w:rFonts w:ascii="Times New Roman" w:eastAsia="Times New Roman" w:hAnsi="Times New Roman" w:cs="Times New Roman"/>
          <w:sz w:val="24"/>
          <w:szCs w:val="24"/>
          <w:vertAlign w:val="superscript"/>
        </w:rPr>
        <w:footnoteReference w:id="47"/>
      </w:r>
    </w:p>
    <w:p w14:paraId="0000012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bookmarkStart w:id="38" w:name="_heading=h.g99l9b9l680w" w:colFirst="0" w:colLast="0"/>
      <w:bookmarkEnd w:id="38"/>
    </w:p>
    <w:p w14:paraId="0000012F"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39" w:name="_heading=h.sfoqxpuild9b" w:colFirst="0" w:colLast="0"/>
      <w:bookmarkEnd w:id="39"/>
      <w:r>
        <w:rPr>
          <w:rFonts w:ascii="Times New Roman" w:eastAsia="Times New Roman" w:hAnsi="Times New Roman" w:cs="Times New Roman"/>
          <w:i/>
          <w:sz w:val="24"/>
          <w:szCs w:val="24"/>
        </w:rPr>
        <w:t>Children’s Voice Forum</w:t>
      </w:r>
    </w:p>
    <w:p w14:paraId="0000013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0" w:name="_heading=h.39cwibop0mil" w:colFirst="0" w:colLast="0"/>
      <w:bookmarkEnd w:id="40"/>
      <w:r>
        <w:rPr>
          <w:rFonts w:ascii="Times New Roman" w:eastAsia="Times New Roman" w:hAnsi="Times New Roman" w:cs="Times New Roman"/>
          <w:sz w:val="24"/>
          <w:szCs w:val="24"/>
        </w:rPr>
        <w:t>The HRCSL launched the Children’s Voice Forum in January 2025 to empower children aged 15–17 in the Western Province to share their views on child rights.</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 initiative aims to enable participants to contribute to national policy discussions, develop recommendations with HRCSL, and promote the principles of the UNCRC through meaningful youth engagement.</w:t>
      </w:r>
    </w:p>
    <w:p w14:paraId="0000013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41" w:name="_heading=h.8busehaezkhh" w:colFirst="0" w:colLast="0"/>
      <w:bookmarkEnd w:id="41"/>
    </w:p>
    <w:p w14:paraId="00000132" w14:textId="77777777" w:rsidR="00A3739D" w:rsidRDefault="008D1A07">
      <w:pPr>
        <w:pStyle w:val="Heading2"/>
        <w:keepNext/>
        <w:keepLines/>
      </w:pPr>
      <w:r>
        <w:t>Dissemination, awareness-raising and training (paragraph 11)</w:t>
      </w:r>
    </w:p>
    <w:p w14:paraId="00000133" w14:textId="77777777" w:rsidR="00A3739D" w:rsidRDefault="00A3739D"/>
    <w:p w14:paraId="00000134"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Legislative Efforts on Awareness Raising</w:t>
      </w:r>
    </w:p>
    <w:p w14:paraId="0000013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Assistance to and Protection of Victims of Crimes and Witnesses Act, No. 10 of 2023, the National Authority for the Protection of Victims of Crime and Witnesses was established. As per the Act, the NAPVCW is tasked with organising training programmes on the treatment of child victims of crime as well child witnesses.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Several such trainings have been conducted, such as an awareness and sensitization programme for the Crime and Minor Offence OICs of police stations in the Southern Province (62 police stations of 124 officers) in 2021.</w:t>
      </w:r>
      <w:r>
        <w:rPr>
          <w:rFonts w:ascii="Times New Roman" w:eastAsia="Times New Roman" w:hAnsi="Times New Roman" w:cs="Times New Roman"/>
          <w:sz w:val="24"/>
          <w:szCs w:val="24"/>
          <w:vertAlign w:val="superscript"/>
        </w:rPr>
        <w:footnoteReference w:id="50"/>
      </w:r>
    </w:p>
    <w:p w14:paraId="0000013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37"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Raising on Child Rights</w:t>
      </w:r>
    </w:p>
    <w:p w14:paraId="0000013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grade 6 Civic Education textbook contains a separate chapter on child rights and this textbook is available in all three languages (Sinhala, Tamil and English).</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The DPCCS, NCPA, and WCDs incorporate child rights into their regular awareness sessions in schools and communities and have published books, created short films and dramas, and piloted a video game, all incorporating child rights related themes. The SLBFE and the DOL also conduct awareness programmes and Government media conducts education and awareness programmes, including on child rights, aimed at children. </w:t>
      </w:r>
    </w:p>
    <w:p w14:paraId="0000013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3A"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Trainings to Professionals on Child Rights</w:t>
      </w:r>
    </w:p>
    <w:p w14:paraId="0000013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2" w:name="_heading=h.2s5dahjohmyk" w:colFirst="0" w:colLast="0"/>
      <w:bookmarkEnd w:id="42"/>
      <w:r>
        <w:rPr>
          <w:rFonts w:ascii="Times New Roman" w:eastAsia="Times New Roman" w:hAnsi="Times New Roman" w:cs="Times New Roman"/>
          <w:sz w:val="24"/>
          <w:szCs w:val="24"/>
        </w:rPr>
        <w:t>Since 2019, the University of Colombo has offered a Postgraduate Diploma in Child Protection and Child Rights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and a significant number of NCPA and DPCCS officers as well as other Government officers and law enforcement officers have graduated from this course. In addition, the subject forms part of the in-service training in the Police and police trainers are regularly trained on the subject by both the NCPA and the HRCSL. The NCPA and WCD also conduct regular training on child rights for police officers around the country. A Partnership Programme between the Sri Lanka Judges’ Institute, DPCCS, and UNICEF titled ‘Judicial Colloquium on Justice for Children in Sri Lanka’ was conducted in 2023 and 2024 at provincial levels. This programme included the participation of 200 Magistrates and District Court Judges. Another phase of this programme was conducted for 88 High Court Judges in Sri Lanka. This programme will be continued to ensure the participation of the rest of the Judiciary in Sri Lanka. Regular training has been provided for the tri-forces by the Army, including the subject of human rights and child rights. A handbook on children’s rights is being developed for judges and plans are ongoing to include child rights as a separate module into the judges’ </w:t>
      </w:r>
      <w:proofErr w:type="spellStart"/>
      <w:r>
        <w:rPr>
          <w:rFonts w:ascii="Times New Roman" w:eastAsia="Times New Roman" w:hAnsi="Times New Roman" w:cs="Times New Roman"/>
          <w:sz w:val="24"/>
          <w:szCs w:val="24"/>
        </w:rPr>
        <w:t>curriculum.The</w:t>
      </w:r>
      <w:proofErr w:type="spellEnd"/>
      <w:r>
        <w:rPr>
          <w:rFonts w:ascii="Times New Roman" w:eastAsia="Times New Roman" w:hAnsi="Times New Roman" w:cs="Times New Roman"/>
          <w:sz w:val="24"/>
          <w:szCs w:val="24"/>
        </w:rPr>
        <w:t xml:space="preserve"> curricula for the medical undergraduates and the doctoral degrees on paediatrics, psychiatry, and community medicine offered by the Post Graduate Institute of Medicine include child rights and safety. </w:t>
      </w:r>
    </w:p>
    <w:p w14:paraId="0000013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3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3" w:name="_heading=h.r6ivdt2v312f" w:colFirst="0" w:colLast="0"/>
      <w:bookmarkEnd w:id="43"/>
      <w:r>
        <w:rPr>
          <w:rFonts w:ascii="Times New Roman" w:eastAsia="Times New Roman" w:hAnsi="Times New Roman" w:cs="Times New Roman"/>
          <w:sz w:val="24"/>
          <w:szCs w:val="24"/>
        </w:rPr>
        <w:t xml:space="preserve">Two training programmes were conducted by DPCCS, Save the Children and University of Colombo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for the Study of Human Rights as an Advanced Certificate Course for 200 caregivers who are working in child-care institutions on the identification of victims of trafficking and re-integrate them back to the society. Further, the training covered subjects such as: international and domestic legal frameworks, rights of children and psychosocial support.</w:t>
      </w:r>
    </w:p>
    <w:p w14:paraId="0000013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3F"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Recognition of Child Rights</w:t>
      </w:r>
    </w:p>
    <w:p w14:paraId="00000140" w14:textId="77777777" w:rsidR="00A3739D" w:rsidRDefault="008D1A07">
      <w:pPr>
        <w:keepNext/>
        <w:keepLines/>
        <w:numPr>
          <w:ilvl w:val="0"/>
          <w:numId w:val="1"/>
        </w:numPr>
        <w:tabs>
          <w:tab w:val="right" w:pos="851"/>
        </w:tabs>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With ongoing awareness and training, it is expected that both the public and professionals in policy making will place greater emphasis on child rights in their policies, as well as their regular activities and conduct.   </w:t>
      </w:r>
    </w:p>
    <w:p w14:paraId="00000141" w14:textId="77777777" w:rsidR="00A3739D" w:rsidRDefault="00A3739D">
      <w:pPr>
        <w:keepNext/>
        <w:keepLines/>
        <w:tabs>
          <w:tab w:val="right" w:pos="851"/>
        </w:tabs>
        <w:spacing w:after="0" w:line="360" w:lineRule="auto"/>
        <w:ind w:right="909"/>
        <w:jc w:val="both"/>
        <w:rPr>
          <w:rFonts w:ascii="Times New Roman" w:eastAsia="Times New Roman" w:hAnsi="Times New Roman" w:cs="Times New Roman"/>
          <w:sz w:val="24"/>
          <w:szCs w:val="24"/>
        </w:rPr>
      </w:pPr>
    </w:p>
    <w:p w14:paraId="00000142" w14:textId="77777777" w:rsidR="00A3739D" w:rsidRDefault="008D1A07">
      <w:pPr>
        <w:pStyle w:val="Heading2"/>
        <w:keepNext/>
        <w:keepLines/>
      </w:pPr>
      <w:bookmarkStart w:id="44" w:name="_heading=h.frf54t9hxdnw" w:colFirst="0" w:colLast="0"/>
      <w:bookmarkEnd w:id="44"/>
      <w:r>
        <w:tab/>
        <w:t>Cooperation with civil society (paragraph 12)</w:t>
      </w:r>
    </w:p>
    <w:p w14:paraId="00000143" w14:textId="77777777" w:rsidR="00A3739D" w:rsidRDefault="00A3739D">
      <w:pPr>
        <w:spacing w:after="0"/>
        <w:rPr>
          <w:rFonts w:ascii="Times New Roman" w:eastAsia="Times New Roman" w:hAnsi="Times New Roman" w:cs="Times New Roman"/>
          <w:sz w:val="24"/>
          <w:szCs w:val="24"/>
        </w:rPr>
      </w:pPr>
    </w:p>
    <w:p w14:paraId="0000014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 Lanka has a vibrant civil society and is committed to protecting and promoting their freedom of expression and civil society space. Civil society organizations number well over 42,000 across the country are operating at national, provincial, district, and local Government levels, dealing with areas such as development, social welfare, human rights, etc. In recent years, the NGO Secretariat has significantly simplified administrative procedures and registration requirements. </w:t>
      </w:r>
    </w:p>
    <w:p w14:paraId="00000145"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46"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consults and maintains close engagement with civil society with a view to harnessing their insights, expertise and experience on a wide range of issues. With regard to questions pertaining to allegations of intimidation/harassment of women human rights defenders, it is emphasized that Sri Lanka remains committed to ensuring that complaints received on alleged attacks against human rights defenders and civil society are investigated. All parties alleged to have experienced harassment can submit their complaints to different national mechanisms that have the competence and jurisdiction to receive and investigate such complaints. These include law enforcement authorities as well as independent institutions such as the Human Rights Commission of Sri Lanka and the National Police Commission. In addition, individuals can also file Fundamental Rights applications, as these fall within the jurisdiction of the Supreme Court of Sri Lanka. </w:t>
      </w:r>
    </w:p>
    <w:p w14:paraId="00000147"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4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regularly collaborates with CSOs in formulating policy, programmes, and laws. Funding for many projects is also provided by CSOs, INGOs, and UN agencies. The major funding for the implementation of the NACP in the nine Provinces is being provided by UNICEF and DPCCS will work closely with other CSOs when rolling out the policy. Similarly, Save the Children is funding school meals for hundreds of primary school children. From 2016 – 2022, Save the Children disbursed Rs 270 million to various institutions under MWCA in four different strategy areas: early childhood care and development, child rights governance and child protection, institutional development and </w:t>
      </w:r>
      <w:r>
        <w:rPr>
          <w:rFonts w:ascii="Times New Roman" w:eastAsia="Times New Roman" w:hAnsi="Times New Roman" w:cs="Times New Roman"/>
          <w:sz w:val="24"/>
          <w:szCs w:val="24"/>
        </w:rPr>
        <w:lastRenderedPageBreak/>
        <w:t>national campaigns, and monitoring, evaluation, accountability, and learning.</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As of February 2023, the UNOCHA, in collaboration with the Government, has assisted 2.6 million people in need of humanitarian assistance and made cash transfers amounting to USD 7 million.</w:t>
      </w:r>
      <w:r>
        <w:rPr>
          <w:rFonts w:ascii="Times New Roman" w:eastAsia="Times New Roman" w:hAnsi="Times New Roman" w:cs="Times New Roman"/>
          <w:sz w:val="24"/>
          <w:szCs w:val="24"/>
          <w:vertAlign w:val="superscript"/>
        </w:rPr>
        <w:footnoteReference w:id="54"/>
      </w:r>
    </w:p>
    <w:p w14:paraId="0000014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vertAlign w:val="superscript"/>
        </w:rPr>
      </w:pPr>
    </w:p>
    <w:p w14:paraId="0000014A" w14:textId="77777777" w:rsidR="00A3739D" w:rsidRDefault="008D1A07">
      <w:pPr>
        <w:pStyle w:val="Heading2"/>
        <w:keepNext/>
        <w:keepLines/>
      </w:pPr>
      <w:bookmarkStart w:id="45" w:name="_heading=h.ixusgr5luv68" w:colFirst="0" w:colLast="0"/>
      <w:bookmarkEnd w:id="45"/>
      <w:r>
        <w:t>Children’s rights and the business sector (paragraph 13)</w:t>
      </w:r>
    </w:p>
    <w:p w14:paraId="0000014B"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14C"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u w:val="single"/>
          <w:shd w:val="clear" w:color="auto" w:fill="B4A7D6"/>
        </w:rPr>
      </w:pPr>
      <w:r>
        <w:rPr>
          <w:rFonts w:ascii="Times New Roman" w:eastAsia="Times New Roman" w:hAnsi="Times New Roman" w:cs="Times New Roman"/>
          <w:i/>
          <w:sz w:val="24"/>
          <w:szCs w:val="24"/>
        </w:rPr>
        <w:t>Regulation of Businesses</w:t>
      </w:r>
    </w:p>
    <w:p w14:paraId="0000014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Businesses are prohibited from employing anyone under the age of 16 or, if the activity is deemed hazardous, under the age of 18. Additionally, children between the ages of 16 and 18 cannot be employed from 10 pm to 6 am.</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The sale of tobacco and alcohol to people under the age of 21 is prohibited.</w:t>
      </w:r>
      <w:r>
        <w:rPr>
          <w:rFonts w:ascii="Times New Roman" w:eastAsia="Times New Roman" w:hAnsi="Times New Roman" w:cs="Times New Roman"/>
          <w:sz w:val="24"/>
          <w:szCs w:val="24"/>
          <w:vertAlign w:val="superscript"/>
        </w:rPr>
        <w:footnoteReference w:id="56"/>
      </w:r>
    </w:p>
    <w:p w14:paraId="0000014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u w:val="single"/>
          <w:shd w:val="clear" w:color="auto" w:fill="B4A7D6"/>
        </w:rPr>
      </w:pPr>
    </w:p>
    <w:p w14:paraId="0000014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Privately owned day-cares are subject to the National Guidelines for Day Care Centres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which lays down standards including on staffing, physical environment, health and safety, and child rights and child protection, which are being adopted in many Provinces. All Provinces have also enacted Statutes for preschools based on national minimum standards.</w:t>
      </w:r>
    </w:p>
    <w:p w14:paraId="0000015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employer pledge has been introduced by the Department of Labour, with effect from 18 June 2024, in order to provide an opportunity for businesses to declare that they are maintained without child labour.</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This pledge aims to contribute to the elimination of child labour by 2030.</w:t>
      </w:r>
    </w:p>
    <w:p w14:paraId="00000152"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5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Department of Labour, in collaboration with the Sri Lanka Police’s Community Police Movement, is working to promote social responsibility towards the elimination of child labour at the grassroots level. A Training of Trainers (TOT) programme for Police OICs was first conducted in Colombo District in August 2024 and has since expanded to </w:t>
      </w:r>
      <w:r>
        <w:rPr>
          <w:rFonts w:ascii="Times New Roman" w:eastAsia="Times New Roman" w:hAnsi="Times New Roman" w:cs="Times New Roman"/>
          <w:sz w:val="24"/>
          <w:szCs w:val="24"/>
        </w:rPr>
        <w:lastRenderedPageBreak/>
        <w:t>cover all 25 districts. With over 14,000 community police committees operating nationwide, awareness activities will be jointly conducted by community police officers and Department of Labour officials. Additionally, special public awareness campaigns have been launched at 11 zonal labour offices, in partnership with the Sri Lanka Police.</w:t>
      </w:r>
    </w:p>
    <w:p w14:paraId="0000015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internal circular (No. 04 of 2025, dated 17 March 2025) was issued to strengthen active participation in District and Divisional Child Development Committees, promote the collection of employer pledges towards eliminating child labour, and continue grassroots-level awareness activities in collaboration with the Sri Lanka Police. Additionally, the Department of Labour has identified a pool of 67 labour officers who will serve as trainers for upcoming training programmes conducted nationally.</w:t>
      </w:r>
    </w:p>
    <w:p w14:paraId="0000015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BOI monitors worker permits for enterprises within the Free Trade Zones to ensure that there is no child labour. Buyers conduct compliance audits which have reportedly never revealed the use of child labour. </w:t>
      </w:r>
    </w:p>
    <w:p w14:paraId="0000015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tea industry, most of the larger plantation companies (the Regional Plantation Companies) have voluntarily joined the Rainforest Alliance certification scheme and the Child Friendly Seal scheme which have child welfare and rights as part of the consideration for certification. </w:t>
      </w:r>
    </w:p>
    <w:p w14:paraId="0000015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steps are underway to explore the ratification of ILO Convention 190, which aims to eliminate violence and harassment in the world of work, in order to safeguard young workers, ensuring they can engage in employment free from abuse, discrimination, and unsafe working conditions.</w:t>
      </w:r>
      <w:r>
        <w:rPr>
          <w:rFonts w:ascii="Times New Roman" w:eastAsia="Times New Roman" w:hAnsi="Times New Roman" w:cs="Times New Roman"/>
          <w:sz w:val="24"/>
          <w:szCs w:val="24"/>
          <w:vertAlign w:val="superscript"/>
        </w:rPr>
        <w:footnoteReference w:id="59"/>
      </w:r>
    </w:p>
    <w:p w14:paraId="0000015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5D"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on Child Sexual Exploitation in the Tourism Sector</w:t>
      </w:r>
    </w:p>
    <w:p w14:paraId="0000015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6" w:name="_heading=h.2bn6wsx" w:colFirst="0" w:colLast="0"/>
      <w:bookmarkEnd w:id="46"/>
      <w:r>
        <w:rPr>
          <w:rFonts w:ascii="Times New Roman" w:eastAsia="Times New Roman" w:hAnsi="Times New Roman" w:cs="Times New Roman"/>
          <w:sz w:val="24"/>
          <w:szCs w:val="24"/>
        </w:rPr>
        <w:t xml:space="preserve">There is now increased awareness among the public and the industry about the danger of child sexual exploitation in the tourism industry, primarily due to media and social media reports. </w:t>
      </w:r>
    </w:p>
    <w:p w14:paraId="0000015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C9DAF8"/>
        </w:rPr>
      </w:pPr>
    </w:p>
    <w:p w14:paraId="0000016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7" w:name="_heading=h.qsh70q" w:colFirst="0" w:colLast="0"/>
      <w:bookmarkEnd w:id="47"/>
      <w:r>
        <w:rPr>
          <w:rFonts w:ascii="Times New Roman" w:eastAsia="Times New Roman" w:hAnsi="Times New Roman" w:cs="Times New Roman"/>
          <w:sz w:val="24"/>
          <w:szCs w:val="24"/>
        </w:rPr>
        <w:lastRenderedPageBreak/>
        <w:t>The NCPA and the WCDs in tourist areas include information on child sex tourism in their regular awareness sessions to communities. In 2020, the MWCA together with Save the Children set up billboards in popular tourist areas to raise awareness on child sex trafficking and encourage public reporting. CSO actors have been active in raising awareness in this area.</w:t>
      </w:r>
    </w:p>
    <w:p w14:paraId="0000016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6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order to prevent sexual exploitation of children in the tourism sector, the Government has taken several actions including training of Police Officers. </w:t>
      </w:r>
    </w:p>
    <w:p w14:paraId="0000016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6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Training of Police relating to Child Sex Tourism and Strengthening International Cooperation</w:t>
      </w:r>
    </w:p>
    <w:p w14:paraId="0000016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cases involving child sex tourism, the Sri Lanka Police Tourist Division and/or the WCDs in the area inform the relevant embassy. The INTERPOL ensures that a perpetrator is placed immediately on the Green Notice list which warns authorities globally that the person has committed child exploitation or abuse. Police also notify the immigration and emigration office that takes necessary steps at the time the said perpetrator is entering or leaving the country.</w:t>
      </w:r>
    </w:p>
    <w:p w14:paraId="0000016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6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48" w:name="_heading=h.3as4poj" w:colFirst="0" w:colLast="0"/>
      <w:bookmarkEnd w:id="48"/>
      <w:r>
        <w:rPr>
          <w:rFonts w:ascii="Times New Roman" w:eastAsia="Times New Roman" w:hAnsi="Times New Roman" w:cs="Times New Roman"/>
          <w:sz w:val="24"/>
          <w:szCs w:val="24"/>
        </w:rPr>
        <w:t xml:space="preserve"> During the reporting period, police officers have received training on preventing child exploitation and human trafficking, child rights and child protection, protection of digital data and on cyber-crimes.  </w:t>
      </w:r>
    </w:p>
    <w:p w14:paraId="0000016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69"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Company Disclosure of Impact Assessments</w:t>
      </w:r>
    </w:p>
    <w:p w14:paraId="0000016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matter of best practice, some companies carry out and disclose to the public environmental, health-related, and human rights impact assessments of their activities.</w:t>
      </w:r>
    </w:p>
    <w:p w14:paraId="0000016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6C" w14:textId="77777777" w:rsidR="00A3739D" w:rsidRDefault="008D1A07">
      <w:pPr>
        <w:pStyle w:val="Heading1"/>
        <w:keepNext/>
        <w:keepLines/>
        <w:numPr>
          <w:ilvl w:val="0"/>
          <w:numId w:val="2"/>
        </w:numPr>
        <w:ind w:left="0" w:right="2160" w:firstLine="0"/>
      </w:pPr>
      <w:bookmarkStart w:id="49" w:name="_heading=h.26845vp2yx0q" w:colFirst="0" w:colLast="0"/>
      <w:bookmarkEnd w:id="49"/>
      <w:r>
        <w:t xml:space="preserve">Definition of the child (art. 1) </w:t>
      </w:r>
    </w:p>
    <w:p w14:paraId="0000016D"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16E" w14:textId="77777777" w:rsidR="00A3739D" w:rsidRDefault="008D1A07">
      <w:pPr>
        <w:pStyle w:val="Heading2"/>
      </w:pPr>
      <w:bookmarkStart w:id="50" w:name="_heading=h.5fup8y8so4ew" w:colFirst="0" w:colLast="0"/>
      <w:bookmarkEnd w:id="50"/>
      <w:r>
        <w:t>Definition of the Child (paragraph 14)</w:t>
      </w:r>
    </w:p>
    <w:p w14:paraId="0000016F" w14:textId="77777777" w:rsidR="00A3739D" w:rsidRDefault="00A3739D">
      <w:pPr>
        <w:spacing w:after="0" w:line="360" w:lineRule="auto"/>
        <w:ind w:right="909"/>
        <w:rPr>
          <w:rFonts w:ascii="Times New Roman" w:eastAsia="Times New Roman" w:hAnsi="Times New Roman" w:cs="Times New Roman"/>
          <w:sz w:val="24"/>
          <w:szCs w:val="24"/>
        </w:rPr>
      </w:pPr>
    </w:p>
    <w:p w14:paraId="0000017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 is attempting to ensure that in all legislation that is protective of the child, the applicable age is 18, while adopting a more flexible approach which respects the child’s evolving capacity when the legislation relates to the child gaining autonomy.</w:t>
      </w:r>
    </w:p>
    <w:p w14:paraId="0000017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7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NCPP defines a child as “every human being below the age of eighteen years.” The CYPO (Amendment) Act No. 39 of 2022, raised the applicable age from sixteen to eighteen.</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The Kandyan Marriage and Divorce (Amendment) Act No. 37 of 2022</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increased the minimum age of marriage from 16 to 18 years. The Employment of Women, Young Persons and Children (Amendment) Act, No. 2 of 2021 increased the minimum age of employment from 14 years to 16 years of age while the Hazardous Occupations Regulations No. 01 of 2021 effectively raised the minimum age for domestic work to 18.</w:t>
      </w:r>
    </w:p>
    <w:p w14:paraId="0000017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7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laws reflect the evolving capacity of a child to make decisions for themselves. For example, under the Data Protection Act of 2022, a person between 16 and 18 years is allowed to decide whether his/her personal data can be processed without parental intervention. </w:t>
      </w:r>
    </w:p>
    <w:p w14:paraId="0000017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76" w14:textId="77777777" w:rsidR="00A3739D" w:rsidRDefault="008D1A07">
      <w:pPr>
        <w:pStyle w:val="Heading2"/>
      </w:pPr>
      <w:bookmarkStart w:id="51" w:name="_heading=h.erlj1x9cahak" w:colFirst="0" w:colLast="0"/>
      <w:bookmarkEnd w:id="51"/>
      <w:r>
        <w:t>Marriage of Muslim Girls (paragraph 15)</w:t>
      </w:r>
    </w:p>
    <w:p w14:paraId="00000177" w14:textId="77777777" w:rsidR="00A3739D" w:rsidRDefault="00A3739D">
      <w:pPr>
        <w:spacing w:after="0" w:line="360" w:lineRule="auto"/>
        <w:ind w:right="909"/>
        <w:rPr>
          <w:rFonts w:ascii="Times New Roman" w:eastAsia="Times New Roman" w:hAnsi="Times New Roman" w:cs="Times New Roman"/>
          <w:sz w:val="24"/>
          <w:szCs w:val="24"/>
        </w:rPr>
      </w:pPr>
    </w:p>
    <w:p w14:paraId="0000017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 Lanka’s legal system is a unique blend of civil law, common law as well as personal laws shaped by the history, culture and beliefs of the people who are subject to such laws. This includes laws provided for the self-management of Islamic religious institutions, marriage, divorce and succession laws particular to Sri Lankan Muslims. The Muslims of Sri Lanka are governed by their customary personal laws in keeping with their religion and culture. </w:t>
      </w:r>
    </w:p>
    <w:p w14:paraId="0000017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7A" w14:textId="77777777" w:rsidR="00A3739D" w:rsidRDefault="008D1A07">
      <w:pPr>
        <w:numPr>
          <w:ilvl w:val="0"/>
          <w:numId w:val="1"/>
        </w:numPr>
        <w:shd w:val="clear" w:color="auto" w:fill="FFFFFF"/>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a 10-member Muslim Law Reforms Advisory Committee, appointed by the then Minister of Justice in December 2020, handed over their Report to the then Hon. Minister as well as to the Cabinet of Ministers. The Advisory Committee to Propose Reforms on Muslim Personal Laws in its Report unanimously agreed on the recommendation to raise the minimum age of marriage to 18 years for both sexes.</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Based on the Committee’s recommendations, proposed amendments to the MMDA were approved by the Cabinet of Ministers in December 2023. However, with the appointment of a new Cabinet following the Parliamentary elections in 2024, the amendments now require fresh approval from the incumbent Cabinet to proceed. Amendments to the MMDA will be given </w:t>
      </w:r>
      <w:r>
        <w:rPr>
          <w:rFonts w:ascii="Times New Roman" w:eastAsia="Times New Roman" w:hAnsi="Times New Roman" w:cs="Times New Roman"/>
          <w:sz w:val="24"/>
          <w:szCs w:val="24"/>
        </w:rPr>
        <w:lastRenderedPageBreak/>
        <w:t>due consideration, with cultural and religious sensitivities carefully taken into account, while aligning with international standards.</w:t>
      </w:r>
    </w:p>
    <w:p w14:paraId="0000017B" w14:textId="77777777" w:rsidR="00A3739D" w:rsidRDefault="00A3739D">
      <w:pPr>
        <w:shd w:val="clear" w:color="auto" w:fill="FFFFFF"/>
        <w:spacing w:after="0" w:line="360" w:lineRule="auto"/>
        <w:ind w:right="909"/>
        <w:jc w:val="both"/>
        <w:rPr>
          <w:rFonts w:ascii="Times New Roman" w:eastAsia="Times New Roman" w:hAnsi="Times New Roman" w:cs="Times New Roman"/>
          <w:sz w:val="24"/>
          <w:szCs w:val="24"/>
        </w:rPr>
      </w:pPr>
    </w:p>
    <w:p w14:paraId="0000017C" w14:textId="77777777" w:rsidR="00A3739D" w:rsidRDefault="008D1A07">
      <w:pPr>
        <w:numPr>
          <w:ilvl w:val="0"/>
          <w:numId w:val="1"/>
        </w:numPr>
        <w:shd w:val="clear" w:color="auto" w:fill="FFFFFF"/>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direct relevance of the matter to the Muslim community of the country, it is important that any revisions to the law are carried out in close consultation with the community concerned. The objective of introducing amendments is to bring the personal laws into conformity with prevailing international and domestic standards. Personal laws will remain in operation as an integral part of the country’s legal system. </w:t>
      </w:r>
    </w:p>
    <w:p w14:paraId="0000017D" w14:textId="77777777" w:rsidR="00A3739D" w:rsidRDefault="00A3739D">
      <w:pPr>
        <w:shd w:val="clear" w:color="auto" w:fill="FFFFFF"/>
        <w:spacing w:after="0" w:line="360" w:lineRule="auto"/>
        <w:ind w:right="909"/>
        <w:jc w:val="both"/>
        <w:rPr>
          <w:rFonts w:ascii="Times New Roman" w:eastAsia="Times New Roman" w:hAnsi="Times New Roman" w:cs="Times New Roman"/>
          <w:sz w:val="24"/>
          <w:szCs w:val="24"/>
        </w:rPr>
      </w:pPr>
    </w:p>
    <w:p w14:paraId="0000017E" w14:textId="77777777" w:rsidR="00A3739D" w:rsidRDefault="008D1A07">
      <w:pPr>
        <w:pStyle w:val="Heading1"/>
        <w:keepNext/>
        <w:keepLines/>
        <w:numPr>
          <w:ilvl w:val="0"/>
          <w:numId w:val="2"/>
        </w:numPr>
        <w:ind w:left="0" w:right="909" w:firstLine="0"/>
      </w:pPr>
      <w:bookmarkStart w:id="52" w:name="_heading=h.4rlc01od823s" w:colFirst="0" w:colLast="0"/>
      <w:bookmarkEnd w:id="52"/>
      <w:r>
        <w:t>General principles (arts. 2, 3, 6 and 12)</w:t>
      </w:r>
    </w:p>
    <w:p w14:paraId="0000017F"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180" w14:textId="77777777" w:rsidR="00A3739D" w:rsidRDefault="008D1A07">
      <w:pPr>
        <w:pStyle w:val="Heading2"/>
        <w:keepNext/>
        <w:keepLines/>
      </w:pPr>
      <w:bookmarkStart w:id="53" w:name="_heading=h.t8m87lso8z91" w:colFirst="0" w:colLast="0"/>
      <w:bookmarkEnd w:id="53"/>
      <w:r>
        <w:t>Non-discrimination (paragraph 16)</w:t>
      </w:r>
    </w:p>
    <w:p w14:paraId="00000181"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182"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Non-Discrimination against Children in General</w:t>
      </w:r>
    </w:p>
    <w:p w14:paraId="0000018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54" w:name="_heading=h.1pxezwc" w:colFirst="0" w:colLast="0"/>
      <w:bookmarkEnd w:id="54"/>
      <w:r>
        <w:rPr>
          <w:rFonts w:ascii="Times New Roman" w:eastAsia="Times New Roman" w:hAnsi="Times New Roman" w:cs="Times New Roman"/>
          <w:sz w:val="24"/>
          <w:szCs w:val="24"/>
        </w:rPr>
        <w:t xml:space="preserve">Article 12 (1) of the Constitution upholds equality of all citizens. Article 12 (4) of the Constitution permits special provisions to advance the rights of children. </w:t>
      </w:r>
    </w:p>
    <w:p w14:paraId="0000018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85"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Non-discrimination against Marginalised or Vulnerable Children</w:t>
      </w:r>
    </w:p>
    <w:p w14:paraId="0000018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policies relating to children - such as the NCPP, NACP and the NPECCDP   - enshrine non-discrimination against marginalized and vulnerable children as a guiding principle.</w:t>
      </w:r>
    </w:p>
    <w:p w14:paraId="0000018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8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of professionals on non-discrimination and equality is also ongoing. A module on gender equality has been introduced into the judges’ curriculum. The National Diploma in Teaching includes 150 hour training on non-discrimination of children, including marginalised children. Gender equality is also included in police academy training. </w:t>
      </w:r>
    </w:p>
    <w:p w14:paraId="0000018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8A"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Combating Discrimination against children part of the LGBTQ+ community</w:t>
      </w:r>
    </w:p>
    <w:p w14:paraId="0000018B"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 to equality and non-discrimination guaranteed by the Article 12 (1) of the Constitution of Sri Lanka includes non-discrimination on grounds of sexual orientation. </w:t>
      </w:r>
    </w:p>
    <w:p w14:paraId="0000018C"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8D"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judicial sphere</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in addition to a judgement of the Supreme Court in SC/Appeal/32/2011, pursuant to a case filed in the Court of Appeal in 2021, </w:t>
      </w:r>
      <w:r>
        <w:rPr>
          <w:rFonts w:ascii="Times New Roman" w:eastAsia="Times New Roman" w:hAnsi="Times New Roman" w:cs="Times New Roman"/>
          <w:sz w:val="24"/>
          <w:szCs w:val="24"/>
        </w:rPr>
        <w:lastRenderedPageBreak/>
        <w:t xml:space="preserve">(CA/WRIT/425/2021) with regard to concerns on LGBTIQ rights, a circular was issued by the IGP addressing such concerns. </w:t>
      </w:r>
    </w:p>
    <w:p w14:paraId="0000018E" w14:textId="77777777" w:rsidR="00A3739D" w:rsidRDefault="00A3739D">
      <w:pPr>
        <w:spacing w:after="0" w:line="360" w:lineRule="auto"/>
        <w:ind w:left="720" w:right="909"/>
        <w:jc w:val="both"/>
        <w:rPr>
          <w:rFonts w:ascii="Times New Roman" w:eastAsia="Times New Roman" w:hAnsi="Times New Roman" w:cs="Times New Roman"/>
          <w:sz w:val="24"/>
          <w:szCs w:val="24"/>
        </w:rPr>
      </w:pPr>
    </w:p>
    <w:p w14:paraId="0000018F"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December 2022, consultations were held with civil society representatives working on LGBTQ rights and the Inspector General of Police along with officers of the Ministry of Women, Child Affairs and Social Empowerment on handling complaints relating to LGBTQ community. Following the said consultations, the IGP took a decision to appoint a DIG to take measures on issues in this regard and a senior DIG to act directly on behalf of the IGP. Furthermore, the DIG in charge of Legal Range was given necessary instructions to extend the support required. Additionally, IGP Circular No. 2740/22 dated 2022 states that complaints relating to LGBTQ+ community are to be handled with sensitivity via the WCDs, and WCD officers have received training on the LGBTQ+ community, LGBTQ+ children and their rights. The DIG in charge of the Women and Children’s Division has been appointed as a focal point to receive complaints of violence against LGBTQ+ children. The HRCSL also acts on behalf of these children, and the Legal Aid Commission reports regularly representing LGBTQ+ children in courts.</w:t>
      </w:r>
    </w:p>
    <w:p w14:paraId="00000190"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9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IGP circular issued on 27.12.2022, an amended circular was issued with regard to describing the communities involved in LGBTIQ on 5 April 2024. Further to the instructions given by above circulars, the children and women bureau desk were tasked to entertain the complaints of these communities under the reforms of children and women bureaus by the IGP’s instructions given under Circular (CRTM 446) on 17 Oct 2024. Thereafter, 12 sensitization programs conducted by the Police academy with the support of community organization for 257 Police officers, the training is continuing. </w:t>
      </w:r>
    </w:p>
    <w:p w14:paraId="0000019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rPr>
      </w:pPr>
    </w:p>
    <w:p w14:paraId="0000019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Combating Discriminatory Attitudes and Practices</w:t>
      </w:r>
    </w:p>
    <w:p w14:paraId="0000019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CRPOs, DCPOs, DECDOs, WCD officers¸ and Early Childhood Development Officers incorporate awareness on these issues in their programmes at the community and school levels. In addition, many CSOs also organize programmes that specifically target discriminatory attitudes and practices. FISD conducts gender sensitization programs to address patriarchal gender stereotypes that discriminate against girls and children. World Vision has conducted awareness on child rights, including protection against discrimination, for 17,000 Children in 28 Assistant Government Agent divisions.</w:t>
      </w:r>
    </w:p>
    <w:p w14:paraId="0000019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96"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Non-Discrimination in the Schools Syllabus</w:t>
      </w:r>
    </w:p>
    <w:p w14:paraId="0000019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the schools’ syllabus includes sections on respecting everyone and all views without discrimination. </w:t>
      </w:r>
    </w:p>
    <w:p w14:paraId="0000019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99" w14:textId="77777777" w:rsidR="00A3739D" w:rsidRDefault="008D1A07">
      <w:pPr>
        <w:pStyle w:val="Heading2"/>
      </w:pPr>
      <w:bookmarkStart w:id="55" w:name="_heading=h.cfowuoesigvb" w:colFirst="0" w:colLast="0"/>
      <w:bookmarkEnd w:id="55"/>
      <w:r>
        <w:t>Right to life, survival and development (paragraph 17)</w:t>
      </w:r>
    </w:p>
    <w:p w14:paraId="0000019A"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19B" w14:textId="77777777" w:rsidR="00A3739D" w:rsidRDefault="008D1A07">
      <w:pPr>
        <w:tabs>
          <w:tab w:val="right" w:pos="851"/>
        </w:tabs>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Land Mines</w:t>
      </w:r>
    </w:p>
    <w:p w14:paraId="0000019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 enacted the Prohibition of Anti-Personnel Mines Act, No. 3 of 2022</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to give effect to the Convention on the Prohibition of the Use, Stockpiling, Production and Transfer of Anti-Personnel Mines and on Their Destruction.</w:t>
      </w:r>
    </w:p>
    <w:p w14:paraId="0000019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19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Mine Action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(NMAC) conducts explosive risk education programs covering the danger of mines and the precautionary steps to be taken. These issues have also been made part of the Life Skills and Civic Education curriculum in the Northern and Eastern Provinces.</w:t>
      </w:r>
    </w:p>
    <w:p w14:paraId="0000019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A0" w14:textId="77777777" w:rsidR="00A3739D" w:rsidRDefault="008D1A07">
      <w:pPr>
        <w:pStyle w:val="Heading2"/>
      </w:pPr>
      <w:bookmarkStart w:id="56" w:name="_heading=h.ratwoe9lh9y" w:colFirst="0" w:colLast="0"/>
      <w:bookmarkEnd w:id="56"/>
      <w:r>
        <w:t>Respect for the views of the child (paragraph 18)</w:t>
      </w:r>
    </w:p>
    <w:p w14:paraId="000001A1" w14:textId="77777777" w:rsidR="00A3739D" w:rsidRDefault="00A3739D">
      <w:pPr>
        <w:spacing w:after="0" w:line="360" w:lineRule="auto"/>
        <w:ind w:right="909"/>
        <w:rPr>
          <w:rFonts w:ascii="Times New Roman" w:eastAsia="Times New Roman" w:hAnsi="Times New Roman" w:cs="Times New Roman"/>
          <w:sz w:val="24"/>
          <w:szCs w:val="24"/>
        </w:rPr>
      </w:pPr>
    </w:p>
    <w:p w14:paraId="000001A2"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Respect for the views of the child</w:t>
      </w:r>
    </w:p>
    <w:p w14:paraId="000001A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57" w:name="_heading=h.4bed1ta5m037" w:colFirst="0" w:colLast="0"/>
      <w:bookmarkEnd w:id="57"/>
      <w:r>
        <w:rPr>
          <w:rFonts w:ascii="Times New Roman" w:eastAsia="Times New Roman" w:hAnsi="Times New Roman" w:cs="Times New Roman"/>
          <w:sz w:val="24"/>
          <w:szCs w:val="24"/>
        </w:rPr>
        <w:t xml:space="preserve">The DPCCS has established 10060 children’s clubs across the island from the </w:t>
      </w:r>
      <w:proofErr w:type="spellStart"/>
      <w:r>
        <w:rPr>
          <w:rFonts w:ascii="Times New Roman" w:eastAsia="Times New Roman" w:hAnsi="Times New Roman" w:cs="Times New Roman"/>
          <w:i/>
          <w:sz w:val="24"/>
          <w:szCs w:val="24"/>
        </w:rPr>
        <w:t>gramaniladhar</w:t>
      </w:r>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division level up to empower children, which has been in operation since 2007, and ensure their right to participation in Government decision making relating to children. The NCPA has initiated a student ambassador programme aimed at creating a child friendly school environment by educating chosen school prefects on child rights.   </w:t>
      </w:r>
    </w:p>
    <w:p w14:paraId="000001A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58" w:name="_heading=h.3ix6c8i0fs4k" w:colFirst="0" w:colLast="0"/>
      <w:bookmarkEnd w:id="58"/>
    </w:p>
    <w:p w14:paraId="000001A5" w14:textId="77777777" w:rsidR="00A3739D" w:rsidRDefault="008D1A07">
      <w:pPr>
        <w:pStyle w:val="Heading1"/>
        <w:keepNext/>
        <w:keepLines/>
        <w:numPr>
          <w:ilvl w:val="0"/>
          <w:numId w:val="2"/>
        </w:numPr>
        <w:ind w:right="909"/>
      </w:pPr>
      <w:r>
        <w:t>Civil rights and freedoms (arts. 7, 8 and 13–17)</w:t>
      </w:r>
    </w:p>
    <w:p w14:paraId="000001A6" w14:textId="77777777" w:rsidR="00A3739D" w:rsidRDefault="00A3739D">
      <w:pPr>
        <w:pBdr>
          <w:top w:val="nil"/>
          <w:left w:val="nil"/>
          <w:bottom w:val="nil"/>
          <w:right w:val="nil"/>
          <w:between w:val="nil"/>
        </w:pBdr>
        <w:spacing w:after="0"/>
        <w:ind w:left="852"/>
        <w:rPr>
          <w:rFonts w:ascii="Times New Roman" w:eastAsia="Times New Roman" w:hAnsi="Times New Roman" w:cs="Times New Roman"/>
          <w:color w:val="000000"/>
          <w:sz w:val="24"/>
          <w:szCs w:val="24"/>
        </w:rPr>
      </w:pPr>
    </w:p>
    <w:p w14:paraId="000001A7" w14:textId="77777777" w:rsidR="00A3739D" w:rsidRDefault="008D1A07">
      <w:pPr>
        <w:pStyle w:val="Heading2"/>
        <w:keepNext/>
        <w:keepLines/>
      </w:pPr>
      <w:bookmarkStart w:id="59" w:name="_heading=h.wghpwaf3xe8c" w:colFirst="0" w:colLast="0"/>
      <w:bookmarkEnd w:id="59"/>
      <w:r>
        <w:t xml:space="preserve">Birth Registration/Name and Nationality (paragraph 19) </w:t>
      </w:r>
    </w:p>
    <w:p w14:paraId="000001A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2021, under the “Let’s Protect Children” programme, it was allowed to mention the father’s name with the consent of both parties in situations where parents are unmarried. The column that refers to the marital status of parents in the birth certificate was removed to encourage unmarried mothers to obtain birth certificates for their Children.</w:t>
      </w:r>
    </w:p>
    <w:p w14:paraId="000001A9" w14:textId="77777777" w:rsidR="00A3739D" w:rsidRDefault="00A3739D">
      <w:pPr>
        <w:pBdr>
          <w:top w:val="nil"/>
          <w:left w:val="nil"/>
          <w:bottom w:val="nil"/>
          <w:right w:val="nil"/>
          <w:between w:val="nil"/>
        </w:pBdr>
        <w:tabs>
          <w:tab w:val="right" w:pos="851"/>
          <w:tab w:val="center" w:pos="4590"/>
        </w:tabs>
        <w:spacing w:after="0" w:line="360" w:lineRule="auto"/>
        <w:ind w:right="909"/>
        <w:jc w:val="both"/>
        <w:rPr>
          <w:rFonts w:ascii="Times New Roman" w:eastAsia="Times New Roman" w:hAnsi="Times New Roman" w:cs="Times New Roman"/>
          <w:b/>
          <w:sz w:val="24"/>
          <w:szCs w:val="24"/>
        </w:rPr>
      </w:pPr>
    </w:p>
    <w:p w14:paraId="000001AA" w14:textId="77777777" w:rsidR="00A3739D" w:rsidRDefault="008D1A07">
      <w:pPr>
        <w:pBdr>
          <w:top w:val="nil"/>
          <w:left w:val="nil"/>
          <w:bottom w:val="nil"/>
          <w:right w:val="nil"/>
          <w:between w:val="nil"/>
        </w:pBdr>
        <w:tabs>
          <w:tab w:val="right" w:pos="851"/>
          <w:tab w:val="center" w:pos="4590"/>
        </w:tabs>
        <w:spacing w:after="0" w:line="360" w:lineRule="auto"/>
        <w:ind w:right="9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Freedom of association (paragraph 20)</w:t>
      </w:r>
    </w:p>
    <w:p w14:paraId="000001AB" w14:textId="77777777" w:rsidR="00A3739D" w:rsidRDefault="00A3739D">
      <w:pPr>
        <w:shd w:val="clear" w:color="auto" w:fill="FFFFFF"/>
        <w:spacing w:after="0" w:line="240" w:lineRule="auto"/>
        <w:ind w:right="-64"/>
        <w:jc w:val="both"/>
        <w:rPr>
          <w:rFonts w:ascii="Times New Roman" w:eastAsia="Times New Roman" w:hAnsi="Times New Roman" w:cs="Times New Roman"/>
          <w:b/>
          <w:sz w:val="24"/>
          <w:szCs w:val="24"/>
        </w:rPr>
      </w:pPr>
    </w:p>
    <w:p w14:paraId="000001AC" w14:textId="77777777" w:rsidR="00A3739D" w:rsidRDefault="008D1A07">
      <w:pPr>
        <w:shd w:val="clear" w:color="auto" w:fill="FFFFFF"/>
        <w:spacing w:after="0" w:line="240" w:lineRule="auto"/>
        <w:ind w:right="-6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Anti-Terrorism Bill</w:t>
      </w:r>
    </w:p>
    <w:p w14:paraId="000001AD" w14:textId="77777777" w:rsidR="00A3739D" w:rsidRDefault="00A3739D">
      <w:pPr>
        <w:shd w:val="clear" w:color="auto" w:fill="FFFFFF"/>
        <w:spacing w:after="0" w:line="240" w:lineRule="auto"/>
        <w:ind w:right="-64"/>
        <w:jc w:val="both"/>
        <w:rPr>
          <w:rFonts w:ascii="Times New Roman" w:eastAsia="Times New Roman" w:hAnsi="Times New Roman" w:cs="Times New Roman"/>
          <w:b/>
          <w:sz w:val="24"/>
          <w:szCs w:val="24"/>
        </w:rPr>
      </w:pPr>
    </w:p>
    <w:p w14:paraId="000001A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Ministry of Justice and National Integration has obtained Cabinet approval to appoint a committee to review the existing legislation chaired by a senior President’s Counsel.  The initial discussions were held and further deliberations are to take place. The Committee consists of officials representing the Attorney General’s Department, Department of Legal Draftsman, Ministry of Justice and National Integration, Ministry of Defence and National Intelligence, Ministry of Public Security and Parliamentary Affairs, Ministry of Foreign Affairs, Foreign Employment and Tourism, Police Department and nominees from Bar Association of Sri Lanka. The Committee has been meeting regularly. Comments from the public for the proposed law have been called by paper advertisement, social media and the official websites. </w:t>
      </w:r>
    </w:p>
    <w:p w14:paraId="000001AF" w14:textId="77777777" w:rsidR="00A3739D" w:rsidRDefault="008D1A07">
      <w:pPr>
        <w:tabs>
          <w:tab w:val="left" w:pos="7802"/>
        </w:tabs>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1B0" w14:textId="77777777" w:rsidR="00A3739D" w:rsidRDefault="008D1A07">
      <w:pPr>
        <w:tabs>
          <w:tab w:val="right" w:pos="851"/>
          <w:tab w:val="center" w:pos="4590"/>
        </w:tabs>
        <w:spacing w:after="0" w:line="360" w:lineRule="auto"/>
        <w:ind w:right="9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Protection of privacy and protection of image (art. 16)</w:t>
      </w:r>
    </w:p>
    <w:p w14:paraId="000001B1" w14:textId="77777777" w:rsidR="00A3739D" w:rsidRDefault="00A3739D">
      <w:pPr>
        <w:tabs>
          <w:tab w:val="right" w:pos="851"/>
          <w:tab w:val="center" w:pos="4590"/>
        </w:tabs>
        <w:spacing w:after="0" w:line="360" w:lineRule="auto"/>
        <w:ind w:right="909"/>
        <w:jc w:val="both"/>
        <w:rPr>
          <w:rFonts w:ascii="Times New Roman" w:eastAsia="Times New Roman" w:hAnsi="Times New Roman" w:cs="Times New Roman"/>
          <w:b/>
          <w:sz w:val="24"/>
          <w:szCs w:val="24"/>
        </w:rPr>
      </w:pPr>
    </w:p>
    <w:p w14:paraId="000001B2" w14:textId="77777777" w:rsidR="00A3739D" w:rsidRDefault="008D1A07">
      <w:pPr>
        <w:numPr>
          <w:ilvl w:val="0"/>
          <w:numId w:val="1"/>
        </w:numPr>
        <w:tabs>
          <w:tab w:val="right" w:pos="851"/>
          <w:tab w:val="center" w:pos="4590"/>
        </w:tabs>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Ministry of Health and Mass Media has issued a Gazette notification prohibiting the featuring of children under 12 years in food advertisements, effective January 1, 2025.</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These regulations, formulated in consultation with the Food Advisory Committee, have been enacted under Section 32 of the Food Act, No. 26 of 1980.</w:t>
      </w:r>
    </w:p>
    <w:p w14:paraId="000001B3" w14:textId="77777777" w:rsidR="00A3739D" w:rsidRDefault="00A3739D">
      <w:pPr>
        <w:tabs>
          <w:tab w:val="right" w:pos="851"/>
          <w:tab w:val="center" w:pos="4590"/>
        </w:tabs>
        <w:spacing w:after="0" w:line="360" w:lineRule="auto"/>
        <w:ind w:right="909"/>
        <w:jc w:val="both"/>
        <w:rPr>
          <w:rFonts w:ascii="Times New Roman" w:eastAsia="Times New Roman" w:hAnsi="Times New Roman" w:cs="Times New Roman"/>
          <w:sz w:val="24"/>
          <w:szCs w:val="24"/>
        </w:rPr>
      </w:pPr>
    </w:p>
    <w:p w14:paraId="000001B4" w14:textId="77777777" w:rsidR="00A3739D" w:rsidRDefault="008D1A07">
      <w:pPr>
        <w:pStyle w:val="Heading2"/>
      </w:pPr>
      <w:bookmarkStart w:id="60" w:name="_heading=h.a0zbepceqaq4" w:colFirst="0" w:colLast="0"/>
      <w:bookmarkEnd w:id="60"/>
      <w:r>
        <w:t>Violence, including corporal punishment (arts, 19, 24(3), 28(2), 34, 37(a) and 39)</w:t>
      </w:r>
    </w:p>
    <w:p w14:paraId="000001B5" w14:textId="77777777" w:rsidR="00A3739D" w:rsidRDefault="00A3739D">
      <w:pPr>
        <w:spacing w:after="0"/>
        <w:rPr>
          <w:rFonts w:ascii="Times New Roman" w:eastAsia="Times New Roman" w:hAnsi="Times New Roman" w:cs="Times New Roman"/>
          <w:sz w:val="24"/>
          <w:szCs w:val="24"/>
        </w:rPr>
      </w:pPr>
    </w:p>
    <w:p w14:paraId="000001B6"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Legal Developments regarding Corporal Punishment</w:t>
      </w:r>
    </w:p>
    <w:p w14:paraId="000001B7"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2021</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and 2022,</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the Supreme Court of Sri Lanka found that corporal punishment constitutes cruel, inhuman or degrading treatment and could even amount to physical abuse and/or torture if administered frequently and severely. The judgements referred to sections 19, 28, and 37 of the CRC as well as General Comment No. 8 (2006). </w:t>
      </w:r>
    </w:p>
    <w:p w14:paraId="000001B8"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B9"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2016, the Education Ministry issued a circular banning corporal punishment in schools. Section 4 of Circular No. 12/2016 explicitly prohibits such practices and outlines a set of positive disciplinary measures to uphold student discipline, further restricting such practices in schools.</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For further information, please see above.</w:t>
      </w:r>
      <w:r>
        <w:rPr>
          <w:rFonts w:ascii="Times New Roman" w:eastAsia="Times New Roman" w:hAnsi="Times New Roman" w:cs="Times New Roman"/>
          <w:sz w:val="24"/>
          <w:szCs w:val="24"/>
          <w:vertAlign w:val="superscript"/>
        </w:rPr>
        <w:footnoteReference w:id="68"/>
      </w:r>
    </w:p>
    <w:p w14:paraId="000001BA" w14:textId="77777777" w:rsidR="00A3739D" w:rsidRDefault="00A3739D">
      <w:pPr>
        <w:spacing w:after="0" w:line="360" w:lineRule="auto"/>
        <w:ind w:right="909"/>
        <w:jc w:val="both"/>
        <w:rPr>
          <w:rFonts w:ascii="Times New Roman" w:eastAsia="Times New Roman" w:hAnsi="Times New Roman" w:cs="Times New Roman"/>
          <w:sz w:val="24"/>
          <w:szCs w:val="24"/>
          <w:highlight w:val="yellow"/>
        </w:rPr>
      </w:pPr>
    </w:p>
    <w:p w14:paraId="000001BB" w14:textId="77777777" w:rsidR="00A3739D" w:rsidRDefault="008D1A07">
      <w:pPr>
        <w:pStyle w:val="Heading2"/>
      </w:pPr>
      <w:bookmarkStart w:id="61" w:name="_heading=h.hxh3s455biti" w:colFirst="0" w:colLast="0"/>
      <w:bookmarkEnd w:id="61"/>
      <w:r>
        <w:t>Increasing the Capacity of Professionals to handle Cases of Violence against Children (paragraph 22 b)</w:t>
      </w:r>
    </w:p>
    <w:p w14:paraId="000001BC"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1BD"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2020-21, the NCPA drafted three sets of guidelines – for the judiciary, the police, and probation officers – on handling child victims of violence. The National Case Management Guidelines on Preventing all forms of Violence against Children (2018) developed by the DPCCS for CRPOs sets out a detailed procedure for handling cases. </w:t>
      </w:r>
    </w:p>
    <w:p w14:paraId="000001BE"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BF"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In-service training in the police includes violence against children as one topic. The NCPA annual training for police on video evidence recording covers the applicable law as well as guidance on interviewing child victims of violence. The AG’s Department also conducts training for their lawyers on how to interview child victims and witnesses of violence. </w:t>
      </w:r>
    </w:p>
    <w:p w14:paraId="000001C0"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C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FHB has developed a Guideline and does training on Training of Trainers on Roles &amp; Responsibilities of Primary Health Care Providers on Prevention of Gender Based Violence. In collaboration with the Postgraduate Institute of Medicine, the NCPA conducts lectures for the trainees on the basic laws applicable to child abuse. At Rajarata University, the Health Promotion curriculum for medical staff includes the Prevention of Domestic Violence Act No. 34 of 2005.</w:t>
      </w:r>
    </w:p>
    <w:p w14:paraId="000001C2"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C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Public Awareness on Corporal Punishment and Violence Against Children</w:t>
      </w:r>
    </w:p>
    <w:p w14:paraId="000001C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Consequent to the findings of the research on Corporal Punishment, in 2019, the NCPA developed a manual – “</w:t>
      </w:r>
      <w:proofErr w:type="spellStart"/>
      <w:r>
        <w:rPr>
          <w:rFonts w:ascii="Times New Roman" w:eastAsia="Times New Roman" w:hAnsi="Times New Roman" w:cs="Times New Roman"/>
          <w:sz w:val="24"/>
          <w:szCs w:val="24"/>
        </w:rPr>
        <w:t>shiksha</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on positive discipline aimed at primary school teachers and parents. DCPOs began awareness raising programmes for primary school teachers and the community in 2019 and 2020 that resumed in 2023. At the divisional level, </w:t>
      </w:r>
      <w:r>
        <w:rPr>
          <w:rFonts w:ascii="Times New Roman" w:eastAsia="Times New Roman" w:hAnsi="Times New Roman" w:cs="Times New Roman"/>
          <w:sz w:val="24"/>
          <w:szCs w:val="24"/>
        </w:rPr>
        <w:lastRenderedPageBreak/>
        <w:t>parents and teachers have been trained on positive discipline as have institutional care givers. The DPCCS and the MWCA issued a booklet titled “</w:t>
      </w:r>
      <w:proofErr w:type="spellStart"/>
      <w:r>
        <w:rPr>
          <w:rFonts w:ascii="Times New Roman" w:eastAsia="Times New Roman" w:hAnsi="Times New Roman" w:cs="Times New Roman"/>
          <w:sz w:val="24"/>
          <w:szCs w:val="24"/>
        </w:rPr>
        <w:t>Ammawarune</w:t>
      </w:r>
      <w:proofErr w:type="spellEnd"/>
      <w:r>
        <w:rPr>
          <w:rFonts w:ascii="Times New Roman" w:eastAsia="Times New Roman" w:hAnsi="Times New Roman" w:cs="Times New Roman"/>
          <w:sz w:val="24"/>
          <w:szCs w:val="24"/>
        </w:rPr>
        <w:t xml:space="preserve"> (“dear mothers”)” in 2021 on positive </w:t>
      </w:r>
      <w:proofErr w:type="spellStart"/>
      <w:r>
        <w:rPr>
          <w:rFonts w:ascii="Times New Roman" w:eastAsia="Times New Roman" w:hAnsi="Times New Roman" w:cs="Times New Roman"/>
          <w:sz w:val="24"/>
          <w:szCs w:val="24"/>
        </w:rPr>
        <w:t>parenting.The</w:t>
      </w:r>
      <w:proofErr w:type="spellEnd"/>
      <w:r>
        <w:rPr>
          <w:rFonts w:ascii="Times New Roman" w:eastAsia="Times New Roman" w:hAnsi="Times New Roman" w:cs="Times New Roman"/>
          <w:sz w:val="24"/>
          <w:szCs w:val="24"/>
        </w:rPr>
        <w:t xml:space="preserve"> NCPA’s University Ambassador National Programme apprises all university students on violence against children and child protection.</w:t>
      </w:r>
    </w:p>
    <w:p w14:paraId="000001C5"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C6"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UNICEF recently launched a manual on positive discipline for parents which it is advocating for use by stakeholders. ‘Stop Child Cruelty’ seeks to educate the public on the subject through regular media articles and social media posts.</w:t>
      </w:r>
    </w:p>
    <w:p w14:paraId="000001C7"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C8"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2024, the Canadian High Commission, led by High Commissioner Eric Walsh, convened a round-table discussion on banning corporal punishment. Lawyers, child rights activists, and representatives from the Ministry of Education, Human Rights Commission, and civil society explored strategies to enforce a total ban and strengthen child protection measures.</w:t>
      </w:r>
    </w:p>
    <w:p w14:paraId="000001C9" w14:textId="77777777" w:rsidR="00A3739D" w:rsidRDefault="00A3739D">
      <w:pPr>
        <w:spacing w:after="0" w:line="360" w:lineRule="auto"/>
        <w:ind w:right="909"/>
        <w:jc w:val="both"/>
        <w:rPr>
          <w:rFonts w:ascii="Times New Roman" w:eastAsia="Times New Roman" w:hAnsi="Times New Roman" w:cs="Times New Roman"/>
          <w:sz w:val="24"/>
          <w:szCs w:val="24"/>
          <w:shd w:val="clear" w:color="auto" w:fill="B4A7D6"/>
        </w:rPr>
      </w:pPr>
    </w:p>
    <w:p w14:paraId="000001CA"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Monitoring the Situation of Children in places of detention</w:t>
      </w:r>
    </w:p>
    <w:p w14:paraId="000001CB"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HRCSL regularly visits police stations, prisons, remand homes, childcare centres and certified homes under Section 11(d) of the HRCSL Act, and has not reported obstruction of such visits. Any complaints regarding ill treatment are usually made by the families of the detainees. NCPA, and DPCCS¸ and Provincial DPCCS also conduct monitoring visits to detention centres.</w:t>
      </w:r>
    </w:p>
    <w:p w14:paraId="000001CC"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1CD"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Follow up measures when Child abuse is Reported via Helplines</w:t>
      </w:r>
    </w:p>
    <w:p w14:paraId="000001CE"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bookmarkStart w:id="62" w:name="_heading=h.2p2csry" w:colFirst="0" w:colLast="0"/>
      <w:bookmarkEnd w:id="62"/>
      <w:r>
        <w:rPr>
          <w:rFonts w:ascii="Times New Roman" w:eastAsia="Times New Roman" w:hAnsi="Times New Roman" w:cs="Times New Roman"/>
          <w:sz w:val="24"/>
          <w:szCs w:val="24"/>
        </w:rPr>
        <w:t xml:space="preserve">The primary helpline for reporting child abuse is 1929, a 24 hour Child line run by the NCPA in all 3 languages. All complaints received are directed to the NCPA’s special police unit, the relevant local police station, or to the relevant NCPA field officer. The progress of all cases is monitored by the head office. </w:t>
      </w:r>
    </w:p>
    <w:p w14:paraId="000001CF"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63" w:name="_heading=h.htd9txveq5p7" w:colFirst="0" w:colLast="0"/>
      <w:bookmarkEnd w:id="63"/>
    </w:p>
    <w:p w14:paraId="000001D0" w14:textId="77777777" w:rsidR="00A3739D" w:rsidRDefault="008D1A07">
      <w:pPr>
        <w:pStyle w:val="Heading2"/>
      </w:pPr>
      <w:bookmarkStart w:id="64" w:name="_heading=h.6yxlcpjuuj9" w:colFirst="0" w:colLast="0"/>
      <w:bookmarkEnd w:id="64"/>
      <w:r>
        <w:t>Sexual exploitation and abuse (paragraphs 23 and 24)</w:t>
      </w:r>
    </w:p>
    <w:p w14:paraId="000001D1" w14:textId="77777777" w:rsidR="00A3739D" w:rsidRDefault="00A3739D">
      <w:pPr>
        <w:spacing w:after="0" w:line="360" w:lineRule="auto"/>
        <w:ind w:right="909"/>
        <w:rPr>
          <w:rFonts w:ascii="Times New Roman" w:eastAsia="Times New Roman" w:hAnsi="Times New Roman" w:cs="Times New Roman"/>
          <w:sz w:val="24"/>
          <w:szCs w:val="24"/>
        </w:rPr>
      </w:pPr>
    </w:p>
    <w:p w14:paraId="000001D2"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Child Pornography and Online Child Sexual Exploitation</w:t>
      </w:r>
    </w:p>
    <w:p w14:paraId="000001D3"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Currently, section 286A of the Penal Code criminalises involvement of a child appearing in an obscene or indecent exhibition, show, photograph, or film or distribution or </w:t>
      </w:r>
      <w:r>
        <w:rPr>
          <w:rFonts w:ascii="Times New Roman" w:eastAsia="Times New Roman" w:hAnsi="Times New Roman" w:cs="Times New Roman"/>
          <w:sz w:val="24"/>
          <w:szCs w:val="24"/>
        </w:rPr>
        <w:lastRenderedPageBreak/>
        <w:t>possessing such photograph or film.. Section 286B(1) of the Penal Code requires those who provide services via a computer to take all necessary steps to ensure that the computer facility is not used for child sexual abuse. Section 286B(2) of the Penal Code creates an affirmative duty on ISPs to report instances of sexual abuse of children and to turn over any identifying information to law enforcement.</w:t>
      </w:r>
    </w:p>
    <w:p w14:paraId="000001D4"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D5"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bookmarkStart w:id="65" w:name="_heading=h.147n2zr" w:colFirst="0" w:colLast="0"/>
      <w:bookmarkEnd w:id="65"/>
      <w:r>
        <w:rPr>
          <w:rFonts w:ascii="Times New Roman" w:eastAsia="Times New Roman" w:hAnsi="Times New Roman" w:cs="Times New Roman"/>
          <w:sz w:val="24"/>
          <w:szCs w:val="24"/>
        </w:rPr>
        <w:t xml:space="preserve">In March 2020, the NCPA initiated the Cyber Crimes Surveillance Unit (CCSU) to investigate complaints and initiate its own investigations by working undercover on social media. The TRCSL blocks harmful sites and reports back to the NCPA within 2 weeks. The NCPA has the mandate to request identification information for any internet user from ISPs without a court order but often ISPs are unable to provide such information due to the lack of technical capacity. Where an individual can be identified, that person is reported to the CID for investigations. All NCPA officers on the ground have also received basic training on how to handle cases of online violence. The NCPA has also signed a Memorandum of Understanding with the International Watch Foundation and a portal is being set up which will enable the NCPA to identify perpetrators of online abuse. NCPA is also collaborating with Interpol to develop a SOP for online violence investigations. The alarming growth in crimes committed using digital technology and online platforms has necessitated the strengthening of measures to safeguard rights of individuals and the society against the misuse of such platforms. </w:t>
      </w:r>
    </w:p>
    <w:p w14:paraId="000001D6" w14:textId="77777777" w:rsidR="00A3739D" w:rsidRDefault="00A3739D">
      <w:pPr>
        <w:spacing w:after="0" w:line="360" w:lineRule="auto"/>
        <w:ind w:right="909"/>
        <w:jc w:val="both"/>
        <w:rPr>
          <w:rFonts w:ascii="Times New Roman" w:eastAsia="Times New Roman" w:hAnsi="Times New Roman" w:cs="Times New Roman"/>
          <w:b/>
          <w:sz w:val="24"/>
          <w:szCs w:val="24"/>
          <w:highlight w:val="white"/>
        </w:rPr>
      </w:pPr>
    </w:p>
    <w:p w14:paraId="000001D7"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 CERT (Computer Emergency Response Team) serves as the National Centre for Cyber Security, responsible for safeguarding the nation’s cyberspace from various cyber threats. The Cyber Crime Investigation Unit (CCIU), formerly a separate division, now operates under the CID following a structural reorganization. The CCIU is tasked with handling all cyber-related complaints, including those related to online child sexual exploitation. The public can report incidents to the CCIU via email, which then initiates investigations accordingly.</w:t>
      </w:r>
    </w:p>
    <w:p w14:paraId="000001D8"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D9"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CCIU has established a legal portal and collaborates with social media platforms, such as Meta, allowing for swift action in content removal with their support. In addition, the CCIU works closely with Sri Lanka CERT and the Government Analyst’s Department for investigative assistance. The unit has regional sub-units in Anuradhapura, Kandy, Kurunegala, Ampara, and Matara.</w:t>
      </w:r>
    </w:p>
    <w:p w14:paraId="000001DA"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DB"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Women and Children Bureau (WCB) operates a dedicated cybercrime investigation unit, “NCMEC,” which handles all cases related to online child exploitation. The WCB conducts investigations to rescue abused children based on information received through NCMEC. Additionally, the WCB investigates complaints related to TFSGBV.</w:t>
      </w:r>
    </w:p>
    <w:p w14:paraId="000001DC"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1DD"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NCPA has also established a Cyber Surveillance Unit to prevent child abuse and protect victims, particularly from online threats such as grooming and sexual exploitation. Additionally, a Video Recording Unit has been set up within the NCPA to document evidence from child victims involved in criminal proceedings, ensuring their safety and protection.</w:t>
      </w:r>
    </w:p>
    <w:p w14:paraId="000001DE"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1DF"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Child Protection Authority has set up the Internet Watch Foundation (IWF) Sri Lanka Reporting Portal in 2024</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which encourages individuals to report instances of online child sexual abuse through an anonymous and straightforward process</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rPr>
        <w:t>. Through this portal, the users can report quickly, while anonymity is maintained, providing an email enables follow-up. For urgent cases, the portal advises contacting local police or child protection organizations directly.</w:t>
      </w:r>
    </w:p>
    <w:p w14:paraId="000001E0" w14:textId="77777777" w:rsidR="00A3739D" w:rsidRDefault="00A3739D">
      <w:pPr>
        <w:spacing w:after="0" w:line="360" w:lineRule="auto"/>
        <w:ind w:right="909"/>
        <w:jc w:val="both"/>
        <w:rPr>
          <w:rFonts w:ascii="Times New Roman" w:eastAsia="Times New Roman" w:hAnsi="Times New Roman" w:cs="Times New Roman"/>
          <w:sz w:val="24"/>
          <w:szCs w:val="24"/>
        </w:rPr>
      </w:pPr>
      <w:bookmarkStart w:id="66" w:name="_heading=h.9jk6cufaznju" w:colFirst="0" w:colLast="0"/>
      <w:bookmarkEnd w:id="66"/>
    </w:p>
    <w:p w14:paraId="000001E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Online Safety Act, which was certified on the 1st of February, 2024, is aimed at addressing this issue of growing public importance and thereby to protect the vulnerable sections of the society in line with international standards. As the digital landscape continues to evolve, it is imperative for governments and international bodies to collaborate in fortifying measures that ensure the protection of individuals’ rights, particularly in the realm of online safety. The alarming surge in digital crimes underscores the urgency of such actions. </w:t>
      </w:r>
    </w:p>
    <w:p w14:paraId="000001E2" w14:textId="77777777" w:rsidR="00A3739D" w:rsidRDefault="00A3739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1E3"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a joint proposal by the Minister of Justice and National Integration, Minister of Health and Mass Media and Minister of Public Security and Parliamentary Affairs, the Cabinet of Ministers has granted approval to appoint a Committee under the chairmanship of an Hon. Judge of the Supreme Court to submit recommendations to amend the Online Safety Act no. 9 of 2024.   The Committee consists of officials representing the </w:t>
      </w:r>
      <w:r>
        <w:rPr>
          <w:rFonts w:ascii="Times New Roman" w:eastAsia="Times New Roman" w:hAnsi="Times New Roman" w:cs="Times New Roman"/>
          <w:sz w:val="24"/>
          <w:szCs w:val="24"/>
        </w:rPr>
        <w:lastRenderedPageBreak/>
        <w:t xml:space="preserve">Ministry of Justice and National Integration, Ministry of Public Security and Parliamentary Affairs, Ministry of Health and Mass Media, Ministry of Foreign Affairs, Foreign Employment and Tourism, Ministry of Digital Economy, Attorney General’s Department, Department of Legal Draftsman, Police Department and a nominee from Bar Association of Sri Lanka. Public consultations regarding the proposed amendments will be carried out in this process.  As the Online Safety Commission, which is to be established in terms of the provisions of the Online Safety Act (OSA), has not yet been established, no investigations have been conducted to date by Sri Lanka Police under this Act. </w:t>
      </w:r>
    </w:p>
    <w:p w14:paraId="000001E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E5"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Programmes on Child Sexual Exploitation</w:t>
      </w:r>
    </w:p>
    <w:p w14:paraId="000001E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67" w:name="_heading=h.ihv636" w:colFirst="0" w:colLast="0"/>
      <w:bookmarkEnd w:id="67"/>
      <w:r>
        <w:rPr>
          <w:rFonts w:ascii="Times New Roman" w:eastAsia="Times New Roman" w:hAnsi="Times New Roman" w:cs="Times New Roman"/>
          <w:sz w:val="24"/>
          <w:szCs w:val="24"/>
        </w:rPr>
        <w:t xml:space="preserve">The NCPA conducts programmes for hotel and small guesthouse owners on child sexual exploitation and the criminal liability of owners of premises under Section 286C of the Penal Code. The DPCCS also conducts awareness programs for children on changes during adolescence, child abuse and exploitation, as do WCDs. CSOs are also active in this area; setting up child friendly committees and alert groups at village level and promoting self-care and collective care for adolescents etc. The public, especially parents, would benefit from more awareness of the different types of settings in which sexual exploitation commonly occurs, including within families and in religious institutions. </w:t>
      </w:r>
    </w:p>
    <w:p w14:paraId="000001E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E8"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Justice and Support for Victims </w:t>
      </w:r>
    </w:p>
    <w:p w14:paraId="000001E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68" w:name="_heading=h.32hioqz" w:colFirst="0" w:colLast="0"/>
      <w:bookmarkEnd w:id="68"/>
      <w:r>
        <w:rPr>
          <w:rFonts w:ascii="Times New Roman" w:eastAsia="Times New Roman" w:hAnsi="Times New Roman" w:cs="Times New Roman"/>
          <w:sz w:val="24"/>
          <w:szCs w:val="24"/>
        </w:rPr>
        <w:t xml:space="preserve">WCDs have been established in 602 of the 607 police stations across the country and Divisional Units in all 45 Police Divisions, and child friendly spaces have been created in every police station. Since March 2022, new procedures have been implemented to ensure that complaints involving violence brought under the Domestic Violence Act result in protection orders and are no longer categorized as “family disputes.” Pursuant to the new procedure, 143 protection orders have been issued in July 2023 alone which is an average of 1.21% of cases, as compared to 0.3% during the years 2017-2021. </w:t>
      </w:r>
    </w:p>
    <w:p w14:paraId="000001E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69" w:name="_heading=h.vjcryhqblz06" w:colFirst="0" w:colLast="0"/>
      <w:bookmarkEnd w:id="69"/>
    </w:p>
    <w:p w14:paraId="000001E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70" w:name="_heading=h.1hmsyys" w:colFirst="0" w:colLast="0"/>
      <w:bookmarkEnd w:id="70"/>
      <w:r>
        <w:rPr>
          <w:rFonts w:ascii="Times New Roman" w:eastAsia="Times New Roman" w:hAnsi="Times New Roman" w:cs="Times New Roman"/>
          <w:sz w:val="24"/>
          <w:szCs w:val="24"/>
        </w:rPr>
        <w:t xml:space="preserve"> At the NCPA, complaints can now be made via email and WhatsApp and the complaints handling mechanism is digitised for more efficient follow up and monitoring. Officers island-wide have been trained on dealing with child victims of domestic violence and all staff at the 1929 hotline and the NCPA Police Unit receive regular training on how to handle complaints from or about children. Plans are underway at the HRCSL to create a </w:t>
      </w:r>
      <w:r>
        <w:rPr>
          <w:rFonts w:ascii="Times New Roman" w:eastAsia="Times New Roman" w:hAnsi="Times New Roman" w:cs="Times New Roman"/>
          <w:sz w:val="24"/>
          <w:szCs w:val="24"/>
        </w:rPr>
        <w:lastRenderedPageBreak/>
        <w:t xml:space="preserve">child friendly space for children to make complaints and investigation manuals will soon include a component on child rights monitoring. </w:t>
      </w:r>
    </w:p>
    <w:p w14:paraId="000001EC"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1E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71" w:name="_heading=h.41mghml" w:colFirst="0" w:colLast="0"/>
      <w:bookmarkEnd w:id="71"/>
      <w:r>
        <w:rPr>
          <w:rFonts w:ascii="Times New Roman" w:eastAsia="Times New Roman" w:hAnsi="Times New Roman" w:cs="Times New Roman"/>
          <w:sz w:val="24"/>
          <w:szCs w:val="24"/>
        </w:rPr>
        <w:t>The NAPVW assists and protects child victims. Child victims are interviewed in a child friendly room where confidentiality is guaranteed, by personnel trained on child friendly procedures. A 1985 hotline was set up in 2019. Under the new Assistance to and Protection of Victims of Crime and Witnesses Act,</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Victim and Witness Protection Officers will be assigned to each police station, with more officers in areas where children and women are more vulnerable. Further, in proceedings related to sexual offences or violence, the Act permits a child victim or witness to give evidence or make a statement through contemporaneous audio-visual linkage from a remote location. The Authority is in the process of developing the facilities required for this.   </w:t>
      </w:r>
    </w:p>
    <w:p w14:paraId="000001E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E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Judicial Services Commission Circular No. 400 of 2017directs all Magistrates to take all cases involving children in judges’ chambers or in camera and to conclude such cases as a matter of priority while Circular No. 449 of 2021directs all judges of the High Courts to assign an identification code for every case file concerning child abuse to facilitate prioritization. The Police have established 6 video evidence recording units in the Provinces and, in addition to the NCPA headquarters, video evidence recording for children is now available at the </w:t>
      </w:r>
      <w:proofErr w:type="spellStart"/>
      <w:r>
        <w:rPr>
          <w:rFonts w:ascii="Times New Roman" w:eastAsia="Times New Roman" w:hAnsi="Times New Roman" w:cs="Times New Roman"/>
          <w:sz w:val="24"/>
          <w:szCs w:val="24"/>
        </w:rPr>
        <w:t>Ragama</w:t>
      </w:r>
      <w:proofErr w:type="spellEnd"/>
      <w:r>
        <w:rPr>
          <w:rFonts w:ascii="Times New Roman" w:eastAsia="Times New Roman" w:hAnsi="Times New Roman" w:cs="Times New Roman"/>
          <w:sz w:val="24"/>
          <w:szCs w:val="24"/>
        </w:rPr>
        <w:t xml:space="preserve"> Lama Piyasa facility and will soon also be available at </w:t>
      </w:r>
      <w:proofErr w:type="spellStart"/>
      <w:r>
        <w:rPr>
          <w:rFonts w:ascii="Times New Roman" w:eastAsia="Times New Roman" w:hAnsi="Times New Roman" w:cs="Times New Roman"/>
          <w:sz w:val="24"/>
          <w:szCs w:val="24"/>
        </w:rPr>
        <w:t>Karapitiya</w:t>
      </w:r>
      <w:proofErr w:type="spellEnd"/>
      <w:r>
        <w:rPr>
          <w:rFonts w:ascii="Times New Roman" w:eastAsia="Times New Roman" w:hAnsi="Times New Roman" w:cs="Times New Roman"/>
          <w:sz w:val="24"/>
          <w:szCs w:val="24"/>
        </w:rPr>
        <w:t xml:space="preserve"> hospital in Galle. </w:t>
      </w:r>
    </w:p>
    <w:p w14:paraId="000001F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F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Aid Commission provides legal support to victims of violence and persons with disabilities. As a matter of policy, the Commission does not apply an income threshold when offering legal assistance to child victims. This policy also extends to women in cases involving domestic violence and maintenance, ensuring equitable access to justice for vulnerable groups. </w:t>
      </w:r>
    </w:p>
    <w:p w14:paraId="000001F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bookmarkStart w:id="72" w:name="_heading=h.pm6vayjy8ln3" w:colFirst="0" w:colLast="0"/>
      <w:bookmarkEnd w:id="72"/>
    </w:p>
    <w:p w14:paraId="000001F3" w14:textId="77777777" w:rsidR="00A3739D" w:rsidRDefault="008D1A07">
      <w:pPr>
        <w:pStyle w:val="Heading2"/>
      </w:pPr>
      <w:bookmarkStart w:id="73" w:name="_heading=h.j59blaj1ah76" w:colFirst="0" w:colLast="0"/>
      <w:bookmarkEnd w:id="73"/>
      <w:r>
        <w:t xml:space="preserve">Paragraph 24 (e) </w:t>
      </w:r>
    </w:p>
    <w:p w14:paraId="000001F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Please refer to Sri Lanka’s fifth Periodic Report under CAT</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and additional information submitted to the Committee following its Review in 2016</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xml:space="preserve">, during which the updates regarding the above allegation had been provided. </w:t>
      </w:r>
    </w:p>
    <w:p w14:paraId="000001F5"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1F6" w14:textId="77777777" w:rsidR="00A3739D" w:rsidRDefault="008D1A07">
      <w:pPr>
        <w:pStyle w:val="Heading2"/>
      </w:pPr>
      <w:bookmarkStart w:id="74" w:name="_heading=h.60gk10fq3pi0" w:colFirst="0" w:colLast="0"/>
      <w:bookmarkEnd w:id="74"/>
      <w:r>
        <w:t>Gender-based violence (paragraph 25)</w:t>
      </w:r>
    </w:p>
    <w:p w14:paraId="000001F7" w14:textId="77777777" w:rsidR="00A3739D" w:rsidRDefault="00A3739D">
      <w:pPr>
        <w:spacing w:after="0" w:line="360" w:lineRule="auto"/>
        <w:ind w:right="909"/>
        <w:rPr>
          <w:rFonts w:ascii="Times New Roman" w:eastAsia="Times New Roman" w:hAnsi="Times New Roman" w:cs="Times New Roman"/>
          <w:sz w:val="24"/>
          <w:szCs w:val="24"/>
        </w:rPr>
      </w:pPr>
    </w:p>
    <w:p w14:paraId="000001F8" w14:textId="77777777" w:rsidR="00A3739D" w:rsidRDefault="008D1A07">
      <w:pPr>
        <w:spacing w:after="0" w:line="360" w:lineRule="auto"/>
        <w:ind w:right="909"/>
        <w:jc w:val="both"/>
        <w:rPr>
          <w:rFonts w:ascii="Times New Roman" w:eastAsia="Times New Roman" w:hAnsi="Times New Roman" w:cs="Times New Roman"/>
          <w:i/>
          <w:sz w:val="24"/>
          <w:szCs w:val="24"/>
        </w:rPr>
      </w:pPr>
      <w:bookmarkStart w:id="75" w:name="_heading=h.30j0zll" w:colFirst="0" w:colLast="0"/>
      <w:bookmarkEnd w:id="75"/>
      <w:r>
        <w:rPr>
          <w:rFonts w:ascii="Times New Roman" w:eastAsia="Times New Roman" w:hAnsi="Times New Roman" w:cs="Times New Roman"/>
          <w:i/>
          <w:sz w:val="24"/>
          <w:szCs w:val="24"/>
        </w:rPr>
        <w:t>Marital Rape</w:t>
      </w:r>
    </w:p>
    <w:p w14:paraId="000001F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76" w:name="_heading=h.1fob9te" w:colFirst="0" w:colLast="0"/>
      <w:bookmarkEnd w:id="76"/>
      <w:r>
        <w:rPr>
          <w:rFonts w:ascii="Times New Roman" w:eastAsia="Times New Roman" w:hAnsi="Times New Roman" w:cs="Times New Roman"/>
          <w:sz w:val="24"/>
          <w:szCs w:val="24"/>
        </w:rPr>
        <w:t xml:space="preserve">Currently, marital rape is a criminal act only in cases of judicial separation under the Penal Code section 363 Amendment Act No. 22 of 1995 and No. 29 of 1998. Proposals to criminalize marital rape are under consideration. </w:t>
      </w:r>
    </w:p>
    <w:p w14:paraId="000001FA"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1F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Statutory Rape of Married Girls under 16</w:t>
      </w:r>
    </w:p>
    <w:p w14:paraId="000001F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discussed above, the amendments to raise the minimum age of marriage for Muslim girls to 18 are still pending.</w:t>
      </w:r>
      <w:r>
        <w:rPr>
          <w:rFonts w:ascii="Times New Roman" w:eastAsia="Times New Roman" w:hAnsi="Times New Roman" w:cs="Times New Roman"/>
          <w:sz w:val="24"/>
          <w:szCs w:val="24"/>
          <w:vertAlign w:val="superscript"/>
        </w:rPr>
        <w:footnoteReference w:id="75"/>
      </w:r>
    </w:p>
    <w:p w14:paraId="000001F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1FE"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Measures to Encourage Girls to Report Violence and to change Patriarchal Attitudes</w:t>
      </w:r>
    </w:p>
    <w:p w14:paraId="000001F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2019 survey by the Department of Census and Statistics</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revealed that 24.9% of women have experienced physical and/or sexual violence. During COVID-19 lockdowns these figures escalated. </w:t>
      </w:r>
    </w:p>
    <w:p w14:paraId="0000020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To address such issues, S</w:t>
      </w:r>
      <w:r>
        <w:rPr>
          <w:rFonts w:ascii="Times New Roman" w:eastAsia="Times New Roman" w:hAnsi="Times New Roman" w:cs="Times New Roman"/>
          <w:sz w:val="24"/>
          <w:szCs w:val="24"/>
        </w:rPr>
        <w:t>ri Lanka Police launched a special island-wide programme from 7 February 2024 to tackle harassment against children and women on public transportation. Accordingly, Police officials in civil attire were deployed on public transportation especially during peak hours, 8.00 am to 10.00 am and 5.00 pm to 7.00 pm, during which the movement of people using public transport is high.</w:t>
      </w:r>
    </w:p>
    <w:p w14:paraId="0000020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white"/>
        </w:rPr>
      </w:pPr>
    </w:p>
    <w:p w14:paraId="0000020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stigma and fear that deter girls from reporting violence, and changing patriarchal attitudes and discriminatory stereotypes are touched on in the Civic Education and Health </w:t>
      </w:r>
      <w:r>
        <w:rPr>
          <w:rFonts w:ascii="Times New Roman" w:eastAsia="Times New Roman" w:hAnsi="Times New Roman" w:cs="Times New Roman"/>
          <w:sz w:val="24"/>
          <w:szCs w:val="24"/>
        </w:rPr>
        <w:lastRenderedPageBreak/>
        <w:t xml:space="preserve">and Physical Education curricula in schools. Members of the Tri Forces and Members of Parliament have been trained under the Men Only (men too can make a difference) programme. </w:t>
      </w:r>
    </w:p>
    <w:p w14:paraId="0000020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NCPA, DPCCS, and MWCA together with Save the Children conduct regular SGBV prevention awareness sessions in the community, as do the WCDs. The community based “Manohari” programme as well as Save the Children developed modules on SGBV and parent-child relationships are being implemented. The increased number of cases being reported to the police is attributed to increased awareness on the rights of women and combating SGBV. </w:t>
      </w:r>
    </w:p>
    <w:p w14:paraId="0000020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7"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Safe Houses for Women and Children</w:t>
      </w:r>
    </w:p>
    <w:p w14:paraId="0000020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10 safe houses in operation for women and their children in case of violence including domestic violence throughout the country. DPCCS also runs a safe house in Kalmunai for abused girls. Several safe houses are also run by CSOs.</w:t>
      </w:r>
    </w:p>
    <w:p w14:paraId="0000020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A"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Training on Gender Based Violence for Professionals</w:t>
      </w:r>
    </w:p>
    <w:p w14:paraId="0000020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certificate and diploma courses on addressing SGBV have been conducted by the Police Academy since 2015 with the support of UNDP and a course on SGBV and women and child protection has been introduced in 2023 by the police regional training units.</w:t>
      </w:r>
    </w:p>
    <w:p w14:paraId="0000020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‘Guideline for district and divisional level referral and coordination system for providing services quickly and effectively to victims and survivors of SGBV’</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developed in collaboration with the UNDP in 2021 has been implemented and programmes have been conducted by MWCA in several districts to establish a proper referral network among all the state and non-state stakeholders. The ‘National guidelines on sexual and gender-based violence’, which aims to strengthen Sri Lanka’s health systems response to survivors of violence,</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was developed in 2020 together with the first ‘Standard Operating Procedures on sexual and gender-based violence for first-contact-point healthcare providers.’</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In 2022, </w:t>
      </w:r>
      <w:r>
        <w:rPr>
          <w:rFonts w:ascii="Times New Roman" w:eastAsia="Times New Roman" w:hAnsi="Times New Roman" w:cs="Times New Roman"/>
          <w:sz w:val="24"/>
          <w:szCs w:val="24"/>
        </w:rPr>
        <w:lastRenderedPageBreak/>
        <w:t xml:space="preserve">the Handbook on Gender, Sexual and Gender-Based Violence in Disasters was developed in collaboration with the UNFPA. </w:t>
      </w:r>
      <w:r>
        <w:rPr>
          <w:rFonts w:ascii="Times New Roman" w:eastAsia="Times New Roman" w:hAnsi="Times New Roman" w:cs="Times New Roman"/>
          <w:sz w:val="24"/>
          <w:szCs w:val="24"/>
          <w:vertAlign w:val="superscript"/>
        </w:rPr>
        <w:footnoteReference w:id="80"/>
      </w:r>
    </w:p>
    <w:p w14:paraId="0000020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0F"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Support in All Languages</w:t>
      </w:r>
    </w:p>
    <w:p w14:paraId="0000021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NCPA 1929 child line is trilingual and video evidence recording is available in Sinhala with a translator for Tamil speaking victims. NCPA officers in predominantly Tamil speaking areas speak Tamil. The 1985 hotline of the National Authority for the Protection of Victims and Witnesses is available in Sinhala and English. Further, in-person complaints can be made in all three languages. Language support is also given during court proceedings. The Sri Lanka Police has created cadre positions for 1100 Tamil speaking police officers focusing especially on the North and East but due to a dearth of qualified applicants, temporary translators are being hired. </w:t>
      </w:r>
    </w:p>
    <w:p w14:paraId="0000021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12" w14:textId="77777777" w:rsidR="00A3739D" w:rsidRDefault="008D1A07">
      <w:pPr>
        <w:pStyle w:val="Heading2"/>
      </w:pPr>
      <w:bookmarkStart w:id="77" w:name="_heading=h.blsk6jvw4xbs" w:colFirst="0" w:colLast="0"/>
      <w:bookmarkEnd w:id="77"/>
      <w:r>
        <w:t>Harmful Practices (Paragraph 26)</w:t>
      </w:r>
    </w:p>
    <w:p w14:paraId="00000213" w14:textId="77777777" w:rsidR="00A3739D" w:rsidRDefault="00A3739D"/>
    <w:p w14:paraId="00000214" w14:textId="77777777" w:rsidR="00A3739D" w:rsidRDefault="008D1A07">
      <w:pPr>
        <w:pStyle w:val="Heading2"/>
        <w:rPr>
          <w:b w:val="0"/>
          <w:i/>
        </w:rPr>
      </w:pPr>
      <w:bookmarkStart w:id="78" w:name="_heading=h.3znysh7" w:colFirst="0" w:colLast="0"/>
      <w:bookmarkEnd w:id="78"/>
      <w:r>
        <w:rPr>
          <w:b w:val="0"/>
          <w:i/>
        </w:rPr>
        <w:t>Female Genital Mutilation (FGM)</w:t>
      </w:r>
    </w:p>
    <w:p w14:paraId="0000021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Existing general criminal laws cover female genital mutilation, but victims are hesitant to come forward due to the associated stigma and fear of reprisal. Recognizing this, the MOH, in February 2018, issued a Circular categorizing FGM as a human rights violation that can be considered to be torture and instructing all medical professionals to refrain from any involvement in FGM, which would incur disciplinary action.</w:t>
      </w:r>
      <w:r>
        <w:rPr>
          <w:rFonts w:ascii="Times New Roman" w:eastAsia="Times New Roman" w:hAnsi="Times New Roman" w:cs="Times New Roman"/>
          <w:sz w:val="24"/>
          <w:szCs w:val="24"/>
          <w:vertAlign w:val="superscript"/>
        </w:rPr>
        <w:footnoteReference w:id="81"/>
      </w:r>
    </w:p>
    <w:p w14:paraId="00000216"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217"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 Marriage</w:t>
      </w:r>
    </w:p>
    <w:p w14:paraId="0000021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79" w:name="_heading=h.vx1227" w:colFirst="0" w:colLast="0"/>
      <w:bookmarkEnd w:id="79"/>
      <w:r>
        <w:rPr>
          <w:rFonts w:ascii="Times New Roman" w:eastAsia="Times New Roman" w:hAnsi="Times New Roman" w:cs="Times New Roman"/>
          <w:sz w:val="24"/>
          <w:szCs w:val="24"/>
        </w:rPr>
        <w:t xml:space="preserve">The minimum age of marriage is 18 years under the GMO and the Kandyan Marriage and Divorce Act and applies to indigenous children, including in the </w:t>
      </w:r>
      <w:proofErr w:type="spellStart"/>
      <w:r>
        <w:rPr>
          <w:rFonts w:ascii="Times New Roman" w:eastAsia="Times New Roman" w:hAnsi="Times New Roman" w:cs="Times New Roman"/>
          <w:sz w:val="24"/>
          <w:szCs w:val="24"/>
        </w:rPr>
        <w:t>vedda</w:t>
      </w:r>
      <w:proofErr w:type="spellEnd"/>
      <w:r>
        <w:rPr>
          <w:rFonts w:ascii="Times New Roman" w:eastAsia="Times New Roman" w:hAnsi="Times New Roman" w:cs="Times New Roman"/>
          <w:sz w:val="24"/>
          <w:szCs w:val="24"/>
        </w:rPr>
        <w:t xml:space="preserve"> community. In terms of the minimum age of marriage under the Muslim Marriage and Divorce Act, please see above for ongoing developments.</w:t>
      </w:r>
    </w:p>
    <w:p w14:paraId="0000021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1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80" w:name="_heading=h.xb8dgrz4s8i7" w:colFirst="0" w:colLast="0"/>
      <w:bookmarkEnd w:id="80"/>
      <w:r>
        <w:rPr>
          <w:rFonts w:ascii="Times New Roman" w:eastAsia="Times New Roman" w:hAnsi="Times New Roman" w:cs="Times New Roman"/>
          <w:sz w:val="24"/>
          <w:szCs w:val="24"/>
        </w:rPr>
        <w:t xml:space="preserve">The NCPA and DPCCS conduct community awareness programmes on preventing underage marriages and teenage pregnancies and the DPCCS includes this in their work </w:t>
      </w:r>
      <w:r>
        <w:rPr>
          <w:rFonts w:ascii="Times New Roman" w:eastAsia="Times New Roman" w:hAnsi="Times New Roman" w:cs="Times New Roman"/>
          <w:sz w:val="24"/>
          <w:szCs w:val="24"/>
        </w:rPr>
        <w:lastRenderedPageBreak/>
        <w:t>with village child development committees. It is widely acknowledged that Sri Lanka has lower rates than most countries in the region.</w:t>
      </w:r>
      <w:r>
        <w:rPr>
          <w:rFonts w:ascii="Times New Roman" w:eastAsia="Times New Roman" w:hAnsi="Times New Roman" w:cs="Times New Roman"/>
          <w:sz w:val="24"/>
          <w:szCs w:val="24"/>
          <w:vertAlign w:val="superscript"/>
        </w:rPr>
        <w:footnoteReference w:id="82"/>
      </w:r>
    </w:p>
    <w:p w14:paraId="0000021B" w14:textId="77777777" w:rsidR="00A3739D" w:rsidRDefault="00A3739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21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1D" w14:textId="77777777" w:rsidR="00A3739D" w:rsidRDefault="008D1A07">
      <w:pPr>
        <w:pStyle w:val="Heading1"/>
        <w:ind w:left="0" w:right="909" w:firstLine="0"/>
      </w:pPr>
      <w:bookmarkStart w:id="81" w:name="_heading=h.npsnrd7ajpj4" w:colFirst="0" w:colLast="0"/>
      <w:bookmarkEnd w:id="81"/>
      <w:r>
        <w:t>F. Family environment and alternative care (arts. 5, 9–11, 18 (1) and (2), 20, 21, 25 and 27 (4))</w:t>
      </w:r>
    </w:p>
    <w:p w14:paraId="0000021E" w14:textId="77777777" w:rsidR="00A3739D" w:rsidRDefault="00A3739D">
      <w:pPr>
        <w:spacing w:after="0" w:line="360" w:lineRule="auto"/>
        <w:ind w:right="909"/>
        <w:rPr>
          <w:rFonts w:ascii="Times New Roman" w:eastAsia="Times New Roman" w:hAnsi="Times New Roman" w:cs="Times New Roman"/>
          <w:sz w:val="24"/>
          <w:szCs w:val="24"/>
        </w:rPr>
      </w:pPr>
    </w:p>
    <w:p w14:paraId="0000021F" w14:textId="77777777" w:rsidR="00A3739D" w:rsidRDefault="008D1A07">
      <w:pPr>
        <w:pStyle w:val="Heading2"/>
      </w:pPr>
      <w:bookmarkStart w:id="82" w:name="_heading=h.tyjcwt" w:colFirst="0" w:colLast="0"/>
      <w:bookmarkEnd w:id="82"/>
      <w:r>
        <w:t>Family environment (paragraph 27)</w:t>
      </w:r>
    </w:p>
    <w:p w14:paraId="00000220"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Work Opportunities within Sri Lanka for the Disadvantaged and Marginalised</w:t>
      </w:r>
    </w:p>
    <w:p w14:paraId="0000022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NCPA and all 9 Provincial Action Plans prioritize family-based care for children and avoid institutionalisation. The Western Province Action Plan includes creating and developing economic and social assistance programs, with a special focus on parents at risk of institutionalising children in order to seek employment. The Action Plan of the Eastern Province includes supporting family- based care by increasing fit person (who is fit, proper, relative or non-relative and willing to undertake the care of the child) support and mapping out available kinship care.</w:t>
      </w:r>
    </w:p>
    <w:p w14:paraId="0000022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2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National Alternative Care Policy was approved by the Cabinet and this policy emphasised that family-based care should be given priority and institutionalisation could be the last resort. The DPCCS has initiated several projects covering all districts to ensure the rights of the children to be with their own family and several welfare programmes have been initiated to prevent children being separated from their families. The Judges’ Institute, in collaboration with the DPCCS, and UNICEF Sri Lanka conducted judicial colloquium on Justice for Children in Sri Lanka with the aim of providing family based care for all children who are brought before the Magistrate Courts and use other care options for victims and sentencing options available for child offenders rather than institutionalization. All Magistrates who participated visited the child-care institutions and monitored the case files of children. Additionally, fit person orders (similar to the foster care system) have been issued by courts to place the child victims and child offenders under the care of a fit person (relative or non-relative) and the government provides financial support for those fit persons. </w:t>
      </w:r>
    </w:p>
    <w:p w14:paraId="0000022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25"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Care Options for Children of Migrant Workers</w:t>
      </w:r>
    </w:p>
    <w:p w14:paraId="0000022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SLBFE Corporate Strategic Plan for 2022-2026</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includes actions to collaborate with NCPA, Women and Child Development Units, and schools to provide services to protect children of migrant workers. In this regard, the Annual Action Plan of the SLBFE consists of several activities targeting children of migrant workers and has spent LKR 216.32 million for 16,685 children of migrant workers during the year 2024. Development Officers of the Foreign Employment Sector of the Ministry of Foreign Affairs, Foreign Employment and Tourism, attached to Divisional Secretariats across the island, develop care plans for children identified to be at risk due to migration of the mother. The Ministry in charge of Foreign Employment issued a circular in 2022 prohibiting mothers of children under the age of 2 from migrating for employment. The Development officers  are assigned to monitor the wellbeing of the children of migrant mothers. The SLBFE is also conducting training for the potential migrant mothers to provide care and protection for their children under a suitable guardian.</w:t>
      </w:r>
    </w:p>
    <w:p w14:paraId="00000227"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228"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Parents Returning to Sri Lanka</w:t>
      </w:r>
    </w:p>
    <w:p w14:paraId="0000022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83" w:name="_heading=h.3dy6vkm" w:colFirst="0" w:colLast="0"/>
      <w:bookmarkEnd w:id="83"/>
      <w:r>
        <w:rPr>
          <w:rFonts w:ascii="Times New Roman" w:eastAsia="Times New Roman" w:hAnsi="Times New Roman" w:cs="Times New Roman"/>
          <w:sz w:val="24"/>
          <w:szCs w:val="24"/>
        </w:rPr>
        <w:t>The SLBFE operates two insurance schemes that cover repatriation when necessary. The foreign insurance scheme is provided by the employer for women who leave for domestic work in Middle East countries for the first time. It is implemented from the year 2023. A number of 70,444 domestic workers have been covered by this insurance scheme in the year 2024 and insurance claims were made for 103 workers amounting to LKR 4.89 million. The local insurance scheme is provided in order to look after the welfare of all the workers and their families who leave the country for foreign employment women/men (except women who leave the country for employment in the Middle-East countries for the first time) implemented from the year 1996. In 2024, SLBFE paid insurance premiums amounting to LKR 368.95 million for 213,735 beneficiaries. Further, insurance claims have been paid to 949 beneficiaries amounting to LKR 184.34 million.</w:t>
      </w:r>
    </w:p>
    <w:p w14:paraId="0000022A" w14:textId="77777777" w:rsidR="00A3739D" w:rsidRDefault="00A3739D">
      <w:pPr>
        <w:pStyle w:val="Heading2"/>
      </w:pPr>
      <w:bookmarkStart w:id="84" w:name="_heading=h.c53eaxrdav5i" w:colFirst="0" w:colLast="0"/>
      <w:bookmarkEnd w:id="84"/>
    </w:p>
    <w:p w14:paraId="0000022B" w14:textId="77777777" w:rsidR="00A3739D" w:rsidRDefault="008D1A07">
      <w:pPr>
        <w:pStyle w:val="Heading2"/>
      </w:pPr>
      <w:r>
        <w:t>Children deprived of a family environment (Paragraph 28)</w:t>
      </w:r>
    </w:p>
    <w:p w14:paraId="0000022C" w14:textId="77777777" w:rsidR="00A3739D" w:rsidRDefault="00A3739D">
      <w:pPr>
        <w:tabs>
          <w:tab w:val="right" w:pos="851"/>
        </w:tabs>
        <w:spacing w:after="0"/>
        <w:rPr>
          <w:rFonts w:ascii="Times New Roman" w:eastAsia="Times New Roman" w:hAnsi="Times New Roman" w:cs="Times New Roman"/>
          <w:sz w:val="24"/>
          <w:szCs w:val="24"/>
        </w:rPr>
      </w:pPr>
    </w:p>
    <w:p w14:paraId="0000022D"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Providing Families with Means to Care for their Children</w:t>
      </w:r>
    </w:p>
    <w:p w14:paraId="0000022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reporting period, awareness on the paramount importance of caring for children within their family of origin or in family-based care has increased exponentially. NSECD is conducting a Home-Based Early Childhood Program and media promotion </w:t>
      </w:r>
      <w:r>
        <w:rPr>
          <w:rFonts w:ascii="Times New Roman" w:eastAsia="Times New Roman" w:hAnsi="Times New Roman" w:cs="Times New Roman"/>
          <w:sz w:val="24"/>
          <w:szCs w:val="24"/>
        </w:rPr>
        <w:lastRenderedPageBreak/>
        <w:t>campaign in order to support parents, families and communities to perform their roles and responsibilities effectively in bringing up their children and ensure their optimal involvement in ECD services and Programmes.</w:t>
      </w:r>
    </w:p>
    <w:p w14:paraId="0000022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Provincial Action Plans include activities to provide livelihood support to prevent institutionalisation. The Northern Province Action Plan, for instance, includes providing livelihood assistance to vulnerable families with children to reduce institutionalisation in Jaffna. Similar activities are already being implemented elsewhere. For example, the Southern Province provides financial aid of Rs.12,000/- per year for children at risk of institutionalisation. Centrally, the DPCCS creates Individual Care Plans with multi-party involvement to minimise the vulnerability of children at high-risk. In 2020, approximately 2000 children were financially supported and ensured their safety within their family or extended family. CSOs too are stepping in to provide support for vulnerable families, including through income generation support and cash transfers.</w:t>
      </w:r>
    </w:p>
    <w:p w14:paraId="0000023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2"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Keeping Children in Families of Origin, Foster Care, and Reunification and Reintegration</w:t>
      </w:r>
    </w:p>
    <w:p w14:paraId="0000023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data from the Provinces shows that the number of children institutionalised each year was decreasing up until 2022. According to DPCCS statistics there were approximately 20 000 children in institutional care and this number has reduced up to 9 000 which amounts to more than 50% in 2023 since the Government has strong prevention, gatekeeping and reintegration mechanisms. </w:t>
      </w:r>
    </w:p>
    <w:p w14:paraId="0000023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NACP is primarily governed by two principles. Under the “necessity principle” strong gatekeeping should ensure that every option is considered to keep a child within his or her own parental home. Secondly, under the “suitability principle” if it is not viable to keep a child within their nuclear family, then the hierarchy of care options is kinship care, then foster care, and finally family-like care in autonomous small-groups. </w:t>
      </w:r>
    </w:p>
    <w:p w14:paraId="0000023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85" w:name="_heading=h.gjdgxs" w:colFirst="0" w:colLast="0"/>
      <w:bookmarkEnd w:id="85"/>
      <w:r>
        <w:rPr>
          <w:rFonts w:ascii="Times New Roman" w:eastAsia="Times New Roman" w:hAnsi="Times New Roman" w:cs="Times New Roman"/>
          <w:sz w:val="24"/>
          <w:szCs w:val="24"/>
        </w:rPr>
        <w:t xml:space="preserve">A multistep process of reducing the institutionalisation of children has been in operation for the last several years. First, the Village Child Development Committees identify vulnerable children and attempt to intervene at the local level. If such interventions fail, the matter is referred to the relevant Probation Officer who then attempts to find a solution that keeps the child with their family of origin. If this is also not possible, the Probation Officer finds a fit person for the child to live with and obtains a fit person's order. </w:t>
      </w:r>
      <w:r>
        <w:rPr>
          <w:rFonts w:ascii="Times New Roman" w:eastAsia="Times New Roman" w:hAnsi="Times New Roman" w:cs="Times New Roman"/>
          <w:sz w:val="24"/>
          <w:szCs w:val="24"/>
        </w:rPr>
        <w:lastRenderedPageBreak/>
        <w:t>In 2020, 1273 children were placed in the care of a fit person. All Provinces provide a fit person’s allowance. It is only if all of the above care options fail, that a child is placed in  a child development centre for a limited period and the Provincial Officers take actions to reintegrate the child as early as possible. Between 2014 and 2020, the total number of children in child development centres decreased from 14, 579 to 10, 748.</w:t>
      </w:r>
    </w:p>
    <w:p w14:paraId="0000023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nine Provincial Action Plans seek to make this process more effective. The Central Province Plan, for example, provides workshops on preparing criteria to identify families at risk, conducting awareness sessions on child protection and family-based care for families at risk, assisting these families to provide family-based care, and strengthening child development committees at the divisional secretariat levels. The North Central Province Action Plan includes a focus area of developing programs to encourage parents to consider placing children in the care of relatives in the event of temporary separation of families.</w:t>
      </w:r>
    </w:p>
    <w:p w14:paraId="0000023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B"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Safeguards for Determining Placement and Periodic Review</w:t>
      </w:r>
    </w:p>
    <w:p w14:paraId="0000023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NCPA, when alternative care is required, the most suitable one will be chosen with the participation of the child and the family taking the best interests of the child into consideration and will be reviewed periodically.</w:t>
      </w:r>
    </w:p>
    <w:p w14:paraId="0000023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3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placement is made by the courts and the Provincial Probation Commissioners based on the recommendation of the Probation Officer but in the future it is envisaged that the recommendations will be made by a multi-sectoral case management committee formed by the PO.</w:t>
      </w:r>
    </w:p>
    <w:p w14:paraId="0000023F" w14:textId="77777777" w:rsidR="00A3739D" w:rsidRDefault="00A3739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24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4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a child is placed in a child development centre, Provincial Placement Committees do thorough reviews of the files of each child several times a year and focus on reunification and reintegration as soon as possible. This is a focus area of the Provincial Action Plans. For example, the North Western Plan has strengthened the economic situation of the parents, foster care, adoption, providing employment, marriage, providing suitable guardianship and providing a safe home as the key activities for reunification and reintegration. Significant progress has already been made with reunification. For example, in the Uva Province 37 and 43 children were reunified with the families during the years </w:t>
      </w:r>
      <w:r>
        <w:rPr>
          <w:rFonts w:ascii="Times New Roman" w:eastAsia="Times New Roman" w:hAnsi="Times New Roman" w:cs="Times New Roman"/>
          <w:sz w:val="24"/>
          <w:szCs w:val="24"/>
        </w:rPr>
        <w:lastRenderedPageBreak/>
        <w:t xml:space="preserve">2021 and 2022, and in the Northern Province 67 and 309 children were reunified during 2021 and 2022, respectively.  </w:t>
      </w:r>
    </w:p>
    <w:p w14:paraId="00000242"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24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Registration, Minimum Standards, and Monitoring of Childcare Centres</w:t>
      </w:r>
    </w:p>
    <w:p w14:paraId="0000024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National Guidelines and Minimum Standards for Child Development Centres, six of the nine Provinces - the Northern, Central, Western, Southern, Uva, and Sabaragamuwa Provinces - have Provincial Statutes that require all childcare centres to be registered and which establish minimum standards for such centres. The NCPA issued a minimum standard on 23 August 2023 for the Provincial Councils to maintain the quality of the Child Development Centres.</w:t>
      </w:r>
    </w:p>
    <w:p w14:paraId="0000024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FF9900"/>
        </w:rPr>
      </w:pPr>
    </w:p>
    <w:p w14:paraId="0000024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Provincial Probation Officers are assigned a number of institutions to assist and monitor and ensure that minimum standards are maintained. The NCPA independently monitors all child development centres through unannounced annual visits and makes recommendations on improvements. When complaints of abuse are made, the NCPA initiates investigations. The HRCSL regularly visits government child development centres. </w:t>
      </w:r>
    </w:p>
    <w:p w14:paraId="0000024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48"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Children in need of care placed separately from the children in conflict with the law</w:t>
      </w:r>
    </w:p>
    <w:p w14:paraId="0000024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present, due to raised awareness on these issues, judges often place children in need of care awaiting the final recommendation in child development centres instead of remand homes or certified schools. In the Northern and Eastern Provinces, separate safe houses are available for child victims. </w:t>
      </w:r>
    </w:p>
    <w:p w14:paraId="0000024A"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24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Education and health services</w:t>
      </w:r>
    </w:p>
    <w:p w14:paraId="0000024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schools are obliged to provide a place for any child in child development centres in their catchment area. During the COVID-19 pandemic, DPCCS provided 700 computers and Wi-Fi facilities to enable online learning in child development centres.</w:t>
      </w:r>
    </w:p>
    <w:p w14:paraId="0000024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4E" w14:textId="77777777" w:rsidR="00A3739D" w:rsidRDefault="008D1A07">
      <w:pPr>
        <w:numPr>
          <w:ilvl w:val="0"/>
          <w:numId w:val="1"/>
        </w:numPr>
        <w:pBdr>
          <w:top w:val="nil"/>
          <w:left w:val="nil"/>
          <w:bottom w:val="nil"/>
          <w:right w:val="nil"/>
          <w:between w:val="nil"/>
        </w:pBdr>
        <w:spacing w:after="0" w:line="360" w:lineRule="auto"/>
        <w:ind w:left="0" w:right="909"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files are maintained for all children, and they are taken to hospital clinics in the area when the need arises; this works particularly well when there is a hospital close to the centre. </w:t>
      </w:r>
    </w:p>
    <w:p w14:paraId="0000024F" w14:textId="77777777" w:rsidR="00A3739D" w:rsidRDefault="00A3739D">
      <w:pPr>
        <w:pBdr>
          <w:top w:val="nil"/>
          <w:left w:val="nil"/>
          <w:bottom w:val="nil"/>
          <w:right w:val="nil"/>
          <w:between w:val="nil"/>
        </w:pBdr>
        <w:spacing w:after="0" w:line="360" w:lineRule="auto"/>
        <w:ind w:right="909"/>
        <w:rPr>
          <w:rFonts w:ascii="Times New Roman" w:eastAsia="Times New Roman" w:hAnsi="Times New Roman" w:cs="Times New Roman"/>
          <w:sz w:val="24"/>
          <w:szCs w:val="24"/>
        </w:rPr>
      </w:pPr>
    </w:p>
    <w:p w14:paraId="00000250" w14:textId="77777777" w:rsidR="00A3739D" w:rsidRDefault="008D1A07">
      <w:pPr>
        <w:pStyle w:val="Heading1"/>
        <w:ind w:left="0" w:right="909" w:firstLine="0"/>
      </w:pPr>
      <w:bookmarkStart w:id="86" w:name="_heading=h.1t3h5sf" w:colFirst="0" w:colLast="0"/>
      <w:bookmarkEnd w:id="86"/>
      <w:r>
        <w:t>G.</w:t>
      </w:r>
      <w:r>
        <w:tab/>
        <w:t>Disability, basic health and welfare (arts. 6, 18 (3), 23, 24, 26, 27 (1)–(3) and 33)</w:t>
      </w:r>
    </w:p>
    <w:p w14:paraId="00000251" w14:textId="77777777" w:rsidR="00A3739D" w:rsidRDefault="008D1A07">
      <w:pPr>
        <w:pStyle w:val="Heading2"/>
      </w:pPr>
      <w:bookmarkStart w:id="87" w:name="_heading=h.4d34og8" w:colFirst="0" w:colLast="0"/>
      <w:bookmarkEnd w:id="87"/>
      <w:r>
        <w:t>Children with disabilities</w:t>
      </w:r>
    </w:p>
    <w:p w14:paraId="00000252"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5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Human Rights based Approach and Strategy for Inclusion</w:t>
      </w:r>
    </w:p>
    <w:p w14:paraId="0000025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88" w:name="_heading=h.3fwokq0" w:colFirst="0" w:colLast="0"/>
      <w:bookmarkEnd w:id="88"/>
      <w:r>
        <w:rPr>
          <w:rFonts w:ascii="Times New Roman" w:eastAsia="Times New Roman" w:hAnsi="Times New Roman" w:cs="Times New Roman"/>
          <w:sz w:val="24"/>
          <w:szCs w:val="24"/>
        </w:rPr>
        <w:t>The right of access to public spaces for persons with disabilities has recently been reiterated by the Supreme Court in case No: SC/FR/273/2018.</w:t>
      </w:r>
      <w:r>
        <w:rPr>
          <w:rFonts w:ascii="Times New Roman" w:eastAsia="Times New Roman" w:hAnsi="Times New Roman" w:cs="Times New Roman"/>
          <w:sz w:val="24"/>
          <w:szCs w:val="24"/>
          <w:vertAlign w:val="superscript"/>
        </w:rPr>
        <w:footnoteReference w:id="84"/>
      </w:r>
    </w:p>
    <w:p w14:paraId="0000025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5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89" w:name="_heading=h.1v1yuxt" w:colFirst="0" w:colLast="0"/>
      <w:bookmarkEnd w:id="89"/>
      <w:r>
        <w:rPr>
          <w:rFonts w:ascii="Times New Roman" w:eastAsia="Times New Roman" w:hAnsi="Times New Roman" w:cs="Times New Roman"/>
          <w:sz w:val="24"/>
          <w:szCs w:val="24"/>
        </w:rPr>
        <w:t xml:space="preserve">Some sectors of the Government ensure that children with disabilities are included in all activities. The DPCCS, for instance, ensures the participation of children with disabilities in children’s clubs and children’s councils.    </w:t>
      </w:r>
    </w:p>
    <w:p w14:paraId="0000025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58"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Raising to Combat Stigmatisation</w:t>
      </w:r>
    </w:p>
    <w:p w14:paraId="0000025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November 2022, the HRCSL established a separate Disabilities Unit under the supervision of a Commissioner. The NIE has translated the UNCRPD and the Salamanca Statement and Framework for Action on Special Need Education into Sinhala and Tamil languages in 2022 and conducted capacity building programmes in all 9 provinces in 2022 on special education. The NCPA has developed a pictorial booklet titled “Establishing a Methodology to Identify Children with Invisible Disabilities” in 2021 aimed at persons working with children with disabilities and the general public emphasising that these children should receive a full, effective and equal opportunity for social participation. </w:t>
      </w:r>
    </w:p>
    <w:p w14:paraId="0000025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5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Disaggregated Data </w:t>
      </w:r>
    </w:p>
    <w:p w14:paraId="0000025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2012 Census contains data on disabilities of persons above the age of 5 years, disaggregated according to sex, district, age group, education status, employment status, as well as the type of functional difficulty.</w:t>
      </w:r>
      <w:r>
        <w:rPr>
          <w:rFonts w:ascii="Times New Roman" w:eastAsia="Times New Roman" w:hAnsi="Times New Roman" w:cs="Times New Roman"/>
          <w:sz w:val="24"/>
          <w:szCs w:val="24"/>
          <w:vertAlign w:val="superscript"/>
        </w:rPr>
        <w:footnoteReference w:id="85"/>
      </w:r>
      <w:r>
        <w:rPr>
          <w:rFonts w:ascii="Times New Roman" w:eastAsia="Times New Roman" w:hAnsi="Times New Roman" w:cs="Times New Roman"/>
          <w:sz w:val="24"/>
          <w:szCs w:val="24"/>
        </w:rPr>
        <w:t xml:space="preserve"> In the 2024 census, data will be further disaggregated by reference to each category of difficulty. Plans are in place to develop a database on persons with disabilities in 2024, which will be regularly updated. </w:t>
      </w:r>
    </w:p>
    <w:p w14:paraId="0000025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5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5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0"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Early Intervention Services</w:t>
      </w:r>
    </w:p>
    <w:p w14:paraId="0000026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90" w:name="_heading=h.4f1mdlm" w:colFirst="0" w:colLast="0"/>
      <w:bookmarkEnd w:id="90"/>
      <w:r>
        <w:rPr>
          <w:rFonts w:ascii="Times New Roman" w:eastAsia="Times New Roman" w:hAnsi="Times New Roman" w:cs="Times New Roman"/>
          <w:sz w:val="24"/>
          <w:szCs w:val="24"/>
        </w:rPr>
        <w:t xml:space="preserve">The National Policy on ECCD 2018 facilitates measures for early detection of children at risk of developmental delays and disabilities to ensure early interventions. An early detection toolkit has been developed in collaboration with the </w:t>
      </w:r>
      <w:proofErr w:type="spellStart"/>
      <w:r>
        <w:rPr>
          <w:rFonts w:ascii="Times New Roman" w:eastAsia="Times New Roman" w:hAnsi="Times New Roman" w:cs="Times New Roman"/>
          <w:sz w:val="24"/>
          <w:szCs w:val="24"/>
        </w:rPr>
        <w:t>Ragama</w:t>
      </w:r>
      <w:proofErr w:type="spellEnd"/>
      <w:r>
        <w:rPr>
          <w:rFonts w:ascii="Times New Roman" w:eastAsia="Times New Roman" w:hAnsi="Times New Roman" w:cs="Times New Roman"/>
          <w:sz w:val="24"/>
          <w:szCs w:val="24"/>
        </w:rPr>
        <w:t xml:space="preserve"> Faculty of </w:t>
      </w:r>
      <w:r>
        <w:rPr>
          <w:rFonts w:ascii="Times New Roman" w:eastAsia="Times New Roman" w:hAnsi="Times New Roman" w:cs="Times New Roman"/>
          <w:sz w:val="24"/>
          <w:szCs w:val="24"/>
        </w:rPr>
        <w:lastRenderedPageBreak/>
        <w:t>Medicine and a training of trainers has been conducted for a resource pool to train all preschool teachers to detect children with developmental delays.</w:t>
      </w:r>
      <w:r>
        <w:rPr>
          <w:rFonts w:ascii="Times New Roman" w:eastAsia="Times New Roman" w:hAnsi="Times New Roman" w:cs="Times New Roman"/>
          <w:sz w:val="24"/>
          <w:szCs w:val="24"/>
          <w:vertAlign w:val="superscript"/>
        </w:rPr>
        <w:footnoteReference w:id="86"/>
      </w:r>
      <w:r>
        <w:rPr>
          <w:rFonts w:ascii="Times New Roman" w:eastAsia="Times New Roman" w:hAnsi="Times New Roman" w:cs="Times New Roman"/>
          <w:sz w:val="24"/>
          <w:szCs w:val="24"/>
        </w:rPr>
        <w:t xml:space="preserve"> Training has also been conducted for teachers in all 25 districts on identifying children with autism spectrum disorders. </w:t>
      </w:r>
    </w:p>
    <w:p w14:paraId="0000026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Inclusive early childhood development Program (‘</w:t>
      </w:r>
      <w:proofErr w:type="spellStart"/>
      <w:r>
        <w:rPr>
          <w:rFonts w:ascii="Times New Roman" w:eastAsia="Times New Roman" w:hAnsi="Times New Roman" w:cs="Times New Roman"/>
          <w:sz w:val="24"/>
          <w:szCs w:val="24"/>
        </w:rPr>
        <w:t>IncluDe</w:t>
      </w:r>
      <w:proofErr w:type="spellEnd"/>
      <w:r>
        <w:rPr>
          <w:rFonts w:ascii="Times New Roman" w:eastAsia="Times New Roman" w:hAnsi="Times New Roman" w:cs="Times New Roman"/>
          <w:sz w:val="24"/>
          <w:szCs w:val="24"/>
        </w:rPr>
        <w:t xml:space="preserve">’) begun by the FHB in 2020 aims to identify developmental disabilities in children for early intervention services. Identified children are referred to a multidisciplinary clinical team at child development intervention centres (CDICs), currently operating in Colombo, Kandy, Gampaha, Batticaloa and Kalutara Districts and evidence-based early interventions such as home-based parent mediated interventions are provided. Currently, the lack of human resources and specialist migration has impacted the expansion of this program. Early intervention is a focus at the </w:t>
      </w:r>
      <w:proofErr w:type="spellStart"/>
      <w:r>
        <w:rPr>
          <w:rFonts w:ascii="Times New Roman" w:eastAsia="Times New Roman" w:hAnsi="Times New Roman" w:cs="Times New Roman"/>
          <w:sz w:val="24"/>
          <w:szCs w:val="24"/>
        </w:rPr>
        <w:t>Maharagama</w:t>
      </w:r>
      <w:proofErr w:type="spellEnd"/>
      <w:r>
        <w:rPr>
          <w:rFonts w:ascii="Times New Roman" w:eastAsia="Times New Roman" w:hAnsi="Times New Roman" w:cs="Times New Roman"/>
          <w:sz w:val="24"/>
          <w:szCs w:val="24"/>
        </w:rPr>
        <w:t xml:space="preserve"> Children’s Guidance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as well. A module has been prepared by the MOH for nurses in maternity hospitals on identifying a disabled child and referring the child to health services.</w:t>
      </w:r>
    </w:p>
    <w:p w14:paraId="0000026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5"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Right to education for all children with disabilities </w:t>
      </w:r>
    </w:p>
    <w:p w14:paraId="0000026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Ministry of Education implements special education programmes for children with special needs, while the Ministry of Health coordinates with the Ministry of Education to refer children to these programmes. These initiatives are set to be expanded comprehensively with government budgetary allocations.</w:t>
      </w:r>
    </w:p>
    <w:p w14:paraId="0000026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Provinces have special education resource centres whose main role is to spread awareness on special education to teachers, principals, MOE officers and parents, and to provide technical assistance to teachers who teach children with disabilities. Training of Trainers programmes on universal learning designing for teachers have been conducted at the Provincial level. The Department of Social Services operates several centres for children with disabilities that work on increasing the skills of children with disabilities and admitting them to schools. The National Youth Corps has a fundamental course (life skills) for differently abled people leading to a suitable vocational training course.</w:t>
      </w:r>
    </w:p>
    <w:p w14:paraId="0000026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has also been an ongoing reform of the law to remove legal obstacles such as the revision of the Subordinate Schools Ordinance, and increase focus of the National Action Plan and National Policy on education opportunities for such children. Furthermore, under the Ministry of Education NVQ Level 4, certification is provided to provide appropriate and reasonable accommodation for students with disabilities, providing career guidance, and admission to those courses.</w:t>
      </w:r>
      <w:r>
        <w:rPr>
          <w:rFonts w:ascii="Times New Roman" w:eastAsia="Times New Roman" w:hAnsi="Times New Roman" w:cs="Times New Roman"/>
          <w:sz w:val="24"/>
          <w:szCs w:val="24"/>
          <w:vertAlign w:val="superscript"/>
        </w:rPr>
        <w:footnoteReference w:id="87"/>
      </w:r>
    </w:p>
    <w:p w14:paraId="0000026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NIE conducts inclusive education training, preparation of curricula and teaching materials, and provision of training and degrees in special education.</w:t>
      </w:r>
    </w:p>
    <w:p w14:paraId="0000026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6E"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Community Child Specialist Centres</w:t>
      </w:r>
    </w:p>
    <w:p w14:paraId="0000026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91" w:name="_heading=h.6j067jae6vzl" w:colFirst="0" w:colLast="0"/>
      <w:bookmarkEnd w:id="91"/>
      <w:r>
        <w:rPr>
          <w:rFonts w:ascii="Times New Roman" w:eastAsia="Times New Roman" w:hAnsi="Times New Roman" w:cs="Times New Roman"/>
          <w:sz w:val="24"/>
          <w:szCs w:val="24"/>
        </w:rPr>
        <w:t xml:space="preserve">Under the guidance of the Family Health Bureau of the Ministry of Health, Community Child Specialist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have been established in five districts (Colombo, Gampaha, Kalutara, Kandy, and Batticaloa) to support children with special needs. Children identified early in the field by family health officers are referred to these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for specialized services. Training programs are also conducted for Public Health Midwives to enhance their ability to detect special needs early, using child growth charts, and to take appropriate follow-up action.</w:t>
      </w:r>
    </w:p>
    <w:p w14:paraId="0000027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71" w14:textId="77777777" w:rsidR="00A3739D" w:rsidRDefault="008D1A07">
      <w:pPr>
        <w:pStyle w:val="Heading2"/>
      </w:pPr>
      <w:bookmarkStart w:id="92" w:name="_heading=h.2s8eyo1" w:colFirst="0" w:colLast="0"/>
      <w:bookmarkEnd w:id="92"/>
      <w:r>
        <w:t>Health and health services (paragraph 30)</w:t>
      </w:r>
    </w:p>
    <w:p w14:paraId="00000272" w14:textId="77777777" w:rsidR="00A3739D" w:rsidRDefault="00A3739D"/>
    <w:p w14:paraId="00000273" w14:textId="77777777" w:rsidR="00A3739D" w:rsidRDefault="008D1A07">
      <w:pPr>
        <w:keepNext/>
        <w:keepLines/>
        <w:tabs>
          <w:tab w:val="right" w:pos="851"/>
        </w:tabs>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Addressing Regional Disparities and Educating Specialists</w:t>
      </w:r>
    </w:p>
    <w:p w14:paraId="00000274" w14:textId="77777777" w:rsidR="00A3739D" w:rsidRDefault="008D1A07">
      <w:pPr>
        <w:keepNext/>
        <w:keepLines/>
        <w:numPr>
          <w:ilvl w:val="0"/>
          <w:numId w:val="1"/>
        </w:numPr>
        <w:pBdr>
          <w:top w:val="nil"/>
          <w:left w:val="nil"/>
          <w:bottom w:val="nil"/>
          <w:right w:val="nil"/>
          <w:between w:val="nil"/>
        </w:pBdr>
        <w:tabs>
          <w:tab w:val="right" w:pos="851"/>
        </w:tabs>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Health Strategic Master Plan for 2016–2025</w:t>
      </w:r>
      <w:r>
        <w:rPr>
          <w:rFonts w:ascii="Times New Roman" w:eastAsia="Times New Roman" w:hAnsi="Times New Roman" w:cs="Times New Roman"/>
          <w:sz w:val="24"/>
          <w:szCs w:val="24"/>
          <w:vertAlign w:val="superscript"/>
        </w:rPr>
        <w:footnoteReference w:id="88"/>
      </w:r>
      <w:r>
        <w:rPr>
          <w:rFonts w:ascii="Times New Roman" w:eastAsia="Times New Roman" w:hAnsi="Times New Roman" w:cs="Times New Roman"/>
          <w:sz w:val="24"/>
          <w:szCs w:val="24"/>
        </w:rPr>
        <w:t xml:space="preserve"> prioritises universal health coverage which is assessed along four dimensions, including equity of distribution of services to all patients. Other strategies and plans also emphasise equity in care.</w:t>
      </w:r>
      <w:r>
        <w:rPr>
          <w:rFonts w:ascii="Times New Roman" w:eastAsia="Times New Roman" w:hAnsi="Times New Roman" w:cs="Times New Roman"/>
          <w:sz w:val="24"/>
          <w:szCs w:val="24"/>
          <w:vertAlign w:val="superscript"/>
        </w:rPr>
        <w:footnoteReference w:id="89"/>
      </w:r>
      <w:r>
        <w:rPr>
          <w:rFonts w:ascii="Times New Roman" w:eastAsia="Times New Roman" w:hAnsi="Times New Roman" w:cs="Times New Roman"/>
          <w:sz w:val="24"/>
          <w:szCs w:val="24"/>
        </w:rPr>
        <w:t xml:space="preserve"> In terms of budgetary allocations for the Provincial health sectors, the per capita allocations reflect the Government’s focus on allocating more resources for education to regions that are currently underserved.</w:t>
      </w:r>
    </w:p>
    <w:p w14:paraId="0000027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7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educating specialists in fields where capacity is lacking, a new cadre position of “medical officer of mental health” has been created in all government hospitals, </w:t>
      </w:r>
      <w:r>
        <w:rPr>
          <w:rFonts w:ascii="Times New Roman" w:eastAsia="Times New Roman" w:hAnsi="Times New Roman" w:cs="Times New Roman"/>
          <w:sz w:val="24"/>
          <w:szCs w:val="24"/>
        </w:rPr>
        <w:lastRenderedPageBreak/>
        <w:t>in addition to the cadre of psychiatrists. In 2020 and 2021, the UNFPA supported over 100 programmes on sexual and reproductive health and family planning and worked with 29 youth-friendly health service centres.</w:t>
      </w:r>
    </w:p>
    <w:p w14:paraId="0000027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p>
    <w:p w14:paraId="0000027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Ministry of Health, with the support of UNICEF, launched the National Nutrition Policy 2023–2030, establishing a comprehensive framework to address all forms of malnutrition in alignment with the Sustainable Development Goals.</w:t>
      </w:r>
      <w:r>
        <w:rPr>
          <w:rFonts w:ascii="Times New Roman" w:eastAsia="Times New Roman" w:hAnsi="Times New Roman" w:cs="Times New Roman"/>
          <w:sz w:val="24"/>
          <w:szCs w:val="24"/>
          <w:vertAlign w:val="superscript"/>
        </w:rPr>
        <w:footnoteReference w:id="90"/>
      </w:r>
      <w:r>
        <w:rPr>
          <w:rFonts w:ascii="Times New Roman" w:eastAsia="Times New Roman" w:hAnsi="Times New Roman" w:cs="Times New Roman"/>
          <w:sz w:val="24"/>
          <w:szCs w:val="24"/>
        </w:rPr>
        <w:t xml:space="preserve"> Recognising the need for a coordinated, multi-sectoral response, the government—through advocacy and technical assistance provided by UNICEF—updated and strengthened the implementation of the Multi-Sector Action Plan for Nutrition, outlining the roles and responsibilities of relevant ministries and departments in tackling the root causes of malnutrition. </w:t>
      </w:r>
    </w:p>
    <w:p w14:paraId="0000027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7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further support from UNICEF, the Ministry of Health developed an Emergency Nutrition Action Plan to identify priority areas for intervention and better align stakeholder support.</w:t>
      </w:r>
      <w:r>
        <w:rPr>
          <w:rFonts w:ascii="Times New Roman" w:eastAsia="Times New Roman" w:hAnsi="Times New Roman" w:cs="Times New Roman"/>
          <w:sz w:val="24"/>
          <w:szCs w:val="24"/>
          <w:vertAlign w:val="superscript"/>
        </w:rPr>
        <w:footnoteReference w:id="91"/>
      </w:r>
      <w:r>
        <w:rPr>
          <w:rFonts w:ascii="Times New Roman" w:eastAsia="Times New Roman" w:hAnsi="Times New Roman" w:cs="Times New Roman"/>
          <w:sz w:val="24"/>
          <w:szCs w:val="24"/>
        </w:rPr>
        <w:t xml:space="preserve"> Data triangulation and validation processes also informed targeted recommendations for addressing undernutrition in the short, medium, and long term.</w:t>
      </w:r>
    </w:p>
    <w:p w14:paraId="0000027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7C"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Combating High Costs</w:t>
      </w:r>
    </w:p>
    <w:p w14:paraId="0000027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MOH General Circular No 01-01/2022</w:t>
      </w:r>
      <w:r>
        <w:rPr>
          <w:rFonts w:ascii="Times New Roman" w:eastAsia="Times New Roman" w:hAnsi="Times New Roman" w:cs="Times New Roman"/>
          <w:sz w:val="24"/>
          <w:szCs w:val="24"/>
          <w:vertAlign w:val="superscript"/>
        </w:rPr>
        <w:footnoteReference w:id="92"/>
      </w:r>
      <w:r>
        <w:rPr>
          <w:rFonts w:ascii="Times New Roman" w:eastAsia="Times New Roman" w:hAnsi="Times New Roman" w:cs="Times New Roman"/>
          <w:sz w:val="24"/>
          <w:szCs w:val="24"/>
        </w:rPr>
        <w:t xml:space="preserve"> is aimed at increased utilisation of primary health care facilities and providing high quality continued care closer to people’s homes and reducing out-of-pocket expenses. This system has been piloted in some areas and a comprehensive rollout will be implemented in due course.</w:t>
      </w:r>
    </w:p>
    <w:p w14:paraId="0000027E" w14:textId="77777777" w:rsidR="00A3739D" w:rsidRDefault="00A3739D">
      <w:pPr>
        <w:pStyle w:val="Heading2"/>
      </w:pPr>
      <w:bookmarkStart w:id="93" w:name="_heading=h.uhrx2ovtai0m" w:colFirst="0" w:colLast="0"/>
      <w:bookmarkEnd w:id="93"/>
    </w:p>
    <w:p w14:paraId="0000027F" w14:textId="77777777" w:rsidR="00A3739D" w:rsidRDefault="008D1A07">
      <w:pPr>
        <w:pStyle w:val="Heading2"/>
      </w:pPr>
      <w:r>
        <w:t>Mental health (paragraph 31)</w:t>
      </w:r>
    </w:p>
    <w:p w14:paraId="00000280"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Preventing adolescent suicide</w:t>
      </w:r>
    </w:p>
    <w:p w14:paraId="0000028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Suicide mortality rates have halved between 1995 and 2019.</w:t>
      </w:r>
      <w:r>
        <w:rPr>
          <w:rFonts w:ascii="Times New Roman" w:eastAsia="Times New Roman" w:hAnsi="Times New Roman" w:cs="Times New Roman"/>
          <w:sz w:val="24"/>
          <w:szCs w:val="24"/>
          <w:vertAlign w:val="superscript"/>
        </w:rPr>
        <w:footnoteReference w:id="93"/>
      </w:r>
      <w:r>
        <w:rPr>
          <w:rFonts w:ascii="Times New Roman" w:eastAsia="Times New Roman" w:hAnsi="Times New Roman" w:cs="Times New Roman"/>
          <w:sz w:val="24"/>
          <w:szCs w:val="24"/>
        </w:rPr>
        <w:t xml:space="preserve"> COVID-19 and the economic crisis have further increased associated risk factors for suicide. </w:t>
      </w:r>
    </w:p>
    <w:p w14:paraId="0000028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83"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National Mental Health Policy 2020-2030 identifies child and adolescent mental health promotion, life skill building, prevention of substance use and violence as important areas to be addressed through regular mental health promotion programmes in schools etc. The MOH together with CSOs implement a programme named ‘Manohari’ designed to build community capacity to cope and build resilience through the use of culturally-sensitive techniques such as  storytelling to share the challenges they face and discuss collective actions towards improving communal wellbeing. </w:t>
      </w:r>
    </w:p>
    <w:p w14:paraId="0000028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8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Services Department, the MWCA, and the NCPA are among the Government institutions which have trained counsellors working at the ground level in all Divisions of the country. The National Mental Health Helpline 1926, and CSO help lines like </w:t>
      </w:r>
      <w:proofErr w:type="spellStart"/>
      <w:r>
        <w:rPr>
          <w:rFonts w:ascii="Times New Roman" w:eastAsia="Times New Roman" w:hAnsi="Times New Roman" w:cs="Times New Roman"/>
          <w:sz w:val="24"/>
          <w:szCs w:val="24"/>
        </w:rPr>
        <w:t>Sumithrayo</w:t>
      </w:r>
      <w:proofErr w:type="spellEnd"/>
      <w:r>
        <w:rPr>
          <w:rFonts w:ascii="Times New Roman" w:eastAsia="Times New Roman" w:hAnsi="Times New Roman" w:cs="Times New Roman"/>
          <w:sz w:val="24"/>
          <w:szCs w:val="24"/>
        </w:rPr>
        <w:t xml:space="preserve"> and Shanthi </w:t>
      </w:r>
      <w:proofErr w:type="spellStart"/>
      <w:r>
        <w:rPr>
          <w:rFonts w:ascii="Times New Roman" w:eastAsia="Times New Roman" w:hAnsi="Times New Roman" w:cs="Times New Roman"/>
          <w:sz w:val="24"/>
          <w:szCs w:val="24"/>
        </w:rPr>
        <w:t>Maargham</w:t>
      </w:r>
      <w:proofErr w:type="spellEnd"/>
      <w:r>
        <w:rPr>
          <w:rFonts w:ascii="Times New Roman" w:eastAsia="Times New Roman" w:hAnsi="Times New Roman" w:cs="Times New Roman"/>
          <w:sz w:val="24"/>
          <w:szCs w:val="24"/>
        </w:rPr>
        <w:t xml:space="preserve"> are dedicated to providing 24/7, free and confidential counselling support, including suicide prevention support. </w:t>
      </w:r>
    </w:p>
    <w:p w14:paraId="0000028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8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Identified challenges for suicide prevention in Sri Lanka include difficulties reaching target groups, counteracting problematic media publicity, a competitive education system increasing stress among children, the influence of social media, and changes in the social system.</w:t>
      </w:r>
      <w:r>
        <w:rPr>
          <w:rFonts w:ascii="Times New Roman" w:eastAsia="Times New Roman" w:hAnsi="Times New Roman" w:cs="Times New Roman"/>
          <w:sz w:val="24"/>
          <w:szCs w:val="24"/>
          <w:vertAlign w:val="superscript"/>
        </w:rPr>
        <w:footnoteReference w:id="94"/>
      </w:r>
    </w:p>
    <w:p w14:paraId="00000288" w14:textId="77777777" w:rsidR="00A3739D" w:rsidRDefault="00A3739D">
      <w:pPr>
        <w:pStyle w:val="Heading2"/>
      </w:pPr>
      <w:bookmarkStart w:id="94" w:name="_heading=h.3rdcrjn" w:colFirst="0" w:colLast="0"/>
      <w:bookmarkEnd w:id="94"/>
    </w:p>
    <w:p w14:paraId="00000289" w14:textId="77777777" w:rsidR="00A3739D" w:rsidRDefault="008D1A07">
      <w:pPr>
        <w:pStyle w:val="Heading2"/>
      </w:pPr>
      <w:r>
        <w:t xml:space="preserve">Adolescent health (paragraph 32) </w:t>
      </w:r>
    </w:p>
    <w:p w14:paraId="0000028A"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8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Sexual and Reproductive Health Education in the School Curriculum</w:t>
      </w:r>
    </w:p>
    <w:p w14:paraId="0000028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Age-appropriate sexual and reproductive health education is part of the mandatory school curriculum. The school curriculum includes most aspects of reproductive health education in the Health and Physical Education curriculum for Grades 6 to 10. Ongoing curriculum revisions include making the reproductive education section more activity based as well as expanding the curriculum to include relevant life skills. The Comprehensive Sexuality Awareness Programs by the Health Promotion Bureau, currently in the development stage, provide wider public awareness and empowerment on age-appropriate sexuality education. </w:t>
      </w:r>
    </w:p>
    <w:p w14:paraId="0000028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8E"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Abortion and Post-Abortion Services for Adolescent Girls</w:t>
      </w:r>
    </w:p>
    <w:p w14:paraId="0000028F"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terms of Section 303 of the Penal Code, whoever voluntarily causes a woman with child to miscarry, except when done in good faith for the purpose of saving the life of the woman, is guilty of an offence. Attempts are being made to expand the exceptions to include rape and congenital anomalies of the foetus.</w:t>
      </w:r>
    </w:p>
    <w:p w14:paraId="00000290"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29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2015, the MOH issued the National Guidelines on post-abortion care. The guidelines stipulate that any woman who undergoes an illegal abortion can seek medical care for complications at any government facility. With respect to adolescents, the guidelines advise counsellors to be supportive and non-punishing, and to take extra care to express openness and compassion. </w:t>
      </w:r>
    </w:p>
    <w:p w14:paraId="0000029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9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Fostering Responsible Parenthood and Sexual Behaviour</w:t>
      </w:r>
    </w:p>
    <w:p w14:paraId="0000029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w:t>
      </w:r>
      <w:r>
        <w:rPr>
          <w:rFonts w:ascii="Times New Roman" w:eastAsia="Times New Roman" w:hAnsi="Times New Roman" w:cs="Times New Roman"/>
          <w:sz w:val="24"/>
          <w:szCs w:val="24"/>
        </w:rPr>
        <w:t xml:space="preserve">tatistics show that teenage pregnancies have been steadily decreasing between 2018 and 2022. Separate youth friendly services such as </w:t>
      </w:r>
      <w:proofErr w:type="spellStart"/>
      <w:r>
        <w:rPr>
          <w:rFonts w:ascii="Times New Roman" w:eastAsia="Times New Roman" w:hAnsi="Times New Roman" w:cs="Times New Roman"/>
          <w:sz w:val="24"/>
          <w:szCs w:val="24"/>
        </w:rPr>
        <w:t>YowunPiyasa</w:t>
      </w:r>
      <w:proofErr w:type="spellEnd"/>
      <w:r>
        <w:rPr>
          <w:rFonts w:ascii="Times New Roman" w:eastAsia="Times New Roman" w:hAnsi="Times New Roman" w:cs="Times New Roman"/>
          <w:sz w:val="24"/>
          <w:szCs w:val="24"/>
        </w:rPr>
        <w:t xml:space="preserve"> offer a variety of services. The Family Health Bureau has developed a series of simple leaflets to make the public aware of available methods of contraception. The ‘Capacitating Staff of Women and Child Development Units at District and Divisional Level on Prevention of Teenage Pregnancies Training Module 2020’ is being implemented island wide. </w:t>
      </w:r>
    </w:p>
    <w:p w14:paraId="0000029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9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parenthood is taught antenatally and postnatally to parents, including child parents, by public health midwives and the health clinics.</w:t>
      </w:r>
    </w:p>
    <w:p w14:paraId="0000029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98" w14:textId="77777777" w:rsidR="00A3739D" w:rsidRDefault="008D1A07">
      <w:pPr>
        <w:pStyle w:val="Heading2"/>
      </w:pPr>
      <w:bookmarkStart w:id="95" w:name="_heading=h.26in1rg" w:colFirst="0" w:colLast="0"/>
      <w:bookmarkEnd w:id="95"/>
      <w:r>
        <w:t>Drug and substance abuse (paragraph 33)</w:t>
      </w:r>
    </w:p>
    <w:p w14:paraId="00000299" w14:textId="77777777" w:rsidR="00A3739D" w:rsidRDefault="00A3739D">
      <w:pPr>
        <w:spacing w:after="0" w:line="360" w:lineRule="auto"/>
        <w:ind w:right="909"/>
        <w:rPr>
          <w:rFonts w:ascii="Times New Roman" w:eastAsia="Times New Roman" w:hAnsi="Times New Roman" w:cs="Times New Roman"/>
          <w:sz w:val="24"/>
          <w:szCs w:val="24"/>
        </w:rPr>
      </w:pPr>
    </w:p>
    <w:p w14:paraId="0000029A"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Prohibition on Advertising and Sale of Tobacco and Alcohol to Children</w:t>
      </w:r>
    </w:p>
    <w:p w14:paraId="0000029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an outright prohibition on the sale of tobacco and alcohol to people under the age of 21.</w:t>
      </w:r>
      <w:r>
        <w:rPr>
          <w:rFonts w:ascii="Times New Roman" w:eastAsia="Times New Roman" w:hAnsi="Times New Roman" w:cs="Times New Roman"/>
          <w:sz w:val="24"/>
          <w:szCs w:val="24"/>
          <w:vertAlign w:val="superscript"/>
        </w:rPr>
        <w:footnoteReference w:id="95"/>
      </w:r>
      <w:r>
        <w:rPr>
          <w:rFonts w:ascii="Times New Roman" w:eastAsia="Times New Roman" w:hAnsi="Times New Roman" w:cs="Times New Roman"/>
          <w:sz w:val="24"/>
          <w:szCs w:val="24"/>
        </w:rPr>
        <w:t xml:space="preserve"> Advertising such products to anyone through most forms of mass media is also prohibited. MOE Circular 20/2020</w:t>
      </w:r>
      <w:r>
        <w:rPr>
          <w:rFonts w:ascii="Times New Roman" w:eastAsia="Times New Roman" w:hAnsi="Times New Roman" w:cs="Times New Roman"/>
          <w:sz w:val="24"/>
          <w:szCs w:val="24"/>
          <w:vertAlign w:val="superscript"/>
        </w:rPr>
        <w:footnoteReference w:id="96"/>
      </w:r>
      <w:r>
        <w:rPr>
          <w:rFonts w:ascii="Times New Roman" w:eastAsia="Times New Roman" w:hAnsi="Times New Roman" w:cs="Times New Roman"/>
          <w:sz w:val="24"/>
          <w:szCs w:val="24"/>
        </w:rPr>
        <w:t xml:space="preserve"> bans the use, sale or promotion of tobacco-based products, alcohol, and other related substances in all institutes, premises, and international schools under the purview of the Ministry of Education, including obtaining sponsorships from such entities. </w:t>
      </w:r>
    </w:p>
    <w:p w14:paraId="0000029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9D"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Awareness to Children</w:t>
      </w:r>
    </w:p>
    <w:p w14:paraId="0000029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Dangerous Drugs Control Board (NDDCB) conducts regular preventative programmes including school-based programmes which address relevant social and psychological factors and provide students with appropriate confidence and skills necessary to successfully handle challenging situations.</w:t>
      </w:r>
      <w:r>
        <w:rPr>
          <w:rFonts w:ascii="Times New Roman" w:eastAsia="Times New Roman" w:hAnsi="Times New Roman" w:cs="Times New Roman"/>
          <w:sz w:val="24"/>
          <w:szCs w:val="24"/>
          <w:vertAlign w:val="superscript"/>
        </w:rPr>
        <w:footnoteReference w:id="97"/>
      </w:r>
      <w:r>
        <w:rPr>
          <w:rFonts w:ascii="Times New Roman" w:eastAsia="Times New Roman" w:hAnsi="Times New Roman" w:cs="Times New Roman"/>
          <w:sz w:val="24"/>
          <w:szCs w:val="24"/>
        </w:rPr>
        <w:t xml:space="preserve"> The NATA has also converted 60 messages on prevention of tobacco and alcohol included in school textbooks into a separate book in all three languages.   </w:t>
      </w:r>
    </w:p>
    <w:p w14:paraId="0000029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A0"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Training of stakeholders </w:t>
      </w:r>
    </w:p>
    <w:p w14:paraId="000002A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UNODC has supported the training of 280 national trainers and practitioners on evidence-based prevention and treatment of drug and substance abuse, with a strong focus on children and youth.</w:t>
      </w:r>
      <w:r>
        <w:rPr>
          <w:rFonts w:ascii="Times New Roman" w:eastAsia="Times New Roman" w:hAnsi="Times New Roman" w:cs="Times New Roman"/>
          <w:sz w:val="24"/>
          <w:szCs w:val="24"/>
          <w:vertAlign w:val="superscript"/>
        </w:rPr>
        <w:footnoteReference w:id="98"/>
      </w:r>
      <w:r>
        <w:rPr>
          <w:rFonts w:ascii="Times New Roman" w:eastAsia="Times New Roman" w:hAnsi="Times New Roman" w:cs="Times New Roman"/>
          <w:sz w:val="24"/>
          <w:szCs w:val="24"/>
        </w:rPr>
        <w:t xml:space="preserve"> Over 600 stakeholders, both local and international, have been trained in science-based, child-sensitive, and rights-oriented approaches, in line with UNODC-WHO standards. Training and engagement extended across districts including Colombo, Ampara, Jaffna, Kandy, Gampaha, and others. In partnership with the NDDCB, UNODC is also assisting in a 2024 drug use survey using indirect estimation methods, with a focus on methamphetamine, to better understand the impact on children and guide future interventions.</w:t>
      </w:r>
    </w:p>
    <w:p w14:paraId="000002A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NDDCB conducts TOT for teachers to provide schoolteachers with skill-based knowledge of drug prevention as well as awareness programmes on drug prevention directly to teachers.</w:t>
      </w:r>
      <w:r>
        <w:rPr>
          <w:rFonts w:ascii="Times New Roman" w:eastAsia="Times New Roman" w:hAnsi="Times New Roman" w:cs="Times New Roman"/>
          <w:sz w:val="24"/>
          <w:szCs w:val="24"/>
          <w:vertAlign w:val="superscript"/>
        </w:rPr>
        <w:footnoteReference w:id="99"/>
      </w:r>
      <w:r>
        <w:rPr>
          <w:rFonts w:ascii="Times New Roman" w:eastAsia="Times New Roman" w:hAnsi="Times New Roman" w:cs="Times New Roman"/>
          <w:sz w:val="24"/>
          <w:szCs w:val="24"/>
        </w:rPr>
        <w:t xml:space="preserve"> The MOE also trains school counsellors on drug prevention in schools. </w:t>
      </w:r>
    </w:p>
    <w:p w14:paraId="000002A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rPr>
      </w:pPr>
    </w:p>
    <w:p w14:paraId="000002A4"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rPr>
      </w:pPr>
      <w:r>
        <w:rPr>
          <w:rFonts w:ascii="Times New Roman" w:eastAsia="Times New Roman" w:hAnsi="Times New Roman" w:cs="Times New Roman"/>
          <w:i/>
          <w:sz w:val="24"/>
          <w:szCs w:val="24"/>
        </w:rPr>
        <w:t xml:space="preserve">Youth-Friendly Treatment Services </w:t>
      </w:r>
    </w:p>
    <w:p w14:paraId="000002A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NDDCB operates 3 prevention, treatment and rehabilitation centres for youth in Galle, Kandy, and </w:t>
      </w:r>
      <w:proofErr w:type="spellStart"/>
      <w:r>
        <w:rPr>
          <w:rFonts w:ascii="Times New Roman" w:eastAsia="Times New Roman" w:hAnsi="Times New Roman" w:cs="Times New Roman"/>
          <w:sz w:val="24"/>
          <w:szCs w:val="24"/>
        </w:rPr>
        <w:t>Nittambuwa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footnoteReference w:id="100"/>
      </w:r>
      <w:r>
        <w:rPr>
          <w:rFonts w:ascii="Times New Roman" w:eastAsia="Times New Roman" w:hAnsi="Times New Roman" w:cs="Times New Roman"/>
          <w:sz w:val="24"/>
          <w:szCs w:val="24"/>
        </w:rPr>
        <w:t xml:space="preserve"> Community-based treatment options run by NGOs are also available in some parts of the country. </w:t>
      </w:r>
    </w:p>
    <w:p w14:paraId="000002A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A7"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Detention of Children for Drug Use</w:t>
      </w:r>
    </w:p>
    <w:p w14:paraId="000002A8" w14:textId="77777777" w:rsidR="00A3739D" w:rsidRDefault="008D1A07">
      <w:pPr>
        <w:numPr>
          <w:ilvl w:val="0"/>
          <w:numId w:val="1"/>
        </w:numPr>
        <w:tabs>
          <w:tab w:val="right" w:pos="851"/>
        </w:tabs>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Under the current legislation, anyone, including children, can be detained for drug possession under Section 87 of the Poisons, Opium and Dangerous Drugs ordinance as amended by Act, No. 41 of 2022. This Act also provides that a person under the age of 18 who is convicted of an offense under the section mentioned, unlike an adult offender, will not be punished by death or life imprisonment, and that a more lenient sentence is imposed (maximum imprisonment of 10 years with compulsory rehabilitation and five </w:t>
      </w:r>
      <w:proofErr w:type="spellStart"/>
      <w:r>
        <w:rPr>
          <w:rFonts w:ascii="Times New Roman" w:eastAsia="Times New Roman" w:hAnsi="Times New Roman" w:cs="Times New Roman"/>
          <w:sz w:val="24"/>
          <w:szCs w:val="24"/>
        </w:rPr>
        <w:t>years probation</w:t>
      </w:r>
      <w:proofErr w:type="spellEnd"/>
      <w:r>
        <w:rPr>
          <w:rFonts w:ascii="Times New Roman" w:eastAsia="Times New Roman" w:hAnsi="Times New Roman" w:cs="Times New Roman"/>
          <w:sz w:val="24"/>
          <w:szCs w:val="24"/>
        </w:rPr>
        <w:t xml:space="preserve"> under the Probation of Offenders Ordinance).</w:t>
      </w:r>
    </w:p>
    <w:p w14:paraId="000002A9" w14:textId="77777777" w:rsidR="00A3739D" w:rsidRDefault="00A3739D">
      <w:pPr>
        <w:pStyle w:val="Heading2"/>
      </w:pPr>
    </w:p>
    <w:p w14:paraId="000002AA" w14:textId="77777777" w:rsidR="00A3739D" w:rsidRDefault="008D1A07">
      <w:pPr>
        <w:pStyle w:val="Heading2"/>
      </w:pPr>
      <w:r>
        <w:t>Nutrition (paragraph 34)</w:t>
      </w:r>
    </w:p>
    <w:p w14:paraId="000002AB"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A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96" w:name="_heading=h.2u6wntf" w:colFirst="0" w:colLast="0"/>
      <w:bookmarkEnd w:id="96"/>
      <w:r>
        <w:rPr>
          <w:rFonts w:ascii="Times New Roman" w:eastAsia="Times New Roman" w:hAnsi="Times New Roman" w:cs="Times New Roman"/>
          <w:sz w:val="24"/>
          <w:szCs w:val="24"/>
        </w:rPr>
        <w:t>At the national level, the percentage of underweight children under five years of age increased to 17.1% in 2023 from 15.3% in 2022 and 12.2% in 2021. Both stunting and wasting among children under five years of age increased to 9.2% and 10.1 per cent, respectively, in 2022, from 7.4% and 8.2%, respectively, recorded in 2021.</w:t>
      </w:r>
      <w:r>
        <w:rPr>
          <w:rFonts w:ascii="Times New Roman" w:eastAsia="Times New Roman" w:hAnsi="Times New Roman" w:cs="Times New Roman"/>
          <w:sz w:val="24"/>
          <w:szCs w:val="24"/>
          <w:vertAlign w:val="superscript"/>
        </w:rPr>
        <w:footnoteReference w:id="101"/>
      </w:r>
      <w:r>
        <w:rPr>
          <w:rFonts w:ascii="Times New Roman" w:eastAsia="Times New Roman" w:hAnsi="Times New Roman" w:cs="Times New Roman"/>
          <w:sz w:val="24"/>
          <w:szCs w:val="24"/>
        </w:rPr>
        <w:t xml:space="preserve"> Children with Severe Acute Malnutrition have decreased to 1.2% in 2023 from 1.4% in 2022 while children who are wasting has decreased to 10% in 2023 from 10.1% in 2022. Stunting has increased to 10.3% in 2023.</w:t>
      </w:r>
      <w:r>
        <w:rPr>
          <w:rFonts w:ascii="Times New Roman" w:eastAsia="Times New Roman" w:hAnsi="Times New Roman" w:cs="Times New Roman"/>
          <w:sz w:val="24"/>
          <w:szCs w:val="24"/>
          <w:vertAlign w:val="superscript"/>
        </w:rPr>
        <w:footnoteReference w:id="102"/>
      </w:r>
    </w:p>
    <w:p w14:paraId="000002A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A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Emergency Nutrition Plan for 2022-2024</w:t>
      </w:r>
      <w:r>
        <w:rPr>
          <w:rFonts w:ascii="Times New Roman" w:eastAsia="Times New Roman" w:hAnsi="Times New Roman" w:cs="Times New Roman"/>
          <w:sz w:val="24"/>
          <w:szCs w:val="24"/>
          <w:vertAlign w:val="superscript"/>
        </w:rPr>
        <w:footnoteReference w:id="103"/>
      </w:r>
      <w:r>
        <w:rPr>
          <w:rFonts w:ascii="Times New Roman" w:eastAsia="Times New Roman" w:hAnsi="Times New Roman" w:cs="Times New Roman"/>
          <w:sz w:val="24"/>
          <w:szCs w:val="24"/>
        </w:rPr>
        <w:t xml:space="preserve">puts forth several proposals including cash transfer schemes, foster schemes, nutrition sensitive home gardening, cash management support to communities at risk and so on. The MOH has developed guidelines for engaging with CSOs in order to implement the emergency nutrition plan. The Finance Commission allocated Rs 16.6 Billion to the Provinces in 2023 for the school nutritional meal programme which is a significant increase from the Rs 4 Billion allocated to MOE for this purpose in 2022.The MOH is in the process of upgrading their District Nutrition Management System (DNMS) to become a national nutrition surveillance mechanism with multi stakeholder access so that individual intervention packages can  be developed. The system was piloted in the Kalutara District in July 2023 to assess its feasibility. Despite this, malnutrition continues to be an enormous challenge for families and children. The Treasury allocated Rs. Billion 1450 to the NSECD for Providing Breakfast to Pre School-Children. </w:t>
      </w:r>
      <w:r>
        <w:rPr>
          <w:rFonts w:ascii="Times New Roman" w:eastAsia="Times New Roman" w:hAnsi="Times New Roman" w:cs="Times New Roman"/>
          <w:sz w:val="24"/>
          <w:szCs w:val="24"/>
        </w:rPr>
        <w:lastRenderedPageBreak/>
        <w:t>Nearly 86468 are benefited by the program NSECD under MWCA Providing Rs.4500.00 valued allowance for pregnant and lactating mothers from families with an income below Rs 50,000. The Treasury has allocated Rs.11000 million for pregnant mother’s allowance.</w:t>
      </w:r>
    </w:p>
    <w:p w14:paraId="000002A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B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in non-emergency situations, several child nutrition interventions are undertaken under the National Maternal and Child Health Program of the MOH. Infant nutrition programs conducted by the MOH include assessment of infant development, promotion of breastfeeding, provision of micro-nutrition supplements, nutrition rehabilitation programs, and interventions during disaster situations. The Ministry also provides nutrition supplements and medicine. Provision of supplementary therapeutic food for severely malnourished children continues, along with other health services provided through the Family Health Bureau. </w:t>
      </w:r>
    </w:p>
    <w:p w14:paraId="000002B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B2" w14:textId="77777777" w:rsidR="00A3739D" w:rsidRDefault="008D1A07">
      <w:pPr>
        <w:pStyle w:val="Heading2"/>
      </w:pPr>
      <w:bookmarkStart w:id="97" w:name="_heading=h.35nkun2" w:colFirst="0" w:colLast="0"/>
      <w:bookmarkEnd w:id="97"/>
      <w:r>
        <w:t>Environmental health (paragraph 35)</w:t>
      </w:r>
    </w:p>
    <w:p w14:paraId="000002B3"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B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Use of Agrochemicals</w:t>
      </w:r>
    </w:p>
    <w:p w14:paraId="000002B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Regulations made under Section 16 of the Control of Pesticides Act No. 33 of 1980 prohibits any person from selling or introducing to sell any pesticide falling within the general purpose or restricted category to a person under the age of 18 </w:t>
      </w:r>
      <w:proofErr w:type="spellStart"/>
      <w:r>
        <w:rPr>
          <w:rFonts w:ascii="Times New Roman" w:eastAsia="Times New Roman" w:hAnsi="Times New Roman" w:cs="Times New Roman"/>
          <w:sz w:val="24"/>
          <w:szCs w:val="24"/>
        </w:rPr>
        <w:t>years.In</w:t>
      </w:r>
      <w:proofErr w:type="spellEnd"/>
      <w:r>
        <w:rPr>
          <w:rFonts w:ascii="Times New Roman" w:eastAsia="Times New Roman" w:hAnsi="Times New Roman" w:cs="Times New Roman"/>
          <w:sz w:val="24"/>
          <w:szCs w:val="24"/>
        </w:rPr>
        <w:t xml:space="preserve"> addition, an extraordinary gazette has also been published declaring maximum residue limits for recommended pesticides in Sri Lanka in harvested foodstuff in order to protect consumers including children.</w:t>
      </w:r>
    </w:p>
    <w:p w14:paraId="000002B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B7" w14:textId="77777777" w:rsidR="00A3739D" w:rsidRDefault="008D1A07">
      <w:pPr>
        <w:pStyle w:val="Heading2"/>
      </w:pPr>
      <w:bookmarkStart w:id="98" w:name="_heading=h.1ksv4uv" w:colFirst="0" w:colLast="0"/>
      <w:bookmarkEnd w:id="98"/>
      <w:r>
        <w:t>Impact of climate change on the rights of the child (paragraph 36)</w:t>
      </w:r>
    </w:p>
    <w:p w14:paraId="000002B8"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B9"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Children’s Awareness and Preparedness</w:t>
      </w:r>
    </w:p>
    <w:p w14:paraId="000002B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99" w:name="_heading=h.19c6y18" w:colFirst="0" w:colLast="0"/>
      <w:bookmarkEnd w:id="99"/>
      <w:r>
        <w:rPr>
          <w:rFonts w:ascii="Times New Roman" w:eastAsia="Times New Roman" w:hAnsi="Times New Roman" w:cs="Times New Roman"/>
          <w:sz w:val="24"/>
          <w:szCs w:val="24"/>
        </w:rPr>
        <w:t>The Climate change policy of Sri Lanka is aimed at adaptation to and mitigation of climate change impacts within the framework of sustainable development.</w:t>
      </w:r>
      <w:r>
        <w:rPr>
          <w:rFonts w:ascii="Times New Roman" w:eastAsia="Times New Roman" w:hAnsi="Times New Roman" w:cs="Times New Roman"/>
          <w:sz w:val="24"/>
          <w:szCs w:val="24"/>
          <w:vertAlign w:val="superscript"/>
        </w:rPr>
        <w:footnoteReference w:id="104"/>
      </w:r>
      <w:r>
        <w:rPr>
          <w:rFonts w:ascii="Times New Roman" w:eastAsia="Times New Roman" w:hAnsi="Times New Roman" w:cs="Times New Roman"/>
          <w:sz w:val="24"/>
          <w:szCs w:val="24"/>
        </w:rPr>
        <w:t xml:space="preserve"> Information on climate change is included in subjects like geography, science, social studies, and health studies in Grades 6-9. </w:t>
      </w:r>
    </w:p>
    <w:p w14:paraId="000002B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100" w:name="_heading=h.mbn13z1ribmy" w:colFirst="0" w:colLast="0"/>
      <w:bookmarkEnd w:id="100"/>
    </w:p>
    <w:p w14:paraId="000002B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MOE Circular No. 16/2021</w:t>
      </w:r>
      <w:r>
        <w:rPr>
          <w:rFonts w:ascii="Times New Roman" w:eastAsia="Times New Roman" w:hAnsi="Times New Roman" w:cs="Times New Roman"/>
          <w:sz w:val="24"/>
          <w:szCs w:val="24"/>
          <w:vertAlign w:val="superscript"/>
        </w:rPr>
        <w:footnoteReference w:id="105"/>
      </w:r>
      <w:r>
        <w:rPr>
          <w:rFonts w:ascii="Times New Roman" w:eastAsia="Times New Roman" w:hAnsi="Times New Roman" w:cs="Times New Roman"/>
          <w:sz w:val="24"/>
          <w:szCs w:val="24"/>
        </w:rPr>
        <w:t xml:space="preserve"> and Guidelines on School Protection for Disaster Risk Management are aimed at protecting the school premises from climate change and disasters and enhancing the capacity of children to respond to climate change and disasters. Training on these guidelines for provincial and zonal subject officers and teacher trainers were conducted in the Provinces. The DPCCS also conducts programmes for around 500,000 children through village level children’s clubs and societies, where children map disaster risks within their village and suggest preventive measures.</w:t>
      </w:r>
    </w:p>
    <w:p w14:paraId="000002B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B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Disaster Management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and Department of Examinations have launched a joint program to prevent disruptions to the 2024 (2025) G.C.E. O/L exam due to adverse weather. The plan outlines responsibilities for all stakeholders to strengthen emergency response and protect both students and exam officials. Guidelines have been issued in coordination with the Tri-Forces, Police, and other agencies to manage any potential disasters during the exam period. Additionally, a special hotline has been set up for students or their guardians to be able to contact the DMC in the case of an emergency.</w:t>
      </w:r>
    </w:p>
    <w:p w14:paraId="000002B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C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DPCCS, in collaboration with </w:t>
      </w:r>
      <w:proofErr w:type="spellStart"/>
      <w:r>
        <w:rPr>
          <w:rFonts w:ascii="Times New Roman" w:eastAsia="Times New Roman" w:hAnsi="Times New Roman" w:cs="Times New Roman"/>
          <w:sz w:val="24"/>
          <w:szCs w:val="24"/>
        </w:rPr>
        <w:t>ChildFund</w:t>
      </w:r>
      <w:proofErr w:type="spellEnd"/>
      <w:r>
        <w:rPr>
          <w:rFonts w:ascii="Times New Roman" w:eastAsia="Times New Roman" w:hAnsi="Times New Roman" w:cs="Times New Roman"/>
          <w:sz w:val="24"/>
          <w:szCs w:val="24"/>
        </w:rPr>
        <w:t xml:space="preserve"> Sri Lanka, UNICEF, and World Vision, facilitated the development of the “Sri Lanka Children’s Declaration on Disaster Risk Reduction and Climate Change Adaptation.”</w:t>
      </w:r>
      <w:r>
        <w:rPr>
          <w:rFonts w:ascii="Times New Roman" w:eastAsia="Times New Roman" w:hAnsi="Times New Roman" w:cs="Times New Roman"/>
          <w:sz w:val="24"/>
          <w:szCs w:val="24"/>
          <w:vertAlign w:val="superscript"/>
        </w:rPr>
        <w:footnoteReference w:id="106"/>
      </w:r>
      <w:r>
        <w:rPr>
          <w:rFonts w:ascii="Times New Roman" w:eastAsia="Times New Roman" w:hAnsi="Times New Roman" w:cs="Times New Roman"/>
          <w:sz w:val="24"/>
          <w:szCs w:val="24"/>
        </w:rPr>
        <w:t xml:space="preserve"> This initiative engaged 350 children, providing them with the opportunity to collaborate with these organizations and express the impact of disasters from a child’s perspective. Additionally, children were supported in contributing to planning efforts at the village level</w:t>
      </w:r>
    </w:p>
    <w:p w14:paraId="000002C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C2" w14:textId="77777777" w:rsidR="00A3739D" w:rsidRDefault="008D1A07">
      <w:pPr>
        <w:pStyle w:val="Heading2"/>
      </w:pPr>
      <w:bookmarkStart w:id="101" w:name="_heading=h.ci91zus1axml" w:colFirst="0" w:colLast="0"/>
      <w:bookmarkEnd w:id="101"/>
      <w:r>
        <w:t>Standard of living (paragraph 37)</w:t>
      </w:r>
    </w:p>
    <w:p w14:paraId="000002C3" w14:textId="77777777" w:rsidR="00A3739D" w:rsidRDefault="00A3739D">
      <w:pPr>
        <w:spacing w:after="0" w:line="360" w:lineRule="auto"/>
        <w:ind w:right="909"/>
        <w:rPr>
          <w:rFonts w:ascii="Times New Roman" w:eastAsia="Times New Roman" w:hAnsi="Times New Roman" w:cs="Times New Roman"/>
          <w:sz w:val="24"/>
          <w:szCs w:val="24"/>
        </w:rPr>
      </w:pPr>
    </w:p>
    <w:p w14:paraId="000002C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 and Family Centred Measures</w:t>
      </w:r>
    </w:p>
    <w:p w14:paraId="000002C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02" w:name="_heading=h.28h4qwu" w:colFirst="0" w:colLast="0"/>
      <w:bookmarkEnd w:id="102"/>
      <w:r>
        <w:rPr>
          <w:rFonts w:ascii="Times New Roman" w:eastAsia="Times New Roman" w:hAnsi="Times New Roman" w:cs="Times New Roman"/>
          <w:sz w:val="24"/>
          <w:szCs w:val="24"/>
        </w:rPr>
        <w:t>During the COVID-19 pandemic, additional livelihood support was provided to low-income households where at least one member had lost their livelihood or where the household had been quarantined or were in lockdown. The GoSL also implemented social protection schemes to 47 per cent of households and one-off payments to informal workers as part of its emergency response. In all, the Government made cash transfers amounting to approximately Rs 250 billion during the COVID-19 pandemic.</w:t>
      </w:r>
    </w:p>
    <w:p w14:paraId="000002C6" w14:textId="77777777" w:rsidR="00A3739D" w:rsidRDefault="00A3739D">
      <w:pPr>
        <w:pBdr>
          <w:top w:val="nil"/>
          <w:left w:val="nil"/>
          <w:bottom w:val="nil"/>
          <w:right w:val="nil"/>
          <w:between w:val="nil"/>
        </w:pBdr>
        <w:tabs>
          <w:tab w:val="left" w:pos="6780"/>
        </w:tabs>
        <w:spacing w:after="0" w:line="360" w:lineRule="auto"/>
        <w:ind w:right="909"/>
        <w:jc w:val="both"/>
        <w:rPr>
          <w:rFonts w:ascii="Times New Roman" w:eastAsia="Times New Roman" w:hAnsi="Times New Roman" w:cs="Times New Roman"/>
          <w:sz w:val="24"/>
          <w:szCs w:val="24"/>
        </w:rPr>
      </w:pPr>
    </w:p>
    <w:p w14:paraId="000002C7"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Social protection measures</w:t>
      </w:r>
    </w:p>
    <w:p w14:paraId="000002C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03" w:name="_heading=h.sa0bxyia4a23" w:colFirst="0" w:colLast="0"/>
      <w:bookmarkEnd w:id="103"/>
      <w:r>
        <w:rPr>
          <w:rFonts w:ascii="Times New Roman" w:eastAsia="Times New Roman" w:hAnsi="Times New Roman" w:cs="Times New Roman"/>
          <w:sz w:val="24"/>
          <w:szCs w:val="24"/>
        </w:rPr>
        <w:t xml:space="preserve">In response to the economic crisis, the Government has set up the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Welfare Benefit Scheme which became effective on 1st July 2023, aimed at addressing the inclusion/exclusion errors of previous schemes.</w:t>
      </w:r>
      <w:r>
        <w:rPr>
          <w:rFonts w:ascii="Times New Roman" w:eastAsia="Times New Roman" w:hAnsi="Times New Roman" w:cs="Times New Roman"/>
          <w:sz w:val="24"/>
          <w:szCs w:val="24"/>
          <w:vertAlign w:val="superscript"/>
        </w:rPr>
        <w:footnoteReference w:id="107"/>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specifically targets four social categories, namely transitional, vulnerable, poor and severely poor. The government increased the spending on SSN (Social Safety Net) programmes and incorporated measures to improve the coverage, reducing inclusion and exclusion errors and establishing SRIS (Social Registry Information System) to reach out to the targeted beneficiaries. The government has increased budgetary allocation amounting to Rs. 205 billion in 2024 for Social safety net spending including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scheme. </w:t>
      </w:r>
      <w:r>
        <w:rPr>
          <w:rFonts w:ascii="Times New Roman" w:eastAsia="Times New Roman" w:hAnsi="Times New Roman" w:cs="Times New Roman"/>
          <w:sz w:val="24"/>
          <w:szCs w:val="24"/>
          <w:highlight w:val="white"/>
        </w:rPr>
        <w:t>Moreo</w:t>
      </w:r>
      <w:r>
        <w:rPr>
          <w:rFonts w:ascii="Times New Roman" w:eastAsia="Times New Roman" w:hAnsi="Times New Roman" w:cs="Times New Roman"/>
          <w:sz w:val="24"/>
          <w:szCs w:val="24"/>
        </w:rPr>
        <w:t>ver, allowances granted to kidney patients, the elderly, and individuals with disabilities have been increased by 50%. The government has increased budgetary allocation amounting to Rs. 237 billion in 2025 and the actual expenditure by the end of April 2025 is Rs. 70.9 billion. The number of low-income families benefited from this programme is 1,737,141 as at April 2025.Moreover, the monthly allowances for kidney patients and people with disabilities have been increased from Rs. 7,500 to Rs. 10,000 and monthly allowances for elderly persons has been increased from Rs. 3,000 to Rs. 5,000 with effect from April 2025. It is envisaged that the Government’s commitment to economic recovery leading to sustainable and stable growth will benefit all segments of Sri Lankan society in all parts of the country reducing inequalities and achieving sustainable and equitable growth.</w:t>
      </w:r>
    </w:p>
    <w:p w14:paraId="000002C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C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DPCCS contributes to improving living standards by providing financial assistance to support the educational and nutritional needs of children from low-income households. Through the “</w:t>
      </w:r>
      <w:proofErr w:type="spellStart"/>
      <w:r>
        <w:rPr>
          <w:rFonts w:ascii="Times New Roman" w:eastAsia="Times New Roman" w:hAnsi="Times New Roman" w:cs="Times New Roman"/>
          <w:sz w:val="24"/>
          <w:szCs w:val="24"/>
        </w:rPr>
        <w:t>Athwela</w:t>
      </w:r>
      <w:proofErr w:type="spellEnd"/>
      <w:r>
        <w:rPr>
          <w:rFonts w:ascii="Times New Roman" w:eastAsia="Times New Roman" w:hAnsi="Times New Roman" w:cs="Times New Roman"/>
          <w:sz w:val="24"/>
          <w:szCs w:val="24"/>
        </w:rPr>
        <w:t>” initiative, it channels private donations to children in need. It also implements targeted programmes for street-connected children and those living in the estate sector, while operating individualised care plans for vulnerable and at-risk children to ensure their long-term well-being and development.</w:t>
      </w:r>
    </w:p>
    <w:p w14:paraId="000002C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CC"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Empowerment of Women-Headed Households</w:t>
      </w:r>
    </w:p>
    <w:p w14:paraId="000002C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Women’s Bureau provides assistance to women-headed households by granting loan facilities. An allocation of Rs 250 million was made in 2011-2023 for livelihood development opportunities for women headed households.</w:t>
      </w:r>
      <w:r>
        <w:rPr>
          <w:rFonts w:ascii="Times New Roman" w:eastAsia="Times New Roman" w:hAnsi="Times New Roman" w:cs="Times New Roman"/>
          <w:sz w:val="24"/>
          <w:szCs w:val="24"/>
          <w:vertAlign w:val="superscript"/>
        </w:rPr>
        <w:footnoteReference w:id="108"/>
      </w:r>
    </w:p>
    <w:p w14:paraId="000002C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CF"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Protection against Forced Eviction</w:t>
      </w:r>
    </w:p>
    <w:p w14:paraId="000002D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04" w:name="_heading=h.a5foter8ch1i" w:colFirst="0" w:colLast="0"/>
      <w:bookmarkEnd w:id="104"/>
      <w:r>
        <w:rPr>
          <w:rFonts w:ascii="Times New Roman" w:eastAsia="Times New Roman" w:hAnsi="Times New Roman" w:cs="Times New Roman"/>
          <w:sz w:val="24"/>
          <w:szCs w:val="24"/>
        </w:rPr>
        <w:t xml:space="preserve">Under section 5 of the Protection of Tenants (Special Provisions) Act, eviction is only permitted by court order. </w:t>
      </w:r>
    </w:p>
    <w:p w14:paraId="000002D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D2" w14:textId="77777777" w:rsidR="00A3739D" w:rsidRDefault="008D1A07">
      <w:pPr>
        <w:pStyle w:val="Heading1"/>
        <w:ind w:left="0" w:right="909" w:firstLine="0"/>
      </w:pPr>
      <w:bookmarkStart w:id="105" w:name="_heading=h.1bkhr4repvxo" w:colFirst="0" w:colLast="0"/>
      <w:bookmarkEnd w:id="105"/>
      <w:r>
        <w:t>H. Education, leisure and cultural activities (arts. 28–31)</w:t>
      </w:r>
    </w:p>
    <w:p w14:paraId="000002D3" w14:textId="77777777" w:rsidR="00A3739D" w:rsidRDefault="00A3739D">
      <w:pPr>
        <w:spacing w:after="0" w:line="360" w:lineRule="auto"/>
        <w:ind w:right="909"/>
        <w:rPr>
          <w:rFonts w:ascii="Times New Roman" w:eastAsia="Times New Roman" w:hAnsi="Times New Roman" w:cs="Times New Roman"/>
          <w:sz w:val="24"/>
          <w:szCs w:val="24"/>
        </w:rPr>
      </w:pPr>
    </w:p>
    <w:p w14:paraId="000002D4" w14:textId="77777777" w:rsidR="00A3739D" w:rsidRDefault="008D1A07">
      <w:pPr>
        <w:pStyle w:val="Heading2"/>
      </w:pPr>
      <w:bookmarkStart w:id="106" w:name="_heading=h.z337ya" w:colFirst="0" w:colLast="0"/>
      <w:bookmarkEnd w:id="106"/>
      <w:r>
        <w:t>Education, including vocational training and guidance (paragraph 38)</w:t>
      </w:r>
    </w:p>
    <w:p w14:paraId="000002D5"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Addressing Regional Disparities with Budget Allocations</w:t>
      </w:r>
    </w:p>
    <w:p w14:paraId="000002D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noted above, per capita expenditure on education reflects the government’s effort to promote balanced regional development, by providing additional support to poorer Provinces where learning outcomes and student performance are low.</w:t>
      </w:r>
    </w:p>
    <w:p w14:paraId="000002D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2D8" w14:textId="77777777" w:rsidR="00A3739D" w:rsidRDefault="008D1A07">
      <w:pPr>
        <w:pBdr>
          <w:top w:val="nil"/>
          <w:left w:val="nil"/>
          <w:bottom w:val="nil"/>
          <w:right w:val="nil"/>
          <w:between w:val="nil"/>
        </w:pBdr>
        <w:spacing w:after="0" w:line="360" w:lineRule="auto"/>
        <w:ind w:right="909"/>
        <w:jc w:val="both"/>
        <w:rPr>
          <w:rFonts w:ascii="Times New Roman" w:eastAsia="Times New Roman" w:hAnsi="Times New Roman" w:cs="Times New Roman"/>
          <w:i/>
          <w:sz w:val="24"/>
          <w:szCs w:val="24"/>
          <w:shd w:val="clear" w:color="auto" w:fill="B4A7D6"/>
        </w:rPr>
      </w:pPr>
      <w:r>
        <w:rPr>
          <w:rFonts w:ascii="Times New Roman" w:eastAsia="Times New Roman" w:hAnsi="Times New Roman" w:cs="Times New Roman"/>
          <w:i/>
          <w:sz w:val="24"/>
          <w:szCs w:val="24"/>
        </w:rPr>
        <w:t xml:space="preserve">ECE-Pre Primary Education </w:t>
      </w:r>
    </w:p>
    <w:p w14:paraId="000002D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are 19,216 pre-schools in the Island of which 13,750 are in the Sinhala medium, 4,912 are in the Tamil medium and 554 are in the English medium. Registration and monitoring of Pre Schools/ECD Centres are done by the Provincial Pre-school Authority Unit. Nearly 80% of Pre Schools are Private owned and only 10% of Pre-Schools are government owned. The remaining 10% is owned by NGOs and religious institutions. In order to promote and facilitate holistic development of children in their early childhood, the NIE prepared a preschool teacher guide with the collaboration of NSECD. NSECD also published minimum standards for ECD Centres/preschools. </w:t>
      </w:r>
    </w:p>
    <w:p w14:paraId="000002D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D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schools were upgraded to National Schools under the MOE Circular No. 03/2020</w:t>
      </w:r>
      <w:r>
        <w:rPr>
          <w:rFonts w:ascii="Times New Roman" w:eastAsia="Times New Roman" w:hAnsi="Times New Roman" w:cs="Times New Roman"/>
          <w:sz w:val="24"/>
          <w:szCs w:val="24"/>
          <w:vertAlign w:val="superscript"/>
        </w:rPr>
        <w:footnoteReference w:id="109"/>
      </w:r>
      <w:r>
        <w:rPr>
          <w:rFonts w:ascii="Times New Roman" w:eastAsia="Times New Roman" w:hAnsi="Times New Roman" w:cs="Times New Roman"/>
          <w:sz w:val="24"/>
          <w:szCs w:val="24"/>
        </w:rPr>
        <w:t xml:space="preserve"> to increase the number of National Schools by upgrading existing schools. However, following the economic crisis this policy decision was revised in 2022. Incentives are granted for teachers serving in extremely deprived schools, 3620 sports coaches have been recruited in 2018 and assigned to schools around the country including in rural areas. Rs. 65 billion has been spent on improving toilet facilities in schools in underserved areas, </w:t>
      </w:r>
      <w:r>
        <w:rPr>
          <w:rFonts w:ascii="Times New Roman" w:eastAsia="Times New Roman" w:hAnsi="Times New Roman" w:cs="Times New Roman"/>
          <w:sz w:val="24"/>
          <w:szCs w:val="24"/>
        </w:rPr>
        <w:lastRenderedPageBreak/>
        <w:t xml:space="preserve">and technology labs are being developed in schools with children from low-income backgrounds. 619 new counsellor appointments were made in 2021 bringing the total to 3357 counsellors. </w:t>
      </w:r>
    </w:p>
    <w:p w14:paraId="000002DC" w14:textId="77777777" w:rsidR="00A3739D" w:rsidRDefault="00A3739D">
      <w:pPr>
        <w:pBdr>
          <w:top w:val="nil"/>
          <w:left w:val="nil"/>
          <w:bottom w:val="nil"/>
          <w:right w:val="nil"/>
          <w:between w:val="nil"/>
        </w:pBdr>
        <w:spacing w:after="0" w:line="360" w:lineRule="auto"/>
        <w:ind w:right="909"/>
        <w:rPr>
          <w:rFonts w:ascii="Times New Roman" w:eastAsia="Times New Roman" w:hAnsi="Times New Roman" w:cs="Times New Roman"/>
          <w:sz w:val="24"/>
          <w:szCs w:val="24"/>
        </w:rPr>
      </w:pPr>
    </w:p>
    <w:p w14:paraId="000002D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Secondary Education Sector Improvement Programme (SESIP),</w:t>
      </w:r>
      <w:r>
        <w:rPr>
          <w:rFonts w:ascii="Times New Roman" w:eastAsia="Times New Roman" w:hAnsi="Times New Roman" w:cs="Times New Roman"/>
          <w:sz w:val="24"/>
          <w:szCs w:val="24"/>
          <w:vertAlign w:val="superscript"/>
        </w:rPr>
        <w:footnoteReference w:id="110"/>
      </w:r>
      <w:r>
        <w:rPr>
          <w:rFonts w:ascii="Times New Roman" w:eastAsia="Times New Roman" w:hAnsi="Times New Roman" w:cs="Times New Roman"/>
          <w:sz w:val="24"/>
          <w:szCs w:val="24"/>
        </w:rPr>
        <w:t xml:space="preserve"> a $400 million project financed through the Asian Development Bank, focuses on secondary education reforms. One of three outputs expected from the Programme is strengthened provincial and school capacity to implement education reforms. This includes strengthening the capacity of principals and provincial education authorities to adopt blended learning approaches and context appropriate technologies and support strategies to attract more students, especially girls, to take up STMC subjects and reduce dropouts among boys. </w:t>
      </w:r>
    </w:p>
    <w:p w14:paraId="000002D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shd w:val="clear" w:color="auto" w:fill="B4A7D6"/>
        </w:rPr>
      </w:pPr>
    </w:p>
    <w:p w14:paraId="000002DF"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Protecting Children from Violence in Schools and While Travelling To and From School and Combatting Discriminatory Gender Stereotypes</w:t>
      </w:r>
    </w:p>
    <w:p w14:paraId="000002E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MOE Circular No. 02/2019</w:t>
      </w:r>
      <w:r>
        <w:rPr>
          <w:rFonts w:ascii="Times New Roman" w:eastAsia="Times New Roman" w:hAnsi="Times New Roman" w:cs="Times New Roman"/>
          <w:sz w:val="24"/>
          <w:szCs w:val="24"/>
          <w:vertAlign w:val="superscript"/>
        </w:rPr>
        <w:footnoteReference w:id="111"/>
      </w:r>
      <w:r>
        <w:rPr>
          <w:rFonts w:ascii="Times New Roman" w:eastAsia="Times New Roman" w:hAnsi="Times New Roman" w:cs="Times New Roman"/>
          <w:sz w:val="24"/>
          <w:szCs w:val="24"/>
        </w:rPr>
        <w:t xml:space="preserve"> implements the School Health Promotion Programme which includes creating a child-friendly environment free of harm, abuse, harmful punishment and violence, a friendly psycho-social environment, and ensuring the right of every student to come to school. Civics Education in the school curriculum educates students about violence against children, as do school counsellors. ‘</w:t>
      </w:r>
      <w:proofErr w:type="spellStart"/>
      <w:r>
        <w:rPr>
          <w:rFonts w:ascii="Times New Roman" w:eastAsia="Times New Roman" w:hAnsi="Times New Roman" w:cs="Times New Roman"/>
          <w:sz w:val="24"/>
          <w:szCs w:val="24"/>
        </w:rPr>
        <w:t>SisuSeriya</w:t>
      </w:r>
      <w:proofErr w:type="spellEnd"/>
      <w:r>
        <w:rPr>
          <w:rFonts w:ascii="Times New Roman" w:eastAsia="Times New Roman" w:hAnsi="Times New Roman" w:cs="Times New Roman"/>
          <w:sz w:val="24"/>
          <w:szCs w:val="24"/>
        </w:rPr>
        <w:t xml:space="preserve">’ is a safe bus service designated only for school children. Legally, every school van must be registered under the relevant zonal education office and it is mandatory for a female to be present in every van. Several schools have also commenced teaching students self-defence as a way to combat harassment. The NCPA’s student ambassador programme and </w:t>
      </w:r>
      <w:proofErr w:type="spellStart"/>
      <w:r>
        <w:rPr>
          <w:rFonts w:ascii="Times New Roman" w:eastAsia="Times New Roman" w:hAnsi="Times New Roman" w:cs="Times New Roman"/>
          <w:sz w:val="24"/>
          <w:szCs w:val="24"/>
        </w:rPr>
        <w:t>SurakumPawwa</w:t>
      </w:r>
      <w:proofErr w:type="spellEnd"/>
      <w:r>
        <w:rPr>
          <w:rFonts w:ascii="Times New Roman" w:eastAsia="Times New Roman" w:hAnsi="Times New Roman" w:cs="Times New Roman"/>
          <w:sz w:val="24"/>
          <w:szCs w:val="24"/>
        </w:rPr>
        <w:t xml:space="preserve"> programme (which seeks to increase the number of school child protection committees) are aimed at reducing violence and creating child friendly schools.</w:t>
      </w:r>
      <w:r>
        <w:rPr>
          <w:rFonts w:ascii="Times New Roman" w:eastAsia="Times New Roman" w:hAnsi="Times New Roman" w:cs="Times New Roman"/>
          <w:sz w:val="24"/>
          <w:szCs w:val="24"/>
          <w:vertAlign w:val="superscript"/>
        </w:rPr>
        <w:footnoteReference w:id="112"/>
      </w:r>
    </w:p>
    <w:p w14:paraId="000002E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combatting discriminatory gender stereotypes, schools are encouraging more female participation in sports and self-defence to increase self-protection skills. UNICEF has implemented a programme on conveying messages combating gender stereotyping to primary school children. The NIE has also included specific models on gender stereotyping in the curriculum. </w:t>
      </w:r>
    </w:p>
    <w:p w14:paraId="000002E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Education of Pregnant Girls and Adolescent Mothers</w:t>
      </w:r>
    </w:p>
    <w:p w14:paraId="000002E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there is no law or regulation that states that pregnant girls cannot remain in their current school, in practice the MOE and Provincial education authorities arrange for home-based informal education during this time. Once the girl gives birth, if she requests it, she is usually found a different school in which to continue her education. These solutions are formulated to be sensitive to the socio-cultural sensitivities of the community. </w:t>
      </w:r>
    </w:p>
    <w:p w14:paraId="000002E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7"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Minimising School Dropouts </w:t>
      </w:r>
    </w:p>
    <w:p w14:paraId="000002E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the13 years of continuous education programme, the vocational education stream gives children who do not want to continue in the academic stream the option of continuing their schooling. The school meals programme benefits 1.06 million students in 7925 schools and provides an incentive for these children to continue to attend school. School children receive free uniforms and textbooks, and students from low-income households receive additional uniforms and a pair of shoes and are given season tickets for bus services. </w:t>
      </w:r>
    </w:p>
    <w:p w14:paraId="000002E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Schools are vigilant about school dropouts and follow up on these children. If a child misses school for more than a week, the NCPA’s Child Protection Committee informs the school or the NCPA officer and NCPA field officers follow up and support the child and family with the necessary resources for continuing the child’s schooling. Given issues of school transport in several areas of the country, almost 10,000 accessibility committees have been established in schools. </w:t>
      </w:r>
    </w:p>
    <w:p w14:paraId="000002EB"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C"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Promoting Quality Vocational Training</w:t>
      </w:r>
    </w:p>
    <w:p w14:paraId="000002E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technical subjects have been included in the school curriculum. The options range from food manufacturing technology, child psychology and protection, to interior design, construction technology, web designing, software engineering and so on.</w:t>
      </w:r>
      <w:r>
        <w:rPr>
          <w:rFonts w:ascii="Times New Roman" w:eastAsia="Times New Roman" w:hAnsi="Times New Roman" w:cs="Times New Roman"/>
          <w:sz w:val="24"/>
          <w:szCs w:val="24"/>
          <w:vertAlign w:val="superscript"/>
        </w:rPr>
        <w:footnoteReference w:id="113"/>
      </w:r>
      <w:r>
        <w:rPr>
          <w:rFonts w:ascii="Times New Roman" w:eastAsia="Times New Roman" w:hAnsi="Times New Roman" w:cs="Times New Roman"/>
          <w:sz w:val="24"/>
          <w:szCs w:val="24"/>
        </w:rPr>
        <w:t xml:space="preserve"> In addition, the Secondary Education Sector Improvement Programme</w:t>
      </w:r>
      <w:r>
        <w:rPr>
          <w:rFonts w:ascii="Times New Roman" w:eastAsia="Times New Roman" w:hAnsi="Times New Roman" w:cs="Times New Roman"/>
          <w:sz w:val="24"/>
          <w:szCs w:val="24"/>
          <w:vertAlign w:val="superscript"/>
        </w:rPr>
        <w:footnoteReference w:id="114"/>
      </w:r>
      <w:r>
        <w:rPr>
          <w:rFonts w:ascii="Times New Roman" w:eastAsia="Times New Roman" w:hAnsi="Times New Roman" w:cs="Times New Roman"/>
          <w:sz w:val="24"/>
          <w:szCs w:val="24"/>
        </w:rPr>
        <w:t xml:space="preserve"> is aimed at transforming the secondary education system and aligning it with the needs of the evolving labour force. </w:t>
      </w:r>
    </w:p>
    <w:p w14:paraId="000002EE"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EF" w14:textId="77777777" w:rsidR="00A3739D" w:rsidRDefault="008D1A07">
      <w:pPr>
        <w:spacing w:after="0" w:line="360" w:lineRule="auto"/>
        <w:ind w:right="909"/>
        <w:jc w:val="both"/>
        <w:rPr>
          <w:rFonts w:ascii="Times New Roman" w:eastAsia="Times New Roman" w:hAnsi="Times New Roman" w:cs="Times New Roman"/>
          <w:b/>
          <w:sz w:val="24"/>
          <w:szCs w:val="24"/>
          <w:shd w:val="clear" w:color="auto" w:fill="B4A7D6"/>
        </w:rPr>
      </w:pPr>
      <w:r>
        <w:rPr>
          <w:rFonts w:ascii="Times New Roman" w:eastAsia="Times New Roman" w:hAnsi="Times New Roman" w:cs="Times New Roman"/>
          <w:i/>
          <w:sz w:val="24"/>
          <w:szCs w:val="24"/>
        </w:rPr>
        <w:t>Eradicating De Facto Bribes for School Admittance</w:t>
      </w:r>
    </w:p>
    <w:p w14:paraId="000002F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MOE Circular No.05/2015</w:t>
      </w:r>
      <w:r>
        <w:rPr>
          <w:rFonts w:ascii="Times New Roman" w:eastAsia="Times New Roman" w:hAnsi="Times New Roman" w:cs="Times New Roman"/>
          <w:sz w:val="24"/>
          <w:szCs w:val="24"/>
          <w:vertAlign w:val="superscript"/>
        </w:rPr>
        <w:footnoteReference w:id="115"/>
      </w:r>
      <w:r>
        <w:rPr>
          <w:rFonts w:ascii="Times New Roman" w:eastAsia="Times New Roman" w:hAnsi="Times New Roman" w:cs="Times New Roman"/>
          <w:sz w:val="24"/>
          <w:szCs w:val="24"/>
        </w:rPr>
        <w:t xml:space="preserve"> dated 29th January 2015 prohibits the improper collection of funds in schools. The Regulations and Instructions on Admitting Children to Grade 1 in 2023</w:t>
      </w:r>
      <w:r>
        <w:rPr>
          <w:rFonts w:ascii="Times New Roman" w:eastAsia="Times New Roman" w:hAnsi="Times New Roman" w:cs="Times New Roman"/>
          <w:sz w:val="24"/>
          <w:szCs w:val="24"/>
          <w:vertAlign w:val="superscript"/>
        </w:rPr>
        <w:footnoteReference w:id="116"/>
      </w:r>
      <w:r>
        <w:rPr>
          <w:rFonts w:ascii="Times New Roman" w:eastAsia="Times New Roman" w:hAnsi="Times New Roman" w:cs="Times New Roman"/>
          <w:sz w:val="24"/>
          <w:szCs w:val="24"/>
        </w:rPr>
        <w:t xml:space="preserve"> prohibit obtaining money and other aids for the admission of students. This prohibition is also contained in MOE Circular No.17/2023</w:t>
      </w:r>
      <w:r>
        <w:rPr>
          <w:rFonts w:ascii="Times New Roman" w:eastAsia="Times New Roman" w:hAnsi="Times New Roman" w:cs="Times New Roman"/>
          <w:sz w:val="24"/>
          <w:szCs w:val="24"/>
          <w:vertAlign w:val="superscript"/>
        </w:rPr>
        <w:footnoteReference w:id="117"/>
      </w:r>
      <w:r>
        <w:rPr>
          <w:rFonts w:ascii="Times New Roman" w:eastAsia="Times New Roman" w:hAnsi="Times New Roman" w:cs="Times New Roman"/>
          <w:sz w:val="24"/>
          <w:szCs w:val="24"/>
        </w:rPr>
        <w:t xml:space="preserve"> on admission of students from Grade 2-11. Presenting gifts to teachers is also prohibited by MOE Circular No.33/2016</w:t>
      </w:r>
      <w:r>
        <w:rPr>
          <w:rFonts w:ascii="Times New Roman" w:eastAsia="Times New Roman" w:hAnsi="Times New Roman" w:cs="Times New Roman"/>
          <w:sz w:val="24"/>
          <w:szCs w:val="24"/>
          <w:vertAlign w:val="superscript"/>
        </w:rPr>
        <w:footnoteReference w:id="118"/>
      </w:r>
      <w:r>
        <w:rPr>
          <w:rFonts w:ascii="Times New Roman" w:eastAsia="Times New Roman" w:hAnsi="Times New Roman" w:cs="Times New Roman"/>
          <w:sz w:val="24"/>
          <w:szCs w:val="24"/>
        </w:rPr>
        <w:t xml:space="preserve"> which also prohibits collection of money for gifts for teachers and notes that it warrants disciplinary action. Further, a new Anti-Corruption Act No. 9 of 2023 was enacted to eradicate bribery and corruption in the public as well as private sector of the country.</w:t>
      </w:r>
      <w:r>
        <w:rPr>
          <w:rFonts w:ascii="Times New Roman" w:eastAsia="Times New Roman" w:hAnsi="Times New Roman" w:cs="Times New Roman"/>
          <w:sz w:val="24"/>
          <w:szCs w:val="24"/>
          <w:vertAlign w:val="superscript"/>
        </w:rPr>
        <w:footnoteReference w:id="119"/>
      </w:r>
    </w:p>
    <w:p w14:paraId="000002F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F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1 - 15 August 2019, CIABOC briefed Principals of National schools, past pupil association representatives, and School Development Society members in Colombo in batches. Principals of schools have been arrested and prosecuted for soliciting bribes for school admission. The CIABOC and the MOE have signed a MOU dated 1st October 2022 to take action to eliminate bribery and corruption in the education sector in Sri Lanka, including by updating the school admission circulars with the aid of the CIABOC. </w:t>
      </w:r>
    </w:p>
    <w:p w14:paraId="000002F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2F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School Re-Entry for Victims of Child Marriage</w:t>
      </w:r>
    </w:p>
    <w:p w14:paraId="000002F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07" w:name="_heading=h.37m2jsg" w:colFirst="0" w:colLast="0"/>
      <w:bookmarkEnd w:id="107"/>
      <w:r>
        <w:rPr>
          <w:rFonts w:ascii="Times New Roman" w:eastAsia="Times New Roman" w:hAnsi="Times New Roman" w:cs="Times New Roman"/>
          <w:sz w:val="24"/>
          <w:szCs w:val="24"/>
        </w:rPr>
        <w:t>The MOE carries out awareness sessions for Principals of schools about the importance of re-entry to education of children of child marriages. Arrangements are usually made to admit these children to different schools from which they were studying or, if they are over 16, they are directed to a vocational training programme.</w:t>
      </w:r>
    </w:p>
    <w:p w14:paraId="000002F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bookmarkStart w:id="108" w:name="_heading=h.1b0mgzgq8kcm" w:colFirst="0" w:colLast="0"/>
      <w:bookmarkEnd w:id="108"/>
    </w:p>
    <w:p w14:paraId="000002F7" w14:textId="77777777" w:rsidR="00A3739D" w:rsidRDefault="008D1A07">
      <w:pPr>
        <w:pStyle w:val="Heading1"/>
        <w:ind w:left="0" w:right="909" w:firstLine="0"/>
      </w:pPr>
      <w:r>
        <w:t>I. Special protection measures (arts. 22, 30, 32, 33, 35, 36, 37 (b)–(d) and 38–40)</w:t>
      </w:r>
    </w:p>
    <w:p w14:paraId="000002F8"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F9" w14:textId="77777777" w:rsidR="00A3739D" w:rsidRDefault="008D1A07">
      <w:pPr>
        <w:pStyle w:val="Heading2"/>
      </w:pPr>
      <w:bookmarkStart w:id="109" w:name="_heading=h.ukqityyynodv" w:colFirst="0" w:colLast="0"/>
      <w:bookmarkEnd w:id="109"/>
      <w:r>
        <w:t>Internally displaced children (paragraph 39)</w:t>
      </w:r>
    </w:p>
    <w:p w14:paraId="000002FA"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who were internally displaced in the North and East were accommodated in welfare centres or were living with their friends and relatives. After the restoration of normalcy, they have largely returned to their places of origin. Action continues to resettle </w:t>
      </w:r>
      <w:r>
        <w:rPr>
          <w:rFonts w:ascii="Times New Roman" w:eastAsia="Times New Roman" w:hAnsi="Times New Roman" w:cs="Times New Roman"/>
          <w:sz w:val="24"/>
          <w:szCs w:val="24"/>
        </w:rPr>
        <w:lastRenderedPageBreak/>
        <w:t>IDP families in the Northern and Eastern Provinces. Of the five districts in the Northern Province, resettlement of IDPs remains only in Jaffna and Kilinochchi districts.</w:t>
      </w:r>
    </w:p>
    <w:p w14:paraId="000002FB"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2FC" w14:textId="77777777" w:rsidR="00A3739D" w:rsidRDefault="008D1A07">
      <w:pPr>
        <w:pStyle w:val="Heading2"/>
      </w:pPr>
      <w:bookmarkStart w:id="110" w:name="_heading=h.dqeqvyuv247i" w:colFirst="0" w:colLast="0"/>
      <w:bookmarkEnd w:id="110"/>
      <w:r>
        <w:t>Children belonging to minority or indigenous groups (paragraph 40)</w:t>
      </w:r>
    </w:p>
    <w:p w14:paraId="000002FD" w14:textId="77777777" w:rsidR="00A3739D" w:rsidRDefault="00A3739D">
      <w:pPr>
        <w:tabs>
          <w:tab w:val="right" w:pos="851"/>
        </w:tabs>
        <w:spacing w:after="0" w:line="360" w:lineRule="auto"/>
        <w:ind w:right="909"/>
        <w:rPr>
          <w:rFonts w:ascii="Times New Roman" w:eastAsia="Times New Roman" w:hAnsi="Times New Roman" w:cs="Times New Roman"/>
          <w:sz w:val="24"/>
          <w:szCs w:val="24"/>
        </w:rPr>
      </w:pPr>
    </w:p>
    <w:p w14:paraId="000002FE"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Rights, Traditions, and Lands of Indigenous Children and Families</w:t>
      </w:r>
    </w:p>
    <w:p w14:paraId="000002F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Ministry of Buddhasasasana, Religious and Cultural Affairs (MOBRCA) has conducted a project centred around the </w:t>
      </w:r>
      <w:proofErr w:type="spellStart"/>
      <w:r>
        <w:rPr>
          <w:rFonts w:ascii="Times New Roman" w:eastAsia="Times New Roman" w:hAnsi="Times New Roman" w:cs="Times New Roman"/>
          <w:i/>
          <w:sz w:val="24"/>
          <w:szCs w:val="24"/>
        </w:rPr>
        <w:t>Rathugala</w:t>
      </w:r>
      <w:r>
        <w:rPr>
          <w:rFonts w:ascii="Times New Roman" w:eastAsia="Times New Roman" w:hAnsi="Times New Roman" w:cs="Times New Roman"/>
          <w:sz w:val="24"/>
          <w:szCs w:val="24"/>
        </w:rPr>
        <w:t>indigenous</w:t>
      </w:r>
      <w:proofErr w:type="spellEnd"/>
      <w:r>
        <w:rPr>
          <w:rFonts w:ascii="Times New Roman" w:eastAsia="Times New Roman" w:hAnsi="Times New Roman" w:cs="Times New Roman"/>
          <w:sz w:val="24"/>
          <w:szCs w:val="24"/>
        </w:rPr>
        <w:t xml:space="preserve"> village to teach the indigenous language to children as a means of preserving the language for future generations. The MOBRCA annually conducts the </w:t>
      </w:r>
      <w:proofErr w:type="spellStart"/>
      <w:r>
        <w:rPr>
          <w:rFonts w:ascii="Times New Roman" w:eastAsia="Times New Roman" w:hAnsi="Times New Roman" w:cs="Times New Roman"/>
          <w:i/>
          <w:sz w:val="24"/>
          <w:szCs w:val="24"/>
        </w:rPr>
        <w:t>HakmaShanthikarma</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 significant ritual of the Adivasi community, and annually celebrates the World Adivasi Day. The MOBRCA also maintains and develops an indigenous heritage museum in </w:t>
      </w:r>
      <w:r>
        <w:rPr>
          <w:rFonts w:ascii="Times New Roman" w:eastAsia="Times New Roman" w:hAnsi="Times New Roman" w:cs="Times New Roman"/>
          <w:i/>
          <w:sz w:val="24"/>
          <w:szCs w:val="24"/>
        </w:rPr>
        <w:t xml:space="preserve">Dambana. </w:t>
      </w:r>
      <w:r>
        <w:rPr>
          <w:rFonts w:ascii="Times New Roman" w:eastAsia="Times New Roman" w:hAnsi="Times New Roman" w:cs="Times New Roman"/>
          <w:sz w:val="24"/>
          <w:szCs w:val="24"/>
        </w:rPr>
        <w:t>The MOBRCA intends to conduct a social reintegration programme in 2023 along with a distribution of school equipment for indigenous children with a view to directing these children towards education. The HRCSL conducted a field visit in June 2022 to the coastal indigenous people (</w:t>
      </w:r>
      <w:proofErr w:type="spellStart"/>
      <w:r>
        <w:rPr>
          <w:rFonts w:ascii="Times New Roman" w:eastAsia="Times New Roman" w:hAnsi="Times New Roman" w:cs="Times New Roman"/>
          <w:sz w:val="24"/>
          <w:szCs w:val="24"/>
        </w:rPr>
        <w:t>veddas</w:t>
      </w:r>
      <w:proofErr w:type="spellEnd"/>
      <w:r>
        <w:rPr>
          <w:rFonts w:ascii="Times New Roman" w:eastAsia="Times New Roman" w:hAnsi="Times New Roman" w:cs="Times New Roman"/>
          <w:sz w:val="24"/>
          <w:szCs w:val="24"/>
        </w:rPr>
        <w:t xml:space="preserve">) in the Trincomalee District. Following an assessment of the education needs of the children of the coastal </w:t>
      </w:r>
      <w:proofErr w:type="spellStart"/>
      <w:r>
        <w:rPr>
          <w:rFonts w:ascii="Times New Roman" w:eastAsia="Times New Roman" w:hAnsi="Times New Roman" w:cs="Times New Roman"/>
          <w:sz w:val="24"/>
          <w:szCs w:val="24"/>
        </w:rPr>
        <w:t>veddas</w:t>
      </w:r>
      <w:proofErr w:type="spellEnd"/>
      <w:r>
        <w:rPr>
          <w:rFonts w:ascii="Times New Roman" w:eastAsia="Times New Roman" w:hAnsi="Times New Roman" w:cs="Times New Roman"/>
          <w:sz w:val="24"/>
          <w:szCs w:val="24"/>
        </w:rPr>
        <w:t xml:space="preserve">, the HRCSL has requested the Northern Provincial Council to take necessary action. </w:t>
      </w:r>
    </w:p>
    <w:p w14:paraId="00000300"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01"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Preventing Hate Speech</w:t>
      </w:r>
    </w:p>
    <w:p w14:paraId="00000302"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of Sri Lanka remains committed to build a society where the rights of all communities are secured and their safety and security is ensured. Human dignity is valued, and equal treatment to every person irrespective of their religion, ethnicity or race is an accepted norm of public life. Steps are continuously taken to ensure that all communities have the space to express their identity, including the right to enjoy their own culture, profess and practise their own religion and use, nurture and promote their own language. All communities participate fully in the life of the nation, whether it is at national, provincial or local level.</w:t>
      </w:r>
    </w:p>
    <w:p w14:paraId="00000303"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304"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12 (1) of the Constitution of Sri Lanka guarantees to all persons equality before the law and equal protection of the law. Article 12(2) guarantees the fundamental right to non-discrimination on the grounds of “race, religion, language, caste, sex, political opinion, place of birth or any such grounds.” It must be noted in this context, that Article </w:t>
      </w:r>
      <w:r>
        <w:rPr>
          <w:rFonts w:ascii="Times New Roman" w:eastAsia="Times New Roman" w:hAnsi="Times New Roman" w:cs="Times New Roman"/>
          <w:sz w:val="24"/>
          <w:szCs w:val="24"/>
        </w:rPr>
        <w:lastRenderedPageBreak/>
        <w:t>12(1) read in conjunction with Article 12(2) ensures that the grounds of non-discrimination are non-exhaustive, and thereby ensures compliance with the Covenant.</w:t>
      </w:r>
    </w:p>
    <w:p w14:paraId="00000305"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306"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does not condone any act of religious hatred or intolerance, and maintains a zero-tolerance policy on any such acts, and has taken measures to combat the same.</w:t>
      </w:r>
    </w:p>
    <w:p w14:paraId="00000307"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308"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provisions of the Penal Code, the International Covenant on Civil and Political Rights Act of Sri Lanka criminalizes advocating religious hatred that constitutes incitement, discrimination, hostility or violence. Accordingly, no person is permitted to advocate national, racial, or religious hatred that constitutes incitement to discrimination, hostility, or violence. </w:t>
      </w:r>
    </w:p>
    <w:p w14:paraId="00000309" w14:textId="77777777" w:rsidR="00A3739D" w:rsidRDefault="00A3739D">
      <w:pPr>
        <w:pStyle w:val="Heading2"/>
      </w:pPr>
      <w:bookmarkStart w:id="111" w:name="_heading=h.8iij3x3qybvn" w:colFirst="0" w:colLast="0"/>
      <w:bookmarkEnd w:id="111"/>
    </w:p>
    <w:p w14:paraId="0000030A" w14:textId="77777777" w:rsidR="00A3739D" w:rsidRDefault="008D1A07">
      <w:pPr>
        <w:pStyle w:val="Heading2"/>
      </w:pPr>
      <w:r>
        <w:t>Economic exploitation, including child labour (paragraph 41 and 42)</w:t>
      </w:r>
    </w:p>
    <w:p w14:paraId="0000030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 Domestic Workers</w:t>
      </w:r>
    </w:p>
    <w:p w14:paraId="0000030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Hazardous Occupations Regulations No. 01 of 2021,</w:t>
      </w:r>
      <w:r>
        <w:rPr>
          <w:rFonts w:ascii="Times New Roman" w:eastAsia="Times New Roman" w:hAnsi="Times New Roman" w:cs="Times New Roman"/>
          <w:sz w:val="24"/>
          <w:szCs w:val="24"/>
          <w:vertAlign w:val="superscript"/>
        </w:rPr>
        <w:footnoteReference w:id="120"/>
      </w:r>
      <w:r>
        <w:rPr>
          <w:rFonts w:ascii="Times New Roman" w:eastAsia="Times New Roman" w:hAnsi="Times New Roman" w:cs="Times New Roman"/>
          <w:sz w:val="24"/>
          <w:szCs w:val="24"/>
        </w:rPr>
        <w:t xml:space="preserve"> 71 categories, as opposed to only 51 categories in the previous Regulations, are identified as hazardous occupations in which children under 18 cannot be employed. Domestic work is included in this new list. The Department of Labor has issued a Circular informing all its officers </w:t>
      </w:r>
      <w:proofErr w:type="spellStart"/>
      <w:r>
        <w:rPr>
          <w:rFonts w:ascii="Times New Roman" w:eastAsia="Times New Roman" w:hAnsi="Times New Roman" w:cs="Times New Roman"/>
          <w:sz w:val="24"/>
          <w:szCs w:val="24"/>
        </w:rPr>
        <w:t>islandwide</w:t>
      </w:r>
      <w:proofErr w:type="spellEnd"/>
      <w:r>
        <w:rPr>
          <w:rFonts w:ascii="Times New Roman" w:eastAsia="Times New Roman" w:hAnsi="Times New Roman" w:cs="Times New Roman"/>
          <w:sz w:val="24"/>
          <w:szCs w:val="24"/>
        </w:rPr>
        <w:t xml:space="preserve"> about this amendment and four 2-day residential training programmes on child labour, hazardous child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and child trafficking were conducted subsequently for labour officers, probation officers, and police officers from Colombo, Kalutara and Gampaha Districts and the North Western Province. Awareness on hazardous occupations were included in 11 labour inspecting platforms and 11 social dialogue platforms conducted by DOL.</w:t>
      </w:r>
    </w:p>
    <w:p w14:paraId="0000030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0E"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Monitoring Child Labour Cases</w:t>
      </w:r>
    </w:p>
    <w:p w14:paraId="0000030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Women and Children’s Affairs (WCA) Division of the DOL coordinates and monitors all child labour cases. Child labour cases are usually found only in the informal sector. All complaints of child labour, including those made to the NCPA Child Line, WCDs, and the police hotline are referred to this Division, which forwards the complaints to the district labour officers, all who have been trained on investigating child labour cases. </w:t>
      </w:r>
      <w:r>
        <w:rPr>
          <w:rFonts w:ascii="Times New Roman" w:eastAsia="Times New Roman" w:hAnsi="Times New Roman" w:cs="Times New Roman"/>
          <w:sz w:val="24"/>
          <w:szCs w:val="24"/>
        </w:rPr>
        <w:lastRenderedPageBreak/>
        <w:t>The WCA Division as well as the relevant labour officers monitor the progress and resolution of all cases. Since March 2022, there has been an internal complaints monitoring mechanism and complaints made to the NCPA are lodged directly to this online system.</w:t>
      </w:r>
    </w:p>
    <w:p w14:paraId="00000310"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11"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Bringing Perpetrators to Justice</w:t>
      </w:r>
    </w:p>
    <w:p w14:paraId="0000031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bookmarkStart w:id="112" w:name="_heading=h.46r0co2" w:colFirst="0" w:colLast="0"/>
      <w:bookmarkEnd w:id="112"/>
      <w:r>
        <w:rPr>
          <w:rFonts w:ascii="Times New Roman" w:eastAsia="Times New Roman" w:hAnsi="Times New Roman" w:cs="Times New Roman"/>
          <w:sz w:val="24"/>
          <w:szCs w:val="24"/>
        </w:rPr>
        <w:t>When a district labour officer receives a complaint regarding child labour, they visit the reported site of labour together with a police officer and a probation officer. If a violation is found, the police begin investigations immediately. The DOL also conducts unannounced visits. In 2021, it conducted 56 such visits covering 280 establishments.</w:t>
      </w:r>
    </w:p>
    <w:p w14:paraId="00000313"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314" w14:textId="77777777" w:rsidR="00A3739D" w:rsidRDefault="008D1A07">
      <w:pPr>
        <w:pStyle w:val="Heading2"/>
      </w:pPr>
      <w:bookmarkStart w:id="113" w:name="_heading=h.ca4twl3ewcxb" w:colFirst="0" w:colLast="0"/>
      <w:bookmarkEnd w:id="113"/>
      <w:r>
        <w:t>Children in street situations (paragraph 43)</w:t>
      </w:r>
    </w:p>
    <w:p w14:paraId="00000315"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16"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Strategy for Children in Street Situations</w:t>
      </w:r>
    </w:p>
    <w:p w14:paraId="0000031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Children living in the street are produced before the court as a child in need of care and protection under section 35 of the CYPO and provided necessary assistance in terms of family strengthening, shelter, and education in cooperation with NGOs. </w:t>
      </w:r>
    </w:p>
    <w:p w14:paraId="0000031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19"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Detention of Children in Street Situations</w:t>
      </w:r>
    </w:p>
    <w:p w14:paraId="0000031A"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Women and </w:t>
      </w:r>
      <w:proofErr w:type="spellStart"/>
      <w:r>
        <w:rPr>
          <w:rFonts w:ascii="Times New Roman" w:eastAsia="Times New Roman" w:hAnsi="Times New Roman" w:cs="Times New Roman"/>
          <w:sz w:val="24"/>
          <w:szCs w:val="24"/>
        </w:rPr>
        <w:t>Childrens’</w:t>
      </w:r>
      <w:proofErr w:type="spellEnd"/>
      <w:r>
        <w:rPr>
          <w:rFonts w:ascii="Times New Roman" w:eastAsia="Times New Roman" w:hAnsi="Times New Roman" w:cs="Times New Roman"/>
          <w:sz w:val="24"/>
          <w:szCs w:val="24"/>
        </w:rPr>
        <w:t xml:space="preserve"> Bureau of the Police frequently takes children in street situations into their custody upon receiving complaints via two hotlines provided (109 and 1929) to report crimes against children. After information about their guardianship is verified, they are referred to the JMO and thereafter the Court places them under suitable guardianship. If no guardian can be found, the child is placed in a shelter, for a temporary period until the child is reunited with their family. This is overseen by the Provincial DPCCS. Follow-up actions on their education and safety are taken under a project on child victims, unsafe children and child suspects conducted by the police. </w:t>
      </w:r>
    </w:p>
    <w:p w14:paraId="0000031B" w14:textId="77777777" w:rsidR="00A3739D" w:rsidRDefault="00A3739D">
      <w:pPr>
        <w:pStyle w:val="Heading2"/>
      </w:pPr>
      <w:bookmarkStart w:id="114" w:name="_heading=h.k5zvz92b17kn" w:colFirst="0" w:colLast="0"/>
      <w:bookmarkEnd w:id="114"/>
    </w:p>
    <w:p w14:paraId="0000031C" w14:textId="77777777" w:rsidR="00A3739D" w:rsidRDefault="008D1A07">
      <w:pPr>
        <w:pStyle w:val="Heading2"/>
      </w:pPr>
      <w:r>
        <w:t xml:space="preserve">Sale, trafficking and abduction </w:t>
      </w:r>
    </w:p>
    <w:p w14:paraId="0000031D" w14:textId="77777777" w:rsidR="00A3739D" w:rsidRDefault="00A3739D">
      <w:pPr>
        <w:pStyle w:val="Heading2"/>
        <w:rPr>
          <w:b w:val="0"/>
          <w:i/>
        </w:rPr>
      </w:pPr>
    </w:p>
    <w:p w14:paraId="0000031E" w14:textId="77777777" w:rsidR="00A3739D" w:rsidRDefault="008D1A07">
      <w:pPr>
        <w:pStyle w:val="Heading2"/>
        <w:rPr>
          <w:b w:val="0"/>
        </w:rPr>
      </w:pPr>
      <w:r>
        <w:rPr>
          <w:b w:val="0"/>
          <w:i/>
        </w:rPr>
        <w:t>Anti-Trafficking Legislation</w:t>
      </w:r>
    </w:p>
    <w:p w14:paraId="0000031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Section 360C of the Penal Code criminalizes sex trafficking and labour trafficking and carries a sentence of 3-20 </w:t>
      </w:r>
      <w:proofErr w:type="spellStart"/>
      <w:r>
        <w:rPr>
          <w:rFonts w:ascii="Times New Roman" w:eastAsia="Times New Roman" w:hAnsi="Times New Roman" w:cs="Times New Roman"/>
          <w:sz w:val="24"/>
          <w:szCs w:val="24"/>
        </w:rPr>
        <w:t>years</w:t>
      </w:r>
      <w:proofErr w:type="spellEnd"/>
      <w:r>
        <w:rPr>
          <w:rFonts w:ascii="Times New Roman" w:eastAsia="Times New Roman" w:hAnsi="Times New Roman" w:cs="Times New Roman"/>
          <w:sz w:val="24"/>
          <w:szCs w:val="24"/>
        </w:rPr>
        <w:t xml:space="preserve"> imprisonment when the victim is a child. Sections 360A (procuration), 360B (sexual exploitation of a child), 288 (causing or procuring children to beg), 288A (hiring or employing children to act as procurers for sexual intercourse). 288B </w:t>
      </w:r>
      <w:r>
        <w:rPr>
          <w:rFonts w:ascii="Times New Roman" w:eastAsia="Times New Roman" w:hAnsi="Times New Roman" w:cs="Times New Roman"/>
          <w:sz w:val="24"/>
          <w:szCs w:val="24"/>
        </w:rPr>
        <w:lastRenderedPageBreak/>
        <w:t>(hiring or employing children to traffic in restricted articles) are added, as relevant, in indictments of trafficking in children.</w:t>
      </w:r>
    </w:p>
    <w:p w14:paraId="0000032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1"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Investigation and Prosecution</w:t>
      </w:r>
    </w:p>
    <w:p w14:paraId="0000032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 the United States Trafficking in Persons (TIP) Report upgraded Sri Lanka to Tier 2 from Tier 2 watch list, recognizing that the country is making significant efforts including having demonstrated overall increasing efforts compared with the previous reporting period, considering the impact of the COVID-19 pandemic on its anti-trafficking capacity. Despite COVID-19, the National Anti-Human Trafficking Task Force (NAHTTF) used online platforms to continue investigations and prosecutions. The government established a new Human Trafficking, Smuggling Investigation and Maritime Crimes Investigation Division within the CID to investigate and combat human trafficking crimes. The new division is more accessible and accommodating for potential victims to report complaints. </w:t>
      </w:r>
    </w:p>
    <w:p w14:paraId="0000032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line with the objectives of the National Strategic Action Plan to Combat Human Trafficking (2021-2025),</w:t>
      </w:r>
      <w:r>
        <w:rPr>
          <w:rFonts w:ascii="Times New Roman" w:eastAsia="Times New Roman" w:hAnsi="Times New Roman" w:cs="Times New Roman"/>
          <w:sz w:val="24"/>
          <w:szCs w:val="24"/>
          <w:vertAlign w:val="superscript"/>
        </w:rPr>
        <w:footnoteReference w:id="121"/>
      </w:r>
      <w:r>
        <w:rPr>
          <w:rFonts w:ascii="Times New Roman" w:eastAsia="Times New Roman" w:hAnsi="Times New Roman" w:cs="Times New Roman"/>
          <w:sz w:val="24"/>
          <w:szCs w:val="24"/>
        </w:rPr>
        <w:t xml:space="preserve"> the Government trained officials on anti-trafficking laws, trafficking investigations, and prosecutions. Police continued to conduct anti-trafficking training for new recruits. NCPA began to train its staff on child trafficking using a tri-lingual training manual for law enforcement and child protection officers developed in collaboration with Save the Children and the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for the Study of Human Rights at the University of Colombo. Members of the NAHTTF - including the DOL, BOI, WCB, and other Ministries conducted numerous anti-trafficking training sessions for officials and CSOs. In response to increasing use of fake social media accounts and online platforms to fraudulently recruit victims, the NAHTTF provided training to the Telecommunications Regulatory Commission. Both the Department of Immigration and Emigration and the SLBFE have included modules on human trafficking into their curricula for their efficiency bar examinations for their staff. To strengthen the interviewing processes, the Guidelines for Law Enforcement Officials on Interviewing Victims of Child Trafficking was developed and approved for publication by the NCPA on 22 October 2020. A series of TOT programmes were conducted and printed copies were disseminated among the participants of the training programmes, and institutions such as DPCCS, NCPA and Children and </w:t>
      </w:r>
      <w:r>
        <w:rPr>
          <w:rFonts w:ascii="Times New Roman" w:eastAsia="Times New Roman" w:hAnsi="Times New Roman" w:cs="Times New Roman"/>
          <w:sz w:val="24"/>
          <w:szCs w:val="24"/>
        </w:rPr>
        <w:lastRenderedPageBreak/>
        <w:t>Women’s Bureau. The Ministry of Public Security together with Save the Children, in collaboration with INTERPOL, is in the process of developing SOPs for the detection, investigation and prosecution of trafficking related organised crimes against children.</w:t>
      </w:r>
    </w:p>
    <w:p w14:paraId="0000032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6"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Cooperation with Neighbouring Countries and NGOs</w:t>
      </w:r>
    </w:p>
    <w:p w14:paraId="0000032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Several initiatives have been undertaken by the Government both multilaterally and bilaterally. Sri Lanka signed the Bay of Bengal Initiative for Multi-Sectorial, Technical and Economic Cooperation (BIMSTEC) Convention on Mutual Legal Assistance in Criminal Matters on 30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2022 along with the other Member States of BIMSTEC in the region. The Convention covers improved effective cooperation, in relation to the prevention, investigation, prosecution and suppression of crimes including crimes relating to terrorism, transnational organized crime, drug trafficking, money laundering and cybercrime and the taking of measures to locate, restrain, forfeit, freeze or confiscate funds intended to be used for the financing of such crimes and of any proceeds of crime and instruments of crime. </w:t>
      </w:r>
    </w:p>
    <w:p w14:paraId="0000032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Extradition Law No. 8 of 1977</w:t>
      </w:r>
      <w:r>
        <w:rPr>
          <w:rFonts w:ascii="Times New Roman" w:eastAsia="Times New Roman" w:hAnsi="Times New Roman" w:cs="Times New Roman"/>
          <w:sz w:val="24"/>
          <w:szCs w:val="24"/>
          <w:vertAlign w:val="superscript"/>
        </w:rPr>
        <w:footnoteReference w:id="122"/>
      </w:r>
      <w:r>
        <w:rPr>
          <w:rFonts w:ascii="Times New Roman" w:eastAsia="Times New Roman" w:hAnsi="Times New Roman" w:cs="Times New Roman"/>
          <w:sz w:val="24"/>
          <w:szCs w:val="24"/>
        </w:rPr>
        <w:t xml:space="preserve"> provides for the extradition of fugitive persons to and from Commonwealth countries and foreign states and related matters. Gazette Extraordinary No. 2319/30 dated 14th February 2023 increased the number of Commonwealth countries to which the law is applicable.</w:t>
      </w:r>
      <w:r>
        <w:rPr>
          <w:rFonts w:ascii="Times New Roman" w:eastAsia="Times New Roman" w:hAnsi="Times New Roman" w:cs="Times New Roman"/>
          <w:sz w:val="24"/>
          <w:szCs w:val="24"/>
          <w:vertAlign w:val="superscript"/>
        </w:rPr>
        <w:footnoteReference w:id="123"/>
      </w:r>
    </w:p>
    <w:p w14:paraId="0000032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reporting period, Sri Lanka has begun the process of entering into several bilateral MOUs which cover issues relating to trafficking and cooperation between Sri Lanka and the relevant country, including with India, Pakistan, Bangladesh, and the Kingdom of Jordan. In 2022, the Parliament ratified an amendment to the Treaty on Extradition signed in 2014 between Sri Lanka and the United Arab Emirates with the intention of strengthening judicial cooperation in the field of extradition in line with the legal systems of both countries. Sri Lanka has cooperated with foreign counterparts in law enforcement regarding trafficking or suspected trafficking incidents including with Oman, Kuwait, Dubai, and Canada.</w:t>
      </w:r>
    </w:p>
    <w:p w14:paraId="0000032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2D"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terms of cooperation with NGOs, several initiatives have been undertaken, especially with IOM and Save the Children, as described in this section. </w:t>
      </w:r>
    </w:p>
    <w:p w14:paraId="0000032E" w14:textId="77777777" w:rsidR="00A3739D" w:rsidRDefault="00A3739D">
      <w:pPr>
        <w:spacing w:after="0" w:line="360" w:lineRule="auto"/>
        <w:ind w:right="909"/>
        <w:jc w:val="both"/>
        <w:rPr>
          <w:rFonts w:ascii="Times New Roman" w:eastAsia="Times New Roman" w:hAnsi="Times New Roman" w:cs="Times New Roman"/>
          <w:sz w:val="24"/>
          <w:szCs w:val="24"/>
        </w:rPr>
      </w:pPr>
    </w:p>
    <w:p w14:paraId="0000032F"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Physical and Psychological Recovery of Child Victims</w:t>
      </w:r>
    </w:p>
    <w:p w14:paraId="00000330"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of the nine objectives of the National Strategic Action Plan to Combat Human Trafficking is improving appropriate assistance to and protection of victims of human trafficking in a holistic and victim-centred approach and building institutional capacity of relevant stakeholders to be able to provide effective protection and assistance to victims of TIP.</w:t>
      </w:r>
      <w:r>
        <w:rPr>
          <w:rFonts w:ascii="Times New Roman" w:eastAsia="Times New Roman" w:hAnsi="Times New Roman" w:cs="Times New Roman"/>
          <w:sz w:val="24"/>
          <w:szCs w:val="24"/>
          <w:vertAlign w:val="superscript"/>
        </w:rPr>
        <w:footnoteReference w:id="124"/>
      </w:r>
    </w:p>
    <w:p w14:paraId="00000331"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32"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Guidance Note on the Identification, Protection, and Referral of Child Victims of Trafficking</w:t>
      </w:r>
      <w:r>
        <w:rPr>
          <w:rFonts w:ascii="Times New Roman" w:eastAsia="Times New Roman" w:hAnsi="Times New Roman" w:cs="Times New Roman"/>
          <w:sz w:val="24"/>
          <w:szCs w:val="24"/>
          <w:vertAlign w:val="superscript"/>
        </w:rPr>
        <w:footnoteReference w:id="125"/>
      </w:r>
      <w:r>
        <w:rPr>
          <w:rFonts w:ascii="Times New Roman" w:eastAsia="Times New Roman" w:hAnsi="Times New Roman" w:cs="Times New Roman"/>
          <w:sz w:val="24"/>
          <w:szCs w:val="24"/>
        </w:rPr>
        <w:t xml:space="preserve"> was developed in cooperation with Save the Children and IOM and is aimed at ensuring that the principles and guidelines on child protection are adhered to and specific steps are taken by all stakeholders with regard to child victims of trafficking. The physical and psychological needs of the child victim takes centre stage throughout the process, including during the initial screening (where psychological first aid takes precedence), the examination by the Judicial Medical Officer, the Clinical Case Conference, and the Institutional Case Conference. 15 training programmes on the Guidance Note held in Gampaha, Colombo, Kalutara, Badulla and Galle districts for 252 female and 89 male officials have indicated a 63% increase in understanding and capacity of identification, protection and referral of child victims of trafficking. The comprehensive roll out of the Guidance Note and attendant training is ongoing. </w:t>
      </w:r>
    </w:p>
    <w:p w14:paraId="00000333"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3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IMPACT project, designed by IOM in consultation with the NAHTTF and launched in July 2022, four CSOs (AMCOR, Sarvodaya, Save the Children, OECRP) established Community Watch Groups (CWG) at district and divisional level to enhance victim identification and referrals along with district anti trafficking forums functioning in each district, and actively engaging in identifying and assisting victims of trafficking.</w:t>
      </w:r>
      <w:r>
        <w:rPr>
          <w:rFonts w:ascii="Times New Roman" w:eastAsia="Times New Roman" w:hAnsi="Times New Roman" w:cs="Times New Roman"/>
          <w:sz w:val="24"/>
          <w:szCs w:val="24"/>
          <w:vertAlign w:val="superscript"/>
        </w:rPr>
        <w:footnoteReference w:id="126"/>
      </w:r>
    </w:p>
    <w:p w14:paraId="0000033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36"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 Section 3(d) of the Assistance to and the Protection of Victims of Crime and Witnesses Act No.10 of 2023 guarantees to a victim of crime (inclusive of a child victim) the right ‘to be treated for any physical, psychological, emotional or mental harm, including impairment or disability, suffered as a victim of crime’. Section 7 (2) of the same Act also entitles a victim of crime to request and receive from the State any medical treatment or psychological assistance.</w:t>
      </w:r>
    </w:p>
    <w:p w14:paraId="00000337"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38" w14:textId="77777777" w:rsidR="00A3739D" w:rsidRDefault="008D1A07">
      <w:pPr>
        <w:pStyle w:val="Heading2"/>
      </w:pPr>
      <w:bookmarkStart w:id="115" w:name="_heading=h.vsqenpgr44vx" w:colFirst="0" w:colLast="0"/>
      <w:bookmarkEnd w:id="115"/>
      <w:r>
        <w:t>Administration of juvenile justice</w:t>
      </w:r>
    </w:p>
    <w:p w14:paraId="00000339" w14:textId="77777777" w:rsidR="00A3739D" w:rsidRDefault="00A3739D"/>
    <w:p w14:paraId="0000033A" w14:textId="77777777" w:rsidR="00A3739D" w:rsidRDefault="008D1A07">
      <w:pPr>
        <w:pStyle w:val="Heading2"/>
        <w:rPr>
          <w:b w:val="0"/>
        </w:rPr>
      </w:pPr>
      <w:r>
        <w:rPr>
          <w:b w:val="0"/>
          <w:i/>
        </w:rPr>
        <w:t>Raising the Minimum Age of Criminal Responsibility</w:t>
      </w:r>
    </w:p>
    <w:p w14:paraId="0000033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age of criminal responsibility was raised from 8 years to 12 years in 2018 by Penal Code (Amendment) Act, No. 10 of 2018.</w:t>
      </w:r>
      <w:r>
        <w:rPr>
          <w:rFonts w:ascii="Times New Roman" w:eastAsia="Times New Roman" w:hAnsi="Times New Roman" w:cs="Times New Roman"/>
          <w:sz w:val="24"/>
          <w:szCs w:val="24"/>
          <w:vertAlign w:val="superscript"/>
        </w:rPr>
        <w:footnoteReference w:id="127"/>
      </w:r>
      <w:r>
        <w:rPr>
          <w:rFonts w:ascii="Times New Roman" w:eastAsia="Times New Roman" w:hAnsi="Times New Roman" w:cs="Times New Roman"/>
          <w:sz w:val="24"/>
          <w:szCs w:val="24"/>
        </w:rPr>
        <w:t xml:space="preserve"> With regard to a child between the ages of 12-14 years the trial judge is conferred with discretion to decide whether the child has the required degree of cognitive maturity to form the requisite </w:t>
      </w:r>
      <w:proofErr w:type="spellStart"/>
      <w:r>
        <w:rPr>
          <w:rFonts w:ascii="Times New Roman" w:eastAsia="Times New Roman" w:hAnsi="Times New Roman" w:cs="Times New Roman"/>
          <w:i/>
          <w:sz w:val="24"/>
          <w:szCs w:val="24"/>
        </w:rPr>
        <w:t>mens</w:t>
      </w:r>
      <w:proofErr w:type="spellEnd"/>
      <w:r>
        <w:rPr>
          <w:rFonts w:ascii="Times New Roman" w:eastAsia="Times New Roman" w:hAnsi="Times New Roman" w:cs="Times New Roman"/>
          <w:i/>
          <w:sz w:val="24"/>
          <w:szCs w:val="24"/>
        </w:rPr>
        <w:t xml:space="preserve"> rea</w:t>
      </w:r>
      <w:r>
        <w:rPr>
          <w:rFonts w:ascii="Times New Roman" w:eastAsia="Times New Roman" w:hAnsi="Times New Roman" w:cs="Times New Roman"/>
          <w:sz w:val="24"/>
          <w:szCs w:val="24"/>
        </w:rPr>
        <w:t xml:space="preserve"> or intent for the crime. </w:t>
      </w:r>
    </w:p>
    <w:p w14:paraId="0000033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shd w:val="clear" w:color="auto" w:fill="B4A7D6"/>
        </w:rPr>
      </w:pPr>
    </w:p>
    <w:p w14:paraId="0000033D" w14:textId="77777777" w:rsidR="00A3739D" w:rsidRDefault="008D1A07">
      <w:pPr>
        <w:spacing w:after="0" w:line="360" w:lineRule="auto"/>
        <w:ind w:right="9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Specialized Facilities for Juvenile Cases</w:t>
      </w:r>
    </w:p>
    <w:p w14:paraId="0000033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Section 2 of the CYPO provides for juvenile courts presided over by a Children’s Magistrate and sitting separately from other courts. Currently such courts or annexures are available in Colombo, Jaffna, Anuradhapura, Monaragala, Puttalam and Mannar districts and a child friendly court is under construction in the Ampara District. The CYPO also prohibits children being present in the court during the trial of other persons and requires “separation of children and young offenders from adults in police stations, courts etc.” The Judicial Services Commission Circular No. 400 directs all Magistrates to take all cases involving children in judges’ chambers or in camera and to conclude such cases as a matter of priority. With respect to the child offenders, the implementation of the Circular needs further strengthening.</w:t>
      </w:r>
    </w:p>
    <w:p w14:paraId="0000033F"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40" w14:textId="77777777" w:rsidR="00A3739D" w:rsidRDefault="008D1A07">
      <w:pPr>
        <w:spacing w:after="0" w:line="360" w:lineRule="auto"/>
        <w:ind w:right="909"/>
        <w:jc w:val="both"/>
        <w:rPr>
          <w:rFonts w:ascii="Times New Roman" w:eastAsia="Times New Roman" w:hAnsi="Times New Roman" w:cs="Times New Roman"/>
          <w:b/>
          <w:i/>
          <w:sz w:val="24"/>
          <w:szCs w:val="24"/>
          <w:shd w:val="clear" w:color="auto" w:fill="B4A7D6"/>
        </w:rPr>
      </w:pPr>
      <w:r>
        <w:rPr>
          <w:rFonts w:ascii="Times New Roman" w:eastAsia="Times New Roman" w:hAnsi="Times New Roman" w:cs="Times New Roman"/>
          <w:i/>
          <w:sz w:val="24"/>
          <w:szCs w:val="24"/>
        </w:rPr>
        <w:t>Legal Aid</w:t>
      </w:r>
    </w:p>
    <w:p w14:paraId="00000341" w14:textId="77777777" w:rsidR="00A3739D" w:rsidRDefault="008D1A07">
      <w:pPr>
        <w:numPr>
          <w:ilvl w:val="0"/>
          <w:numId w:val="1"/>
        </w:numP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in cases where it is deemed necessary, child offenders are referred for help to the Legal Aid Commission. The criterion to provide legal aid to persons who need support included the certification from the </w:t>
      </w:r>
      <w:proofErr w:type="spellStart"/>
      <w:r>
        <w:rPr>
          <w:rFonts w:ascii="Times New Roman" w:eastAsia="Times New Roman" w:hAnsi="Times New Roman" w:cs="Times New Roman"/>
          <w:sz w:val="24"/>
          <w:szCs w:val="24"/>
        </w:rPr>
        <w:t>GramasevaNiladhari</w:t>
      </w:r>
      <w:proofErr w:type="spellEnd"/>
      <w:r>
        <w:rPr>
          <w:rFonts w:ascii="Times New Roman" w:eastAsia="Times New Roman" w:hAnsi="Times New Roman" w:cs="Times New Roman"/>
          <w:sz w:val="24"/>
          <w:szCs w:val="24"/>
        </w:rPr>
        <w:t xml:space="preserve"> that the particular person has an income less than Rs. 40,000 per month. A policy decision was made to ignore these </w:t>
      </w:r>
      <w:r>
        <w:rPr>
          <w:rFonts w:ascii="Times New Roman" w:eastAsia="Times New Roman" w:hAnsi="Times New Roman" w:cs="Times New Roman"/>
          <w:sz w:val="24"/>
          <w:szCs w:val="24"/>
        </w:rPr>
        <w:lastRenderedPageBreak/>
        <w:t xml:space="preserve">criteria for women and children who are victims of domestic violence, people with disabilities and women who have applied for maintenance for their children. LAC also has a policy decision which was made in 2018/2019 to provide legal aid to persons of different genders and sexual orientations as well as sex workers without any discrimination. </w:t>
      </w:r>
    </w:p>
    <w:p w14:paraId="00000342"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43" w14:textId="77777777" w:rsidR="00A3739D" w:rsidRDefault="008D1A07">
      <w:pPr>
        <w:spacing w:after="0" w:line="360" w:lineRule="auto"/>
        <w:ind w:right="909"/>
        <w:jc w:val="both"/>
        <w:rPr>
          <w:rFonts w:ascii="Times New Roman" w:eastAsia="Times New Roman" w:hAnsi="Times New Roman" w:cs="Times New Roman"/>
          <w:b/>
          <w:sz w:val="24"/>
          <w:szCs w:val="24"/>
          <w:shd w:val="clear" w:color="auto" w:fill="B4A7D6"/>
        </w:rPr>
      </w:pPr>
      <w:r>
        <w:rPr>
          <w:rFonts w:ascii="Times New Roman" w:eastAsia="Times New Roman" w:hAnsi="Times New Roman" w:cs="Times New Roman"/>
          <w:i/>
          <w:sz w:val="24"/>
          <w:szCs w:val="24"/>
        </w:rPr>
        <w:t>Non-Judicial Measures and Alternative Measures at Sentencing</w:t>
      </w:r>
    </w:p>
    <w:p w14:paraId="0000034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non-judicial measures, currently, for petty offences that are not settled amicably, the police refer the case to mediation under the Mediation Board Act. When the offender is under the age of 18, the Mediation Board (Amendment) Act No 2 of 2024, section 4 increases the property value from Rs 5 000.00 to Rs 100 000.00 with regard to cases which can be referred to mediation Division by the police is formalised in the draft Child Protection and Justice Bill. DPCCS has conducted training programmes around the country on the proper use of the provisions of the Mediation Board Act and CYPO, and possible actions to divert child suspects away from the juvenile justice system. The JSC and the Judges Training Institute too have introduced training courses on referring children accused of offences to non-judicial measures.</w:t>
      </w:r>
    </w:p>
    <w:p w14:paraId="0000034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46"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Detention only as a Last Resort</w:t>
      </w:r>
    </w:p>
    <w:p w14:paraId="0000034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Supreme Court has recently stated that children, because they are vulnerable to exploitation and abuse of power, must in particular be guaranteed the right to liberty. Guidelines were laid down for law enforcement officers including ensuring that detention or imprisonment of children be an extreme measure of last resort, and that detention be for the shortest possible time.</w:t>
      </w:r>
      <w:r>
        <w:rPr>
          <w:rFonts w:ascii="Times New Roman" w:eastAsia="Times New Roman" w:hAnsi="Times New Roman" w:cs="Times New Roman"/>
          <w:sz w:val="24"/>
          <w:szCs w:val="24"/>
          <w:vertAlign w:val="superscript"/>
        </w:rPr>
        <w:footnoteReference w:id="128"/>
      </w:r>
    </w:p>
    <w:p w14:paraId="0000034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vertAlign w:val="superscript"/>
        </w:rPr>
      </w:pPr>
    </w:p>
    <w:p w14:paraId="00000349"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CYPO states that once a parent or guardian is notified and arrives at the police station, the child is required to be enlarged on bail, except under certain limited circumstances. In 2023, 700 police officers attached to the WCDs in all 9 Provinces as well as all Probation Officers underwent training on the fact that, under the CYPO, the police are entitled to give bail for any offence. In practice, children are not held within police stations for extended periods prior to a case being instituted in Court. </w:t>
      </w:r>
    </w:p>
    <w:p w14:paraId="0000034A"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4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Upon conviction, statistics from 2020 show that orders involving detention were handed down to child offenders in only about 2% of cases; 1093 children were put on probation and 2263 children were warned and discharged, granted bail, conditionally discharged, handed over to parent/guardian or another suitable person, or their parents were ordered to pay a fine. In 2022, the Sri Lanka Judges’ Training Institute conducted a judicial induction programme on the CYPO and three residential workshops were conducted for judges on remedial and preventive measures to reduce prison overcrowding with a special focus on sentencing juvenile offenders. A workshop on juvenile justice is also planned for Magistrates and District Court judges.</w:t>
      </w:r>
      <w:r>
        <w:rPr>
          <w:rFonts w:ascii="Times New Roman" w:eastAsia="Times New Roman" w:hAnsi="Times New Roman" w:cs="Times New Roman"/>
          <w:sz w:val="24"/>
          <w:szCs w:val="24"/>
          <w:vertAlign w:val="superscript"/>
        </w:rPr>
        <w:footnoteReference w:id="129"/>
      </w:r>
    </w:p>
    <w:p w14:paraId="0000034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4D"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Detention and Transportation Separate from Adult Offenders</w:t>
      </w:r>
    </w:p>
    <w:p w14:paraId="0000034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Provincial Probation Departments often transport children to and from courts in their department vehicles and have a separate budget allocation for this purpose. Provincial Departments are in the process of developing a separate child friendly transportation system for children. </w:t>
      </w:r>
    </w:p>
    <w:p w14:paraId="0000034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50" w14:textId="77777777" w:rsidR="00A3739D" w:rsidRDefault="008D1A07">
      <w:pPr>
        <w:pStyle w:val="Heading2"/>
      </w:pPr>
      <w:bookmarkStart w:id="116" w:name="_heading=h.yrx84o3579v" w:colFirst="0" w:colLast="0"/>
      <w:bookmarkEnd w:id="116"/>
      <w:r>
        <w:t>Reconciliation, truth and justice (paragraph 47)</w:t>
      </w:r>
    </w:p>
    <w:p w14:paraId="00000351" w14:textId="77777777" w:rsidR="00A3739D" w:rsidRDefault="00A3739D">
      <w:pPr>
        <w:spacing w:after="0" w:line="360" w:lineRule="auto"/>
        <w:ind w:right="909"/>
        <w:rPr>
          <w:rFonts w:ascii="Times New Roman" w:eastAsia="Times New Roman" w:hAnsi="Times New Roman" w:cs="Times New Roman"/>
          <w:sz w:val="24"/>
          <w:szCs w:val="24"/>
        </w:rPr>
      </w:pPr>
    </w:p>
    <w:p w14:paraId="00000352"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Office on Missing Persons</w:t>
      </w:r>
    </w:p>
    <w:p w14:paraId="00000353" w14:textId="77777777" w:rsidR="00A3739D" w:rsidRDefault="008D1A07">
      <w:pPr>
        <w:numPr>
          <w:ilvl w:val="0"/>
          <w:numId w:val="1"/>
        </w:numPr>
        <w:pBdr>
          <w:top w:val="nil"/>
          <w:left w:val="nil"/>
          <w:bottom w:val="nil"/>
          <w:right w:val="nil"/>
          <w:between w:val="nil"/>
        </w:pBdr>
        <w:spacing w:after="0" w:line="360" w:lineRule="auto"/>
        <w:ind w:left="9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Office on Missing Persons (OMP) has gained significant public trust, with more than 650 unreported complaints received from the applicants directly through regional offices. By 29.06.2025, it had facilitated 6,449 complainants to appear before inquiry panels and successfully traced 20 missing persons. The OMP referred 2,700 families for Certificates of Absence and 450 for Certificates of Death, while 4,611 families were directed to the Office for Reparations for Family Revival Payments. The OMP collaborates with the International Committee of the Red Cross (ICRC), receiving legal and forensic expertise, and with various international and local organizations for technical support and training. The office continuously follows investigations and court cases, supporting families as needed. It has been involved in representing or witnessing court cases, including monitoring the progress of Habeas Corpus cases.</w:t>
      </w:r>
    </w:p>
    <w:p w14:paraId="00000354"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5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OMP ensures the accessibility of investigation results to the public, particularly victims’ families, while maintaining security and privacy. It has developed a protection strategy, code of conduct, and internal complaint mechanism, and plans to establish communication channels for inquiries and information provision.</w:t>
      </w:r>
    </w:p>
    <w:p w14:paraId="0000035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57"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OMP’s mandate includes searching for missing people and clarifying their circumstances, with powers to receive information, apply for court observations during excavations, and make recommendations on handling human remains. The OMP assists in legal proceedings, maintains follow-ups, trains staff, and engages with various bodies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its mandate. It has observed investigations into missing graves including </w:t>
      </w:r>
      <w:proofErr w:type="spellStart"/>
      <w:r>
        <w:rPr>
          <w:rFonts w:ascii="Times New Roman" w:eastAsia="Times New Roman" w:hAnsi="Times New Roman" w:cs="Times New Roman"/>
          <w:sz w:val="24"/>
          <w:szCs w:val="24"/>
        </w:rPr>
        <w:t>Kokuthoduvai</w:t>
      </w:r>
      <w:proofErr w:type="spellEnd"/>
      <w:r>
        <w:rPr>
          <w:rFonts w:ascii="Times New Roman" w:eastAsia="Times New Roman" w:hAnsi="Times New Roman" w:cs="Times New Roman"/>
          <w:sz w:val="24"/>
          <w:szCs w:val="24"/>
        </w:rPr>
        <w:t xml:space="preserve">, Mannar, Batticaloa, </w:t>
      </w:r>
      <w:proofErr w:type="spellStart"/>
      <w:r>
        <w:rPr>
          <w:rFonts w:ascii="Times New Roman" w:eastAsia="Times New Roman" w:hAnsi="Times New Roman" w:cs="Times New Roman"/>
          <w:sz w:val="24"/>
          <w:szCs w:val="24"/>
        </w:rPr>
        <w:t>Mullaithevu</w:t>
      </w:r>
      <w:proofErr w:type="spellEnd"/>
      <w:r>
        <w:rPr>
          <w:rFonts w:ascii="Times New Roman" w:eastAsia="Times New Roman" w:hAnsi="Times New Roman" w:cs="Times New Roman"/>
          <w:sz w:val="24"/>
          <w:szCs w:val="24"/>
        </w:rPr>
        <w:t xml:space="preserve">, Colombo Port City and Chemmani mass graves, ensuring the preservation, exhumation, and identification of remains according to international standards. For this, the OMP developed guidelines on searching, case management, and tracing. </w:t>
      </w:r>
    </w:p>
    <w:p w14:paraId="00000358"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highlight w:val="yellow"/>
        </w:rPr>
      </w:pPr>
    </w:p>
    <w:p w14:paraId="00000359" w14:textId="77777777" w:rsidR="00A3739D" w:rsidRDefault="008D1A07">
      <w:pPr>
        <w:pStyle w:val="Heading1"/>
        <w:ind w:left="0" w:right="909" w:firstLine="0"/>
      </w:pPr>
      <w:bookmarkStart w:id="117" w:name="_heading=h.b8q9o7z2y7hc" w:colFirst="0" w:colLast="0"/>
      <w:bookmarkEnd w:id="117"/>
      <w:r>
        <w:t>Follow-up to the Committee’s previous concluding observations and recommendations on the Optional Protocol on the involvement of children in armed conflict (paragraph 49)</w:t>
      </w:r>
    </w:p>
    <w:p w14:paraId="0000035A"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5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Not Prosecuting Child Combatants</w:t>
      </w:r>
    </w:p>
    <w:p w14:paraId="0000035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Sri Lanka has not prosecuted any children who were involved in the armed conflict and Gazette 1580/5 (2008) formalises a commitment to rehabilitate all ex-child combatants.</w:t>
      </w:r>
      <w:r>
        <w:rPr>
          <w:rFonts w:ascii="Times New Roman" w:eastAsia="Times New Roman" w:hAnsi="Times New Roman" w:cs="Times New Roman"/>
          <w:sz w:val="24"/>
          <w:szCs w:val="24"/>
          <w:vertAlign w:val="superscript"/>
        </w:rPr>
        <w:footnoteReference w:id="130"/>
      </w:r>
    </w:p>
    <w:p w14:paraId="0000035D"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5E"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Psychological Support for Former Child Combatants</w:t>
      </w:r>
    </w:p>
    <w:p w14:paraId="0000035F"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Bureau of Rehabilitation rehabilitated a total of 594 ex child combatants who had surrendered in 2009. The rehabilitation process involved providing them with psychosocial support together with education, catch-up education in order to sit for the public exams, and vocational training. By 2013, all the children were released back into the community.</w:t>
      </w:r>
    </w:p>
    <w:p w14:paraId="00000360"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61" w14:textId="77777777" w:rsidR="00A3739D" w:rsidRDefault="008D1A07">
      <w:pPr>
        <w:pStyle w:val="Heading1"/>
        <w:ind w:left="0" w:right="909" w:firstLine="0"/>
      </w:pPr>
      <w:bookmarkStart w:id="118" w:name="_heading=h.ynt5fw3mlfxi" w:colFirst="0" w:colLast="0"/>
      <w:bookmarkEnd w:id="118"/>
      <w:r>
        <w:lastRenderedPageBreak/>
        <w:t>Concluding observations issued on 3rd July 2019 (CRC/C/OPSC/LKA/CO/1) on the report submitted by Sri Lanka under article 12 (1) of the Optional Protocol to the Convention on the Rights of the Child on the sale of children, child prostitution and child pornography</w:t>
      </w:r>
    </w:p>
    <w:p w14:paraId="00000362" w14:textId="77777777" w:rsidR="00A3739D" w:rsidRDefault="00A3739D">
      <w:pPr>
        <w:spacing w:after="0" w:line="360" w:lineRule="auto"/>
        <w:ind w:right="909"/>
        <w:rPr>
          <w:rFonts w:ascii="Times New Roman" w:eastAsia="Times New Roman" w:hAnsi="Times New Roman" w:cs="Times New Roman"/>
          <w:sz w:val="24"/>
          <w:szCs w:val="24"/>
        </w:rPr>
      </w:pPr>
    </w:p>
    <w:p w14:paraId="00000363"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Strengthening the NCPA (paragraphs 13 and 14)</w:t>
      </w:r>
    </w:p>
    <w:p w14:paraId="00000364"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NCPA has received a consistent budget allocation throughout the reporting period.</w:t>
      </w:r>
    </w:p>
    <w:p w14:paraId="00000365"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66" w14:textId="77777777" w:rsidR="00A3739D" w:rsidRDefault="008D1A07">
      <w:pPr>
        <w:pStyle w:val="Heading2"/>
      </w:pPr>
      <w:bookmarkStart w:id="119" w:name="_heading=h.a7qxfp78zu7b" w:colFirst="0" w:colLast="0"/>
      <w:bookmarkEnd w:id="119"/>
      <w:r>
        <w:t>Prevention of the sale of children, child prostitution and child pornography (art. 9 (1) and (2))</w:t>
      </w:r>
    </w:p>
    <w:p w14:paraId="00000367"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Measures adopted to prevent offences prohibited under the Protocol (paragraphs 19-20)</w:t>
      </w:r>
    </w:p>
    <w:p w14:paraId="0000036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simplified version of the Optional Protocol was published by the DPCCS in 2021 in all three languages with the aim of raising awareness as well as of empowering children to protect themselves. Please also see paragraphs 10, 82-86, 91 - 93, 119-127, 129 - 133, 145-147, 234 - 244 above.</w:t>
      </w:r>
    </w:p>
    <w:p w14:paraId="00000369" w14:textId="77777777" w:rsidR="00A3739D" w:rsidRDefault="00A3739D">
      <w:pPr>
        <w:spacing w:after="0" w:line="360" w:lineRule="auto"/>
        <w:ind w:right="909"/>
        <w:jc w:val="both"/>
        <w:rPr>
          <w:rFonts w:ascii="Times New Roman" w:eastAsia="Times New Roman" w:hAnsi="Times New Roman" w:cs="Times New Roman"/>
          <w:i/>
          <w:sz w:val="24"/>
          <w:szCs w:val="24"/>
        </w:rPr>
      </w:pPr>
    </w:p>
    <w:p w14:paraId="0000036A"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Child Marriage (paragraphs 21-22)</w:t>
      </w:r>
    </w:p>
    <w:p w14:paraId="0000036B"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paragraphs 10, 91 - 93, 145 above.</w:t>
      </w:r>
    </w:p>
    <w:p w14:paraId="0000036C"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6D" w14:textId="77777777" w:rsidR="00A3739D" w:rsidRDefault="008D1A07">
      <w:pPr>
        <w:spacing w:after="0" w:line="360" w:lineRule="auto"/>
        <w:ind w:right="909"/>
        <w:jc w:val="both"/>
        <w:rPr>
          <w:rFonts w:ascii="Times New Roman" w:eastAsia="Times New Roman" w:hAnsi="Times New Roman" w:cs="Times New Roman"/>
          <w:i/>
          <w:sz w:val="24"/>
          <w:szCs w:val="24"/>
        </w:rPr>
      </w:pPr>
      <w:bookmarkStart w:id="120" w:name="_heading=h.17dp8vu" w:colFirst="0" w:colLast="0"/>
      <w:bookmarkEnd w:id="120"/>
      <w:r>
        <w:rPr>
          <w:rFonts w:ascii="Times New Roman" w:eastAsia="Times New Roman" w:hAnsi="Times New Roman" w:cs="Times New Roman"/>
          <w:i/>
          <w:sz w:val="24"/>
          <w:szCs w:val="24"/>
        </w:rPr>
        <w:t>Sexual exploitation of children in travel and tourism (paragraphs 23- 24)</w:t>
      </w:r>
    </w:p>
    <w:p w14:paraId="0000036E"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paragraphs 82-86 above.</w:t>
      </w:r>
    </w:p>
    <w:p w14:paraId="0000036F"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70"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Measures to prevent and address online child sexual exploitation and abuse (paragraphs 25- 26)</w:t>
      </w:r>
    </w:p>
    <w:p w14:paraId="00000371"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paragraphs 119 - 127 above.</w:t>
      </w:r>
    </w:p>
    <w:p w14:paraId="00000372" w14:textId="77777777" w:rsidR="00A3739D" w:rsidRDefault="00A3739D">
      <w:pPr>
        <w:spacing w:after="0" w:line="360" w:lineRule="auto"/>
        <w:ind w:right="909"/>
        <w:jc w:val="both"/>
        <w:rPr>
          <w:rFonts w:ascii="Times New Roman" w:eastAsia="Times New Roman" w:hAnsi="Times New Roman" w:cs="Times New Roman"/>
          <w:b/>
          <w:sz w:val="24"/>
          <w:szCs w:val="24"/>
        </w:rPr>
      </w:pPr>
    </w:p>
    <w:p w14:paraId="00000373" w14:textId="77777777" w:rsidR="00A3739D" w:rsidRDefault="008D1A07">
      <w:pPr>
        <w:pStyle w:val="Heading2"/>
      </w:pPr>
      <w:bookmarkStart w:id="121" w:name="_heading=h.64yfuu1v69z2" w:colFirst="0" w:colLast="0"/>
      <w:bookmarkEnd w:id="121"/>
      <w:r>
        <w:t>Prohibition of the sale of children, child pornography and child prostitution and related matters (arts. 3, 4 (2) and (3) and 5–7)</w:t>
      </w:r>
    </w:p>
    <w:p w14:paraId="00000374"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Criminal or penal laws and regulations in force (paragraphs 27 - 28)</w:t>
      </w:r>
    </w:p>
    <w:p w14:paraId="00000375"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paragraphs 119-127, 234 above.</w:t>
      </w:r>
    </w:p>
    <w:p w14:paraId="00000376"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77"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Impunity (paragraphs 29-30)</w:t>
      </w:r>
    </w:p>
    <w:p w14:paraId="00000378"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Please see paragraphs 234 – 244 above. </w:t>
      </w:r>
    </w:p>
    <w:p w14:paraId="00000379"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b/>
          <w:sz w:val="24"/>
          <w:szCs w:val="24"/>
        </w:rPr>
      </w:pPr>
    </w:p>
    <w:p w14:paraId="0000037A" w14:textId="77777777" w:rsidR="00A3739D" w:rsidRDefault="008D1A07">
      <w:pPr>
        <w:pStyle w:val="Heading2"/>
      </w:pPr>
      <w:bookmarkStart w:id="122" w:name="_heading=h.40epe9vjmiq3" w:colFirst="0" w:colLast="0"/>
      <w:bookmarkEnd w:id="122"/>
      <w:r>
        <w:t>Protection of the rights of child victims (arts. 8 and 9 (3) and (4))</w:t>
      </w:r>
    </w:p>
    <w:p w14:paraId="0000037B" w14:textId="77777777" w:rsidR="00A3739D" w:rsidRDefault="008D1A07">
      <w:pPr>
        <w:spacing w:after="0" w:line="360" w:lineRule="auto"/>
        <w:ind w:right="9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Helpline (paragraphs 41-42) </w:t>
      </w:r>
    </w:p>
    <w:p w14:paraId="0000037C" w14:textId="77777777" w:rsidR="00A3739D" w:rsidRDefault="008D1A07">
      <w:pPr>
        <w:numPr>
          <w:ilvl w:val="0"/>
          <w:numId w:val="1"/>
        </w:numPr>
        <w:pBdr>
          <w:top w:val="nil"/>
          <w:left w:val="nil"/>
          <w:bottom w:val="nil"/>
          <w:right w:val="nil"/>
          <w:between w:val="nil"/>
        </w:pBdr>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paragraph 118, 184 above</w:t>
      </w:r>
    </w:p>
    <w:p w14:paraId="0000037D" w14:textId="77777777" w:rsidR="00A3739D" w:rsidRDefault="00A3739D">
      <w:pPr>
        <w:pBdr>
          <w:top w:val="nil"/>
          <w:left w:val="nil"/>
          <w:bottom w:val="nil"/>
          <w:right w:val="nil"/>
          <w:between w:val="nil"/>
        </w:pBdr>
        <w:spacing w:after="0" w:line="360" w:lineRule="auto"/>
        <w:ind w:right="909"/>
        <w:jc w:val="both"/>
        <w:rPr>
          <w:rFonts w:ascii="Times New Roman" w:eastAsia="Times New Roman" w:hAnsi="Times New Roman" w:cs="Times New Roman"/>
          <w:sz w:val="24"/>
          <w:szCs w:val="24"/>
        </w:rPr>
      </w:pPr>
    </w:p>
    <w:p w14:paraId="0000037E" w14:textId="77777777" w:rsidR="00A3739D" w:rsidRDefault="008D1A07">
      <w:pPr>
        <w:pStyle w:val="Heading1"/>
        <w:ind w:left="0" w:right="909" w:firstLine="0"/>
      </w:pPr>
      <w:r>
        <w:t>IV.</w:t>
      </w:r>
      <w:r>
        <w:tab/>
        <w:t>Implementation and reporting</w:t>
      </w:r>
    </w:p>
    <w:p w14:paraId="0000037F" w14:textId="77777777" w:rsidR="00A3739D" w:rsidRDefault="008D1A07">
      <w:pPr>
        <w:pStyle w:val="Heading2"/>
        <w:numPr>
          <w:ilvl w:val="0"/>
          <w:numId w:val="3"/>
        </w:numPr>
        <w:ind w:left="360"/>
      </w:pPr>
      <w:bookmarkStart w:id="123" w:name="_heading=h.d97u161qcrp8" w:colFirst="0" w:colLast="0"/>
      <w:bookmarkEnd w:id="123"/>
      <w:r>
        <w:t>Follow-up and dissemination (paragraph 52)</w:t>
      </w:r>
    </w:p>
    <w:p w14:paraId="00000380" w14:textId="77777777" w:rsidR="00A3739D" w:rsidRDefault="008D1A07">
      <w:pPr>
        <w:numPr>
          <w:ilvl w:val="0"/>
          <w:numId w:val="1"/>
        </w:numPr>
        <w:tabs>
          <w:tab w:val="right" w:pos="851"/>
        </w:tabs>
        <w:spacing w:after="0" w:line="360" w:lineRule="auto"/>
        <w:ind w:left="0" w:right="9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Concluding Observations on the Fifth and Sixth Periodic Report were translated into Sinhala and Tamil and disseminated among all stakeholders working on children’s welfare, including field officers. </w:t>
      </w:r>
    </w:p>
    <w:p w14:paraId="00000381" w14:textId="77777777" w:rsidR="00A3739D" w:rsidRDefault="00A3739D">
      <w:pPr>
        <w:tabs>
          <w:tab w:val="right" w:pos="851"/>
        </w:tabs>
        <w:spacing w:after="0" w:line="360" w:lineRule="auto"/>
        <w:ind w:right="909"/>
        <w:jc w:val="both"/>
        <w:rPr>
          <w:rFonts w:ascii="Times New Roman" w:eastAsia="Times New Roman" w:hAnsi="Times New Roman" w:cs="Times New Roman"/>
          <w:sz w:val="24"/>
          <w:szCs w:val="24"/>
        </w:rPr>
      </w:pPr>
    </w:p>
    <w:p w14:paraId="00000382" w14:textId="77777777" w:rsidR="00A3739D" w:rsidRDefault="00A3739D">
      <w:pPr>
        <w:tabs>
          <w:tab w:val="right" w:pos="851"/>
        </w:tabs>
        <w:spacing w:after="0" w:line="360" w:lineRule="auto"/>
        <w:ind w:left="720" w:right="909"/>
        <w:jc w:val="both"/>
        <w:rPr>
          <w:rFonts w:ascii="Times New Roman" w:eastAsia="Times New Roman" w:hAnsi="Times New Roman" w:cs="Times New Roman"/>
          <w:sz w:val="24"/>
          <w:szCs w:val="24"/>
        </w:rPr>
      </w:pPr>
    </w:p>
    <w:sectPr w:rsidR="00A3739D">
      <w:headerReference w:type="default" r:id="rId8"/>
      <w:footerReference w:type="default" r:id="rId9"/>
      <w:pgSz w:w="11907" w:h="16839"/>
      <w:pgMar w:top="1440" w:right="720" w:bottom="1267"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3A952" w14:textId="77777777" w:rsidR="002B65AB" w:rsidRDefault="002B65AB">
      <w:pPr>
        <w:spacing w:after="0" w:line="240" w:lineRule="auto"/>
      </w:pPr>
      <w:r>
        <w:separator/>
      </w:r>
    </w:p>
  </w:endnote>
  <w:endnote w:type="continuationSeparator" w:id="0">
    <w:p w14:paraId="3B1A4EC8" w14:textId="77777777" w:rsidR="002B65AB" w:rsidRDefault="002B6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8" w14:textId="2329C786" w:rsidR="00A3739D" w:rsidRDefault="008D1A07">
    <w:pPr>
      <w:jc w:val="right"/>
    </w:pPr>
    <w:r>
      <w:fldChar w:fldCharType="begin"/>
    </w:r>
    <w:r>
      <w:instrText>PAGE</w:instrText>
    </w:r>
    <w:r>
      <w:fldChar w:fldCharType="separate"/>
    </w:r>
    <w:r w:rsidR="00D50C6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3EC3A" w14:textId="77777777" w:rsidR="002B65AB" w:rsidRDefault="002B65AB">
      <w:pPr>
        <w:spacing w:after="0" w:line="240" w:lineRule="auto"/>
      </w:pPr>
      <w:r>
        <w:separator/>
      </w:r>
    </w:p>
  </w:footnote>
  <w:footnote w:type="continuationSeparator" w:id="0">
    <w:p w14:paraId="6490D11D" w14:textId="77777777" w:rsidR="002B65AB" w:rsidRDefault="002B65AB">
      <w:pPr>
        <w:spacing w:after="0" w:line="240" w:lineRule="auto"/>
      </w:pPr>
      <w:r>
        <w:continuationSeparator/>
      </w:r>
    </w:p>
  </w:footnote>
  <w:footnote w:id="1">
    <w:p w14:paraId="00000383" w14:textId="77777777" w:rsidR="00A3739D" w:rsidRDefault="008D1A07">
      <w:pPr>
        <w:spacing w:after="0" w:line="240" w:lineRule="auto"/>
        <w:ind w:right="45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https://onlineexams.gov.lk/onlineapps/</w:t>
        </w:r>
      </w:hyperlink>
    </w:p>
  </w:footnote>
  <w:footnote w:id="2">
    <w:p w14:paraId="00000384" w14:textId="77777777" w:rsidR="00A3739D" w:rsidRDefault="008D1A07">
      <w:pPr>
        <w:spacing w:after="0" w:line="240" w:lineRule="auto"/>
        <w:ind w:right="45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https://moe.gov.lk/2020/11/</w:t>
        </w:r>
      </w:hyperlink>
      <w:r>
        <w:rPr>
          <w:rFonts w:ascii="Times New Roman" w:eastAsia="Times New Roman" w:hAnsi="Times New Roman" w:cs="Times New Roman"/>
          <w:sz w:val="20"/>
          <w:szCs w:val="20"/>
        </w:rPr>
        <w:t xml:space="preserve">, </w:t>
      </w:r>
    </w:p>
  </w:footnote>
  <w:footnote w:id="3">
    <w:p w14:paraId="00000385"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https://www.npp.lk/up/policies/en/npppolicystatement.pdf</w:t>
        </w:r>
      </w:hyperlink>
    </w:p>
  </w:footnote>
  <w:footnote w:id="4">
    <w:p w14:paraId="00000386"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https://pmd.gov.lk/news/world-childrens-day-2024/</w:t>
        </w:r>
      </w:hyperlink>
      <w:r>
        <w:rPr>
          <w:rFonts w:ascii="Times New Roman" w:eastAsia="Times New Roman" w:hAnsi="Times New Roman" w:cs="Times New Roman"/>
          <w:sz w:val="20"/>
          <w:szCs w:val="20"/>
        </w:rPr>
        <w:t xml:space="preserve"> </w:t>
      </w:r>
    </w:p>
  </w:footnote>
  <w:footnote w:id="5">
    <w:p w14:paraId="00000387"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https://www.legal-tools.org/doc/x3a0yc/pdf</w:t>
        </w:r>
      </w:hyperlink>
      <w:r>
        <w:rPr>
          <w:rFonts w:ascii="Times New Roman" w:eastAsia="Times New Roman" w:hAnsi="Times New Roman" w:cs="Times New Roman"/>
          <w:sz w:val="20"/>
          <w:szCs w:val="20"/>
        </w:rPr>
        <w:t xml:space="preserve">  </w:t>
      </w:r>
    </w:p>
  </w:footnote>
  <w:footnote w:id="6">
    <w:p w14:paraId="00000388"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https://www.parliament.lk/uploads/acts/gbills/english/6348.pdf</w:t>
        </w:r>
      </w:hyperlink>
    </w:p>
  </w:footnote>
  <w:footnote w:id="7">
    <w:p w14:paraId="00000389"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https://www.lawnet.gov.lk/marriage-and-divorce-kandyan-4/</w:t>
        </w:r>
      </w:hyperlink>
    </w:p>
  </w:footnote>
  <w:footnote w:id="8">
    <w:p w14:paraId="0000038A" w14:textId="77777777" w:rsidR="00A3739D" w:rsidRDefault="008D1A07">
      <w:pPr>
        <w:pBdr>
          <w:top w:val="nil"/>
          <w:left w:val="nil"/>
          <w:bottom w:val="nil"/>
          <w:right w:val="nil"/>
          <w:between w:val="nil"/>
        </w:pBdr>
        <w:tabs>
          <w:tab w:val="right" w:pos="1021"/>
        </w:tabs>
        <w:spacing w:after="0" w:line="220" w:lineRule="auto"/>
        <w:ind w:right="364"/>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1155CC"/>
            <w:sz w:val="20"/>
            <w:szCs w:val="20"/>
            <w:u w:val="single"/>
          </w:rPr>
          <w:t>http://www.lawnet.gov.lk/wp-content/uploads/2019/12/10-2018_E.pdf</w:t>
        </w:r>
      </w:hyperlink>
      <w:r>
        <w:rPr>
          <w:rFonts w:ascii="Times New Roman" w:eastAsia="Times New Roman" w:hAnsi="Times New Roman" w:cs="Times New Roman"/>
          <w:sz w:val="20"/>
          <w:szCs w:val="20"/>
        </w:rPr>
        <w:t xml:space="preserve"> </w:t>
      </w:r>
    </w:p>
  </w:footnote>
  <w:footnote w:id="9">
    <w:p w14:paraId="0000038B"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https://www.parliament.lk/uploads/acts/gbills/english/6227.pdf</w:t>
        </w:r>
      </w:hyperlink>
    </w:p>
  </w:footnote>
  <w:footnote w:id="10">
    <w:p w14:paraId="0000038C"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hyperlink r:id="rId10">
        <w:r>
          <w:rPr>
            <w:rFonts w:ascii="Times New Roman" w:eastAsia="Times New Roman" w:hAnsi="Times New Roman" w:cs="Times New Roman"/>
            <w:color w:val="0563C1"/>
            <w:sz w:val="20"/>
            <w:szCs w:val="20"/>
            <w:u w:val="single"/>
          </w:rPr>
          <w:t>https://www.parliament.lk/uploads/acts/gbills/english/6297.pdf</w:t>
        </w:r>
      </w:hyperlink>
    </w:p>
  </w:footnote>
  <w:footnote w:id="11">
    <w:p w14:paraId="0000038D" w14:textId="77777777" w:rsidR="00A3739D" w:rsidRDefault="008D1A07">
      <w:pPr>
        <w:spacing w:after="0"/>
        <w:ind w:right="540"/>
        <w:rPr>
          <w:rFonts w:ascii="Times New Roman" w:eastAsia="Times New Roman" w:hAnsi="Times New Roman" w:cs="Times New Roman"/>
          <w:sz w:val="20"/>
          <w:szCs w:val="20"/>
          <w:shd w:val="clear" w:color="auto" w:fill="B4A7D6"/>
        </w:rPr>
      </w:pPr>
      <w:r>
        <w:rPr>
          <w:rStyle w:val="FootnoteReference"/>
        </w:rPr>
        <w:footnoteRef/>
      </w:r>
      <w:hyperlink r:id="rId11">
        <w:r>
          <w:rPr>
            <w:rFonts w:ascii="Times New Roman" w:eastAsia="Times New Roman" w:hAnsi="Times New Roman" w:cs="Times New Roman"/>
            <w:color w:val="0563C1"/>
            <w:sz w:val="20"/>
            <w:szCs w:val="20"/>
            <w:u w:val="single"/>
          </w:rPr>
          <w:t>https://childprotection.gov.lk/images/pdfs/acts-guidelines/2020.12.31%20National%20Policy%20on%20Child%20Protection.pdf</w:t>
        </w:r>
      </w:hyperlink>
      <w:r>
        <w:rPr>
          <w:rFonts w:ascii="Times New Roman" w:eastAsia="Times New Roman" w:hAnsi="Times New Roman" w:cs="Times New Roman"/>
          <w:sz w:val="20"/>
          <w:szCs w:val="20"/>
        </w:rPr>
        <w:t xml:space="preserve"> </w:t>
      </w:r>
    </w:p>
  </w:footnote>
  <w:footnote w:id="12">
    <w:p w14:paraId="0000038E"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0563C1"/>
            <w:sz w:val="20"/>
            <w:szCs w:val="20"/>
            <w:u w:val="single"/>
          </w:rPr>
          <w:t>https://probation.gov.lk/documents/downloads/Draft%20Alternative%20Care%20Policy.pdf</w:t>
        </w:r>
      </w:hyperlink>
      <w:r>
        <w:rPr>
          <w:rFonts w:ascii="Times New Roman" w:eastAsia="Times New Roman" w:hAnsi="Times New Roman" w:cs="Times New Roman"/>
          <w:sz w:val="20"/>
          <w:szCs w:val="20"/>
        </w:rPr>
        <w:t xml:space="preserve"> </w:t>
      </w:r>
    </w:p>
  </w:footnote>
  <w:footnote w:id="13">
    <w:p w14:paraId="0000038F"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hyperlink r:id="rId13">
        <w:r>
          <w:rPr>
            <w:rFonts w:ascii="Times New Roman" w:eastAsia="Times New Roman" w:hAnsi="Times New Roman" w:cs="Times New Roman"/>
            <w:color w:val="0563C1"/>
            <w:sz w:val="20"/>
            <w:szCs w:val="20"/>
            <w:u w:val="single"/>
          </w:rPr>
          <w:t>https://childprotection.gov.lk/images/pdfs/acts-guidelines/Daycare%20Guide%20Line-Final-English-2019.11.04.pdf</w:t>
        </w:r>
      </w:hyperlink>
      <w:r>
        <w:rPr>
          <w:rFonts w:ascii="Times New Roman" w:eastAsia="Times New Roman" w:hAnsi="Times New Roman" w:cs="Times New Roman"/>
          <w:sz w:val="20"/>
          <w:szCs w:val="20"/>
        </w:rPr>
        <w:t xml:space="preserve">  </w:t>
      </w:r>
    </w:p>
  </w:footnote>
  <w:footnote w:id="14">
    <w:p w14:paraId="00000390"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hyperlink r:id="rId14">
        <w:r>
          <w:rPr>
            <w:rFonts w:ascii="Times New Roman" w:eastAsia="Times New Roman" w:hAnsi="Times New Roman" w:cs="Times New Roman"/>
            <w:color w:val="0563C1"/>
            <w:sz w:val="20"/>
            <w:szCs w:val="20"/>
            <w:u w:val="single"/>
          </w:rPr>
          <w:t>https://www.ilo.org/sites/default/files/wcmsp5/groups/public/@ed_norm/@ipec/documents/publication/wcms_717435.pdf</w:t>
        </w:r>
      </w:hyperlink>
    </w:p>
  </w:footnote>
  <w:footnote w:id="15">
    <w:p w14:paraId="00000391"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5">
        <w:r>
          <w:rPr>
            <w:rFonts w:ascii="Times New Roman" w:eastAsia="Times New Roman" w:hAnsi="Times New Roman" w:cs="Times New Roman"/>
            <w:color w:val="1155CC"/>
            <w:sz w:val="20"/>
            <w:szCs w:val="20"/>
            <w:u w:val="single"/>
          </w:rPr>
          <w:t>https://nahttf.gov.lk/download/National-Action-Plan-to-Combat-Human-Trafficking.pdf</w:t>
        </w:r>
      </w:hyperlink>
    </w:p>
  </w:footnote>
  <w:footnote w:id="16">
    <w:p w14:paraId="00000392"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https://www.defence.lk/Article/view_article/4718</w:t>
        </w:r>
      </w:hyperlink>
      <w:r>
        <w:rPr>
          <w:rFonts w:ascii="Times New Roman" w:eastAsia="Times New Roman" w:hAnsi="Times New Roman" w:cs="Times New Roman"/>
          <w:sz w:val="20"/>
          <w:szCs w:val="20"/>
        </w:rPr>
        <w:t xml:space="preserve"> </w:t>
      </w:r>
    </w:p>
  </w:footnote>
  <w:footnote w:id="17">
    <w:p w14:paraId="00000393"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See paragraph 235 - 245.</w:t>
      </w:r>
    </w:p>
  </w:footnote>
  <w:footnote w:id="18">
    <w:p w14:paraId="00000394"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7">
        <w:r>
          <w:rPr>
            <w:rFonts w:ascii="Times New Roman" w:eastAsia="Times New Roman" w:hAnsi="Times New Roman" w:cs="Times New Roman"/>
            <w:color w:val="1155CC"/>
            <w:sz w:val="20"/>
            <w:szCs w:val="20"/>
            <w:u w:val="single"/>
          </w:rPr>
          <w:t>https://srilanka.unfpa.org/sites/default/files/pub-pdf/sri_lanka_national_policy_gewe_english.pdf</w:t>
        </w:r>
      </w:hyperlink>
    </w:p>
  </w:footnote>
  <w:footnote w:id="19">
    <w:p w14:paraId="00000395" w14:textId="77777777" w:rsidR="00A3739D" w:rsidRDefault="008D1A07">
      <w:pPr>
        <w:spacing w:after="0" w:line="240" w:lineRule="auto"/>
        <w:ind w:right="45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https://moe.gov.lk/wp-content/uploads/2021/11/General-Education-Sector-Development-Plan-2021-2025-1.pdf</w:t>
        </w:r>
      </w:hyperlink>
      <w:r>
        <w:rPr>
          <w:rFonts w:ascii="Times New Roman" w:eastAsia="Times New Roman" w:hAnsi="Times New Roman" w:cs="Times New Roman"/>
          <w:sz w:val="20"/>
          <w:szCs w:val="20"/>
        </w:rPr>
        <w:t xml:space="preserve"> </w:t>
      </w:r>
    </w:p>
  </w:footnote>
  <w:footnote w:id="20">
    <w:p w14:paraId="00000396"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9">
        <w:r>
          <w:rPr>
            <w:rFonts w:ascii="Times New Roman" w:eastAsia="Times New Roman" w:hAnsi="Times New Roman" w:cs="Times New Roman"/>
            <w:color w:val="1155CC"/>
            <w:sz w:val="20"/>
            <w:szCs w:val="20"/>
            <w:u w:val="single"/>
          </w:rPr>
          <w:t>https://www.childsec.gov.lk/resources/105/English%20Policy%20Draft.pdf</w:t>
        </w:r>
      </w:hyperlink>
      <w:r>
        <w:rPr>
          <w:rFonts w:ascii="Times New Roman" w:eastAsia="Times New Roman" w:hAnsi="Times New Roman" w:cs="Times New Roman"/>
          <w:sz w:val="20"/>
          <w:szCs w:val="20"/>
        </w:rPr>
        <w:t xml:space="preserve"> </w:t>
      </w:r>
    </w:p>
  </w:footnote>
  <w:footnote w:id="21">
    <w:p w14:paraId="00000397"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hyperlink r:id="rId20">
        <w:r>
          <w:rPr>
            <w:rFonts w:ascii="Times New Roman" w:eastAsia="Times New Roman" w:hAnsi="Times New Roman" w:cs="Times New Roman"/>
            <w:color w:val="0563C1"/>
            <w:sz w:val="20"/>
            <w:szCs w:val="20"/>
            <w:u w:val="single"/>
          </w:rPr>
          <w:t>National Policy on Preschool Education (2019)</w:t>
        </w:r>
      </w:hyperlink>
    </w:p>
  </w:footnote>
  <w:footnote w:id="22">
    <w:p w14:paraId="00000398"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hyperlink r:id="rId21">
        <w:r>
          <w:rPr>
            <w:rFonts w:ascii="Times New Roman" w:eastAsia="Times New Roman" w:hAnsi="Times New Roman" w:cs="Times New Roman"/>
            <w:sz w:val="20"/>
            <w:szCs w:val="20"/>
          </w:rPr>
          <w:t xml:space="preserve">The Manual for </w:t>
        </w:r>
      </w:hyperlink>
      <w:r>
        <w:rPr>
          <w:rFonts w:ascii="Times New Roman" w:eastAsia="Times New Roman" w:hAnsi="Times New Roman" w:cs="Times New Roman"/>
          <w:sz w:val="20"/>
          <w:szCs w:val="20"/>
        </w:rPr>
        <w:t>Preschool Health Promotion Setting Development (2020), Ministry of Health - Sri Lanka.</w:t>
      </w:r>
    </w:p>
  </w:footnote>
  <w:footnote w:id="23">
    <w:p w14:paraId="00000399"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2">
        <w:r>
          <w:rPr>
            <w:rFonts w:ascii="Times New Roman" w:eastAsia="Times New Roman" w:hAnsi="Times New Roman" w:cs="Times New Roman"/>
            <w:color w:val="1155CC"/>
            <w:sz w:val="20"/>
            <w:szCs w:val="20"/>
            <w:u w:val="single"/>
          </w:rPr>
          <w:t>https://www.health.gov.lk/wp-content/uploads/2022/10/Health-Admin-HRH.pdf</w:t>
        </w:r>
      </w:hyperlink>
    </w:p>
  </w:footnote>
  <w:footnote w:id="24">
    <w:p w14:paraId="0000039A"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hyperlink r:id="rId23">
        <w:r>
          <w:rPr>
            <w:rFonts w:ascii="Times New Roman" w:eastAsia="Times New Roman" w:hAnsi="Times New Roman" w:cs="Times New Roman"/>
            <w:color w:val="0563C1"/>
            <w:sz w:val="20"/>
            <w:szCs w:val="20"/>
            <w:u w:val="single"/>
          </w:rPr>
          <w:t>https://srilanka.unfpa.org/sites/default/files/pub-pdf/Maternal%20%26%20Newborn%20Strat%20Plan%20-%20FINAL15-12-17%20%282%29.pdf</w:t>
        </w:r>
      </w:hyperlink>
    </w:p>
  </w:footnote>
  <w:footnote w:id="25">
    <w:p w14:paraId="0000039B"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4">
        <w:r>
          <w:rPr>
            <w:rFonts w:ascii="Times New Roman" w:eastAsia="Times New Roman" w:hAnsi="Times New Roman" w:cs="Times New Roman"/>
            <w:color w:val="0563C1"/>
            <w:sz w:val="20"/>
            <w:szCs w:val="20"/>
            <w:u w:val="single"/>
          </w:rPr>
          <w:t>https://platform.who.int/docs/default-source/mca-documents/policy-documents/plan-strategy/LKA-AD-17-01-PLAN-STRATEGY-2018-eng-Adolescent-and-Youth-Health-Strategic-Plan-2018-2025.pdf</w:t>
        </w:r>
      </w:hyperlink>
    </w:p>
  </w:footnote>
  <w:footnote w:id="26">
    <w:p w14:paraId="0000039C"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5">
        <w:r>
          <w:rPr>
            <w:rFonts w:ascii="Times New Roman" w:eastAsia="Times New Roman" w:hAnsi="Times New Roman" w:cs="Times New Roman"/>
            <w:color w:val="1155CC"/>
            <w:sz w:val="20"/>
            <w:szCs w:val="20"/>
            <w:u w:val="single"/>
          </w:rPr>
          <w:t>https://nutrition.health.gov.lk/english/resource/national-emergency-nutrition-plan-2022-2024/</w:t>
        </w:r>
      </w:hyperlink>
    </w:p>
  </w:footnote>
  <w:footnote w:id="27">
    <w:p w14:paraId="0000039D" w14:textId="77777777" w:rsidR="00A3739D" w:rsidRDefault="008D1A07">
      <w:pPr>
        <w:spacing w:after="0"/>
        <w:rPr>
          <w:rFonts w:ascii="Times New Roman" w:eastAsia="Times New Roman" w:hAnsi="Times New Roman" w:cs="Times New Roman"/>
          <w:sz w:val="20"/>
          <w:szCs w:val="20"/>
          <w:highlight w:val="magenta"/>
        </w:rPr>
      </w:pPr>
      <w:r>
        <w:rPr>
          <w:rStyle w:val="FootnoteReference"/>
        </w:rPr>
        <w:footnoteRef/>
      </w:r>
      <w:r>
        <w:rPr>
          <w:rFonts w:ascii="Times New Roman" w:eastAsia="Times New Roman" w:hAnsi="Times New Roman" w:cs="Times New Roman"/>
          <w:sz w:val="20"/>
          <w:szCs w:val="20"/>
        </w:rPr>
        <w:t>See paragraph 207.</w:t>
      </w:r>
    </w:p>
  </w:footnote>
  <w:footnote w:id="28">
    <w:p w14:paraId="0000039E"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6" w:anchor="page=101">
        <w:r>
          <w:rPr>
            <w:rFonts w:ascii="Times New Roman" w:eastAsia="Times New Roman" w:hAnsi="Times New Roman" w:cs="Times New Roman"/>
            <w:color w:val="1155CC"/>
            <w:sz w:val="20"/>
            <w:szCs w:val="20"/>
            <w:u w:val="single"/>
          </w:rPr>
          <w:t>https://www.parliament.lk/files/pdf/budget/2025/budget-speech-2025.pdf#page=101</w:t>
        </w:r>
      </w:hyperlink>
    </w:p>
  </w:footnote>
  <w:footnote w:id="29">
    <w:p w14:paraId="0000039F"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7">
        <w:r>
          <w:rPr>
            <w:rFonts w:ascii="Times New Roman" w:eastAsia="Times New Roman" w:hAnsi="Times New Roman" w:cs="Times New Roman"/>
            <w:color w:val="1155CC"/>
            <w:sz w:val="20"/>
            <w:szCs w:val="20"/>
            <w:u w:val="single"/>
          </w:rPr>
          <w:t>https://www.mohe.gov.lk/index.php?option=com_content&amp;view=article&amp;id=66&amp;Itemid=123&amp;lang=en</w:t>
        </w:r>
      </w:hyperlink>
    </w:p>
  </w:footnote>
  <w:footnote w:id="30">
    <w:p w14:paraId="000003A0" w14:textId="77777777" w:rsidR="00A3739D" w:rsidRDefault="008D1A07">
      <w:pPr>
        <w:pBdr>
          <w:top w:val="nil"/>
          <w:left w:val="nil"/>
          <w:bottom w:val="nil"/>
          <w:right w:val="nil"/>
          <w:between w:val="nil"/>
        </w:pBdr>
        <w:tabs>
          <w:tab w:val="right" w:pos="0"/>
        </w:tabs>
        <w:spacing w:after="0" w:line="220" w:lineRule="auto"/>
        <w:ind w:right="454"/>
        <w:rPr>
          <w:rFonts w:ascii="Times New Roman" w:eastAsia="Times New Roman" w:hAnsi="Times New Roman" w:cs="Times New Roman"/>
          <w:color w:val="000000"/>
          <w:sz w:val="20"/>
          <w:szCs w:val="20"/>
        </w:rPr>
      </w:pPr>
      <w:r>
        <w:rPr>
          <w:rStyle w:val="FootnoteReference"/>
        </w:rPr>
        <w:footnoteRef/>
      </w:r>
      <w:hyperlink r:id="rId28">
        <w:r>
          <w:rPr>
            <w:rFonts w:ascii="Times New Roman" w:eastAsia="Times New Roman" w:hAnsi="Times New Roman" w:cs="Times New Roman"/>
            <w:color w:val="0563C1"/>
            <w:sz w:val="20"/>
            <w:szCs w:val="20"/>
            <w:u w:val="single"/>
          </w:rPr>
          <w:t>https://www.parliament.lk/uploads/documents/paperspresented/1670907610094211.pdf</w:t>
        </w:r>
      </w:hyperlink>
    </w:p>
  </w:footnote>
  <w:footnote w:id="31">
    <w:p w14:paraId="000003A1" w14:textId="77777777" w:rsidR="00A3739D" w:rsidRDefault="008D1A07">
      <w:pPr>
        <w:pBdr>
          <w:top w:val="nil"/>
          <w:left w:val="nil"/>
          <w:bottom w:val="nil"/>
          <w:right w:val="nil"/>
          <w:between w:val="nil"/>
        </w:pBdr>
        <w:tabs>
          <w:tab w:val="right" w:pos="1021"/>
        </w:tabs>
        <w:spacing w:after="0" w:line="220" w:lineRule="auto"/>
        <w:ind w:right="45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sz w:val="20"/>
          <w:szCs w:val="20"/>
        </w:rPr>
        <w:t xml:space="preserve"> </w:t>
      </w:r>
      <w:hyperlink r:id="rId29">
        <w:r>
          <w:rPr>
            <w:rFonts w:ascii="Times New Roman" w:eastAsia="Times New Roman" w:hAnsi="Times New Roman" w:cs="Times New Roman"/>
            <w:color w:val="1155CC"/>
            <w:sz w:val="20"/>
            <w:szCs w:val="20"/>
            <w:u w:val="single"/>
          </w:rPr>
          <w:t>https://www.health.gov.lk/wp-content/uploads/2023/12/P-P-Report-2023-English_compressed.pdf</w:t>
        </w:r>
      </w:hyperlink>
    </w:p>
  </w:footnote>
  <w:footnote w:id="32">
    <w:p w14:paraId="000003A2"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0">
        <w:r>
          <w:rPr>
            <w:rFonts w:ascii="Times New Roman" w:eastAsia="Times New Roman" w:hAnsi="Times New Roman" w:cs="Times New Roman"/>
            <w:color w:val="1155CC"/>
            <w:sz w:val="20"/>
            <w:szCs w:val="20"/>
            <w:u w:val="single"/>
          </w:rPr>
          <w:t>https://moe.gov.lk/2024/03/vouchers-to-buy-sanitary-towels-for-girl-children-in-schools/</w:t>
        </w:r>
      </w:hyperlink>
      <w:r>
        <w:rPr>
          <w:rFonts w:ascii="Times New Roman" w:eastAsia="Times New Roman" w:hAnsi="Times New Roman" w:cs="Times New Roman"/>
          <w:sz w:val="20"/>
          <w:szCs w:val="20"/>
        </w:rPr>
        <w:t xml:space="preserve"> </w:t>
      </w:r>
    </w:p>
  </w:footnote>
  <w:footnote w:id="33">
    <w:p w14:paraId="000003A3" w14:textId="77777777" w:rsidR="00A3739D" w:rsidRDefault="008D1A07">
      <w:pPr>
        <w:spacing w:after="0" w:line="240" w:lineRule="auto"/>
        <w:ind w:right="45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1">
        <w:r>
          <w:rPr>
            <w:rFonts w:ascii="Times New Roman" w:eastAsia="Times New Roman" w:hAnsi="Times New Roman" w:cs="Times New Roman"/>
            <w:color w:val="1155CC"/>
            <w:sz w:val="20"/>
            <w:szCs w:val="20"/>
            <w:u w:val="single"/>
          </w:rPr>
          <w:t>https://moe.gov.lk/wp-content/uploads/2024/07/10/English_AnnualPerformanceReportMOE.pdf</w:t>
        </w:r>
      </w:hyperlink>
    </w:p>
  </w:footnote>
  <w:footnote w:id="34">
    <w:p w14:paraId="000003A4"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Statistics collected by the NCPA are available at </w:t>
      </w:r>
      <w:hyperlink r:id="rId32">
        <w:r>
          <w:rPr>
            <w:rFonts w:ascii="Times New Roman" w:eastAsia="Times New Roman" w:hAnsi="Times New Roman" w:cs="Times New Roman"/>
            <w:color w:val="0563C1"/>
            <w:sz w:val="20"/>
            <w:szCs w:val="20"/>
            <w:u w:val="single"/>
          </w:rPr>
          <w:t>https://childprotection.gov.lk/en/resource-centre/statistics-3</w:t>
        </w:r>
      </w:hyperlink>
      <w:r>
        <w:rPr>
          <w:rFonts w:ascii="Times New Roman" w:eastAsia="Times New Roman" w:hAnsi="Times New Roman" w:cs="Times New Roman"/>
          <w:sz w:val="20"/>
          <w:szCs w:val="20"/>
        </w:rPr>
        <w:t xml:space="preserve">.   </w:t>
      </w:r>
    </w:p>
  </w:footnote>
  <w:footnote w:id="35">
    <w:p w14:paraId="000003A5" w14:textId="77777777" w:rsidR="00A3739D" w:rsidRDefault="008D1A07">
      <w:pPr>
        <w:spacing w:after="0"/>
        <w:ind w:right="540"/>
        <w:rPr>
          <w:rFonts w:ascii="Times New Roman" w:eastAsia="Times New Roman" w:hAnsi="Times New Roman" w:cs="Times New Roman"/>
          <w:sz w:val="20"/>
          <w:szCs w:val="20"/>
          <w:shd w:val="clear" w:color="auto" w:fill="B4A7D6"/>
        </w:rPr>
      </w:pPr>
      <w:r>
        <w:rPr>
          <w:rStyle w:val="FootnoteReference"/>
        </w:rPr>
        <w:footnoteRef/>
      </w:r>
      <w:r>
        <w:rPr>
          <w:rFonts w:ascii="Times New Roman" w:eastAsia="Times New Roman" w:hAnsi="Times New Roman" w:cs="Times New Roman"/>
          <w:sz w:val="20"/>
          <w:szCs w:val="20"/>
        </w:rPr>
        <w:t xml:space="preserve"> </w:t>
      </w:r>
      <w:hyperlink r:id="rId33">
        <w:r>
          <w:rPr>
            <w:rFonts w:ascii="Times New Roman" w:eastAsia="Times New Roman" w:hAnsi="Times New Roman" w:cs="Times New Roman"/>
            <w:color w:val="1155CC"/>
            <w:sz w:val="20"/>
            <w:szCs w:val="20"/>
            <w:u w:val="single"/>
          </w:rPr>
          <w:t>https://www.srilankalaw.lk/gazette/2018_pdf/19-2018_E.pdf</w:t>
        </w:r>
      </w:hyperlink>
    </w:p>
  </w:footnote>
  <w:footnote w:id="36">
    <w:p w14:paraId="000003A6"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4">
        <w:r>
          <w:rPr>
            <w:rFonts w:ascii="Times New Roman" w:eastAsia="Times New Roman" w:hAnsi="Times New Roman" w:cs="Times New Roman"/>
            <w:color w:val="1155CC"/>
            <w:sz w:val="20"/>
            <w:szCs w:val="20"/>
            <w:u w:val="single"/>
          </w:rPr>
          <w:t>https://parliament.lk/uploads/acts/gbills/english/6296.pdf</w:t>
        </w:r>
      </w:hyperlink>
      <w:r>
        <w:rPr>
          <w:rFonts w:ascii="Times New Roman" w:eastAsia="Times New Roman" w:hAnsi="Times New Roman" w:cs="Times New Roman"/>
          <w:sz w:val="20"/>
          <w:szCs w:val="20"/>
        </w:rPr>
        <w:t xml:space="preserve"> </w:t>
      </w:r>
    </w:p>
  </w:footnote>
  <w:footnote w:id="37">
    <w:p w14:paraId="000003A7"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5">
        <w:r>
          <w:rPr>
            <w:rFonts w:ascii="Times New Roman" w:eastAsia="Times New Roman" w:hAnsi="Times New Roman" w:cs="Times New Roman"/>
            <w:color w:val="1155CC"/>
            <w:sz w:val="20"/>
            <w:szCs w:val="20"/>
            <w:u w:val="single"/>
          </w:rPr>
          <w:t>https://www.ciaboc.gov.lk/about/team</w:t>
        </w:r>
      </w:hyperlink>
      <w:r>
        <w:rPr>
          <w:rFonts w:ascii="Times New Roman" w:eastAsia="Times New Roman" w:hAnsi="Times New Roman" w:cs="Times New Roman"/>
          <w:sz w:val="20"/>
          <w:szCs w:val="20"/>
        </w:rPr>
        <w:t xml:space="preserve"> </w:t>
      </w:r>
    </w:p>
  </w:footnote>
  <w:footnote w:id="38">
    <w:p w14:paraId="000003A8"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6" w:anchor="gsc.tab=0">
        <w:r>
          <w:rPr>
            <w:rFonts w:ascii="Times New Roman" w:eastAsia="Times New Roman" w:hAnsi="Times New Roman" w:cs="Times New Roman"/>
            <w:color w:val="0563C1"/>
            <w:sz w:val="20"/>
            <w:szCs w:val="20"/>
            <w:u w:val="single"/>
          </w:rPr>
          <w:t>https://www.statistics.gov.lk/ChildStatistics/StaticalInformation/ChildPopulation#gsc.tab=0</w:t>
        </w:r>
      </w:hyperlink>
    </w:p>
  </w:footnote>
  <w:footnote w:id="39">
    <w:p w14:paraId="000003A9"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7">
        <w:r>
          <w:rPr>
            <w:rFonts w:ascii="Times New Roman" w:eastAsia="Times New Roman" w:hAnsi="Times New Roman" w:cs="Times New Roman"/>
            <w:color w:val="1155CC"/>
            <w:sz w:val="20"/>
            <w:szCs w:val="20"/>
            <w:u w:val="single"/>
          </w:rPr>
          <w:t>https://www.statistics.gov.lk/OtherCensusandSurveys/StaticalInformation/Census/CensusofChildreninChildCareInstitutions2019Final</w:t>
        </w:r>
      </w:hyperlink>
    </w:p>
  </w:footnote>
  <w:footnote w:id="40">
    <w:p w14:paraId="000003AA"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Summary data for the CPU is available on the AG’s Department website at </w:t>
      </w:r>
      <w:hyperlink r:id="rId38">
        <w:r>
          <w:rPr>
            <w:rFonts w:ascii="Times New Roman" w:eastAsia="Times New Roman" w:hAnsi="Times New Roman" w:cs="Times New Roman"/>
            <w:color w:val="0563C1"/>
            <w:sz w:val="20"/>
            <w:szCs w:val="20"/>
            <w:u w:val="single"/>
          </w:rPr>
          <w:t>201</w:t>
        </w:r>
      </w:hyperlink>
      <w:r>
        <w:rPr>
          <w:rFonts w:ascii="Times New Roman" w:eastAsia="Times New Roman" w:hAnsi="Times New Roman" w:cs="Times New Roman"/>
          <w:sz w:val="20"/>
          <w:szCs w:val="20"/>
        </w:rPr>
        <w:t xml:space="preserve">8; </w:t>
      </w:r>
      <w:hyperlink r:id="rId39">
        <w:r>
          <w:rPr>
            <w:rFonts w:ascii="Times New Roman" w:eastAsia="Times New Roman" w:hAnsi="Times New Roman" w:cs="Times New Roman"/>
            <w:color w:val="0563C1"/>
            <w:sz w:val="20"/>
            <w:szCs w:val="20"/>
            <w:u w:val="single"/>
          </w:rPr>
          <w:t>2019</w:t>
        </w:r>
      </w:hyperlink>
      <w:r>
        <w:rPr>
          <w:rFonts w:ascii="Times New Roman" w:eastAsia="Times New Roman" w:hAnsi="Times New Roman" w:cs="Times New Roman"/>
          <w:sz w:val="20"/>
          <w:szCs w:val="20"/>
        </w:rPr>
        <w:t xml:space="preserve"> ; </w:t>
      </w:r>
      <w:hyperlink r:id="rId40">
        <w:r>
          <w:rPr>
            <w:rFonts w:ascii="Times New Roman" w:eastAsia="Times New Roman" w:hAnsi="Times New Roman" w:cs="Times New Roman"/>
            <w:color w:val="0563C1"/>
            <w:sz w:val="20"/>
            <w:szCs w:val="20"/>
            <w:u w:val="single"/>
          </w:rPr>
          <w:t>2020</w:t>
        </w:r>
      </w:hyperlink>
      <w:r>
        <w:rPr>
          <w:rFonts w:ascii="Times New Roman" w:eastAsia="Times New Roman" w:hAnsi="Times New Roman" w:cs="Times New Roman"/>
          <w:sz w:val="20"/>
          <w:szCs w:val="20"/>
        </w:rPr>
        <w:t>.</w:t>
      </w:r>
    </w:p>
  </w:footnote>
  <w:footnote w:id="41">
    <w:p w14:paraId="000003AB"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Data is disaggregated by gender, ethnicity, age, medium of instructions and geographic location, and is available at </w:t>
      </w:r>
      <w:hyperlink r:id="rId41">
        <w:r>
          <w:rPr>
            <w:rFonts w:ascii="Times New Roman" w:eastAsia="Times New Roman" w:hAnsi="Times New Roman" w:cs="Times New Roman"/>
            <w:color w:val="1155CC"/>
            <w:sz w:val="20"/>
            <w:szCs w:val="20"/>
            <w:u w:val="single"/>
          </w:rPr>
          <w:t>https://moe.gov.lk/ministry-2/statistics-reports/</w:t>
        </w:r>
      </w:hyperlink>
    </w:p>
  </w:footnote>
  <w:footnote w:id="42">
    <w:p w14:paraId="000003AC"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hyperlink r:id="rId42">
        <w:r>
          <w:rPr>
            <w:rFonts w:ascii="Times New Roman" w:eastAsia="Times New Roman" w:hAnsi="Times New Roman" w:cs="Times New Roman"/>
            <w:color w:val="0563C1"/>
            <w:sz w:val="20"/>
            <w:szCs w:val="20"/>
            <w:u w:val="single"/>
          </w:rPr>
          <w:t>Family Health Bureau, National Statistics</w:t>
        </w:r>
      </w:hyperlink>
      <w:r>
        <w:rPr>
          <w:rFonts w:ascii="Times New Roman" w:eastAsia="Times New Roman" w:hAnsi="Times New Roman" w:cs="Times New Roman"/>
          <w:sz w:val="20"/>
          <w:szCs w:val="20"/>
        </w:rPr>
        <w:t xml:space="preserve">; </w:t>
      </w:r>
      <w:hyperlink r:id="rId43">
        <w:r>
          <w:rPr>
            <w:rFonts w:ascii="Times New Roman" w:eastAsia="Times New Roman" w:hAnsi="Times New Roman" w:cs="Times New Roman"/>
            <w:color w:val="0563C1"/>
            <w:sz w:val="20"/>
            <w:szCs w:val="20"/>
            <w:u w:val="single"/>
          </w:rPr>
          <w:t>Family Health Bureau, Nutrition Month Data 2021</w:t>
        </w:r>
      </w:hyperlink>
      <w:r>
        <w:rPr>
          <w:rFonts w:ascii="Times New Roman" w:eastAsia="Times New Roman" w:hAnsi="Times New Roman" w:cs="Times New Roman"/>
          <w:sz w:val="20"/>
          <w:szCs w:val="20"/>
        </w:rPr>
        <w:t xml:space="preserve">; </w:t>
      </w:r>
      <w:hyperlink r:id="rId44">
        <w:r>
          <w:rPr>
            <w:rFonts w:ascii="Times New Roman" w:eastAsia="Times New Roman" w:hAnsi="Times New Roman" w:cs="Times New Roman"/>
            <w:color w:val="0563C1"/>
            <w:sz w:val="20"/>
            <w:szCs w:val="20"/>
            <w:u w:val="single"/>
          </w:rPr>
          <w:t>Family Health Bureau, Nutrition month data - Dashboard</w:t>
        </w:r>
      </w:hyperlink>
      <w:r>
        <w:rPr>
          <w:rFonts w:ascii="Times New Roman" w:eastAsia="Times New Roman" w:hAnsi="Times New Roman" w:cs="Times New Roman"/>
          <w:color w:val="0563C1"/>
          <w:sz w:val="20"/>
          <w:szCs w:val="20"/>
          <w:u w:val="single"/>
        </w:rPr>
        <w:t>.</w:t>
      </w:r>
    </w:p>
  </w:footnote>
  <w:footnote w:id="43">
    <w:p w14:paraId="000003AD"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5">
        <w:r>
          <w:rPr>
            <w:rFonts w:ascii="Times New Roman" w:eastAsia="Times New Roman" w:hAnsi="Times New Roman" w:cs="Times New Roman"/>
            <w:color w:val="1155CC"/>
            <w:sz w:val="20"/>
            <w:szCs w:val="20"/>
            <w:u w:val="single"/>
          </w:rPr>
          <w:t>http://www.statistics.gov.lk/Resource/en/IncomeAndExpenditure/HouseholdIncomeandExpenditureSurvey2019FinalResults.pdf</w:t>
        </w:r>
      </w:hyperlink>
    </w:p>
  </w:footnote>
  <w:footnote w:id="44">
    <w:p w14:paraId="000003AE"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6">
        <w:r>
          <w:rPr>
            <w:rFonts w:ascii="Times New Roman" w:eastAsia="Times New Roman" w:hAnsi="Times New Roman" w:cs="Times New Roman"/>
            <w:color w:val="1155CC"/>
            <w:sz w:val="20"/>
            <w:szCs w:val="20"/>
            <w:u w:val="single"/>
          </w:rPr>
          <w:t>https://www.unicef.org/srilanka/media/2371/file/Multidimensional%20Poverty%20in%20Sri%20Lanka.pdf</w:t>
        </w:r>
      </w:hyperlink>
      <w:r>
        <w:rPr>
          <w:rFonts w:ascii="Times New Roman" w:eastAsia="Times New Roman" w:hAnsi="Times New Roman" w:cs="Times New Roman"/>
          <w:sz w:val="20"/>
          <w:szCs w:val="20"/>
        </w:rPr>
        <w:t xml:space="preserve"> </w:t>
      </w:r>
    </w:p>
  </w:footnote>
  <w:footnote w:id="45">
    <w:p w14:paraId="000003AF" w14:textId="77777777" w:rsidR="00A3739D" w:rsidRDefault="008D1A07">
      <w:pPr>
        <w:spacing w:after="0"/>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7">
        <w:r>
          <w:rPr>
            <w:rFonts w:ascii="Times New Roman" w:eastAsia="Times New Roman" w:hAnsi="Times New Roman" w:cs="Times New Roman"/>
            <w:color w:val="1155CC"/>
            <w:sz w:val="20"/>
            <w:szCs w:val="20"/>
            <w:u w:val="single"/>
          </w:rPr>
          <w:t>https://docs.google.com/document/d/1KQ6asm4zFsTgcOupw90GrEf1cJOmW8RS/edit</w:t>
        </w:r>
      </w:hyperlink>
    </w:p>
  </w:footnote>
  <w:footnote w:id="46">
    <w:p w14:paraId="000003B0" w14:textId="77777777" w:rsidR="00A3739D" w:rsidRDefault="008D1A07">
      <w:pPr>
        <w:pBdr>
          <w:top w:val="nil"/>
          <w:left w:val="nil"/>
          <w:bottom w:val="nil"/>
          <w:right w:val="nil"/>
          <w:between w:val="nil"/>
        </w:pBdr>
        <w:tabs>
          <w:tab w:val="right" w:pos="1021"/>
        </w:tabs>
        <w:spacing w:after="0" w:line="220" w:lineRule="auto"/>
        <w:ind w:left="90" w:right="540" w:hanging="9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48" w:anchor=":~:text=Following%20its%20review%2C%20the%20SCA,the%20Status%20of%20National%20Institutions">
        <w:r>
          <w:rPr>
            <w:rFonts w:ascii="Times New Roman" w:eastAsia="Times New Roman" w:hAnsi="Times New Roman" w:cs="Times New Roman"/>
            <w:color w:val="0563C1"/>
            <w:sz w:val="20"/>
            <w:szCs w:val="20"/>
            <w:u w:val="single"/>
          </w:rPr>
          <w:t>https://www.hrcsl.lk/ganhri-sub-committee-on-accreditation-recommends-that-hrcsl-be-reaccredited-with-a-status/#:~:text=Following%20its%20review%2C%20the%20SCA,the%20Status%20of%20National%20Institutions</w:t>
        </w:r>
      </w:hyperlink>
    </w:p>
  </w:footnote>
  <w:footnote w:id="47">
    <w:p w14:paraId="000003B1"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9">
        <w:r>
          <w:rPr>
            <w:rFonts w:ascii="Times New Roman" w:eastAsia="Times New Roman" w:hAnsi="Times New Roman" w:cs="Times New Roman"/>
            <w:color w:val="1155CC"/>
            <w:sz w:val="20"/>
            <w:szCs w:val="20"/>
            <w:u w:val="single"/>
          </w:rPr>
          <w:t>https://www.hrcsl.lk/wp-content/uploads/2025/06/Strengthening-Child-Rights-in-Sri-Lanka.pdf</w:t>
        </w:r>
      </w:hyperlink>
      <w:r>
        <w:rPr>
          <w:rFonts w:ascii="Times New Roman" w:eastAsia="Times New Roman" w:hAnsi="Times New Roman" w:cs="Times New Roman"/>
          <w:sz w:val="20"/>
          <w:szCs w:val="20"/>
        </w:rPr>
        <w:t xml:space="preserve"> </w:t>
      </w:r>
    </w:p>
  </w:footnote>
  <w:footnote w:id="48">
    <w:p w14:paraId="000003B2"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0">
        <w:r>
          <w:rPr>
            <w:rFonts w:ascii="Times New Roman" w:eastAsia="Times New Roman" w:hAnsi="Times New Roman" w:cs="Times New Roman"/>
            <w:color w:val="1155CC"/>
            <w:sz w:val="20"/>
            <w:szCs w:val="20"/>
            <w:u w:val="single"/>
          </w:rPr>
          <w:t>https://www.hrcsl.lk/hrcsl-calls-for-applications-childrens-voice-forum/</w:t>
        </w:r>
      </w:hyperlink>
    </w:p>
  </w:footnote>
  <w:footnote w:id="49">
    <w:p w14:paraId="000003B3"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color w:val="1155CC"/>
          <w:sz w:val="20"/>
          <w:szCs w:val="20"/>
          <w:u w:val="single"/>
        </w:rPr>
        <w:t xml:space="preserve"> </w:t>
      </w:r>
      <w:hyperlink r:id="rId51">
        <w:r>
          <w:rPr>
            <w:rFonts w:ascii="Times New Roman" w:eastAsia="Times New Roman" w:hAnsi="Times New Roman" w:cs="Times New Roman"/>
            <w:color w:val="0563C1"/>
            <w:sz w:val="20"/>
            <w:szCs w:val="20"/>
            <w:u w:val="single"/>
          </w:rPr>
          <w:t>https://www.parliament.lk/uploads/acts/gbills/english/6297.pdf</w:t>
        </w:r>
      </w:hyperlink>
      <w:r>
        <w:rPr>
          <w:rFonts w:ascii="Times New Roman" w:eastAsia="Times New Roman" w:hAnsi="Times New Roman" w:cs="Times New Roman"/>
          <w:sz w:val="20"/>
          <w:szCs w:val="20"/>
        </w:rPr>
        <w:t xml:space="preserve"> </w:t>
      </w:r>
    </w:p>
  </w:footnote>
  <w:footnote w:id="50">
    <w:p w14:paraId="000003B4"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color w:val="212529"/>
          <w:sz w:val="20"/>
          <w:szCs w:val="20"/>
        </w:rPr>
        <w:t xml:space="preserve"> </w:t>
      </w:r>
      <w:hyperlink r:id="rId52">
        <w:r>
          <w:rPr>
            <w:rFonts w:ascii="Times New Roman" w:eastAsia="Times New Roman" w:hAnsi="Times New Roman" w:cs="Times New Roman"/>
            <w:color w:val="1155CC"/>
            <w:sz w:val="20"/>
            <w:szCs w:val="20"/>
            <w:u w:val="single"/>
          </w:rPr>
          <w:t>https://www.napvcw.gov.lk/news.php</w:t>
        </w:r>
      </w:hyperlink>
    </w:p>
  </w:footnote>
  <w:footnote w:id="51">
    <w:p w14:paraId="000003B5"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3">
        <w:r>
          <w:rPr>
            <w:rFonts w:ascii="Times New Roman" w:eastAsia="Times New Roman" w:hAnsi="Times New Roman" w:cs="Times New Roman"/>
            <w:color w:val="1155CC"/>
            <w:sz w:val="20"/>
            <w:szCs w:val="20"/>
            <w:u w:val="single"/>
          </w:rPr>
          <w:t>https://govdoc.lk/grade-6-civic-education-text-book</w:t>
        </w:r>
      </w:hyperlink>
    </w:p>
  </w:footnote>
  <w:footnote w:id="52">
    <w:p w14:paraId="000003B6"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4">
        <w:r>
          <w:rPr>
            <w:rFonts w:ascii="Times New Roman" w:eastAsia="Times New Roman" w:hAnsi="Times New Roman" w:cs="Times New Roman"/>
            <w:color w:val="1155CC"/>
            <w:sz w:val="20"/>
            <w:szCs w:val="20"/>
            <w:u w:val="single"/>
          </w:rPr>
          <w:t>https://cshr.cmb.ac.lk/education/postgraduate-diploma-in-child-protection-and-rights-pgdipcpr/</w:t>
        </w:r>
      </w:hyperlink>
      <w:r>
        <w:rPr>
          <w:rFonts w:ascii="Times New Roman" w:eastAsia="Times New Roman" w:hAnsi="Times New Roman" w:cs="Times New Roman"/>
          <w:sz w:val="20"/>
          <w:szCs w:val="20"/>
        </w:rPr>
        <w:t xml:space="preserve"> </w:t>
      </w:r>
    </w:p>
  </w:footnote>
  <w:footnote w:id="53">
    <w:p w14:paraId="000003B7" w14:textId="77777777" w:rsidR="00A3739D" w:rsidRDefault="008D1A07">
      <w:pPr>
        <w:pBdr>
          <w:top w:val="nil"/>
          <w:left w:val="nil"/>
          <w:bottom w:val="nil"/>
          <w:right w:val="nil"/>
          <w:between w:val="nil"/>
        </w:pBdr>
        <w:tabs>
          <w:tab w:val="right" w:pos="1021"/>
        </w:tabs>
        <w:spacing w:after="0" w:line="220" w:lineRule="auto"/>
        <w:ind w:left="90" w:right="540" w:hanging="9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sz w:val="20"/>
          <w:szCs w:val="20"/>
        </w:rPr>
        <w:t xml:space="preserve"> </w:t>
      </w:r>
      <w:hyperlink r:id="rId55">
        <w:r>
          <w:rPr>
            <w:rFonts w:ascii="Times New Roman" w:eastAsia="Times New Roman" w:hAnsi="Times New Roman" w:cs="Times New Roman"/>
            <w:color w:val="1155CC"/>
            <w:sz w:val="20"/>
            <w:szCs w:val="20"/>
            <w:u w:val="single"/>
          </w:rPr>
          <w:t>https://docs.google.com/document/d/1J63zHstFR4zhT_h8ZBJG8ujNq7xqpocF/edit</w:t>
        </w:r>
      </w:hyperlink>
    </w:p>
  </w:footnote>
  <w:footnote w:id="54">
    <w:p w14:paraId="000003B8" w14:textId="77777777" w:rsidR="00A3739D" w:rsidRDefault="008D1A07">
      <w:pPr>
        <w:pBdr>
          <w:top w:val="nil"/>
          <w:left w:val="nil"/>
          <w:bottom w:val="nil"/>
          <w:right w:val="nil"/>
          <w:between w:val="nil"/>
        </w:pBdr>
        <w:tabs>
          <w:tab w:val="right" w:pos="1021"/>
        </w:tabs>
        <w:spacing w:after="0" w:line="220" w:lineRule="auto"/>
        <w:ind w:left="180" w:right="450" w:hanging="180"/>
        <w:rPr>
          <w:rFonts w:ascii="Times New Roman" w:eastAsia="Times New Roman" w:hAnsi="Times New Roman" w:cs="Times New Roman"/>
          <w:color w:val="1155CC"/>
          <w:sz w:val="20"/>
          <w:szCs w:val="20"/>
          <w:u w:val="single"/>
        </w:rPr>
      </w:pPr>
      <w:r>
        <w:rPr>
          <w:rStyle w:val="FootnoteReference"/>
        </w:rPr>
        <w:footnoteRef/>
      </w:r>
      <w:r>
        <w:rPr>
          <w:rFonts w:ascii="Times New Roman" w:eastAsia="Times New Roman" w:hAnsi="Times New Roman" w:cs="Times New Roman"/>
          <w:color w:val="000000"/>
          <w:sz w:val="20"/>
          <w:szCs w:val="20"/>
        </w:rPr>
        <w:t xml:space="preserve"> </w:t>
      </w:r>
      <w:hyperlink r:id="rId56">
        <w:r>
          <w:rPr>
            <w:rFonts w:ascii="Times New Roman" w:eastAsia="Times New Roman" w:hAnsi="Times New Roman" w:cs="Times New Roman"/>
            <w:color w:val="1155CC"/>
            <w:sz w:val="20"/>
            <w:szCs w:val="20"/>
            <w:u w:val="single"/>
          </w:rPr>
          <w:t>UNOCHA - Sri Lanka Country Team, ‘Humanitarian Needs and Priorities Plan - After Action Review’ (2023.03.09)</w:t>
        </w:r>
      </w:hyperlink>
      <w:r>
        <w:rPr>
          <w:rFonts w:ascii="Times New Roman" w:eastAsia="Times New Roman" w:hAnsi="Times New Roman" w:cs="Times New Roman"/>
          <w:color w:val="1155CC"/>
          <w:sz w:val="20"/>
          <w:szCs w:val="20"/>
          <w:u w:val="single"/>
        </w:rPr>
        <w:t>.</w:t>
      </w:r>
    </w:p>
  </w:footnote>
  <w:footnote w:id="55">
    <w:p w14:paraId="000003B9"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7">
        <w:r>
          <w:rPr>
            <w:rFonts w:ascii="Times New Roman" w:eastAsia="Times New Roman" w:hAnsi="Times New Roman" w:cs="Times New Roman"/>
            <w:color w:val="1155CC"/>
            <w:sz w:val="20"/>
            <w:szCs w:val="20"/>
            <w:u w:val="single"/>
          </w:rPr>
          <w:t>https://www.parliament.lk/uploads/acts/gbills/english/6200.pdf</w:t>
        </w:r>
      </w:hyperlink>
      <w:r>
        <w:rPr>
          <w:rFonts w:ascii="Times New Roman" w:eastAsia="Times New Roman" w:hAnsi="Times New Roman" w:cs="Times New Roman"/>
          <w:sz w:val="20"/>
          <w:szCs w:val="20"/>
        </w:rPr>
        <w:t xml:space="preserve"> </w:t>
      </w:r>
    </w:p>
  </w:footnote>
  <w:footnote w:id="56">
    <w:p w14:paraId="000003BA" w14:textId="77777777" w:rsidR="00A3739D" w:rsidRDefault="008D1A07">
      <w:pPr>
        <w:spacing w:after="0"/>
        <w:ind w:right="45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8">
        <w:r>
          <w:rPr>
            <w:rFonts w:ascii="Times New Roman" w:eastAsia="Times New Roman" w:hAnsi="Times New Roman" w:cs="Times New Roman"/>
            <w:color w:val="1155CC"/>
            <w:sz w:val="20"/>
            <w:szCs w:val="20"/>
            <w:u w:val="single"/>
          </w:rPr>
          <w:t>https://www.nddcb.gov.lk/Docs/acts/NATA%20Act%20English.pdf</w:t>
        </w:r>
      </w:hyperlink>
      <w:r>
        <w:rPr>
          <w:rFonts w:ascii="Times New Roman" w:eastAsia="Times New Roman" w:hAnsi="Times New Roman" w:cs="Times New Roman"/>
          <w:sz w:val="20"/>
          <w:szCs w:val="20"/>
        </w:rPr>
        <w:t xml:space="preserve"> </w:t>
      </w:r>
    </w:p>
  </w:footnote>
  <w:footnote w:id="57">
    <w:p w14:paraId="000003BB" w14:textId="77777777" w:rsidR="00A3739D" w:rsidRDefault="008D1A07">
      <w:pPr>
        <w:spacing w:after="0"/>
        <w:ind w:right="450"/>
        <w:rPr>
          <w:rFonts w:ascii="Times New Roman" w:eastAsia="Times New Roman" w:hAnsi="Times New Roman" w:cs="Times New Roman"/>
          <w:sz w:val="20"/>
          <w:szCs w:val="20"/>
        </w:rPr>
      </w:pPr>
      <w:r>
        <w:rPr>
          <w:rStyle w:val="FootnoteReference"/>
        </w:rPr>
        <w:footnoteRef/>
      </w:r>
      <w:hyperlink r:id="rId59">
        <w:r>
          <w:rPr>
            <w:rFonts w:ascii="Times New Roman" w:eastAsia="Times New Roman" w:hAnsi="Times New Roman" w:cs="Times New Roman"/>
            <w:color w:val="0563C1"/>
            <w:sz w:val="20"/>
            <w:szCs w:val="20"/>
            <w:u w:val="single"/>
          </w:rPr>
          <w:t>https://childprotection.gov.lk/images/pdfs/acts-guidelines/Daycare%20Guide%20Line-Final-English-2019.11.04.pdf</w:t>
        </w:r>
      </w:hyperlink>
      <w:r>
        <w:rPr>
          <w:rFonts w:ascii="Times New Roman" w:eastAsia="Times New Roman" w:hAnsi="Times New Roman" w:cs="Times New Roman"/>
          <w:sz w:val="20"/>
          <w:szCs w:val="20"/>
        </w:rPr>
        <w:t xml:space="preserve"> </w:t>
      </w:r>
    </w:p>
  </w:footnote>
  <w:footnote w:id="58">
    <w:p w14:paraId="000003BC" w14:textId="77777777" w:rsidR="00A3739D" w:rsidRDefault="008D1A07">
      <w:pPr>
        <w:spacing w:after="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0">
        <w:r>
          <w:rPr>
            <w:rFonts w:ascii="Times New Roman" w:eastAsia="Times New Roman" w:hAnsi="Times New Roman" w:cs="Times New Roman"/>
            <w:color w:val="1155CC"/>
            <w:sz w:val="20"/>
            <w:szCs w:val="20"/>
            <w:u w:val="single"/>
          </w:rPr>
          <w:t>https://labourdept.gov.lk/wp-content/uploads/2024/11/Employers-who-have-pledged-to-eliminate-child-labour.pdf</w:t>
        </w:r>
      </w:hyperlink>
    </w:p>
  </w:footnote>
  <w:footnote w:id="59">
    <w:p w14:paraId="000003BD"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1">
        <w:r>
          <w:rPr>
            <w:rFonts w:ascii="Times New Roman" w:eastAsia="Times New Roman" w:hAnsi="Times New Roman" w:cs="Times New Roman"/>
            <w:color w:val="0563C1"/>
            <w:sz w:val="20"/>
            <w:szCs w:val="20"/>
            <w:u w:val="single"/>
          </w:rPr>
          <w:t>https://www.parliament.lk/news-en/view/4436</w:t>
        </w:r>
      </w:hyperlink>
    </w:p>
  </w:footnote>
  <w:footnote w:id="60">
    <w:p w14:paraId="000003BE" w14:textId="77777777" w:rsidR="00A3739D" w:rsidRDefault="008D1A07">
      <w:pPr>
        <w:spacing w:after="0"/>
        <w:ind w:right="544"/>
        <w:rPr>
          <w:rFonts w:ascii="Times New Roman" w:eastAsia="Times New Roman" w:hAnsi="Times New Roman" w:cs="Times New Roman"/>
          <w:sz w:val="20"/>
          <w:szCs w:val="20"/>
          <w:shd w:val="clear" w:color="auto" w:fill="B4A7D6"/>
        </w:rPr>
      </w:pPr>
      <w:r>
        <w:rPr>
          <w:rStyle w:val="FootnoteReference"/>
        </w:rPr>
        <w:footnoteRef/>
      </w:r>
      <w:r>
        <w:rPr>
          <w:rFonts w:ascii="Times New Roman" w:eastAsia="Times New Roman" w:hAnsi="Times New Roman" w:cs="Times New Roman"/>
          <w:sz w:val="20"/>
          <w:szCs w:val="20"/>
        </w:rPr>
        <w:t xml:space="preserve"> </w:t>
      </w:r>
      <w:hyperlink r:id="rId62">
        <w:r>
          <w:rPr>
            <w:rFonts w:ascii="Times New Roman" w:eastAsia="Times New Roman" w:hAnsi="Times New Roman" w:cs="Times New Roman"/>
            <w:color w:val="1155CC"/>
            <w:sz w:val="20"/>
            <w:szCs w:val="20"/>
            <w:u w:val="single"/>
          </w:rPr>
          <w:t>https://www.legal-tools.org/doc/x3a0yc/pdf</w:t>
        </w:r>
      </w:hyperlink>
    </w:p>
  </w:footnote>
  <w:footnote w:id="61">
    <w:p w14:paraId="000003BF" w14:textId="77777777" w:rsidR="00A3739D" w:rsidRDefault="008D1A07">
      <w:pPr>
        <w:spacing w:after="0"/>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3">
        <w:r>
          <w:rPr>
            <w:rFonts w:ascii="Times New Roman" w:eastAsia="Times New Roman" w:hAnsi="Times New Roman" w:cs="Times New Roman"/>
            <w:color w:val="1155CC"/>
            <w:sz w:val="20"/>
            <w:szCs w:val="20"/>
            <w:u w:val="single"/>
          </w:rPr>
          <w:t>https://www.parliament.lk/uploads/acts/gbills/english/6279.pdf</w:t>
        </w:r>
      </w:hyperlink>
      <w:r>
        <w:rPr>
          <w:rFonts w:ascii="Times New Roman" w:eastAsia="Times New Roman" w:hAnsi="Times New Roman" w:cs="Times New Roman"/>
          <w:sz w:val="20"/>
          <w:szCs w:val="20"/>
        </w:rPr>
        <w:t xml:space="preserve"> </w:t>
      </w:r>
    </w:p>
  </w:footnote>
  <w:footnote w:id="62">
    <w:p w14:paraId="000003C0" w14:textId="77777777" w:rsidR="00A3739D" w:rsidRDefault="008D1A07">
      <w:pPr>
        <w:tabs>
          <w:tab w:val="right" w:pos="1021"/>
        </w:tabs>
        <w:spacing w:after="0" w:line="22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4">
        <w:r>
          <w:rPr>
            <w:rFonts w:ascii="Times New Roman" w:eastAsia="Times New Roman" w:hAnsi="Times New Roman" w:cs="Times New Roman"/>
            <w:color w:val="1155CC"/>
            <w:sz w:val="20"/>
            <w:szCs w:val="20"/>
            <w:u w:val="single"/>
          </w:rPr>
          <w:t>https://www.moj.gov.lk/images/2023/muslim-Marriage&amp;Devorce.pdf</w:t>
        </w:r>
      </w:hyperlink>
      <w:r>
        <w:rPr>
          <w:rFonts w:ascii="Times New Roman" w:eastAsia="Times New Roman" w:hAnsi="Times New Roman" w:cs="Times New Roman"/>
          <w:sz w:val="20"/>
          <w:szCs w:val="20"/>
        </w:rPr>
        <w:t xml:space="preserve">  </w:t>
      </w:r>
    </w:p>
  </w:footnote>
  <w:footnote w:id="63">
    <w:p w14:paraId="000003C1" w14:textId="77777777" w:rsidR="00A3739D" w:rsidRDefault="008D1A07">
      <w:pPr>
        <w:spacing w:after="0"/>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5">
        <w:r>
          <w:rPr>
            <w:rFonts w:ascii="Times New Roman" w:eastAsia="Times New Roman" w:hAnsi="Times New Roman" w:cs="Times New Roman"/>
            <w:color w:val="1155CC"/>
            <w:sz w:val="20"/>
            <w:szCs w:val="20"/>
            <w:u w:val="single"/>
          </w:rPr>
          <w:t>https://www.parliament.lk/uploads/acts/gbills/english/6231.pdf</w:t>
        </w:r>
      </w:hyperlink>
      <w:r>
        <w:rPr>
          <w:rFonts w:ascii="Times New Roman" w:eastAsia="Times New Roman" w:hAnsi="Times New Roman" w:cs="Times New Roman"/>
          <w:sz w:val="20"/>
          <w:szCs w:val="20"/>
        </w:rPr>
        <w:t xml:space="preserve"> </w:t>
      </w:r>
    </w:p>
  </w:footnote>
  <w:footnote w:id="64">
    <w:p w14:paraId="000003C2"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6">
        <w:r>
          <w:rPr>
            <w:rFonts w:ascii="Times New Roman" w:eastAsia="Times New Roman" w:hAnsi="Times New Roman" w:cs="Times New Roman"/>
            <w:color w:val="1155CC"/>
            <w:sz w:val="20"/>
            <w:szCs w:val="20"/>
            <w:u w:val="single"/>
          </w:rPr>
          <w:t>https://www.news.lk/current-affairs/sri-lanka-introduces-landmark-food-beverage-regulations</w:t>
        </w:r>
      </w:hyperlink>
      <w:r>
        <w:rPr>
          <w:rFonts w:ascii="Times New Roman" w:eastAsia="Times New Roman" w:hAnsi="Times New Roman" w:cs="Times New Roman"/>
          <w:sz w:val="20"/>
          <w:szCs w:val="20"/>
        </w:rPr>
        <w:t xml:space="preserve"> </w:t>
      </w:r>
    </w:p>
  </w:footnote>
  <w:footnote w:id="65">
    <w:p w14:paraId="000003C3"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7" w:anchor=":~:text=Paragraph%2011%20of%20Comment%20no,pain%20or%20discomfort%2C%20however%20light">
        <w:r>
          <w:rPr>
            <w:rFonts w:ascii="Times New Roman" w:eastAsia="Times New Roman" w:hAnsi="Times New Roman" w:cs="Times New Roman"/>
            <w:color w:val="1155CC"/>
            <w:sz w:val="20"/>
            <w:szCs w:val="20"/>
            <w:u w:val="single"/>
          </w:rPr>
          <w:t>https://supremecourt.lk/images/documents/scfr_97_17.pdf?fbclid=IwAR28O0G308J8TOxiLJlOs7cIYj9yWgp_q3LRcUqQ1NDm5S4iOmqVQRWxdaY#:~:text=Paragraph%2011%20of%20Comment%20no,pain%20or%20discomfort%2C%20however%20light</w:t>
        </w:r>
      </w:hyperlink>
      <w:r>
        <w:rPr>
          <w:rFonts w:ascii="Times New Roman" w:eastAsia="Times New Roman" w:hAnsi="Times New Roman" w:cs="Times New Roman"/>
          <w:sz w:val="20"/>
          <w:szCs w:val="20"/>
        </w:rPr>
        <w:t xml:space="preserve"> </w:t>
      </w:r>
    </w:p>
  </w:footnote>
  <w:footnote w:id="66">
    <w:p w14:paraId="000003C4" w14:textId="77777777" w:rsidR="00A3739D" w:rsidRDefault="008D1A07">
      <w:pPr>
        <w:spacing w:after="0" w:line="240" w:lineRule="auto"/>
        <w:ind w:right="540"/>
        <w:rPr>
          <w:rFonts w:ascii="Times New Roman" w:eastAsia="Times New Roman" w:hAnsi="Times New Roman" w:cs="Times New Roman"/>
          <w:b/>
          <w:sz w:val="20"/>
          <w:szCs w:val="20"/>
        </w:rPr>
      </w:pPr>
      <w:r>
        <w:rPr>
          <w:rStyle w:val="FootnoteReference"/>
        </w:rPr>
        <w:footnoteRef/>
      </w:r>
      <w:r>
        <w:rPr>
          <w:rFonts w:ascii="Times New Roman" w:eastAsia="Times New Roman" w:hAnsi="Times New Roman" w:cs="Times New Roman"/>
          <w:sz w:val="20"/>
          <w:szCs w:val="20"/>
        </w:rPr>
        <w:t xml:space="preserve"> </w:t>
      </w:r>
      <w:hyperlink r:id="rId68">
        <w:r>
          <w:rPr>
            <w:rFonts w:ascii="Times New Roman" w:eastAsia="Times New Roman" w:hAnsi="Times New Roman" w:cs="Times New Roman"/>
            <w:color w:val="1155CC"/>
            <w:sz w:val="20"/>
            <w:szCs w:val="20"/>
            <w:u w:val="single"/>
          </w:rPr>
          <w:t>https://www.janasansadaya.org/uploads/files/sc_fr_139_12%20Matale%20FR.pdf</w:t>
        </w:r>
      </w:hyperlink>
      <w:r>
        <w:rPr>
          <w:rFonts w:ascii="Times New Roman" w:eastAsia="Times New Roman" w:hAnsi="Times New Roman" w:cs="Times New Roman"/>
          <w:sz w:val="20"/>
          <w:szCs w:val="20"/>
        </w:rPr>
        <w:t xml:space="preserve"> </w:t>
      </w:r>
    </w:p>
  </w:footnote>
  <w:footnote w:id="67">
    <w:p w14:paraId="000003C5"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9">
        <w:r>
          <w:rPr>
            <w:rFonts w:ascii="Times New Roman" w:eastAsia="Times New Roman" w:hAnsi="Times New Roman" w:cs="Times New Roman"/>
            <w:color w:val="0563C1"/>
            <w:sz w:val="20"/>
            <w:szCs w:val="20"/>
            <w:u w:val="single"/>
          </w:rPr>
          <w:t>https://www.defence.lk/Article/view_article/27375</w:t>
        </w:r>
      </w:hyperlink>
      <w:r>
        <w:rPr>
          <w:rFonts w:ascii="Times New Roman" w:eastAsia="Times New Roman" w:hAnsi="Times New Roman" w:cs="Times New Roman"/>
          <w:sz w:val="20"/>
          <w:szCs w:val="20"/>
        </w:rPr>
        <w:t xml:space="preserve"> </w:t>
      </w:r>
    </w:p>
  </w:footnote>
  <w:footnote w:id="68">
    <w:p w14:paraId="000003C6"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Please see paragraphs 14, 114 to 116.</w:t>
      </w:r>
    </w:p>
  </w:footnote>
  <w:footnote w:id="69">
    <w:p w14:paraId="000003C7"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hyperlink r:id="rId70">
        <w:r>
          <w:rPr>
            <w:rFonts w:ascii="Times New Roman" w:eastAsia="Times New Roman" w:hAnsi="Times New Roman" w:cs="Times New Roman"/>
            <w:color w:val="0563C1"/>
            <w:sz w:val="20"/>
            <w:szCs w:val="20"/>
            <w:u w:val="single"/>
          </w:rPr>
          <w:t>https://childprotection.gov.lk/images/pdfs/handbooks/Shiksha%20Book%20final%20for%20web%20-%202019.9.3.pdf</w:t>
        </w:r>
      </w:hyperlink>
      <w:r>
        <w:rPr>
          <w:rFonts w:ascii="Times New Roman" w:eastAsia="Times New Roman" w:hAnsi="Times New Roman" w:cs="Times New Roman"/>
          <w:sz w:val="20"/>
          <w:szCs w:val="20"/>
        </w:rPr>
        <w:t xml:space="preserve"> </w:t>
      </w:r>
    </w:p>
  </w:footnote>
  <w:footnote w:id="70">
    <w:p w14:paraId="000003C8"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1">
        <w:r>
          <w:rPr>
            <w:rFonts w:ascii="Times New Roman" w:eastAsia="Times New Roman" w:hAnsi="Times New Roman" w:cs="Times New Roman"/>
            <w:color w:val="1155CC"/>
            <w:sz w:val="20"/>
            <w:szCs w:val="20"/>
            <w:u w:val="single"/>
          </w:rPr>
          <w:t>https://report.iwf.org.uk/lk_en/</w:t>
        </w:r>
      </w:hyperlink>
      <w:r>
        <w:rPr>
          <w:rFonts w:ascii="Times New Roman" w:eastAsia="Times New Roman" w:hAnsi="Times New Roman" w:cs="Times New Roman"/>
          <w:sz w:val="20"/>
          <w:szCs w:val="20"/>
        </w:rPr>
        <w:t xml:space="preserve"> </w:t>
      </w:r>
    </w:p>
  </w:footnote>
  <w:footnote w:id="71">
    <w:p w14:paraId="000003C9"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2">
        <w:r>
          <w:rPr>
            <w:rFonts w:ascii="Times New Roman" w:eastAsia="Times New Roman" w:hAnsi="Times New Roman" w:cs="Times New Roman"/>
            <w:color w:val="1155CC"/>
            <w:sz w:val="20"/>
            <w:szCs w:val="20"/>
            <w:u w:val="single"/>
          </w:rPr>
          <w:t>https://childprotection.gov.lk/en/2024/internet-watch-foundation-sri-lanka-portal-launch</w:t>
        </w:r>
      </w:hyperlink>
    </w:p>
  </w:footnote>
  <w:footnote w:id="72">
    <w:p w14:paraId="000003CA"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3">
        <w:r>
          <w:rPr>
            <w:rFonts w:ascii="Times New Roman" w:eastAsia="Times New Roman" w:hAnsi="Times New Roman" w:cs="Times New Roman"/>
            <w:color w:val="1155CC"/>
            <w:sz w:val="20"/>
            <w:szCs w:val="20"/>
            <w:u w:val="single"/>
          </w:rPr>
          <w:t>https://www.parliament.lk/uploads/acts/gbills/english/6297.pdf</w:t>
        </w:r>
      </w:hyperlink>
    </w:p>
  </w:footnote>
  <w:footnote w:id="73">
    <w:p w14:paraId="000003CB"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Please refer to Sri Lanka’s 5th Periodic Report submitted under CAT, (CAT/C/LKA5) para 108-111. </w:t>
      </w:r>
    </w:p>
  </w:footnote>
  <w:footnote w:id="74">
    <w:p w14:paraId="000003CC"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Please refer to the Additional Information submitted by the State party within 48 hrs following the Review, 21 Nov 2016 available at </w:t>
      </w:r>
      <w:hyperlink r:id="rId74">
        <w:r>
          <w:rPr>
            <w:rFonts w:ascii="Times New Roman" w:eastAsia="Times New Roman" w:hAnsi="Times New Roman" w:cs="Times New Roman"/>
            <w:color w:val="0563C1"/>
            <w:sz w:val="20"/>
            <w:szCs w:val="20"/>
            <w:u w:val="single"/>
          </w:rPr>
          <w:t>https://tbinternet.ohchr.org/_layouts/15/treatybodyexternal/Download.aspx?symbolno=INT%2FCAT%2FAIS%2FLKA%2F25884&amp;Lang=en</w:t>
        </w:r>
      </w:hyperlink>
      <w:r>
        <w:rPr>
          <w:rFonts w:ascii="Times New Roman" w:eastAsia="Times New Roman" w:hAnsi="Times New Roman" w:cs="Times New Roman"/>
          <w:sz w:val="20"/>
          <w:szCs w:val="20"/>
        </w:rPr>
        <w:t xml:space="preserve"> </w:t>
      </w:r>
    </w:p>
  </w:footnote>
  <w:footnote w:id="75">
    <w:p w14:paraId="000003CD"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Please refer to paragraph 91 to 93 of this Report.</w:t>
      </w:r>
    </w:p>
  </w:footnote>
  <w:footnote w:id="76">
    <w:p w14:paraId="000003CE" w14:textId="77777777" w:rsidR="00A3739D" w:rsidRDefault="008D1A07">
      <w:pPr>
        <w:pBdr>
          <w:top w:val="nil"/>
          <w:left w:val="nil"/>
          <w:bottom w:val="nil"/>
          <w:right w:val="nil"/>
          <w:between w:val="nil"/>
        </w:pBdr>
        <w:tabs>
          <w:tab w:val="right" w:pos="1021"/>
        </w:tabs>
        <w:spacing w:after="0" w:line="220" w:lineRule="auto"/>
        <w:ind w:left="90" w:right="544" w:hanging="9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75">
        <w:r>
          <w:rPr>
            <w:rFonts w:ascii="Times New Roman" w:eastAsia="Times New Roman" w:hAnsi="Times New Roman" w:cs="Times New Roman"/>
            <w:color w:val="1155CC"/>
            <w:sz w:val="20"/>
            <w:szCs w:val="20"/>
            <w:u w:val="single"/>
          </w:rPr>
          <w:t>http://www.statistics.gov.lk/Resource/refference/WWS_2019_Final_Report</w:t>
        </w:r>
      </w:hyperlink>
      <w:r>
        <w:rPr>
          <w:rFonts w:ascii="Times New Roman" w:eastAsia="Times New Roman" w:hAnsi="Times New Roman" w:cs="Times New Roman"/>
          <w:color w:val="000000"/>
          <w:sz w:val="20"/>
          <w:szCs w:val="20"/>
        </w:rPr>
        <w:t xml:space="preserve"> </w:t>
      </w:r>
    </w:p>
  </w:footnote>
  <w:footnote w:id="77">
    <w:p w14:paraId="000003CF" w14:textId="77777777" w:rsidR="00A3739D" w:rsidRDefault="008D1A07">
      <w:pPr>
        <w:pBdr>
          <w:top w:val="nil"/>
          <w:left w:val="nil"/>
          <w:bottom w:val="nil"/>
          <w:right w:val="nil"/>
          <w:between w:val="nil"/>
        </w:pBdr>
        <w:tabs>
          <w:tab w:val="right" w:pos="1021"/>
        </w:tabs>
        <w:spacing w:after="0" w:line="220" w:lineRule="auto"/>
        <w:ind w:left="180" w:right="454" w:hanging="180"/>
        <w:rPr>
          <w:rFonts w:ascii="Times New Roman" w:eastAsia="Times New Roman" w:hAnsi="Times New Roman" w:cs="Times New Roman"/>
          <w:color w:val="000000"/>
          <w:sz w:val="20"/>
          <w:szCs w:val="20"/>
        </w:rPr>
      </w:pPr>
      <w:r>
        <w:rPr>
          <w:rStyle w:val="FootnoteReference"/>
        </w:rPr>
        <w:footnoteRef/>
      </w:r>
      <w:hyperlink r:id="rId76">
        <w:r>
          <w:rPr>
            <w:rFonts w:ascii="Times New Roman" w:eastAsia="Times New Roman" w:hAnsi="Times New Roman" w:cs="Times New Roman"/>
            <w:color w:val="1155CC"/>
            <w:sz w:val="20"/>
            <w:szCs w:val="20"/>
            <w:u w:val="single"/>
          </w:rPr>
          <w:t>http://www.childwomenmin.gov.lk/storage/app/media/Final%20SGBV%20Referral%20Guidelines_%20English-EDT%2024.05.2021_hg_compressed.pdf</w:t>
        </w:r>
      </w:hyperlink>
    </w:p>
  </w:footnote>
  <w:footnote w:id="78">
    <w:p w14:paraId="000003D0" w14:textId="77777777" w:rsidR="00A3739D" w:rsidRDefault="008D1A07">
      <w:pPr>
        <w:pBdr>
          <w:top w:val="nil"/>
          <w:left w:val="nil"/>
          <w:bottom w:val="nil"/>
          <w:right w:val="nil"/>
          <w:between w:val="nil"/>
        </w:pBdr>
        <w:tabs>
          <w:tab w:val="right" w:pos="1021"/>
        </w:tabs>
        <w:spacing w:after="0" w:line="220" w:lineRule="auto"/>
        <w:ind w:left="270" w:right="540" w:hanging="27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77">
        <w:r>
          <w:rPr>
            <w:rFonts w:ascii="Times New Roman" w:eastAsia="Times New Roman" w:hAnsi="Times New Roman" w:cs="Times New Roman"/>
            <w:color w:val="0563C1"/>
            <w:sz w:val="20"/>
            <w:szCs w:val="20"/>
            <w:u w:val="single"/>
          </w:rPr>
          <w:t>https://srilanka.unfpa.org/sites/default/files/pub-pdf/National%20Guidelines%20Booklet.pdf</w:t>
        </w:r>
      </w:hyperlink>
    </w:p>
  </w:footnote>
  <w:footnote w:id="79">
    <w:p w14:paraId="000003D1" w14:textId="77777777" w:rsidR="00A3739D" w:rsidRDefault="008D1A07">
      <w:pPr>
        <w:pBdr>
          <w:top w:val="nil"/>
          <w:left w:val="nil"/>
          <w:bottom w:val="nil"/>
          <w:right w:val="nil"/>
          <w:between w:val="nil"/>
        </w:pBdr>
        <w:tabs>
          <w:tab w:val="right" w:pos="1021"/>
        </w:tabs>
        <w:spacing w:after="0" w:line="220" w:lineRule="auto"/>
        <w:ind w:left="180" w:right="634" w:hanging="18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78">
        <w:r>
          <w:rPr>
            <w:rFonts w:ascii="Times New Roman" w:eastAsia="Times New Roman" w:hAnsi="Times New Roman" w:cs="Times New Roman"/>
            <w:color w:val="1155CC"/>
            <w:sz w:val="20"/>
            <w:szCs w:val="20"/>
            <w:u w:val="single"/>
          </w:rPr>
          <w:t>https://srilanka.unfpa.org/sites/default/files/pub-pdf/Standard%20Operating%20Booklet.pdf</w:t>
        </w:r>
      </w:hyperlink>
      <w:r>
        <w:rPr>
          <w:rFonts w:ascii="Times New Roman" w:eastAsia="Times New Roman" w:hAnsi="Times New Roman" w:cs="Times New Roman"/>
          <w:color w:val="000000"/>
          <w:sz w:val="20"/>
          <w:szCs w:val="20"/>
        </w:rPr>
        <w:t xml:space="preserve"> </w:t>
      </w:r>
    </w:p>
  </w:footnote>
  <w:footnote w:id="80">
    <w:p w14:paraId="000003D2" w14:textId="77777777" w:rsidR="00A3739D" w:rsidRDefault="008D1A07">
      <w:pPr>
        <w:spacing w:after="0" w:line="240" w:lineRule="auto"/>
        <w:ind w:left="180" w:right="540" w:hanging="18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9">
        <w:r>
          <w:rPr>
            <w:rFonts w:ascii="Times New Roman" w:eastAsia="Times New Roman" w:hAnsi="Times New Roman" w:cs="Times New Roman"/>
            <w:color w:val="1155CC"/>
            <w:sz w:val="20"/>
            <w:szCs w:val="20"/>
            <w:u w:val="single"/>
          </w:rPr>
          <w:t>https://srilanka.unfpa.org/sites/default/files/resource-pdf/17th_aug_gender_handbook.pdf</w:t>
        </w:r>
      </w:hyperlink>
      <w:r>
        <w:rPr>
          <w:rFonts w:ascii="Times New Roman" w:eastAsia="Times New Roman" w:hAnsi="Times New Roman" w:cs="Times New Roman"/>
          <w:sz w:val="20"/>
          <w:szCs w:val="20"/>
        </w:rPr>
        <w:t xml:space="preserve"> </w:t>
      </w:r>
    </w:p>
  </w:footnote>
  <w:footnote w:id="81">
    <w:p w14:paraId="000003D3"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hyperlink r:id="rId80">
        <w:r>
          <w:rPr>
            <w:rFonts w:ascii="Times New Roman" w:eastAsia="Times New Roman" w:hAnsi="Times New Roman" w:cs="Times New Roman"/>
            <w:color w:val="3C78D8"/>
            <w:sz w:val="20"/>
            <w:szCs w:val="20"/>
            <w:u w:val="single"/>
          </w:rPr>
          <w:t>http://www.health.gov.lk/CMS/cmsmoh1/circulars.php</w:t>
        </w:r>
      </w:hyperlink>
      <w:r>
        <w:rPr>
          <w:rFonts w:ascii="Times New Roman" w:eastAsia="Times New Roman" w:hAnsi="Times New Roman" w:cs="Times New Roman"/>
          <w:sz w:val="20"/>
          <w:szCs w:val="20"/>
        </w:rPr>
        <w:t xml:space="preserve"> </w:t>
      </w:r>
    </w:p>
  </w:footnote>
  <w:footnote w:id="82">
    <w:p w14:paraId="000003D4"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hyperlink r:id="rId81">
        <w:r>
          <w:rPr>
            <w:rFonts w:ascii="Times New Roman" w:eastAsia="Times New Roman" w:hAnsi="Times New Roman" w:cs="Times New Roman"/>
            <w:color w:val="0563C1"/>
            <w:sz w:val="20"/>
            <w:szCs w:val="20"/>
            <w:u w:val="single"/>
          </w:rPr>
          <w:t>https://www.unicef.org/rosa/media/25271/file/South%20Asia%20-%20Regional%20Child%20Marriage%20Profile.pdf</w:t>
        </w:r>
      </w:hyperlink>
      <w:r>
        <w:rPr>
          <w:rFonts w:ascii="Times New Roman" w:eastAsia="Times New Roman" w:hAnsi="Times New Roman" w:cs="Times New Roman"/>
          <w:sz w:val="20"/>
          <w:szCs w:val="20"/>
        </w:rPr>
        <w:t xml:space="preserve"> </w:t>
      </w:r>
    </w:p>
  </w:footnote>
  <w:footnote w:id="83">
    <w:p w14:paraId="000003D5"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2">
        <w:r>
          <w:rPr>
            <w:rFonts w:ascii="Times New Roman" w:eastAsia="Times New Roman" w:hAnsi="Times New Roman" w:cs="Times New Roman"/>
            <w:color w:val="0563C1"/>
            <w:sz w:val="20"/>
            <w:szCs w:val="20"/>
            <w:u w:val="single"/>
          </w:rPr>
          <w:t>http://www.slbfe.lk/file.php?FID=672</w:t>
        </w:r>
      </w:hyperlink>
      <w:r>
        <w:rPr>
          <w:rFonts w:ascii="Times New Roman" w:eastAsia="Times New Roman" w:hAnsi="Times New Roman" w:cs="Times New Roman"/>
          <w:sz w:val="20"/>
          <w:szCs w:val="20"/>
        </w:rPr>
        <w:t xml:space="preserve">  </w:t>
      </w:r>
    </w:p>
  </w:footnote>
  <w:footnote w:id="84">
    <w:p w14:paraId="000003D6"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3">
        <w:r>
          <w:rPr>
            <w:rFonts w:ascii="Times New Roman" w:eastAsia="Times New Roman" w:hAnsi="Times New Roman" w:cs="Times New Roman"/>
            <w:color w:val="1155CC"/>
            <w:sz w:val="20"/>
            <w:szCs w:val="20"/>
            <w:u w:val="single"/>
          </w:rPr>
          <w:t>https://www.supremecourt.lk/images/documents/sc_fr_273_2018.pdf</w:t>
        </w:r>
      </w:hyperlink>
      <w:r>
        <w:rPr>
          <w:rFonts w:ascii="Times New Roman" w:eastAsia="Times New Roman" w:hAnsi="Times New Roman" w:cs="Times New Roman"/>
          <w:sz w:val="20"/>
          <w:szCs w:val="20"/>
        </w:rPr>
        <w:t xml:space="preserve"> </w:t>
      </w:r>
    </w:p>
  </w:footnote>
  <w:footnote w:id="85">
    <w:p w14:paraId="000003D7"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4">
        <w:r>
          <w:rPr>
            <w:rFonts w:ascii="Times New Roman" w:eastAsia="Times New Roman" w:hAnsi="Times New Roman" w:cs="Times New Roman"/>
            <w:color w:val="1155CC"/>
            <w:sz w:val="20"/>
            <w:szCs w:val="20"/>
            <w:u w:val="single"/>
          </w:rPr>
          <w:t>http://www.statistics.gov.lk/Resource/en/Population/CPH_2011/CPH_2012_5Per_Rpt.pdf</w:t>
        </w:r>
      </w:hyperlink>
      <w:r>
        <w:rPr>
          <w:rFonts w:ascii="Times New Roman" w:eastAsia="Times New Roman" w:hAnsi="Times New Roman" w:cs="Times New Roman"/>
          <w:sz w:val="20"/>
          <w:szCs w:val="20"/>
        </w:rPr>
        <w:t xml:space="preserve"> </w:t>
      </w:r>
    </w:p>
  </w:footnote>
  <w:footnote w:id="86">
    <w:p w14:paraId="000003D8"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5">
        <w:r>
          <w:rPr>
            <w:rFonts w:ascii="Times New Roman" w:eastAsia="Times New Roman" w:hAnsi="Times New Roman" w:cs="Times New Roman"/>
            <w:color w:val="1155CC"/>
            <w:sz w:val="20"/>
            <w:szCs w:val="20"/>
            <w:u w:val="single"/>
          </w:rPr>
          <w:t>https://childprotection.gov.lk/images/annual-reports/Progress__Performance_2020_Part_2.pdf</w:t>
        </w:r>
      </w:hyperlink>
      <w:r>
        <w:rPr>
          <w:rFonts w:ascii="Times New Roman" w:eastAsia="Times New Roman" w:hAnsi="Times New Roman" w:cs="Times New Roman"/>
          <w:sz w:val="20"/>
          <w:szCs w:val="20"/>
        </w:rPr>
        <w:t xml:space="preserve"> </w:t>
      </w:r>
    </w:p>
  </w:footnote>
  <w:footnote w:id="87">
    <w:p w14:paraId="000003D9"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Ministry of Buddhasasana, Religious and Cultural Affairs, National Integration, Social Security and Mass Media.</w:t>
      </w:r>
    </w:p>
  </w:footnote>
  <w:footnote w:id="88">
    <w:p w14:paraId="000003DA"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6">
        <w:r>
          <w:rPr>
            <w:rFonts w:ascii="Times New Roman" w:eastAsia="Times New Roman" w:hAnsi="Times New Roman" w:cs="Times New Roman"/>
            <w:color w:val="1155CC"/>
            <w:sz w:val="20"/>
            <w:szCs w:val="20"/>
            <w:u w:val="single"/>
          </w:rPr>
          <w:t>https://www.health.gov.lk/wp-content/uploads/2022/10/Health-Admin-HRH.pdf</w:t>
        </w:r>
      </w:hyperlink>
      <w:r>
        <w:rPr>
          <w:rFonts w:ascii="Times New Roman" w:eastAsia="Times New Roman" w:hAnsi="Times New Roman" w:cs="Times New Roman"/>
          <w:sz w:val="20"/>
          <w:szCs w:val="20"/>
        </w:rPr>
        <w:t xml:space="preserve"> </w:t>
      </w:r>
    </w:p>
  </w:footnote>
  <w:footnote w:id="89">
    <w:p w14:paraId="000003DB"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7">
        <w:r>
          <w:rPr>
            <w:rFonts w:ascii="Times New Roman" w:eastAsia="Times New Roman" w:hAnsi="Times New Roman" w:cs="Times New Roman"/>
            <w:color w:val="1155CC"/>
            <w:sz w:val="20"/>
            <w:szCs w:val="20"/>
            <w:u w:val="single"/>
          </w:rPr>
          <w:t>https://srilanka.unfpa.org/sites/default/files/pub-pdf/Maternal%20%26%20Newborn%20Strat%20Plan%20-%20FINAL15-12-17%20%282%29.pdf</w:t>
        </w:r>
      </w:hyperlink>
      <w:r>
        <w:rPr>
          <w:rFonts w:ascii="Times New Roman" w:eastAsia="Times New Roman" w:hAnsi="Times New Roman" w:cs="Times New Roman"/>
          <w:sz w:val="20"/>
          <w:szCs w:val="20"/>
        </w:rPr>
        <w:t xml:space="preserve"> </w:t>
      </w:r>
    </w:p>
  </w:footnote>
  <w:footnote w:id="90">
    <w:p w14:paraId="000003DC"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hyperlink r:id="rId88">
        <w:r>
          <w:rPr>
            <w:rFonts w:ascii="Times New Roman" w:eastAsia="Times New Roman" w:hAnsi="Times New Roman" w:cs="Times New Roman"/>
            <w:color w:val="0563C1"/>
            <w:sz w:val="20"/>
            <w:szCs w:val="20"/>
            <w:u w:val="single"/>
          </w:rPr>
          <w:t>https://www.unicef.org/media/152711/file/UNICEF%20Sri%20Lanka%20Country%20Office%20Annual%20Report%202023.pdf</w:t>
        </w:r>
      </w:hyperlink>
    </w:p>
  </w:footnote>
  <w:footnote w:id="91">
    <w:p w14:paraId="000003DD"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9">
        <w:r>
          <w:rPr>
            <w:rFonts w:ascii="Times New Roman" w:eastAsia="Times New Roman" w:hAnsi="Times New Roman" w:cs="Times New Roman"/>
            <w:color w:val="1155CC"/>
            <w:sz w:val="20"/>
            <w:szCs w:val="20"/>
            <w:u w:val="single"/>
          </w:rPr>
          <w:t>https://www.unicef.org/media/152711/file/UNICEF%20Sri%20Lanka%20Country%20Office%20Annual%20Report%202023.pdf</w:t>
        </w:r>
      </w:hyperlink>
      <w:r>
        <w:rPr>
          <w:rFonts w:ascii="Times New Roman" w:eastAsia="Times New Roman" w:hAnsi="Times New Roman" w:cs="Times New Roman"/>
          <w:sz w:val="20"/>
          <w:szCs w:val="20"/>
        </w:rPr>
        <w:t xml:space="preserve">, </w:t>
      </w:r>
    </w:p>
  </w:footnote>
  <w:footnote w:id="92">
    <w:p w14:paraId="000003DE"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hyperlink r:id="rId90">
        <w:r>
          <w:rPr>
            <w:rFonts w:ascii="Times New Roman" w:eastAsia="Times New Roman" w:hAnsi="Times New Roman" w:cs="Times New Roman"/>
            <w:color w:val="0563C1"/>
            <w:sz w:val="20"/>
            <w:szCs w:val="20"/>
            <w:u w:val="single"/>
          </w:rPr>
          <w:t>https://www.previousmoh.health.gov.lk/CMS/cmsmoh1/viewcircular.php?cno=01-01/2022&amp;med=english</w:t>
        </w:r>
      </w:hyperlink>
      <w:r>
        <w:rPr>
          <w:rFonts w:ascii="Times New Roman" w:eastAsia="Times New Roman" w:hAnsi="Times New Roman" w:cs="Times New Roman"/>
          <w:sz w:val="20"/>
          <w:szCs w:val="20"/>
        </w:rPr>
        <w:t xml:space="preserve"> </w:t>
      </w:r>
    </w:p>
  </w:footnote>
  <w:footnote w:id="93">
    <w:p w14:paraId="000003DF"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1">
        <w:r>
          <w:rPr>
            <w:rFonts w:ascii="Times New Roman" w:eastAsia="Times New Roman" w:hAnsi="Times New Roman" w:cs="Times New Roman"/>
            <w:color w:val="1155CC"/>
            <w:sz w:val="20"/>
            <w:szCs w:val="20"/>
            <w:u w:val="single"/>
          </w:rPr>
          <w:t>https://www.who.int/srilanka/news/detail/10-09-2022-creating-hope-through-action</w:t>
        </w:r>
      </w:hyperlink>
      <w:r>
        <w:rPr>
          <w:rFonts w:ascii="Times New Roman" w:eastAsia="Times New Roman" w:hAnsi="Times New Roman" w:cs="Times New Roman"/>
          <w:sz w:val="20"/>
          <w:szCs w:val="20"/>
        </w:rPr>
        <w:t xml:space="preserve">     </w:t>
      </w:r>
    </w:p>
  </w:footnote>
  <w:footnote w:id="94">
    <w:p w14:paraId="000003E0"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2">
        <w:r>
          <w:rPr>
            <w:rFonts w:ascii="Times New Roman" w:eastAsia="Times New Roman" w:hAnsi="Times New Roman" w:cs="Times New Roman"/>
            <w:color w:val="1155CC"/>
            <w:sz w:val="20"/>
            <w:szCs w:val="20"/>
            <w:u w:val="single"/>
          </w:rPr>
          <w:t>https://moe.gov.lk/wp-content/uploads/2020/07/Implementing-the-mental-health-sustainable-dev-goal-to-prevent-Suicide.pdf</w:t>
        </w:r>
      </w:hyperlink>
      <w:r>
        <w:rPr>
          <w:rFonts w:ascii="Times New Roman" w:eastAsia="Times New Roman" w:hAnsi="Times New Roman" w:cs="Times New Roman"/>
          <w:sz w:val="20"/>
          <w:szCs w:val="20"/>
        </w:rPr>
        <w:t xml:space="preserve">  </w:t>
      </w:r>
    </w:p>
  </w:footnote>
  <w:footnote w:id="95">
    <w:p w14:paraId="000003E1"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3">
        <w:r>
          <w:rPr>
            <w:rFonts w:ascii="Times New Roman" w:eastAsia="Times New Roman" w:hAnsi="Times New Roman" w:cs="Times New Roman"/>
            <w:color w:val="1155CC"/>
            <w:sz w:val="20"/>
            <w:szCs w:val="20"/>
            <w:u w:val="single"/>
          </w:rPr>
          <w:t>https://www.nddcb.gov.lk/Docs/acts/NATA%20Act%20English.pdf</w:t>
        </w:r>
      </w:hyperlink>
      <w:r>
        <w:rPr>
          <w:rFonts w:ascii="Times New Roman" w:eastAsia="Times New Roman" w:hAnsi="Times New Roman" w:cs="Times New Roman"/>
          <w:sz w:val="20"/>
          <w:szCs w:val="20"/>
        </w:rPr>
        <w:t xml:space="preserve"> </w:t>
      </w:r>
    </w:p>
  </w:footnote>
  <w:footnote w:id="96">
    <w:p w14:paraId="000003E2"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4">
        <w:r>
          <w:rPr>
            <w:rFonts w:ascii="Times New Roman" w:eastAsia="Times New Roman" w:hAnsi="Times New Roman" w:cs="Times New Roman"/>
            <w:color w:val="1155CC"/>
            <w:sz w:val="20"/>
            <w:szCs w:val="20"/>
            <w:u w:val="single"/>
          </w:rPr>
          <w:t>https://assets.tobaccocontrollaws.org/uploads/legislation/Sri%20Lanka/Sri-Lanka-MOE-Circular-No.-202020.pdf</w:t>
        </w:r>
      </w:hyperlink>
      <w:r>
        <w:rPr>
          <w:rFonts w:ascii="Times New Roman" w:eastAsia="Times New Roman" w:hAnsi="Times New Roman" w:cs="Times New Roman"/>
          <w:sz w:val="20"/>
          <w:szCs w:val="20"/>
        </w:rPr>
        <w:t xml:space="preserve"> </w:t>
      </w:r>
    </w:p>
  </w:footnote>
  <w:footnote w:id="97">
    <w:p w14:paraId="000003E3"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5">
        <w:r>
          <w:rPr>
            <w:rFonts w:ascii="Times New Roman" w:eastAsia="Times New Roman" w:hAnsi="Times New Roman" w:cs="Times New Roman"/>
            <w:color w:val="1155CC"/>
            <w:sz w:val="20"/>
            <w:szCs w:val="20"/>
            <w:u w:val="single"/>
          </w:rPr>
          <w:t>https://www.nddcb.gov.lk/preventive-education-and-training-unit.php</w:t>
        </w:r>
      </w:hyperlink>
    </w:p>
  </w:footnote>
  <w:footnote w:id="98">
    <w:p w14:paraId="000003E4"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6">
        <w:r>
          <w:rPr>
            <w:rFonts w:ascii="Times New Roman" w:eastAsia="Times New Roman" w:hAnsi="Times New Roman" w:cs="Times New Roman"/>
            <w:color w:val="0563C1"/>
            <w:sz w:val="20"/>
            <w:szCs w:val="20"/>
            <w:u w:val="single"/>
          </w:rPr>
          <w:t>https://www.unodc.org/southasia//frontpage/2024/July/sri-lanka_-unodc-rolls-out-groundbreaking-drug-use-prevention-strategies-and-capacity-building-of-stakeholders.html</w:t>
        </w:r>
      </w:hyperlink>
    </w:p>
  </w:footnote>
  <w:footnote w:id="99">
    <w:p w14:paraId="000003E5"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7">
        <w:r>
          <w:rPr>
            <w:rFonts w:ascii="Times New Roman" w:eastAsia="Times New Roman" w:hAnsi="Times New Roman" w:cs="Times New Roman"/>
            <w:color w:val="1155CC"/>
            <w:sz w:val="20"/>
            <w:szCs w:val="20"/>
            <w:u w:val="single"/>
          </w:rPr>
          <w:t>https://www.nddcb.gov.lk/Docs/pet/Status_Report_PET_December_2022.pdf</w:t>
        </w:r>
      </w:hyperlink>
      <w:r>
        <w:rPr>
          <w:rFonts w:ascii="Times New Roman" w:eastAsia="Times New Roman" w:hAnsi="Times New Roman" w:cs="Times New Roman"/>
          <w:sz w:val="20"/>
          <w:szCs w:val="20"/>
        </w:rPr>
        <w:t xml:space="preserve"> </w:t>
      </w:r>
    </w:p>
  </w:footnote>
  <w:footnote w:id="100">
    <w:p w14:paraId="000003E6"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8">
        <w:r>
          <w:rPr>
            <w:rFonts w:ascii="Times New Roman" w:eastAsia="Times New Roman" w:hAnsi="Times New Roman" w:cs="Times New Roman"/>
            <w:color w:val="1155CC"/>
            <w:sz w:val="20"/>
            <w:szCs w:val="20"/>
            <w:u w:val="single"/>
          </w:rPr>
          <w:t>https://www.nddcb.gov.lk/treatment-and-rehabilitation-division.php</w:t>
        </w:r>
      </w:hyperlink>
      <w:r>
        <w:rPr>
          <w:rFonts w:ascii="Times New Roman" w:eastAsia="Times New Roman" w:hAnsi="Times New Roman" w:cs="Times New Roman"/>
          <w:sz w:val="20"/>
          <w:szCs w:val="20"/>
        </w:rPr>
        <w:t xml:space="preserve"> </w:t>
      </w:r>
    </w:p>
  </w:footnote>
  <w:footnote w:id="101">
    <w:p w14:paraId="000003E7"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9">
        <w:r>
          <w:rPr>
            <w:rFonts w:ascii="Times New Roman" w:eastAsia="Times New Roman" w:hAnsi="Times New Roman" w:cs="Times New Roman"/>
            <w:color w:val="1155CC"/>
            <w:sz w:val="20"/>
            <w:szCs w:val="20"/>
            <w:u w:val="single"/>
          </w:rPr>
          <w:t>https://www.cbsl.gov.lk/sites/default/files/cbslweb_documents/publications/annual_report/2022/en/13_Box_05.pdf</w:t>
        </w:r>
      </w:hyperlink>
      <w:r>
        <w:rPr>
          <w:rFonts w:ascii="Times New Roman" w:eastAsia="Times New Roman" w:hAnsi="Times New Roman" w:cs="Times New Roman"/>
          <w:sz w:val="20"/>
          <w:szCs w:val="20"/>
        </w:rPr>
        <w:t xml:space="preserve"> </w:t>
      </w:r>
    </w:p>
  </w:footnote>
  <w:footnote w:id="102">
    <w:p w14:paraId="000003E8"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Summary Report- Nutrition Month, Family Health Bureau, Ministry of Health, June 2023</w:t>
      </w:r>
    </w:p>
  </w:footnote>
  <w:footnote w:id="103">
    <w:p w14:paraId="000003E9"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0">
        <w:r>
          <w:rPr>
            <w:rFonts w:ascii="Times New Roman" w:eastAsia="Times New Roman" w:hAnsi="Times New Roman" w:cs="Times New Roman"/>
            <w:color w:val="1155CC"/>
            <w:sz w:val="20"/>
            <w:szCs w:val="20"/>
            <w:u w:val="single"/>
          </w:rPr>
          <w:t>https://nutrition.health.gov.lk/wp-content/uploads/2022/08/Emergency-Nutrition-Plan-Final-Draft-25.07.2022.pdf</w:t>
        </w:r>
      </w:hyperlink>
      <w:r>
        <w:rPr>
          <w:rFonts w:ascii="Times New Roman" w:eastAsia="Times New Roman" w:hAnsi="Times New Roman" w:cs="Times New Roman"/>
          <w:sz w:val="20"/>
          <w:szCs w:val="20"/>
        </w:rPr>
        <w:t xml:space="preserve"> </w:t>
      </w:r>
    </w:p>
  </w:footnote>
  <w:footnote w:id="104">
    <w:p w14:paraId="000003EA"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1">
        <w:r>
          <w:rPr>
            <w:rFonts w:ascii="Times New Roman" w:eastAsia="Times New Roman" w:hAnsi="Times New Roman" w:cs="Times New Roman"/>
            <w:color w:val="1155CC"/>
            <w:sz w:val="20"/>
            <w:szCs w:val="20"/>
            <w:u w:val="single"/>
          </w:rPr>
          <w:t>http://www.climatechange.lk/CCS%20Policy/Climate_Change_Policy_English.pdf</w:t>
        </w:r>
      </w:hyperlink>
      <w:r>
        <w:rPr>
          <w:rFonts w:ascii="Times New Roman" w:eastAsia="Times New Roman" w:hAnsi="Times New Roman" w:cs="Times New Roman"/>
          <w:sz w:val="20"/>
          <w:szCs w:val="20"/>
        </w:rPr>
        <w:t xml:space="preserve"> </w:t>
      </w:r>
    </w:p>
  </w:footnote>
  <w:footnote w:id="105">
    <w:p w14:paraId="000003EB" w14:textId="77777777" w:rsidR="00A3739D" w:rsidRDefault="008D1A07">
      <w:pPr>
        <w:pBdr>
          <w:top w:val="nil"/>
          <w:left w:val="nil"/>
          <w:bottom w:val="nil"/>
          <w:right w:val="nil"/>
          <w:between w:val="nil"/>
        </w:pBdr>
        <w:tabs>
          <w:tab w:val="right" w:pos="1021"/>
        </w:tabs>
        <w:spacing w:after="0" w:line="220" w:lineRule="auto"/>
        <w:ind w:right="454"/>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sz w:val="20"/>
          <w:szCs w:val="20"/>
        </w:rPr>
        <w:t xml:space="preserve"> </w:t>
      </w:r>
      <w:hyperlink r:id="rId102">
        <w:r>
          <w:rPr>
            <w:rFonts w:ascii="Times New Roman" w:eastAsia="Times New Roman" w:hAnsi="Times New Roman" w:cs="Times New Roman"/>
            <w:color w:val="1155CC"/>
            <w:sz w:val="20"/>
            <w:szCs w:val="20"/>
            <w:u w:val="single"/>
          </w:rPr>
          <w:t>https://moe.gov.lk/wp-content/uploads/2021/10/CamScanner-10-05-2021-10.02-1.pdf</w:t>
        </w:r>
      </w:hyperlink>
      <w:r>
        <w:rPr>
          <w:rFonts w:ascii="Times New Roman" w:eastAsia="Times New Roman" w:hAnsi="Times New Roman" w:cs="Times New Roman"/>
          <w:sz w:val="20"/>
          <w:szCs w:val="20"/>
        </w:rPr>
        <w:t xml:space="preserve"> </w:t>
      </w:r>
    </w:p>
  </w:footnote>
  <w:footnote w:id="106">
    <w:p w14:paraId="000003EC" w14:textId="77777777" w:rsidR="00A3739D" w:rsidRDefault="008D1A07">
      <w:pPr>
        <w:spacing w:after="0"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3">
        <w:r>
          <w:rPr>
            <w:rFonts w:ascii="Times New Roman" w:eastAsia="Times New Roman" w:hAnsi="Times New Roman" w:cs="Times New Roman"/>
            <w:color w:val="0563C1"/>
            <w:sz w:val="20"/>
            <w:szCs w:val="20"/>
            <w:u w:val="single"/>
          </w:rPr>
          <w:t>https://www.unicef.org/srilanka/media/2336/file/Children%27s%20Declaration%20English%20version.pdf</w:t>
        </w:r>
      </w:hyperlink>
    </w:p>
  </w:footnote>
  <w:footnote w:id="107">
    <w:p w14:paraId="000003ED"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4">
        <w:r>
          <w:rPr>
            <w:rFonts w:ascii="Times New Roman" w:eastAsia="Times New Roman" w:hAnsi="Times New Roman" w:cs="Times New Roman"/>
            <w:color w:val="1155CC"/>
            <w:sz w:val="20"/>
            <w:szCs w:val="20"/>
            <w:u w:val="single"/>
          </w:rPr>
          <w:t>http://documents.gov.lk/files/egz/2023/4/2328-13_E.pdf</w:t>
        </w:r>
      </w:hyperlink>
      <w:r>
        <w:rPr>
          <w:rFonts w:ascii="Times New Roman" w:eastAsia="Times New Roman" w:hAnsi="Times New Roman" w:cs="Times New Roman"/>
          <w:sz w:val="20"/>
          <w:szCs w:val="20"/>
        </w:rPr>
        <w:t xml:space="preserve"> </w:t>
      </w:r>
    </w:p>
  </w:footnote>
  <w:footnote w:id="108">
    <w:p w14:paraId="000003EE" w14:textId="77777777" w:rsidR="00A3739D" w:rsidRDefault="008D1A07">
      <w:pPr>
        <w:pBdr>
          <w:top w:val="nil"/>
          <w:left w:val="nil"/>
          <w:bottom w:val="nil"/>
          <w:right w:val="nil"/>
          <w:between w:val="nil"/>
        </w:pBdr>
        <w:tabs>
          <w:tab w:val="right" w:pos="1021"/>
        </w:tabs>
        <w:spacing w:after="0" w:line="220" w:lineRule="auto"/>
        <w:ind w:left="180" w:right="454" w:hanging="180"/>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105">
        <w:r>
          <w:rPr>
            <w:rFonts w:ascii="Times New Roman" w:eastAsia="Times New Roman" w:hAnsi="Times New Roman" w:cs="Times New Roman"/>
            <w:color w:val="0563C1"/>
            <w:sz w:val="20"/>
            <w:szCs w:val="20"/>
            <w:u w:val="single"/>
          </w:rPr>
          <w:t>https://www.childwomenmin.gov.lk/index/menu/page/plans</w:t>
        </w:r>
      </w:hyperlink>
      <w:r>
        <w:rPr>
          <w:rFonts w:ascii="Times New Roman" w:eastAsia="Times New Roman" w:hAnsi="Times New Roman" w:cs="Times New Roman"/>
          <w:color w:val="000000"/>
          <w:sz w:val="20"/>
          <w:szCs w:val="20"/>
        </w:rPr>
        <w:t xml:space="preserve"> </w:t>
      </w:r>
    </w:p>
  </w:footnote>
  <w:footnote w:id="109">
    <w:p w14:paraId="000003EF"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6">
        <w:r>
          <w:rPr>
            <w:rFonts w:ascii="Times New Roman" w:eastAsia="Times New Roman" w:hAnsi="Times New Roman" w:cs="Times New Roman"/>
            <w:color w:val="1155CC"/>
            <w:sz w:val="20"/>
            <w:szCs w:val="20"/>
            <w:u w:val="single"/>
          </w:rPr>
          <w:t>https://moe.gov.lk/wp-content/uploads/2020/10/03_2020e.pdf</w:t>
        </w:r>
      </w:hyperlink>
      <w:r>
        <w:rPr>
          <w:rFonts w:ascii="Times New Roman" w:eastAsia="Times New Roman" w:hAnsi="Times New Roman" w:cs="Times New Roman"/>
          <w:sz w:val="20"/>
          <w:szCs w:val="20"/>
        </w:rPr>
        <w:t xml:space="preserve"> </w:t>
      </w:r>
    </w:p>
  </w:footnote>
  <w:footnote w:id="110">
    <w:p w14:paraId="000003F0"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7">
        <w:r>
          <w:rPr>
            <w:rFonts w:ascii="Times New Roman" w:eastAsia="Times New Roman" w:hAnsi="Times New Roman" w:cs="Times New Roman"/>
            <w:color w:val="1155CC"/>
            <w:sz w:val="20"/>
            <w:szCs w:val="20"/>
            <w:u w:val="single"/>
          </w:rPr>
          <w:t>https://www.adb.org/sites/default/files/project-documents/52203/52203-002-tar-en.pdf</w:t>
        </w:r>
      </w:hyperlink>
      <w:r>
        <w:rPr>
          <w:rFonts w:ascii="Times New Roman" w:eastAsia="Times New Roman" w:hAnsi="Times New Roman" w:cs="Times New Roman"/>
          <w:sz w:val="20"/>
          <w:szCs w:val="20"/>
        </w:rPr>
        <w:t xml:space="preserve"> </w:t>
      </w:r>
    </w:p>
  </w:footnote>
  <w:footnote w:id="111">
    <w:p w14:paraId="000003F1"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8">
        <w:r>
          <w:rPr>
            <w:rFonts w:ascii="Times New Roman" w:eastAsia="Times New Roman" w:hAnsi="Times New Roman" w:cs="Times New Roman"/>
            <w:color w:val="1155CC"/>
            <w:sz w:val="20"/>
            <w:szCs w:val="20"/>
            <w:u w:val="single"/>
          </w:rPr>
          <w:t>https://moe.gov.lk/wp-content/uploads/2020/07/1566461864-2019-2e.pdf</w:t>
        </w:r>
      </w:hyperlink>
      <w:r>
        <w:rPr>
          <w:rFonts w:ascii="Times New Roman" w:eastAsia="Times New Roman" w:hAnsi="Times New Roman" w:cs="Times New Roman"/>
          <w:sz w:val="20"/>
          <w:szCs w:val="20"/>
        </w:rPr>
        <w:t xml:space="preserve"> </w:t>
      </w:r>
    </w:p>
  </w:footnote>
  <w:footnote w:id="112">
    <w:p w14:paraId="000003F2"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09">
        <w:r>
          <w:rPr>
            <w:rFonts w:ascii="Times New Roman" w:eastAsia="Times New Roman" w:hAnsi="Times New Roman" w:cs="Times New Roman"/>
            <w:color w:val="1155CC"/>
            <w:sz w:val="20"/>
            <w:szCs w:val="20"/>
            <w:u w:val="single"/>
          </w:rPr>
          <w:t>https://childprotection.gov.lk/images/imu-publications/NDAP_SDG_NCPA_Final_2024.pdf</w:t>
        </w:r>
      </w:hyperlink>
      <w:r>
        <w:rPr>
          <w:rFonts w:ascii="Times New Roman" w:eastAsia="Times New Roman" w:hAnsi="Times New Roman" w:cs="Times New Roman"/>
          <w:sz w:val="20"/>
          <w:szCs w:val="20"/>
        </w:rPr>
        <w:t xml:space="preserve">  </w:t>
      </w:r>
    </w:p>
  </w:footnote>
  <w:footnote w:id="113">
    <w:p w14:paraId="000003F3"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w:t>
      </w:r>
      <w:hyperlink r:id="rId110">
        <w:r>
          <w:rPr>
            <w:rFonts w:ascii="Times New Roman" w:eastAsia="Times New Roman" w:hAnsi="Times New Roman" w:cs="Times New Roman"/>
            <w:color w:val="1155CC"/>
            <w:sz w:val="20"/>
            <w:szCs w:val="20"/>
            <w:u w:val="single"/>
          </w:rPr>
          <w:t>https://moe.gov.lk/ministry/special-projects/13-years-guaranteed-education/</w:t>
        </w:r>
      </w:hyperlink>
      <w:r>
        <w:rPr>
          <w:rFonts w:ascii="Times New Roman" w:eastAsia="Times New Roman" w:hAnsi="Times New Roman" w:cs="Times New Roman"/>
          <w:sz w:val="20"/>
          <w:szCs w:val="20"/>
        </w:rPr>
        <w:t xml:space="preserve"> </w:t>
      </w:r>
    </w:p>
  </w:footnote>
  <w:footnote w:id="114">
    <w:p w14:paraId="000003F4"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1">
        <w:r>
          <w:rPr>
            <w:rFonts w:ascii="Times New Roman" w:eastAsia="Times New Roman" w:hAnsi="Times New Roman" w:cs="Times New Roman"/>
            <w:color w:val="1155CC"/>
            <w:sz w:val="20"/>
            <w:szCs w:val="20"/>
            <w:u w:val="single"/>
          </w:rPr>
          <w:t>https://www.adb.org/sites/default/files/project-documents/52203/52203-002-tar-en.pdf</w:t>
        </w:r>
      </w:hyperlink>
      <w:r>
        <w:rPr>
          <w:rFonts w:ascii="Times New Roman" w:eastAsia="Times New Roman" w:hAnsi="Times New Roman" w:cs="Times New Roman"/>
          <w:sz w:val="20"/>
          <w:szCs w:val="20"/>
        </w:rPr>
        <w:t xml:space="preserve"> </w:t>
      </w:r>
    </w:p>
  </w:footnote>
  <w:footnote w:id="115">
    <w:p w14:paraId="000003F5"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2">
        <w:r>
          <w:rPr>
            <w:rFonts w:ascii="Times New Roman" w:eastAsia="Times New Roman" w:hAnsi="Times New Roman" w:cs="Times New Roman"/>
            <w:color w:val="1155CC"/>
            <w:sz w:val="20"/>
            <w:szCs w:val="20"/>
            <w:u w:val="single"/>
          </w:rPr>
          <w:t>https://moe.gov.lk/wp-content/uploads/2020/07/2015-05s.pdf</w:t>
        </w:r>
      </w:hyperlink>
      <w:r>
        <w:rPr>
          <w:rFonts w:ascii="Times New Roman" w:eastAsia="Times New Roman" w:hAnsi="Times New Roman" w:cs="Times New Roman"/>
          <w:sz w:val="20"/>
          <w:szCs w:val="20"/>
        </w:rPr>
        <w:t xml:space="preserve"> </w:t>
      </w:r>
    </w:p>
  </w:footnote>
  <w:footnote w:id="116">
    <w:p w14:paraId="000003F6"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3">
        <w:r>
          <w:rPr>
            <w:rFonts w:ascii="Times New Roman" w:eastAsia="Times New Roman" w:hAnsi="Times New Roman" w:cs="Times New Roman"/>
            <w:color w:val="1155CC"/>
            <w:sz w:val="20"/>
            <w:szCs w:val="20"/>
            <w:u w:val="single"/>
          </w:rPr>
          <w:t>https://moe.gov.lk/wp-content/uploads/2023/08/Grade-1-Circular-Sinhala.pdf</w:t>
        </w:r>
      </w:hyperlink>
    </w:p>
  </w:footnote>
  <w:footnote w:id="117">
    <w:p w14:paraId="000003F7"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4">
        <w:r>
          <w:rPr>
            <w:rFonts w:ascii="Times New Roman" w:eastAsia="Times New Roman" w:hAnsi="Times New Roman" w:cs="Times New Roman"/>
            <w:color w:val="1155CC"/>
            <w:sz w:val="20"/>
            <w:szCs w:val="20"/>
            <w:u w:val="single"/>
          </w:rPr>
          <w:t>https://moe.gov.lk/wp-content/uploads/2023/05/17.2023-English_rotated.pdf</w:t>
        </w:r>
      </w:hyperlink>
    </w:p>
  </w:footnote>
  <w:footnote w:id="118">
    <w:p w14:paraId="000003F8" w14:textId="77777777" w:rsidR="00A3739D" w:rsidRDefault="008D1A07">
      <w:pPr>
        <w:spacing w:after="0" w:line="240" w:lineRule="auto"/>
        <w:ind w:right="45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5">
        <w:r>
          <w:rPr>
            <w:rFonts w:ascii="Times New Roman" w:eastAsia="Times New Roman" w:hAnsi="Times New Roman" w:cs="Times New Roman"/>
            <w:color w:val="1155CC"/>
            <w:sz w:val="20"/>
            <w:szCs w:val="20"/>
            <w:u w:val="single"/>
          </w:rPr>
          <w:t>https://moe.gov.lk/wp-content/uploads/2020/07/2016-33s.pdf</w:t>
        </w:r>
      </w:hyperlink>
      <w:r>
        <w:rPr>
          <w:rFonts w:ascii="Times New Roman" w:eastAsia="Times New Roman" w:hAnsi="Times New Roman" w:cs="Times New Roman"/>
          <w:sz w:val="20"/>
          <w:szCs w:val="20"/>
        </w:rPr>
        <w:t xml:space="preserve"> </w:t>
      </w:r>
    </w:p>
  </w:footnote>
  <w:footnote w:id="119">
    <w:p w14:paraId="000003F9" w14:textId="77777777" w:rsidR="00A3739D" w:rsidRDefault="008D1A07">
      <w:pPr>
        <w:spacing w:after="0" w:line="240" w:lineRule="auto"/>
        <w:ind w:right="540"/>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6">
        <w:r>
          <w:rPr>
            <w:rFonts w:ascii="Times New Roman" w:eastAsia="Times New Roman" w:hAnsi="Times New Roman" w:cs="Times New Roman"/>
            <w:color w:val="1155CC"/>
            <w:sz w:val="20"/>
            <w:szCs w:val="20"/>
            <w:u w:val="single"/>
          </w:rPr>
          <w:t>https://www.parliament.lk/uploads/acts/gbills/english/6296.pdf</w:t>
        </w:r>
      </w:hyperlink>
    </w:p>
  </w:footnote>
  <w:footnote w:id="120">
    <w:p w14:paraId="000003FA"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7">
        <w:r>
          <w:rPr>
            <w:rFonts w:ascii="Times New Roman" w:eastAsia="Times New Roman" w:hAnsi="Times New Roman" w:cs="Times New Roman"/>
            <w:color w:val="1155CC"/>
            <w:sz w:val="20"/>
            <w:szCs w:val="20"/>
            <w:u w:val="single"/>
          </w:rPr>
          <w:t>https://employers.lk/wp-content/uploads/2021/12/5i_Hazardous-Occupations-Regulations-of-2021.pdf</w:t>
        </w:r>
      </w:hyperlink>
    </w:p>
  </w:footnote>
  <w:footnote w:id="121">
    <w:p w14:paraId="000003FB"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563C1"/>
          <w:sz w:val="20"/>
          <w:szCs w:val="20"/>
          <w:u w:val="single"/>
        </w:rPr>
        <w:t xml:space="preserve">https://nahttf.gov.lk/download/National-Action-Plan-to-Combat-Human-Trafficking.pdf </w:t>
      </w:r>
    </w:p>
  </w:footnote>
  <w:footnote w:id="122">
    <w:p w14:paraId="000003FC" w14:textId="77777777" w:rsidR="00A3739D" w:rsidRDefault="008D1A07">
      <w:pPr>
        <w:spacing w:after="0" w:line="240" w:lineRule="auto"/>
        <w:ind w:right="63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8">
        <w:r>
          <w:rPr>
            <w:rFonts w:ascii="Times New Roman" w:eastAsia="Times New Roman" w:hAnsi="Times New Roman" w:cs="Times New Roman"/>
            <w:color w:val="1155CC"/>
            <w:sz w:val="20"/>
            <w:szCs w:val="20"/>
            <w:u w:val="single"/>
          </w:rPr>
          <w:t>https://sherloc.unodc.org/cld/uploads/res/document/lka/1977/extradition_law_html/Sri_Lanka_Extradition_Act_1977.doc.pdf</w:t>
        </w:r>
      </w:hyperlink>
      <w:r>
        <w:rPr>
          <w:rFonts w:ascii="Times New Roman" w:eastAsia="Times New Roman" w:hAnsi="Times New Roman" w:cs="Times New Roman"/>
          <w:sz w:val="20"/>
          <w:szCs w:val="20"/>
        </w:rPr>
        <w:t xml:space="preserve"> </w:t>
      </w:r>
    </w:p>
  </w:footnote>
  <w:footnote w:id="123">
    <w:p w14:paraId="000003FD" w14:textId="77777777" w:rsidR="00A3739D" w:rsidRDefault="008D1A07">
      <w:pPr>
        <w:pBdr>
          <w:top w:val="nil"/>
          <w:left w:val="nil"/>
          <w:bottom w:val="nil"/>
          <w:right w:val="nil"/>
          <w:between w:val="nil"/>
        </w:pBdr>
        <w:tabs>
          <w:tab w:val="right" w:pos="180"/>
        </w:tabs>
        <w:spacing w:after="0" w:line="220" w:lineRule="auto"/>
        <w:ind w:right="113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9">
        <w:r>
          <w:rPr>
            <w:rFonts w:ascii="Times New Roman" w:eastAsia="Times New Roman" w:hAnsi="Times New Roman" w:cs="Times New Roman"/>
            <w:color w:val="1155CC"/>
            <w:sz w:val="20"/>
            <w:szCs w:val="20"/>
            <w:u w:val="single"/>
          </w:rPr>
          <w:t>http://documents.gov.lk/files/egz/2023/2/2319-30_E.pdf</w:t>
        </w:r>
      </w:hyperlink>
    </w:p>
  </w:footnote>
  <w:footnote w:id="124">
    <w:p w14:paraId="000003FE"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563C1"/>
          <w:sz w:val="20"/>
          <w:szCs w:val="20"/>
          <w:u w:val="single"/>
        </w:rPr>
        <w:t xml:space="preserve">https://nahttf.gov.lk/download/National-Action-Plan-to-Combat-Human-Trafficking.pdf </w:t>
      </w:r>
    </w:p>
  </w:footnote>
  <w:footnote w:id="125">
    <w:p w14:paraId="000003FF"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0">
        <w:r>
          <w:rPr>
            <w:rFonts w:ascii="Times New Roman" w:eastAsia="Times New Roman" w:hAnsi="Times New Roman" w:cs="Times New Roman"/>
            <w:color w:val="1155CC"/>
            <w:sz w:val="20"/>
            <w:szCs w:val="20"/>
            <w:u w:val="single"/>
          </w:rPr>
          <w:t>https://srilanka.savethechildren.net/sites/srilanka.savethechildren.net/files/library/SOP%20Book%20Final%20Artwork-compressed.pdf</w:t>
        </w:r>
      </w:hyperlink>
      <w:r>
        <w:rPr>
          <w:rFonts w:ascii="Times New Roman" w:eastAsia="Times New Roman" w:hAnsi="Times New Roman" w:cs="Times New Roman"/>
          <w:sz w:val="20"/>
          <w:szCs w:val="20"/>
        </w:rPr>
        <w:t xml:space="preserve"> </w:t>
      </w:r>
    </w:p>
  </w:footnote>
  <w:footnote w:id="126">
    <w:p w14:paraId="00000400" w14:textId="77777777" w:rsidR="00A3739D" w:rsidRDefault="008D1A07">
      <w:pPr>
        <w:shd w:val="clear" w:color="auto" w:fill="FFFFFF"/>
        <w:spacing w:after="0"/>
        <w:ind w:right="36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1">
        <w:r>
          <w:rPr>
            <w:rFonts w:ascii="Times New Roman" w:eastAsia="Times New Roman" w:hAnsi="Times New Roman" w:cs="Times New Roman"/>
            <w:color w:val="0563C1"/>
            <w:sz w:val="20"/>
            <w:szCs w:val="20"/>
            <w:u w:val="single"/>
          </w:rPr>
          <w:t>https://srilanka.iom.int/news/iom-launches-impact-project-combat-human-trafficking-sri-lanka</w:t>
        </w:r>
      </w:hyperlink>
    </w:p>
  </w:footnote>
  <w:footnote w:id="127">
    <w:p w14:paraId="00000401"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2">
        <w:r>
          <w:rPr>
            <w:rFonts w:ascii="Times New Roman" w:eastAsia="Times New Roman" w:hAnsi="Times New Roman" w:cs="Times New Roman"/>
            <w:color w:val="1155CC"/>
            <w:sz w:val="20"/>
            <w:szCs w:val="20"/>
            <w:u w:val="single"/>
          </w:rPr>
          <w:t>http://www.lawnet.gov.lk/wp-content/uploads/2019/12/10-2018_E.pdf</w:t>
        </w:r>
      </w:hyperlink>
      <w:r>
        <w:rPr>
          <w:rFonts w:ascii="Times New Roman" w:eastAsia="Times New Roman" w:hAnsi="Times New Roman" w:cs="Times New Roman"/>
          <w:sz w:val="20"/>
          <w:szCs w:val="20"/>
        </w:rPr>
        <w:t xml:space="preserve"> </w:t>
      </w:r>
    </w:p>
  </w:footnote>
  <w:footnote w:id="128">
    <w:p w14:paraId="00000402"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3">
        <w:r>
          <w:rPr>
            <w:rFonts w:ascii="Times New Roman" w:eastAsia="Times New Roman" w:hAnsi="Times New Roman" w:cs="Times New Roman"/>
            <w:color w:val="1155CC"/>
            <w:sz w:val="20"/>
            <w:szCs w:val="20"/>
            <w:u w:val="single"/>
          </w:rPr>
          <w:t>http://www.janasansadaya.org/uploads/files/sc_fr_677_2012.pdf</w:t>
        </w:r>
      </w:hyperlink>
      <w:r>
        <w:rPr>
          <w:rFonts w:ascii="Times New Roman" w:eastAsia="Times New Roman" w:hAnsi="Times New Roman" w:cs="Times New Roman"/>
          <w:sz w:val="20"/>
          <w:szCs w:val="20"/>
        </w:rPr>
        <w:t xml:space="preserve"> </w:t>
      </w:r>
    </w:p>
  </w:footnote>
  <w:footnote w:id="129">
    <w:p w14:paraId="00000403" w14:textId="77777777" w:rsidR="00A3739D" w:rsidRDefault="008D1A07">
      <w:pPr>
        <w:spacing w:after="0" w:line="240" w:lineRule="auto"/>
        <w:ind w:right="544"/>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4">
        <w:r>
          <w:rPr>
            <w:rFonts w:ascii="Times New Roman" w:eastAsia="Times New Roman" w:hAnsi="Times New Roman" w:cs="Times New Roman"/>
            <w:color w:val="1155CC"/>
            <w:sz w:val="20"/>
            <w:szCs w:val="20"/>
            <w:u w:val="single"/>
          </w:rPr>
          <w:t>https://www.judgesinstitute.lk/index.php/seminar</w:t>
        </w:r>
      </w:hyperlink>
      <w:r>
        <w:rPr>
          <w:rFonts w:ascii="Times New Roman" w:eastAsia="Times New Roman" w:hAnsi="Times New Roman" w:cs="Times New Roman"/>
          <w:sz w:val="20"/>
          <w:szCs w:val="20"/>
        </w:rPr>
        <w:t xml:space="preserve"> </w:t>
      </w:r>
    </w:p>
  </w:footnote>
  <w:footnote w:id="130">
    <w:p w14:paraId="00000404" w14:textId="77777777" w:rsidR="00A3739D" w:rsidRDefault="008D1A07">
      <w:pPr>
        <w:spacing w:after="0" w:line="360" w:lineRule="auto"/>
        <w:ind w:right="909"/>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Gazette 1580/5 (2008).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05" w14:textId="77777777" w:rsidR="00A3739D" w:rsidRDefault="00A3739D"/>
  <w:p w14:paraId="00000406" w14:textId="77777777" w:rsidR="00A3739D" w:rsidRDefault="00A3739D">
    <w:pPr>
      <w:widowControl w:val="0"/>
      <w:pBdr>
        <w:top w:val="nil"/>
        <w:left w:val="nil"/>
        <w:bottom w:val="nil"/>
        <w:right w:val="nil"/>
        <w:between w:val="nil"/>
      </w:pBdr>
      <w:spacing w:after="0" w:line="276"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02C9"/>
    <w:multiLevelType w:val="multilevel"/>
    <w:tmpl w:val="0CDCAF00"/>
    <w:lvl w:ilvl="0">
      <w:start w:val="1"/>
      <w:numFmt w:val="upperLetter"/>
      <w:lvlText w:val="%1."/>
      <w:lvlJc w:val="left"/>
      <w:pPr>
        <w:ind w:left="852" w:hanging="372"/>
      </w:pPr>
      <w:rPr>
        <w:b/>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 w15:restartNumberingAfterBreak="0">
    <w:nsid w:val="0DBF1C68"/>
    <w:multiLevelType w:val="multilevel"/>
    <w:tmpl w:val="F9C6BB46"/>
    <w:lvl w:ilvl="0">
      <w:start w:val="1"/>
      <w:numFmt w:val="decimal"/>
      <w:lvlText w:val="%1."/>
      <w:lvlJc w:val="left"/>
      <w:pPr>
        <w:ind w:left="720" w:hanging="173"/>
      </w:pPr>
      <w:rPr>
        <w:rFonts w:ascii="Times New Roman" w:eastAsia="Times New Roman" w:hAnsi="Times New Roman" w:cs="Times New Roman"/>
        <w:b w:val="0"/>
        <w:i w:val="0"/>
        <w:color w:val="000000"/>
        <w:sz w:val="20"/>
        <w:szCs w:val="20"/>
        <w:u w:val="none"/>
        <w:shd w:val="clear" w:color="auto" w:fill="auto"/>
      </w:rPr>
    </w:lvl>
    <w:lvl w:ilvl="1">
      <w:start w:val="1"/>
      <w:numFmt w:val="lowerLetter"/>
      <w:lvlText w:val="%2."/>
      <w:lvlJc w:val="left"/>
      <w:pPr>
        <w:ind w:left="1267" w:hanging="173"/>
      </w:pPr>
    </w:lvl>
    <w:lvl w:ilvl="2">
      <w:start w:val="1"/>
      <w:numFmt w:val="lowerRoman"/>
      <w:lvlText w:val="%3."/>
      <w:lvlJc w:val="right"/>
      <w:pPr>
        <w:ind w:left="1814" w:hanging="173"/>
      </w:pPr>
    </w:lvl>
    <w:lvl w:ilvl="3">
      <w:start w:val="1"/>
      <w:numFmt w:val="decimal"/>
      <w:lvlText w:val="%4."/>
      <w:lvlJc w:val="left"/>
      <w:pPr>
        <w:ind w:left="2361" w:hanging="173"/>
      </w:pPr>
    </w:lvl>
    <w:lvl w:ilvl="4">
      <w:start w:val="1"/>
      <w:numFmt w:val="lowerLetter"/>
      <w:lvlText w:val="%5."/>
      <w:lvlJc w:val="left"/>
      <w:pPr>
        <w:ind w:left="2908" w:hanging="173"/>
      </w:pPr>
    </w:lvl>
    <w:lvl w:ilvl="5">
      <w:start w:val="1"/>
      <w:numFmt w:val="lowerRoman"/>
      <w:lvlText w:val="%6."/>
      <w:lvlJc w:val="right"/>
      <w:pPr>
        <w:ind w:left="3455" w:hanging="173"/>
      </w:pPr>
    </w:lvl>
    <w:lvl w:ilvl="6">
      <w:start w:val="1"/>
      <w:numFmt w:val="decimal"/>
      <w:lvlText w:val="%7."/>
      <w:lvlJc w:val="left"/>
      <w:pPr>
        <w:ind w:left="4002" w:hanging="173"/>
      </w:pPr>
    </w:lvl>
    <w:lvl w:ilvl="7">
      <w:start w:val="1"/>
      <w:numFmt w:val="lowerLetter"/>
      <w:lvlText w:val="%8."/>
      <w:lvlJc w:val="left"/>
      <w:pPr>
        <w:ind w:left="4549" w:hanging="173"/>
      </w:pPr>
    </w:lvl>
    <w:lvl w:ilvl="8">
      <w:start w:val="1"/>
      <w:numFmt w:val="lowerRoman"/>
      <w:lvlText w:val="%9."/>
      <w:lvlJc w:val="right"/>
      <w:pPr>
        <w:ind w:left="5096" w:hanging="173"/>
      </w:pPr>
    </w:lvl>
  </w:abstractNum>
  <w:abstractNum w:abstractNumId="2" w15:restartNumberingAfterBreak="0">
    <w:nsid w:val="1873261B"/>
    <w:multiLevelType w:val="multilevel"/>
    <w:tmpl w:val="23D059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8026832">
    <w:abstractNumId w:val="1"/>
  </w:num>
  <w:num w:numId="2" w16cid:durableId="403336054">
    <w:abstractNumId w:val="0"/>
  </w:num>
  <w:num w:numId="3" w16cid:durableId="631518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39D"/>
    <w:rsid w:val="00055332"/>
    <w:rsid w:val="001B3E4A"/>
    <w:rsid w:val="002B65AB"/>
    <w:rsid w:val="00431B7E"/>
    <w:rsid w:val="004C7D9D"/>
    <w:rsid w:val="004E01D6"/>
    <w:rsid w:val="008D1A07"/>
    <w:rsid w:val="009C7D53"/>
    <w:rsid w:val="00A3739D"/>
    <w:rsid w:val="00D50C60"/>
    <w:rsid w:val="00F03F0A"/>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C1EF7"/>
  <w15:docId w15:val="{966E6CF2-B1C3-433E-AA4F-5EA94C11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tabs>
        <w:tab w:val="right" w:pos="851"/>
      </w:tabs>
      <w:spacing w:after="0" w:line="360" w:lineRule="auto"/>
      <w:ind w:left="852" w:right="540" w:hanging="372"/>
      <w:jc w:val="both"/>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pPr>
      <w:tabs>
        <w:tab w:val="right" w:pos="851"/>
      </w:tabs>
      <w:spacing w:after="0" w:line="360" w:lineRule="auto"/>
      <w:ind w:right="909"/>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
    <w:semiHidden/>
    <w:unhideWhenUsed/>
    <w:qFormat/>
    <w:pPr>
      <w:spacing w:after="0" w:line="240" w:lineRule="auto"/>
      <w:outlineLvl w:val="2"/>
    </w:pPr>
    <w:rPr>
      <w:rFonts w:ascii="Times New Roman" w:eastAsia="Times New Roman" w:hAnsi="Times New Roman" w:cs="Times New Roman"/>
      <w:sz w:val="20"/>
      <w:szCs w:val="2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rsid w:val="00F82D2F"/>
    <w:tblPr>
      <w:tblCellMar>
        <w:top w:w="0" w:type="dxa"/>
        <w:left w:w="0" w:type="dxa"/>
        <w:bottom w:w="0" w:type="dxa"/>
        <w:right w:w="0" w:type="dxa"/>
      </w:tblCellMar>
    </w:tblPr>
  </w:style>
  <w:style w:type="table" w:customStyle="1" w:styleId="TableNormal2">
    <w:name w:val="TableNormal"/>
    <w:rsid w:val="00F82D2F"/>
    <w:tblPr>
      <w:tblCellMar>
        <w:top w:w="0" w:type="dxa"/>
        <w:left w:w="0" w:type="dxa"/>
        <w:bottom w:w="0" w:type="dxa"/>
        <w:right w:w="0" w:type="dxa"/>
      </w:tblCellMar>
    </w:tblPr>
  </w:style>
  <w:style w:type="character" w:customStyle="1" w:styleId="Heading1Char">
    <w:name w:val="Heading 1 Char"/>
    <w:link w:val="Heading1"/>
    <w:uiPriority w:val="9"/>
    <w:rsid w:val="003A44BB"/>
    <w:rPr>
      <w:rFonts w:ascii="Times New Roman" w:eastAsia="SimSun" w:hAnsi="Times New Roman" w:cs="Times New Roman"/>
      <w:kern w:val="0"/>
      <w:sz w:val="20"/>
      <w:szCs w:val="20"/>
      <w:lang w:val="en-GB" w:eastAsia="zh-CN"/>
    </w:rPr>
  </w:style>
  <w:style w:type="character" w:customStyle="1" w:styleId="Heading2Char">
    <w:name w:val="Heading 2 Char"/>
    <w:link w:val="Heading2"/>
    <w:uiPriority w:val="9"/>
    <w:rsid w:val="003A44BB"/>
    <w:rPr>
      <w:rFonts w:ascii="Times New Roman" w:eastAsia="SimSun" w:hAnsi="Times New Roman" w:cs="Times New Roman"/>
      <w:kern w:val="0"/>
      <w:sz w:val="20"/>
      <w:szCs w:val="20"/>
      <w:lang w:val="en-GB" w:eastAsia="zh-CN"/>
    </w:rPr>
  </w:style>
  <w:style w:type="character" w:customStyle="1" w:styleId="Heading3Char">
    <w:name w:val="Heading 3 Char"/>
    <w:link w:val="Heading3"/>
    <w:uiPriority w:val="9"/>
    <w:rsid w:val="003A44BB"/>
    <w:rPr>
      <w:rFonts w:ascii="Times New Roman" w:eastAsia="SimSun" w:hAnsi="Times New Roman" w:cs="Times New Roman"/>
      <w:kern w:val="0"/>
      <w:sz w:val="20"/>
      <w:szCs w:val="20"/>
      <w:lang w:val="en-GB" w:eastAsia="zh-CN"/>
    </w:rPr>
  </w:style>
  <w:style w:type="paragraph" w:styleId="FootnoteText">
    <w:name w:val="footnote text"/>
    <w:aliases w:val="5_G"/>
    <w:basedOn w:val="Normal"/>
    <w:link w:val="FootnoteTextChar"/>
    <w:uiPriority w:val="99"/>
    <w:rsid w:val="003A44BB"/>
    <w:pPr>
      <w:tabs>
        <w:tab w:val="right" w:pos="1021"/>
      </w:tabs>
      <w:suppressAutoHyphens/>
      <w:spacing w:after="0" w:line="220" w:lineRule="exact"/>
      <w:ind w:left="1134" w:right="1134" w:hanging="1134"/>
    </w:pPr>
    <w:rPr>
      <w:rFonts w:ascii="Times New Roman" w:eastAsia="SimSun" w:hAnsi="Times New Roman" w:cs="Times New Roman"/>
      <w:sz w:val="18"/>
      <w:szCs w:val="20"/>
      <w:lang w:eastAsia="zh-CN"/>
    </w:rPr>
  </w:style>
  <w:style w:type="character" w:customStyle="1" w:styleId="FootnoteTextChar">
    <w:name w:val="Footnote Text Char"/>
    <w:aliases w:val="5_G Char"/>
    <w:link w:val="FootnoteText"/>
    <w:uiPriority w:val="99"/>
    <w:rsid w:val="003A44BB"/>
    <w:rPr>
      <w:rFonts w:ascii="Times New Roman" w:eastAsia="SimSun" w:hAnsi="Times New Roman" w:cs="Times New Roman"/>
      <w:kern w:val="0"/>
      <w:sz w:val="18"/>
      <w:szCs w:val="20"/>
      <w:lang w:val="en-GB" w:eastAsia="zh-CN"/>
    </w:rPr>
  </w:style>
  <w:style w:type="character" w:styleId="FootnoteReference">
    <w:name w:val="footnote reference"/>
    <w:aliases w:val="4_G"/>
    <w:uiPriority w:val="99"/>
    <w:rsid w:val="003A44BB"/>
    <w:rPr>
      <w:rFonts w:ascii="Times New Roman" w:hAnsi="Times New Roman"/>
      <w:sz w:val="18"/>
      <w:vertAlign w:val="superscript"/>
    </w:rPr>
  </w:style>
  <w:style w:type="character" w:styleId="Hyperlink">
    <w:name w:val="Hyperlink"/>
    <w:uiPriority w:val="99"/>
    <w:unhideWhenUsed/>
    <w:rsid w:val="003A44BB"/>
    <w:rPr>
      <w:color w:val="0563C1"/>
      <w:u w:val="single"/>
    </w:rPr>
  </w:style>
  <w:style w:type="paragraph" w:styleId="ListParagraph">
    <w:name w:val="List Paragraph"/>
    <w:aliases w:val="Figure/Table"/>
    <w:basedOn w:val="Normal"/>
    <w:link w:val="ListParagraphChar"/>
    <w:uiPriority w:val="34"/>
    <w:qFormat/>
    <w:rsid w:val="003A44BB"/>
    <w:pPr>
      <w:suppressAutoHyphens/>
      <w:spacing w:after="0" w:line="240" w:lineRule="atLeast"/>
      <w:ind w:left="720"/>
      <w:contextualSpacing/>
    </w:pPr>
    <w:rPr>
      <w:rFonts w:ascii="Times New Roman" w:eastAsia="Times New Roman" w:hAnsi="Times New Roman" w:cs="Times New Roman"/>
      <w:sz w:val="20"/>
      <w:szCs w:val="20"/>
    </w:rPr>
  </w:style>
  <w:style w:type="character" w:customStyle="1" w:styleId="ListParagraphChar">
    <w:name w:val="List Paragraph Char"/>
    <w:aliases w:val="Figure/Table Char"/>
    <w:link w:val="ListParagraph"/>
    <w:uiPriority w:val="34"/>
    <w:locked/>
    <w:rsid w:val="003A44BB"/>
    <w:rPr>
      <w:rFonts w:ascii="Times New Roman" w:eastAsia="Times New Roman" w:hAnsi="Times New Roman" w:cs="Times New Roman"/>
      <w:kern w:val="0"/>
      <w:sz w:val="20"/>
      <w:szCs w:val="20"/>
      <w:lang w:val="en-GB"/>
    </w:rPr>
  </w:style>
  <w:style w:type="paragraph" w:styleId="Revision">
    <w:name w:val="Revision"/>
    <w:hidden/>
    <w:uiPriority w:val="99"/>
    <w:semiHidden/>
    <w:rsid w:val="003A44BB"/>
    <w:rPr>
      <w:lang w:bidi="ta-IN"/>
    </w:rPr>
  </w:style>
  <w:style w:type="paragraph" w:customStyle="1" w:styleId="H23G">
    <w:name w:val="_ H_2/3_G"/>
    <w:basedOn w:val="Normal"/>
    <w:next w:val="Normal"/>
    <w:rsid w:val="003A44B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customStyle="1" w:styleId="SingleTxtG">
    <w:name w:val="_ Single Txt_G"/>
    <w:basedOn w:val="Normal"/>
    <w:rsid w:val="003A44BB"/>
    <w:pPr>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styleId="Header">
    <w:name w:val="header"/>
    <w:basedOn w:val="Normal"/>
    <w:link w:val="HeaderChar"/>
    <w:uiPriority w:val="99"/>
    <w:unhideWhenUsed/>
    <w:rsid w:val="00B16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887"/>
  </w:style>
  <w:style w:type="paragraph" w:styleId="Footer">
    <w:name w:val="footer"/>
    <w:basedOn w:val="Normal"/>
    <w:link w:val="FooterChar"/>
    <w:uiPriority w:val="99"/>
    <w:unhideWhenUsed/>
    <w:rsid w:val="00B16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887"/>
  </w:style>
  <w:style w:type="character" w:styleId="CommentReference">
    <w:name w:val="annotation reference"/>
    <w:uiPriority w:val="99"/>
    <w:semiHidden/>
    <w:unhideWhenUsed/>
    <w:rsid w:val="006C37D9"/>
    <w:rPr>
      <w:sz w:val="16"/>
      <w:szCs w:val="16"/>
    </w:rPr>
  </w:style>
  <w:style w:type="paragraph" w:styleId="CommentText">
    <w:name w:val="annotation text"/>
    <w:basedOn w:val="Normal"/>
    <w:link w:val="CommentTextChar"/>
    <w:uiPriority w:val="99"/>
    <w:unhideWhenUsed/>
    <w:rsid w:val="006C37D9"/>
    <w:pPr>
      <w:spacing w:line="240" w:lineRule="auto"/>
    </w:pPr>
    <w:rPr>
      <w:sz w:val="20"/>
      <w:szCs w:val="20"/>
    </w:rPr>
  </w:style>
  <w:style w:type="character" w:customStyle="1" w:styleId="CommentTextChar">
    <w:name w:val="Comment Text Char"/>
    <w:link w:val="CommentText"/>
    <w:uiPriority w:val="99"/>
    <w:rsid w:val="006C37D9"/>
    <w:rPr>
      <w:sz w:val="20"/>
      <w:szCs w:val="20"/>
    </w:rPr>
  </w:style>
  <w:style w:type="paragraph" w:styleId="CommentSubject">
    <w:name w:val="annotation subject"/>
    <w:basedOn w:val="CommentText"/>
    <w:next w:val="CommentText"/>
    <w:link w:val="CommentSubjectChar"/>
    <w:uiPriority w:val="99"/>
    <w:semiHidden/>
    <w:unhideWhenUsed/>
    <w:rsid w:val="006C37D9"/>
    <w:rPr>
      <w:b/>
      <w:bCs/>
    </w:rPr>
  </w:style>
  <w:style w:type="character" w:customStyle="1" w:styleId="CommentSubjectChar">
    <w:name w:val="Comment Subject Char"/>
    <w:link w:val="CommentSubject"/>
    <w:uiPriority w:val="99"/>
    <w:semiHidden/>
    <w:rsid w:val="006C37D9"/>
    <w:rPr>
      <w:b/>
      <w:bCs/>
      <w:sz w:val="20"/>
      <w:szCs w:val="20"/>
    </w:rPr>
  </w:style>
  <w:style w:type="character" w:customStyle="1" w:styleId="UnresolvedMention1">
    <w:name w:val="Unresolved Mention1"/>
    <w:uiPriority w:val="99"/>
    <w:semiHidden/>
    <w:unhideWhenUsed/>
    <w:rsid w:val="00786191"/>
    <w:rPr>
      <w:color w:val="605E5C"/>
      <w:shd w:val="clear" w:color="auto" w:fill="E1DFDD"/>
    </w:rPr>
  </w:style>
  <w:style w:type="character" w:styleId="FollowedHyperlink">
    <w:name w:val="FollowedHyperlink"/>
    <w:basedOn w:val="DefaultParagraphFont"/>
    <w:uiPriority w:val="99"/>
    <w:semiHidden/>
    <w:unhideWhenUsed/>
    <w:rsid w:val="00F06DE8"/>
    <w:rPr>
      <w:color w:val="954F72" w:themeColor="followedHyperlink"/>
      <w:u w:val="single"/>
    </w:rPr>
  </w:style>
  <w:style w:type="paragraph" w:styleId="BalloonText">
    <w:name w:val="Balloon Text"/>
    <w:basedOn w:val="Normal"/>
    <w:link w:val="BalloonTextChar"/>
    <w:uiPriority w:val="99"/>
    <w:semiHidden/>
    <w:unhideWhenUsed/>
    <w:rsid w:val="006233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3E3"/>
    <w:rPr>
      <w:rFonts w:ascii="Tahoma" w:hAnsi="Tahoma" w:cs="Tahoma"/>
      <w:sz w:val="16"/>
      <w:szCs w:val="16"/>
      <w:lang w:val="en-GB" w:bidi="ta-IN"/>
    </w:rPr>
  </w:style>
  <w:style w:type="character" w:customStyle="1" w:styleId="UnresolvedMention2">
    <w:name w:val="Unresolved Mention2"/>
    <w:basedOn w:val="DefaultParagraphFont"/>
    <w:uiPriority w:val="99"/>
    <w:semiHidden/>
    <w:unhideWhenUsed/>
    <w:rsid w:val="00F1167A"/>
    <w:rPr>
      <w:color w:val="605E5C"/>
      <w:shd w:val="clear" w:color="auto" w:fill="E1DFDD"/>
    </w:rPr>
  </w:style>
  <w:style w:type="paragraph" w:styleId="NormalWeb">
    <w:name w:val="Normal (Web)"/>
    <w:basedOn w:val="Normal"/>
    <w:uiPriority w:val="99"/>
    <w:semiHidden/>
    <w:unhideWhenUsed/>
    <w:rsid w:val="00DC4C0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6A6AC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parliament.lk/files/pdf/budget/2025/budget-speech-2025.pdf" TargetMode="External"/><Relationship Id="rId117" Type="http://schemas.openxmlformats.org/officeDocument/2006/relationships/hyperlink" Target="https://employers.lk/wp-content/uploads/2021/12/5i_Hazardous-Occupations-Regulations-of-2021.pdf" TargetMode="External"/><Relationship Id="rId21" Type="http://schemas.openxmlformats.org/officeDocument/2006/relationships/hyperlink" Target="https://drive.google.com/file/d/1crR1v6f81fdvmMfDF--81Sq7iR3ozYaE/view?usp=drive_link" TargetMode="External"/><Relationship Id="rId42" Type="http://schemas.openxmlformats.org/officeDocument/2006/relationships/hyperlink" Target="https://fhb.health.gov.lk/index.php/en/statistics/statistics-2" TargetMode="External"/><Relationship Id="rId47" Type="http://schemas.openxmlformats.org/officeDocument/2006/relationships/hyperlink" Target="https://docs.google.com/document/d/1KQ6asm4zFsTgcOupw90GrEf1cJOmW8RS/edit" TargetMode="External"/><Relationship Id="rId63" Type="http://schemas.openxmlformats.org/officeDocument/2006/relationships/hyperlink" Target="https://www.parliament.lk/uploads/acts/gbills/english/6279.pdf" TargetMode="External"/><Relationship Id="rId68" Type="http://schemas.openxmlformats.org/officeDocument/2006/relationships/hyperlink" Target="https://www.janasansadaya.org/uploads/files/sc_fr_139_12%20Matale%20FR.pdf" TargetMode="External"/><Relationship Id="rId84" Type="http://schemas.openxmlformats.org/officeDocument/2006/relationships/hyperlink" Target="http://www.statistics.gov.lk/Resource/en/Population/CPH_2011/CPH_2012_5Per_Rpt.pdf" TargetMode="External"/><Relationship Id="rId89" Type="http://schemas.openxmlformats.org/officeDocument/2006/relationships/hyperlink" Target="https://www.unicef.org/media/152711/file/UNICEF%20Sri%20Lanka%20Country%20Office%20Annual%20Report%202023.pdf" TargetMode="External"/><Relationship Id="rId112" Type="http://schemas.openxmlformats.org/officeDocument/2006/relationships/hyperlink" Target="https://moe.gov.lk/wp-content/uploads/2020/07/2015-05s.pdf" TargetMode="External"/><Relationship Id="rId16" Type="http://schemas.openxmlformats.org/officeDocument/2006/relationships/hyperlink" Target="https://www.defence.lk/Article/view_article/4718" TargetMode="External"/><Relationship Id="rId107" Type="http://schemas.openxmlformats.org/officeDocument/2006/relationships/hyperlink" Target="https://www.adb.org/sites/default/files/project-documents/52203/52203-002-tar-en.pdf" TargetMode="External"/><Relationship Id="rId11" Type="http://schemas.openxmlformats.org/officeDocument/2006/relationships/hyperlink" Target="https://childprotection.gov.lk/images/pdfs/acts-guidelines/2020.12.31%20National%20Policy%20on%20Child%20Protection.pdf" TargetMode="External"/><Relationship Id="rId32" Type="http://schemas.openxmlformats.org/officeDocument/2006/relationships/hyperlink" Target="https://childprotection.gov.lk/en/resource-centre/statistics-3" TargetMode="External"/><Relationship Id="rId37" Type="http://schemas.openxmlformats.org/officeDocument/2006/relationships/hyperlink" Target="https://www.statistics.gov.lk/OtherCensusandSurveys/StaticalInformation/Census/CensusofChildreninChildCareInstitutions2019Final" TargetMode="External"/><Relationship Id="rId53" Type="http://schemas.openxmlformats.org/officeDocument/2006/relationships/hyperlink" Target="https://govdoc.lk/grade-6-civic-education-text-book" TargetMode="External"/><Relationship Id="rId58" Type="http://schemas.openxmlformats.org/officeDocument/2006/relationships/hyperlink" Target="https://www.nddcb.gov.lk/Docs/acts/NATA%20Act%20English.pdf" TargetMode="External"/><Relationship Id="rId74" Type="http://schemas.openxmlformats.org/officeDocument/2006/relationships/hyperlink" Target="https://tbinternet.ohchr.org/_layouts/15/treatybodyexternal/Download.aspx?symbolno=INT%2FCAT%2FAIS%2FLKA%2F25884&amp;Lang=en" TargetMode="External"/><Relationship Id="rId79" Type="http://schemas.openxmlformats.org/officeDocument/2006/relationships/hyperlink" Target="https://srilanka.unfpa.org/sites/default/files/resource-pdf/17th_aug_gender_handbook.pdf" TargetMode="External"/><Relationship Id="rId102" Type="http://schemas.openxmlformats.org/officeDocument/2006/relationships/hyperlink" Target="https://moe.gov.lk/wp-content/uploads/2021/10/CamScanner-10-05-2021-10.02-1.pdf" TargetMode="External"/><Relationship Id="rId123" Type="http://schemas.openxmlformats.org/officeDocument/2006/relationships/hyperlink" Target="http://www.janasansadaya.org/uploads/files/sc_fr_677_2012.pdf" TargetMode="External"/><Relationship Id="rId5" Type="http://schemas.openxmlformats.org/officeDocument/2006/relationships/hyperlink" Target="https://www.legal-tools.org/doc/x3a0yc/pdf" TargetMode="External"/><Relationship Id="rId90" Type="http://schemas.openxmlformats.org/officeDocument/2006/relationships/hyperlink" Target="https://www.previousmoh.health.gov.lk/CMS/cmsmoh1/viewcircular.php?cno=01-01/2022&amp;med=english" TargetMode="External"/><Relationship Id="rId95" Type="http://schemas.openxmlformats.org/officeDocument/2006/relationships/hyperlink" Target="https://www.nddcb.gov.lk/preventive-education-and-training-unit.php" TargetMode="External"/><Relationship Id="rId22" Type="http://schemas.openxmlformats.org/officeDocument/2006/relationships/hyperlink" Target="https://www.health.gov.lk/wp-content/uploads/2022/10/Health-Admin-HRH.pdf" TargetMode="External"/><Relationship Id="rId27" Type="http://schemas.openxmlformats.org/officeDocument/2006/relationships/hyperlink" Target="https://www.mohe.gov.lk/index.php?option=com_content&amp;view=article&amp;id=66&amp;Itemid=123&amp;lang=en" TargetMode="External"/><Relationship Id="rId43" Type="http://schemas.openxmlformats.org/officeDocument/2006/relationships/hyperlink" Target="https://drive.google.com/file/d/1MOElBzjwYkYbkZRZxXRth1rcUNoKUq0h/view" TargetMode="External"/><Relationship Id="rId48" Type="http://schemas.openxmlformats.org/officeDocument/2006/relationships/hyperlink" Target="https://www.hrcsl.lk/ganhri-sub-committee-on-accreditation-recommends-that-hrcsl-be-reaccredited-with-a-status/" TargetMode="External"/><Relationship Id="rId64" Type="http://schemas.openxmlformats.org/officeDocument/2006/relationships/hyperlink" Target="https://www.moj.gov.lk/images/2023/muslim-Marriage&amp;Devorce.pdf" TargetMode="External"/><Relationship Id="rId69" Type="http://schemas.openxmlformats.org/officeDocument/2006/relationships/hyperlink" Target="https://www.defence.lk/Article/view_article/27375" TargetMode="External"/><Relationship Id="rId113" Type="http://schemas.openxmlformats.org/officeDocument/2006/relationships/hyperlink" Target="https://moe.gov.lk/wp-content/uploads/2023/08/Grade-1-Circular-Sinhala.pdf" TargetMode="External"/><Relationship Id="rId118" Type="http://schemas.openxmlformats.org/officeDocument/2006/relationships/hyperlink" Target="https://sherloc.unodc.org/cld/uploads/res/document/lka/1977/extradition_law_html/Sri_Lanka_Extradition_Act_1977.doc.pdf" TargetMode="External"/><Relationship Id="rId80" Type="http://schemas.openxmlformats.org/officeDocument/2006/relationships/hyperlink" Target="http://www.health.gov.lk/CMS/cmsmoh1/circulars.php" TargetMode="External"/><Relationship Id="rId85" Type="http://schemas.openxmlformats.org/officeDocument/2006/relationships/hyperlink" Target="https://childprotection.gov.lk/images/annual-reports/Progress__Performance_2020_Part_2.pdf" TargetMode="External"/><Relationship Id="rId12" Type="http://schemas.openxmlformats.org/officeDocument/2006/relationships/hyperlink" Target="https://probation.gov.lk/documents/downloads/Draft%20Alternative%20Care%20Policy.pdf" TargetMode="External"/><Relationship Id="rId17" Type="http://schemas.openxmlformats.org/officeDocument/2006/relationships/hyperlink" Target="https://srilanka.unfpa.org/sites/default/files/pub-pdf/sri_lanka_national_policy_gewe_english.pdf" TargetMode="External"/><Relationship Id="rId33" Type="http://schemas.openxmlformats.org/officeDocument/2006/relationships/hyperlink" Target="https://www.srilankalaw.lk/gazette/2018_pdf/19-2018_E.pdf" TargetMode="External"/><Relationship Id="rId38" Type="http://schemas.openxmlformats.org/officeDocument/2006/relationships/hyperlink" Target="https://www.attorneygeneral.gov.lk/?page_id=1502" TargetMode="External"/><Relationship Id="rId59" Type="http://schemas.openxmlformats.org/officeDocument/2006/relationships/hyperlink" Target="https://childprotection.gov.lk/images/pdfs/acts-guidelines/Daycare%20Guide%20Line-Final-English-2019.11.04.pdf" TargetMode="External"/><Relationship Id="rId103" Type="http://schemas.openxmlformats.org/officeDocument/2006/relationships/hyperlink" Target="https://www.unicef.org/srilanka/media/2336/file/Children%27s%20Declaration%20English%20version.pdf" TargetMode="External"/><Relationship Id="rId108" Type="http://schemas.openxmlformats.org/officeDocument/2006/relationships/hyperlink" Target="https://moe.gov.lk/wp-content/uploads/2020/07/1566461864-2019-2e.pdf" TargetMode="External"/><Relationship Id="rId124" Type="http://schemas.openxmlformats.org/officeDocument/2006/relationships/hyperlink" Target="https://www.judgesinstitute.lk/index.php/seminar" TargetMode="External"/><Relationship Id="rId54" Type="http://schemas.openxmlformats.org/officeDocument/2006/relationships/hyperlink" Target="https://cshr.cmb.ac.lk/education/postgraduate-diploma-in-child-protection-and-rights-pgdipcpr/" TargetMode="External"/><Relationship Id="rId70" Type="http://schemas.openxmlformats.org/officeDocument/2006/relationships/hyperlink" Target="https://childprotection.gov.lk/images/pdfs/handbooks/Shiksha%20Book%20final%20for%20web%20-%202019.9.3.pdf" TargetMode="External"/><Relationship Id="rId75" Type="http://schemas.openxmlformats.org/officeDocument/2006/relationships/hyperlink" Target="http://www.statistics.gov.lk/Resource/refference/WWS_2019_Final_Report" TargetMode="External"/><Relationship Id="rId91" Type="http://schemas.openxmlformats.org/officeDocument/2006/relationships/hyperlink" Target="https://www.who.int/srilanka/news/detail/10-09-2022-creating-hope-through-action" TargetMode="External"/><Relationship Id="rId96" Type="http://schemas.openxmlformats.org/officeDocument/2006/relationships/hyperlink" Target="https://www.unodc.org/southasia//frontpage/2024/July/sri-lanka_-unodc-rolls-out-groundbreaking-drug-use-prevention-strategies-and-capacity-building-of-stakeholders.html" TargetMode="External"/><Relationship Id="rId1" Type="http://schemas.openxmlformats.org/officeDocument/2006/relationships/hyperlink" Target="https://onlineexams.gov.lk/onlineapps/" TargetMode="External"/><Relationship Id="rId6" Type="http://schemas.openxmlformats.org/officeDocument/2006/relationships/hyperlink" Target="https://www.parliament.lk/uploads/acts/gbills/english/6348.pdf" TargetMode="External"/><Relationship Id="rId23" Type="http://schemas.openxmlformats.org/officeDocument/2006/relationships/hyperlink" Target="https://srilanka.unfpa.org/sites/default/files/pub-pdf/Maternal%20%26%20Newborn%20Strat%20Plan%20-%20FINAL15-12-17%20%282%29.pdf" TargetMode="External"/><Relationship Id="rId28" Type="http://schemas.openxmlformats.org/officeDocument/2006/relationships/hyperlink" Target="https://www.parliament.lk/uploads/documents/paperspresented/1670907610094211.pdf" TargetMode="External"/><Relationship Id="rId49" Type="http://schemas.openxmlformats.org/officeDocument/2006/relationships/hyperlink" Target="https://www.hrcsl.lk/wp-content/uploads/2025/06/Strengthening-Child-Rights-in-Sri-Lanka.pdf" TargetMode="External"/><Relationship Id="rId114" Type="http://schemas.openxmlformats.org/officeDocument/2006/relationships/hyperlink" Target="https://moe.gov.lk/wp-content/uploads/2023/05/17.2023-English_rotated.pdf" TargetMode="External"/><Relationship Id="rId119" Type="http://schemas.openxmlformats.org/officeDocument/2006/relationships/hyperlink" Target="http://documents.gov.lk/files/egz/2023/2/2319-30_E.pdf" TargetMode="External"/><Relationship Id="rId44" Type="http://schemas.openxmlformats.org/officeDocument/2006/relationships/hyperlink" Target="https://fhb.health.gov.lk/stat_dashboard_fhb.html" TargetMode="External"/><Relationship Id="rId60" Type="http://schemas.openxmlformats.org/officeDocument/2006/relationships/hyperlink" Target="https://labourdept.gov.lk/wp-content/uploads/2024/11/Employers-who-have-pledged-to-eliminate-child-labour.pdf" TargetMode="External"/><Relationship Id="rId65" Type="http://schemas.openxmlformats.org/officeDocument/2006/relationships/hyperlink" Target="https://www.parliament.lk/uploads/acts/gbills/english/6231.pdf" TargetMode="External"/><Relationship Id="rId81" Type="http://schemas.openxmlformats.org/officeDocument/2006/relationships/hyperlink" Target="https://www.unicef.org/rosa/media/25271/file/South%20Asia%20-%20Regional%20Child%20Marriage%20Profile.pdf" TargetMode="External"/><Relationship Id="rId86" Type="http://schemas.openxmlformats.org/officeDocument/2006/relationships/hyperlink" Target="https://www.health.gov.lk/wp-content/uploads/2022/10/Health-Admin-HRH.pdf" TargetMode="External"/><Relationship Id="rId4" Type="http://schemas.openxmlformats.org/officeDocument/2006/relationships/hyperlink" Target="https://pmd.gov.lk/news/world-childrens-day-2024/" TargetMode="External"/><Relationship Id="rId9" Type="http://schemas.openxmlformats.org/officeDocument/2006/relationships/hyperlink" Target="https://www.parliament.lk/uploads/acts/gbills/english/6227.pdf" TargetMode="External"/><Relationship Id="rId13" Type="http://schemas.openxmlformats.org/officeDocument/2006/relationships/hyperlink" Target="https://childprotection.gov.lk/images/pdfs/acts-guidelines/Daycare%20Guide%20Line-Final-English-2019.11.04.pdf" TargetMode="External"/><Relationship Id="rId18" Type="http://schemas.openxmlformats.org/officeDocument/2006/relationships/hyperlink" Target="https://moe.gov.lk/wp-content/uploads/2021/11/General-Education-Sector-Development-Plan-2021-2025-1.pdf" TargetMode="External"/><Relationship Id="rId39" Type="http://schemas.openxmlformats.org/officeDocument/2006/relationships/hyperlink" Target="https://www.attorneygeneral.gov.lk/?page_id=1367" TargetMode="External"/><Relationship Id="rId109" Type="http://schemas.openxmlformats.org/officeDocument/2006/relationships/hyperlink" Target="https://childprotection.gov.lk/images/imu-publications/NDAP_SDG_NCPA_Final_2024.pdf" TargetMode="External"/><Relationship Id="rId34" Type="http://schemas.openxmlformats.org/officeDocument/2006/relationships/hyperlink" Target="https://parliament.lk/uploads/acts/gbills/english/6296.pdf" TargetMode="External"/><Relationship Id="rId50" Type="http://schemas.openxmlformats.org/officeDocument/2006/relationships/hyperlink" Target="https://www.hrcsl.lk/hrcsl-calls-for-applications-childrens-voice-forum/" TargetMode="External"/><Relationship Id="rId55" Type="http://schemas.openxmlformats.org/officeDocument/2006/relationships/hyperlink" Target="https://docs.google.com/document/d/1J63zHstFR4zhT_h8ZBJG8ujNq7xqpocF/edit" TargetMode="External"/><Relationship Id="rId76" Type="http://schemas.openxmlformats.org/officeDocument/2006/relationships/hyperlink" Target="http://www.childwomenmin.gov.lk/storage/app/media/Final%20SGBV%20Referral%20Guidelines_%20English-EDT%2024.05.2021_hg_compressed.pdf" TargetMode="External"/><Relationship Id="rId97" Type="http://schemas.openxmlformats.org/officeDocument/2006/relationships/hyperlink" Target="https://www.nddcb.gov.lk/Docs/pet/Status_Report_PET_December_2022.pdf" TargetMode="External"/><Relationship Id="rId104" Type="http://schemas.openxmlformats.org/officeDocument/2006/relationships/hyperlink" Target="http://documents.gov.lk/files/egz/2023/4/2328-13_E.pdf" TargetMode="External"/><Relationship Id="rId120" Type="http://schemas.openxmlformats.org/officeDocument/2006/relationships/hyperlink" Target="https://srilanka.savethechildren.net/sites/srilanka.savethechildren.net/files/library/SOP%20Book%20Final%20Artwork-compressed.pdf" TargetMode="External"/><Relationship Id="rId7" Type="http://schemas.openxmlformats.org/officeDocument/2006/relationships/hyperlink" Target="https://www.lawnet.gov.lk/marriage-and-divorce-kandyan-4/" TargetMode="External"/><Relationship Id="rId71" Type="http://schemas.openxmlformats.org/officeDocument/2006/relationships/hyperlink" Target="https://report.iwf.org.uk/lk_en/" TargetMode="External"/><Relationship Id="rId92" Type="http://schemas.openxmlformats.org/officeDocument/2006/relationships/hyperlink" Target="https://moe.gov.lk/wp-content/uploads/2020/07/Implementing-the-mental-health-sustainable-dev-goal-to-prevent-Suicide.pdf" TargetMode="External"/><Relationship Id="rId2" Type="http://schemas.openxmlformats.org/officeDocument/2006/relationships/hyperlink" Target="https://moe.gov.lk/2020/11/" TargetMode="External"/><Relationship Id="rId29" Type="http://schemas.openxmlformats.org/officeDocument/2006/relationships/hyperlink" Target="https://www.health.gov.lk/wp-content/uploads/2023/12/P-P-Report-2023-English_compressed.pdf" TargetMode="External"/><Relationship Id="rId24" Type="http://schemas.openxmlformats.org/officeDocument/2006/relationships/hyperlink" Target="https://platform.who.int/docs/default-source/mca-documents/policy-documents/plan-strategy/LKA-AD-17-01-PLAN-STRATEGY-2018-eng-Adolescent-and-Youth-Health-Strategic-Plan-2018-2025.pdf" TargetMode="External"/><Relationship Id="rId40" Type="http://schemas.openxmlformats.org/officeDocument/2006/relationships/hyperlink" Target="https://www.attorneygeneral.gov.lk/?page_id=1513" TargetMode="External"/><Relationship Id="rId45" Type="http://schemas.openxmlformats.org/officeDocument/2006/relationships/hyperlink" Target="http://www.statistics.gov.lk/Resource/en/IncomeAndExpenditure/HouseholdIncomeandExpenditureSurvey2019FinalResults.pdf" TargetMode="External"/><Relationship Id="rId66" Type="http://schemas.openxmlformats.org/officeDocument/2006/relationships/hyperlink" Target="https://www.news.lk/current-affairs/sri-lanka-introduces-landmark-food-beverage-regulations" TargetMode="External"/><Relationship Id="rId87" Type="http://schemas.openxmlformats.org/officeDocument/2006/relationships/hyperlink" Target="https://srilanka.unfpa.org/sites/default/files/pub-pdf/Maternal%20%26%20Newborn%20Strat%20Plan%20-%20FINAL15-12-17%20%282%29.pdf" TargetMode="External"/><Relationship Id="rId110" Type="http://schemas.openxmlformats.org/officeDocument/2006/relationships/hyperlink" Target="https://moe.gov.lk/ministry/special-projects/13-years-guaranteed-education/" TargetMode="External"/><Relationship Id="rId115" Type="http://schemas.openxmlformats.org/officeDocument/2006/relationships/hyperlink" Target="https://moe.gov.lk/wp-content/uploads/2020/07/2016-33s.pdf" TargetMode="External"/><Relationship Id="rId61" Type="http://schemas.openxmlformats.org/officeDocument/2006/relationships/hyperlink" Target="https://www.parliament.lk/news-en/view/4436" TargetMode="External"/><Relationship Id="rId82" Type="http://schemas.openxmlformats.org/officeDocument/2006/relationships/hyperlink" Target="http://www.slbfe.lk/file.php?FID=672" TargetMode="External"/><Relationship Id="rId19" Type="http://schemas.openxmlformats.org/officeDocument/2006/relationships/hyperlink" Target="https://www.childsec.gov.lk/resources/105/English%20Policy%20Draft.pdf" TargetMode="External"/><Relationship Id="rId14" Type="http://schemas.openxmlformats.org/officeDocument/2006/relationships/hyperlink" Target="https://www.ilo.org/sites/default/files/wcmsp5/groups/public/@ed_norm/@ipec/documents/publication/wcms_717435.pdf" TargetMode="External"/><Relationship Id="rId30" Type="http://schemas.openxmlformats.org/officeDocument/2006/relationships/hyperlink" Target="https://moe.gov.lk/2024/03/vouchers-to-buy-sanitary-towels-for-girl-children-in-schools/" TargetMode="External"/><Relationship Id="rId35" Type="http://schemas.openxmlformats.org/officeDocument/2006/relationships/hyperlink" Target="https://www.ciaboc.gov.lk/about/team" TargetMode="External"/><Relationship Id="rId56" Type="http://schemas.openxmlformats.org/officeDocument/2006/relationships/hyperlink" Target="https://docs.google.com/presentation/d/1k-DVHmamH3cNBW17rtMlYxyXnuVTiYhD/edit?usp=drive_link&amp;ouid=108547636521042922843&amp;rtpof=true&amp;sd=true" TargetMode="External"/><Relationship Id="rId77" Type="http://schemas.openxmlformats.org/officeDocument/2006/relationships/hyperlink" Target="https://srilanka.unfpa.org/sites/default/files/pub-pdf/National%20Guidelines%20Booklet.pdf" TargetMode="External"/><Relationship Id="rId100" Type="http://schemas.openxmlformats.org/officeDocument/2006/relationships/hyperlink" Target="https://nutrition.health.gov.lk/wp-content/uploads/2022/08/Emergency-Nutrition-Plan-Final-Draft-25.07.2022.pdf" TargetMode="External"/><Relationship Id="rId105" Type="http://schemas.openxmlformats.org/officeDocument/2006/relationships/hyperlink" Target="https://www.childwomenmin.gov.lk/index/menu/page/plans" TargetMode="External"/><Relationship Id="rId8" Type="http://schemas.openxmlformats.org/officeDocument/2006/relationships/hyperlink" Target="http://www.lawnet.gov.lk/wp-content/uploads/2019/12/10-2018_E.pdf" TargetMode="External"/><Relationship Id="rId51" Type="http://schemas.openxmlformats.org/officeDocument/2006/relationships/hyperlink" Target="https://www.parliament.lk/uploads/acts/gbills/english/6297.pdf" TargetMode="External"/><Relationship Id="rId72" Type="http://schemas.openxmlformats.org/officeDocument/2006/relationships/hyperlink" Target="https://childprotection.gov.lk/en/2024/internet-watch-foundation-sri-lanka-portal-launch" TargetMode="External"/><Relationship Id="rId93" Type="http://schemas.openxmlformats.org/officeDocument/2006/relationships/hyperlink" Target="https://www.nddcb.gov.lk/Docs/acts/NATA%20Act%20English.pdf" TargetMode="External"/><Relationship Id="rId98" Type="http://schemas.openxmlformats.org/officeDocument/2006/relationships/hyperlink" Target="https://www.nddcb.gov.lk/treatment-and-rehabilitation-division.php" TargetMode="External"/><Relationship Id="rId121" Type="http://schemas.openxmlformats.org/officeDocument/2006/relationships/hyperlink" Target="https://srilanka.iom.int/news/iom-launches-impact-project-combat-human-trafficking-sri-lanka" TargetMode="External"/><Relationship Id="rId3" Type="http://schemas.openxmlformats.org/officeDocument/2006/relationships/hyperlink" Target="https://www.npp.lk/up/policies/en/npppolicystatement.pdf" TargetMode="External"/><Relationship Id="rId25" Type="http://schemas.openxmlformats.org/officeDocument/2006/relationships/hyperlink" Target="https://nutrition.health.gov.lk/english/resource/national-emergency-nutrition-plan-2022-2024/" TargetMode="External"/><Relationship Id="rId46" Type="http://schemas.openxmlformats.org/officeDocument/2006/relationships/hyperlink" Target="https://www.unicef.org/srilanka/media/2371/file/Multidimensional%20Poverty%20in%20Sri%20Lanka.pdf" TargetMode="External"/><Relationship Id="rId67" Type="http://schemas.openxmlformats.org/officeDocument/2006/relationships/hyperlink" Target="https://supremecourt.lk/images/documents/scfr_97_17.pdf?fbclid=IwAR28O0G308J8TOxiLJlOs7cIYj9yWgp_q3LRcUqQ1NDm5S4iOmqVQRWxdaY" TargetMode="External"/><Relationship Id="rId116" Type="http://schemas.openxmlformats.org/officeDocument/2006/relationships/hyperlink" Target="https://www.parliament.lk/uploads/acts/gbills/english/6296.pdf" TargetMode="External"/><Relationship Id="rId20" Type="http://schemas.openxmlformats.org/officeDocument/2006/relationships/hyperlink" Target="https://nec.gov.lk/wp-content/uploads/2019/11/PreSchoolPolicy_EN.pdf" TargetMode="External"/><Relationship Id="rId41" Type="http://schemas.openxmlformats.org/officeDocument/2006/relationships/hyperlink" Target="https://moe.gov.lk/ministry-2/statistics-reports/" TargetMode="External"/><Relationship Id="rId62" Type="http://schemas.openxmlformats.org/officeDocument/2006/relationships/hyperlink" Target="https://www.legal-tools.org/doc/x3a0yc/pdf" TargetMode="External"/><Relationship Id="rId83" Type="http://schemas.openxmlformats.org/officeDocument/2006/relationships/hyperlink" Target="https://www.supremecourt.lk/images/documents/sc_fr_273_2018.pdf" TargetMode="External"/><Relationship Id="rId88" Type="http://schemas.openxmlformats.org/officeDocument/2006/relationships/hyperlink" Target="https://www.unicef.org/media/152711/file/UNICEF%20Sri%20Lanka%20Country%20Office%20Annual%20Report%202023.pdf" TargetMode="External"/><Relationship Id="rId111" Type="http://schemas.openxmlformats.org/officeDocument/2006/relationships/hyperlink" Target="https://www.adb.org/sites/default/files/project-documents/52203/52203-002-tar-en.pdf" TargetMode="External"/><Relationship Id="rId15" Type="http://schemas.openxmlformats.org/officeDocument/2006/relationships/hyperlink" Target="https://nahttf.gov.lk/download/National-Action-Plan-to-Combat-Human-Trafficking.pdf" TargetMode="External"/><Relationship Id="rId36" Type="http://schemas.openxmlformats.org/officeDocument/2006/relationships/hyperlink" Target="https://www.statistics.gov.lk/ChildStatistics/StaticalInformation/ChildPopulation" TargetMode="External"/><Relationship Id="rId57" Type="http://schemas.openxmlformats.org/officeDocument/2006/relationships/hyperlink" Target="https://www.parliament.lk/uploads/acts/gbills/english/6200.pdf" TargetMode="External"/><Relationship Id="rId106" Type="http://schemas.openxmlformats.org/officeDocument/2006/relationships/hyperlink" Target="https://moe.gov.lk/wp-content/uploads/2020/10/03_2020e.pdf" TargetMode="External"/><Relationship Id="rId10" Type="http://schemas.openxmlformats.org/officeDocument/2006/relationships/hyperlink" Target="https://www.parliament.lk/uploads/acts/gbills/english/6297.pdf" TargetMode="External"/><Relationship Id="rId31" Type="http://schemas.openxmlformats.org/officeDocument/2006/relationships/hyperlink" Target="https://moe.gov.lk/wp-content/uploads/2024/07/10/English_AnnualPerformanceReportMOE.pdf" TargetMode="External"/><Relationship Id="rId52" Type="http://schemas.openxmlformats.org/officeDocument/2006/relationships/hyperlink" Target="https://www.napvcw.gov.lk/news.php" TargetMode="External"/><Relationship Id="rId73" Type="http://schemas.openxmlformats.org/officeDocument/2006/relationships/hyperlink" Target="https://www.parliament.lk/uploads/acts/gbills/english/6297.pdf" TargetMode="External"/><Relationship Id="rId78" Type="http://schemas.openxmlformats.org/officeDocument/2006/relationships/hyperlink" Target="https://srilanka.unfpa.org/sites/default/files/pub-pdf/Standard%20Operating%20Booklet.pdf" TargetMode="External"/><Relationship Id="rId94" Type="http://schemas.openxmlformats.org/officeDocument/2006/relationships/hyperlink" Target="https://assets.tobaccocontrollaws.org/uploads/legislation/Sri%20Lanka/Sri-Lanka-MOE-Circular-No.-202020.pdf" TargetMode="External"/><Relationship Id="rId99" Type="http://schemas.openxmlformats.org/officeDocument/2006/relationships/hyperlink" Target="https://www.cbsl.gov.lk/sites/default/files/cbslweb_documents/publications/annual_report/2022/en/13_Box_05.pdf" TargetMode="External"/><Relationship Id="rId101" Type="http://schemas.openxmlformats.org/officeDocument/2006/relationships/hyperlink" Target="http://www.climatechange.lk/CCS%20Policy/Climate_Change_Policy_English.pdf" TargetMode="External"/><Relationship Id="rId122" Type="http://schemas.openxmlformats.org/officeDocument/2006/relationships/hyperlink" Target="http://www.lawnet.gov.lk/wp-content/uploads/2019/12/10-201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gqVJlH2Z0Nv9huUi7fpJD+DmtQ==">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20414</Words>
  <Characters>115138</Characters>
  <Application>Microsoft Office Word</Application>
  <DocSecurity>0</DocSecurity>
  <Lines>2172</Lines>
  <Paragraphs>636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Pragathi Jayaweera</dc:creator>
  <cp:lastModifiedBy>James Boit</cp:lastModifiedBy>
  <cp:revision>2</cp:revision>
  <dcterms:created xsi:type="dcterms:W3CDTF">2025-08-05T12:50:00Z</dcterms:created>
  <dcterms:modified xsi:type="dcterms:W3CDTF">2025-08-05T12:50:00Z</dcterms:modified>
</cp:coreProperties>
</file>