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232DE" w14:textId="77777777" w:rsidR="00B96550" w:rsidRDefault="00B96550">
      <w:pPr>
        <w:tabs>
          <w:tab w:val="left" w:pos="2127"/>
        </w:tabs>
        <w:spacing w:after="0"/>
        <w:ind w:left="720"/>
        <w:jc w:val="right"/>
        <w:rPr>
          <w:rFonts w:ascii="Cambria" w:eastAsia="Cambria" w:hAnsi="Cambria" w:cs="Cambria"/>
          <w:sz w:val="21"/>
          <w:szCs w:val="21"/>
        </w:rPr>
      </w:pPr>
    </w:p>
    <w:p w14:paraId="58962FD6" w14:textId="77777777" w:rsidR="00B96550" w:rsidRDefault="00B96550">
      <w:pPr>
        <w:rPr>
          <w:rFonts w:ascii="Cambria" w:eastAsia="Cambria" w:hAnsi="Cambria" w:cs="Cambria"/>
          <w:sz w:val="21"/>
          <w:szCs w:val="21"/>
        </w:rPr>
      </w:pPr>
    </w:p>
    <w:p w14:paraId="14B5FFA2" w14:textId="77777777" w:rsidR="00B96550" w:rsidRPr="004575D5" w:rsidRDefault="00EE7CA1">
      <w:pPr>
        <w:rPr>
          <w:rFonts w:ascii="Cambria" w:eastAsia="Cambria" w:hAnsi="Cambria" w:cs="Cambria"/>
          <w:b/>
          <w:i/>
          <w:sz w:val="21"/>
          <w:szCs w:val="21"/>
          <w:u w:val="single"/>
          <w:lang w:val="es-PE"/>
        </w:rPr>
      </w:pPr>
      <w:r w:rsidRPr="004575D5">
        <w:rPr>
          <w:rFonts w:ascii="Cambria" w:eastAsia="Cambria" w:hAnsi="Cambria" w:cs="Cambria"/>
          <w:b/>
          <w:i/>
          <w:sz w:val="21"/>
          <w:szCs w:val="21"/>
          <w:u w:val="single"/>
          <w:lang w:val="es-PE"/>
        </w:rPr>
        <w:t>Carta No. 028-2022-PROMSEX</w:t>
      </w:r>
    </w:p>
    <w:p w14:paraId="251CA9FE" w14:textId="4EA3C490" w:rsidR="00B96550" w:rsidRPr="004575D5" w:rsidRDefault="00EE7CA1">
      <w:pPr>
        <w:tabs>
          <w:tab w:val="left" w:pos="2127"/>
        </w:tabs>
        <w:spacing w:after="0"/>
        <w:ind w:left="720"/>
        <w:jc w:val="right"/>
        <w:rPr>
          <w:rFonts w:ascii="Cambria" w:eastAsia="Cambria" w:hAnsi="Cambria" w:cs="Cambria"/>
          <w:sz w:val="21"/>
          <w:szCs w:val="21"/>
          <w:lang w:val="es-PE"/>
        </w:rPr>
      </w:pPr>
      <w:r w:rsidRPr="004575D5">
        <w:rPr>
          <w:rFonts w:ascii="Cambria" w:eastAsia="Cambria" w:hAnsi="Cambria" w:cs="Cambria"/>
          <w:sz w:val="21"/>
          <w:szCs w:val="21"/>
          <w:lang w:val="es-PE"/>
        </w:rPr>
        <w:t xml:space="preserve">Lima, </w:t>
      </w:r>
      <w:r w:rsidR="00B3318A">
        <w:rPr>
          <w:rFonts w:ascii="Cambria" w:eastAsia="Cambria" w:hAnsi="Cambria" w:cs="Cambria"/>
          <w:sz w:val="21"/>
          <w:szCs w:val="21"/>
          <w:lang w:val="es-PE"/>
        </w:rPr>
        <w:t>5</w:t>
      </w:r>
      <w:r w:rsidRPr="004575D5">
        <w:rPr>
          <w:rFonts w:ascii="Cambria" w:eastAsia="Cambria" w:hAnsi="Cambria" w:cs="Cambria"/>
          <w:sz w:val="21"/>
          <w:szCs w:val="21"/>
          <w:lang w:val="es-PE"/>
        </w:rPr>
        <w:t xml:space="preserve"> de marzo de 2022</w:t>
      </w:r>
    </w:p>
    <w:p w14:paraId="57B23B55" w14:textId="77777777" w:rsidR="00B96550" w:rsidRPr="004575D5" w:rsidRDefault="00B96550">
      <w:pPr>
        <w:widowControl/>
        <w:pBdr>
          <w:top w:val="nil"/>
          <w:left w:val="nil"/>
          <w:bottom w:val="nil"/>
          <w:right w:val="nil"/>
          <w:between w:val="nil"/>
        </w:pBdr>
        <w:tabs>
          <w:tab w:val="left" w:pos="2127"/>
        </w:tabs>
        <w:spacing w:after="0"/>
        <w:rPr>
          <w:rFonts w:ascii="Cambria" w:eastAsia="Cambria" w:hAnsi="Cambria" w:cs="Cambria"/>
          <w:b/>
          <w:color w:val="000000"/>
          <w:sz w:val="21"/>
          <w:szCs w:val="21"/>
          <w:lang w:val="es-PE"/>
        </w:rPr>
      </w:pPr>
    </w:p>
    <w:p w14:paraId="6B9AFF59" w14:textId="77777777" w:rsidR="00B96550" w:rsidRPr="004575D5" w:rsidRDefault="00B96550">
      <w:pPr>
        <w:widowControl/>
        <w:pBdr>
          <w:top w:val="nil"/>
          <w:left w:val="nil"/>
          <w:bottom w:val="nil"/>
          <w:right w:val="nil"/>
          <w:between w:val="nil"/>
        </w:pBdr>
        <w:tabs>
          <w:tab w:val="left" w:pos="2127"/>
        </w:tabs>
        <w:spacing w:after="0"/>
        <w:rPr>
          <w:rFonts w:ascii="Cambria" w:eastAsia="Cambria" w:hAnsi="Cambria" w:cs="Cambria"/>
          <w:b/>
          <w:color w:val="000000"/>
          <w:sz w:val="21"/>
          <w:szCs w:val="21"/>
          <w:lang w:val="es-PE"/>
        </w:rPr>
      </w:pPr>
    </w:p>
    <w:p w14:paraId="3442E082" w14:textId="77777777" w:rsidR="00B96550" w:rsidRPr="004575D5" w:rsidRDefault="00EE7CA1">
      <w:pPr>
        <w:widowControl/>
        <w:pBdr>
          <w:top w:val="nil"/>
          <w:left w:val="nil"/>
          <w:bottom w:val="nil"/>
          <w:right w:val="nil"/>
          <w:between w:val="nil"/>
        </w:pBdr>
        <w:tabs>
          <w:tab w:val="left" w:pos="2127"/>
        </w:tabs>
        <w:spacing w:after="0"/>
        <w:ind w:right="16"/>
        <w:rPr>
          <w:rFonts w:ascii="Cambria" w:eastAsia="Cambria" w:hAnsi="Cambria" w:cs="Cambria"/>
          <w:b/>
          <w:color w:val="000000"/>
          <w:sz w:val="21"/>
          <w:szCs w:val="21"/>
          <w:lang w:val="es-PE"/>
        </w:rPr>
      </w:pPr>
      <w:r w:rsidRPr="004575D5">
        <w:rPr>
          <w:rFonts w:ascii="Cambria" w:eastAsia="Cambria" w:hAnsi="Cambria" w:cs="Cambria"/>
          <w:b/>
          <w:color w:val="000000"/>
          <w:sz w:val="21"/>
          <w:szCs w:val="21"/>
          <w:lang w:val="es-PE"/>
        </w:rPr>
        <w:t>Comité para la Protección de los Derechos de todos los Trabajadores Migratorios y de sus Familiares</w:t>
      </w:r>
    </w:p>
    <w:p w14:paraId="04ABB9B7" w14:textId="77777777" w:rsidR="00B96550" w:rsidRPr="004575D5" w:rsidRDefault="00EE7CA1">
      <w:pPr>
        <w:widowControl/>
        <w:pBdr>
          <w:top w:val="nil"/>
          <w:left w:val="nil"/>
          <w:bottom w:val="nil"/>
          <w:right w:val="nil"/>
          <w:between w:val="nil"/>
        </w:pBdr>
        <w:tabs>
          <w:tab w:val="left" w:pos="2127"/>
        </w:tabs>
        <w:spacing w:after="0"/>
        <w:rPr>
          <w:rFonts w:ascii="Cambria" w:eastAsia="Cambria" w:hAnsi="Cambria" w:cs="Cambria"/>
          <w:color w:val="000000"/>
          <w:sz w:val="21"/>
          <w:szCs w:val="21"/>
          <w:lang w:val="es-PE"/>
        </w:rPr>
      </w:pPr>
      <w:r w:rsidRPr="004575D5">
        <w:rPr>
          <w:rFonts w:ascii="Cambria" w:eastAsia="Cambria" w:hAnsi="Cambria" w:cs="Cambria"/>
          <w:color w:val="000000"/>
          <w:sz w:val="21"/>
          <w:szCs w:val="21"/>
          <w:lang w:val="es-PE"/>
        </w:rPr>
        <w:t>Oficina del Alto Comisionado para los Derechos Humanos</w:t>
      </w:r>
    </w:p>
    <w:p w14:paraId="4B0056D4" w14:textId="77777777" w:rsidR="00B96550" w:rsidRDefault="00EE7CA1">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Palais Wilson</w:t>
      </w:r>
    </w:p>
    <w:p w14:paraId="670FE971" w14:textId="77777777" w:rsidR="00B96550" w:rsidRDefault="00EE7CA1">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 xml:space="preserve">52, rue des </w:t>
      </w:r>
      <w:proofErr w:type="spellStart"/>
      <w:r>
        <w:rPr>
          <w:rFonts w:ascii="Cambria" w:eastAsia="Cambria" w:hAnsi="Cambria" w:cs="Cambria"/>
          <w:sz w:val="21"/>
          <w:szCs w:val="21"/>
        </w:rPr>
        <w:t>Pâquis</w:t>
      </w:r>
      <w:proofErr w:type="spellEnd"/>
    </w:p>
    <w:p w14:paraId="687B7980" w14:textId="77777777" w:rsidR="00B96550" w:rsidRDefault="00EE7CA1">
      <w:pPr>
        <w:widowControl/>
        <w:pBdr>
          <w:top w:val="nil"/>
          <w:left w:val="nil"/>
          <w:bottom w:val="nil"/>
          <w:right w:val="nil"/>
          <w:between w:val="nil"/>
        </w:pBdr>
        <w:tabs>
          <w:tab w:val="left" w:pos="2127"/>
        </w:tabs>
        <w:spacing w:after="0"/>
        <w:rPr>
          <w:rFonts w:ascii="Cambria" w:eastAsia="Cambria" w:hAnsi="Cambria" w:cs="Cambria"/>
          <w:sz w:val="21"/>
          <w:szCs w:val="21"/>
        </w:rPr>
      </w:pPr>
      <w:r>
        <w:rPr>
          <w:rFonts w:ascii="Cambria" w:eastAsia="Cambria" w:hAnsi="Cambria" w:cs="Cambria"/>
          <w:sz w:val="21"/>
          <w:szCs w:val="21"/>
        </w:rPr>
        <w:t>CH-1201 Geneva, Switzerland</w:t>
      </w:r>
    </w:p>
    <w:p w14:paraId="63F12174" w14:textId="77777777" w:rsidR="00B96550" w:rsidRDefault="00B96550">
      <w:pPr>
        <w:widowControl/>
        <w:tabs>
          <w:tab w:val="left" w:pos="2127"/>
        </w:tabs>
        <w:spacing w:after="0"/>
        <w:ind w:hanging="720"/>
        <w:jc w:val="both"/>
        <w:rPr>
          <w:rFonts w:ascii="Cambria" w:eastAsia="Cambria" w:hAnsi="Cambria" w:cs="Cambria"/>
          <w:b/>
          <w:sz w:val="21"/>
          <w:szCs w:val="21"/>
        </w:rPr>
      </w:pPr>
    </w:p>
    <w:p w14:paraId="349D45F1" w14:textId="77777777" w:rsidR="00B96550" w:rsidRDefault="00B96550">
      <w:pPr>
        <w:widowControl/>
        <w:tabs>
          <w:tab w:val="left" w:pos="2127"/>
        </w:tabs>
        <w:spacing w:after="0"/>
        <w:ind w:hanging="720"/>
        <w:jc w:val="both"/>
        <w:rPr>
          <w:rFonts w:ascii="Cambria" w:eastAsia="Cambria" w:hAnsi="Cambria" w:cs="Cambria"/>
          <w:b/>
          <w:sz w:val="21"/>
          <w:szCs w:val="21"/>
        </w:rPr>
      </w:pPr>
    </w:p>
    <w:p w14:paraId="1091107C" w14:textId="77777777" w:rsidR="00B96550" w:rsidRPr="004575D5" w:rsidRDefault="00EE7CA1">
      <w:pPr>
        <w:tabs>
          <w:tab w:val="left" w:pos="2127"/>
        </w:tabs>
        <w:spacing w:after="0"/>
        <w:ind w:left="2520" w:hanging="270"/>
        <w:jc w:val="both"/>
        <w:rPr>
          <w:rFonts w:ascii="Cambria" w:eastAsia="Cambria" w:hAnsi="Cambria" w:cs="Cambria"/>
          <w:b/>
          <w:sz w:val="21"/>
          <w:szCs w:val="21"/>
          <w:lang w:val="es-PE"/>
        </w:rPr>
      </w:pPr>
      <w:r>
        <w:rPr>
          <w:rFonts w:ascii="Cambria" w:eastAsia="Cambria" w:hAnsi="Cambria" w:cs="Cambria"/>
          <w:b/>
          <w:sz w:val="21"/>
          <w:szCs w:val="21"/>
        </w:rPr>
        <w:tab/>
      </w:r>
      <w:r w:rsidRPr="004575D5">
        <w:rPr>
          <w:rFonts w:ascii="Cambria" w:eastAsia="Cambria" w:hAnsi="Cambria" w:cs="Cambria"/>
          <w:b/>
          <w:sz w:val="21"/>
          <w:szCs w:val="21"/>
          <w:lang w:val="es-PE"/>
        </w:rPr>
        <w:t>Re: Información independiente para la lista de cuestiones previas a la presentación del Informe de Perú durante el 34° período de sesiones</w:t>
      </w:r>
    </w:p>
    <w:p w14:paraId="28322809" w14:textId="77777777" w:rsidR="00B96550" w:rsidRPr="004575D5" w:rsidRDefault="00B96550">
      <w:pPr>
        <w:tabs>
          <w:tab w:val="left" w:pos="2127"/>
        </w:tabs>
        <w:spacing w:after="0"/>
        <w:jc w:val="both"/>
        <w:rPr>
          <w:rFonts w:ascii="Cambria" w:eastAsia="Cambria" w:hAnsi="Cambria" w:cs="Cambria"/>
          <w:b/>
          <w:sz w:val="21"/>
          <w:szCs w:val="21"/>
          <w:lang w:val="es-PE"/>
        </w:rPr>
      </w:pPr>
    </w:p>
    <w:p w14:paraId="2736A395" w14:textId="77777777" w:rsidR="00B96550" w:rsidRPr="004575D5" w:rsidRDefault="00B96550">
      <w:pPr>
        <w:widowControl/>
        <w:pBdr>
          <w:top w:val="nil"/>
          <w:left w:val="nil"/>
          <w:bottom w:val="nil"/>
          <w:right w:val="nil"/>
          <w:between w:val="nil"/>
        </w:pBdr>
        <w:tabs>
          <w:tab w:val="left" w:pos="2127"/>
        </w:tabs>
        <w:spacing w:after="0"/>
        <w:jc w:val="both"/>
        <w:rPr>
          <w:rFonts w:ascii="Cambria" w:eastAsia="Cambria" w:hAnsi="Cambria" w:cs="Cambria"/>
          <w:color w:val="000000"/>
          <w:sz w:val="21"/>
          <w:szCs w:val="21"/>
          <w:lang w:val="es-PE"/>
        </w:rPr>
      </w:pPr>
    </w:p>
    <w:p w14:paraId="762E5B73" w14:textId="77777777" w:rsidR="00B96550" w:rsidRPr="004575D5" w:rsidRDefault="00EE7CA1">
      <w:pPr>
        <w:widowControl/>
        <w:pBdr>
          <w:top w:val="nil"/>
          <w:left w:val="nil"/>
          <w:bottom w:val="nil"/>
          <w:right w:val="nil"/>
          <w:between w:val="nil"/>
        </w:pBdr>
        <w:tabs>
          <w:tab w:val="left" w:pos="2127"/>
        </w:tabs>
        <w:spacing w:after="0"/>
        <w:jc w:val="both"/>
        <w:rPr>
          <w:rFonts w:ascii="Cambria" w:eastAsia="Cambria" w:hAnsi="Cambria" w:cs="Cambria"/>
          <w:color w:val="000000"/>
          <w:sz w:val="21"/>
          <w:szCs w:val="21"/>
          <w:lang w:val="es-PE"/>
        </w:rPr>
      </w:pPr>
      <w:r w:rsidRPr="004575D5">
        <w:rPr>
          <w:rFonts w:ascii="Cambria" w:eastAsia="Cambria" w:hAnsi="Cambria" w:cs="Cambria"/>
          <w:color w:val="000000"/>
          <w:sz w:val="21"/>
          <w:szCs w:val="21"/>
          <w:lang w:val="es-PE"/>
        </w:rPr>
        <w:t xml:space="preserve">Distinguidos/as Miembros del </w:t>
      </w:r>
      <w:r w:rsidRPr="004575D5">
        <w:rPr>
          <w:rFonts w:ascii="Cambria" w:eastAsia="Cambria" w:hAnsi="Cambria" w:cs="Cambria"/>
          <w:b/>
          <w:color w:val="000000"/>
          <w:sz w:val="21"/>
          <w:szCs w:val="21"/>
          <w:lang w:val="es-PE"/>
        </w:rPr>
        <w:t>Comité para la Protección de los Derechos de todos los Trabajadores Migratorios y de sus Familiares</w:t>
      </w:r>
      <w:r w:rsidRPr="004575D5">
        <w:rPr>
          <w:rFonts w:ascii="Cambria" w:eastAsia="Cambria" w:hAnsi="Cambria" w:cs="Cambria"/>
          <w:b/>
          <w:sz w:val="21"/>
          <w:szCs w:val="21"/>
          <w:lang w:val="es-PE"/>
        </w:rPr>
        <w:t>:</w:t>
      </w:r>
    </w:p>
    <w:p w14:paraId="6B774030" w14:textId="77777777" w:rsidR="00B96550" w:rsidRPr="004575D5" w:rsidRDefault="00B96550">
      <w:pPr>
        <w:widowControl/>
        <w:pBdr>
          <w:top w:val="nil"/>
          <w:left w:val="nil"/>
          <w:bottom w:val="nil"/>
          <w:right w:val="nil"/>
          <w:between w:val="nil"/>
        </w:pBdr>
        <w:tabs>
          <w:tab w:val="left" w:pos="2127"/>
        </w:tabs>
        <w:spacing w:after="0"/>
        <w:rPr>
          <w:rFonts w:ascii="Cambria" w:eastAsia="Cambria" w:hAnsi="Cambria" w:cs="Cambria"/>
          <w:b/>
          <w:color w:val="000000"/>
          <w:sz w:val="21"/>
          <w:szCs w:val="21"/>
          <w:lang w:val="es-PE"/>
        </w:rPr>
      </w:pPr>
    </w:p>
    <w:p w14:paraId="58E6638D" w14:textId="77777777" w:rsidR="00B96550" w:rsidRPr="004575D5" w:rsidRDefault="00EE7CA1">
      <w:pPr>
        <w:widowControl/>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El</w:t>
      </w:r>
      <w:r w:rsidRPr="004575D5">
        <w:rPr>
          <w:rFonts w:ascii="Cambria" w:eastAsia="Cambria" w:hAnsi="Cambria" w:cs="Cambria"/>
          <w:b/>
          <w:sz w:val="21"/>
          <w:szCs w:val="21"/>
          <w:lang w:val="es-PE"/>
        </w:rPr>
        <w:t xml:space="preserve"> Centro de Promoción y Defensa de los Derechos Sexuales y Reproductivos</w:t>
      </w:r>
      <w:r w:rsidRPr="004575D5">
        <w:rPr>
          <w:rFonts w:ascii="Cambria" w:eastAsia="Cambria" w:hAnsi="Cambria" w:cs="Cambria"/>
          <w:sz w:val="21"/>
          <w:szCs w:val="21"/>
          <w:lang w:val="es-PE"/>
        </w:rPr>
        <w:t>(</w:t>
      </w:r>
      <w:r w:rsidRPr="004575D5">
        <w:rPr>
          <w:rFonts w:ascii="Cambria" w:eastAsia="Cambria" w:hAnsi="Cambria" w:cs="Cambria"/>
          <w:b/>
          <w:sz w:val="21"/>
          <w:szCs w:val="21"/>
          <w:lang w:val="es-PE"/>
        </w:rPr>
        <w:t>PROMSEX</w:t>
      </w:r>
      <w:r>
        <w:rPr>
          <w:rFonts w:ascii="Cambria" w:eastAsia="Cambria" w:hAnsi="Cambria" w:cs="Cambria"/>
          <w:b/>
          <w:sz w:val="21"/>
          <w:szCs w:val="21"/>
          <w:vertAlign w:val="superscript"/>
        </w:rPr>
        <w:footnoteReference w:id="1"/>
      </w:r>
      <w:r w:rsidRPr="004575D5">
        <w:rPr>
          <w:rFonts w:ascii="Cambria" w:eastAsia="Cambria" w:hAnsi="Cambria" w:cs="Cambria"/>
          <w:b/>
          <w:sz w:val="21"/>
          <w:szCs w:val="21"/>
          <w:lang w:val="es-PE"/>
        </w:rPr>
        <w:t>)</w:t>
      </w:r>
      <w:r w:rsidRPr="004575D5">
        <w:rPr>
          <w:rFonts w:ascii="Cambria" w:eastAsia="Cambria" w:hAnsi="Cambria" w:cs="Cambria"/>
          <w:sz w:val="21"/>
          <w:szCs w:val="21"/>
          <w:lang w:val="es-PE"/>
        </w:rPr>
        <w:t xml:space="preserve"> en el marco de la elaboración de la</w:t>
      </w:r>
      <w:r w:rsidRPr="004575D5">
        <w:rPr>
          <w:rFonts w:ascii="Cambria" w:eastAsia="Cambria" w:hAnsi="Cambria" w:cs="Cambria"/>
          <w:color w:val="000000"/>
          <w:sz w:val="21"/>
          <w:szCs w:val="21"/>
          <w:lang w:val="es-PE"/>
        </w:rPr>
        <w:t xml:space="preserve"> </w:t>
      </w:r>
      <w:r w:rsidRPr="004575D5">
        <w:rPr>
          <w:rFonts w:ascii="Cambria" w:eastAsia="Cambria" w:hAnsi="Cambria" w:cs="Cambria"/>
          <w:sz w:val="21"/>
          <w:szCs w:val="21"/>
          <w:lang w:val="es-PE"/>
        </w:rPr>
        <w:t xml:space="preserve">lista de cuestiones para el Estado peruano, que será considerado durante el 34° período de sesiones que se celebrará entre el 28 de marzo y 8 de abril de 2022, presentamos esta comunicación con la finalidad de aportar información respecto a las obligaciones de Perú de garantizar el derecho a la salud de los derechos de los trabajadores migratorios y sus familias, protegido por el artículo 28 de la Convención Internacional sobre la Protección de los Derechos de todos los Trabajadores Migratorios y de sus familiares (en adelante, </w:t>
      </w:r>
      <w:r w:rsidRPr="004575D5">
        <w:rPr>
          <w:rFonts w:ascii="Cambria" w:eastAsia="Cambria" w:hAnsi="Cambria" w:cs="Cambria"/>
          <w:i/>
          <w:sz w:val="21"/>
          <w:szCs w:val="21"/>
          <w:lang w:val="es-PE"/>
        </w:rPr>
        <w:t>“Convención”</w:t>
      </w:r>
      <w:r w:rsidRPr="004575D5">
        <w:rPr>
          <w:rFonts w:ascii="Cambria" w:eastAsia="Cambria" w:hAnsi="Cambria" w:cs="Cambria"/>
          <w:sz w:val="21"/>
          <w:szCs w:val="21"/>
          <w:lang w:val="es-PE"/>
        </w:rPr>
        <w:t xml:space="preserve">). </w:t>
      </w:r>
    </w:p>
    <w:p w14:paraId="19860AA4" w14:textId="77777777" w:rsidR="00B96550" w:rsidRPr="004575D5" w:rsidRDefault="00B96550">
      <w:pPr>
        <w:widowControl/>
        <w:tabs>
          <w:tab w:val="left" w:pos="2127"/>
        </w:tabs>
        <w:spacing w:after="0"/>
        <w:jc w:val="both"/>
        <w:rPr>
          <w:rFonts w:ascii="Cambria" w:eastAsia="Cambria" w:hAnsi="Cambria" w:cs="Cambria"/>
          <w:sz w:val="21"/>
          <w:szCs w:val="21"/>
          <w:lang w:val="es-PE"/>
        </w:rPr>
      </w:pPr>
    </w:p>
    <w:p w14:paraId="4652F711" w14:textId="0206D551" w:rsidR="00B96550" w:rsidRPr="004575D5" w:rsidRDefault="00EE7CA1">
      <w:pPr>
        <w:widowControl/>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 xml:space="preserve">En el presente informe, abordaremos la situación de los derechos sexuales y reproductivos en el Perú; con especial énfasis en: (i) </w:t>
      </w:r>
      <w:r w:rsidR="005F6C13" w:rsidRPr="005F6C13">
        <w:rPr>
          <w:rFonts w:ascii="Cambria" w:eastAsia="Cambria" w:hAnsi="Cambria" w:cs="Cambria"/>
          <w:sz w:val="21"/>
          <w:szCs w:val="21"/>
          <w:lang w:val="es-PE"/>
        </w:rPr>
        <w:t>Situación de los migrantes y el acceso a los servicios de salud</w:t>
      </w:r>
      <w:r w:rsidR="005F6C13">
        <w:rPr>
          <w:rFonts w:ascii="Cambria" w:eastAsia="Cambria" w:hAnsi="Cambria" w:cs="Cambria"/>
          <w:sz w:val="21"/>
          <w:szCs w:val="21"/>
          <w:lang w:val="es-PE"/>
        </w:rPr>
        <w:t>; (</w:t>
      </w:r>
      <w:proofErr w:type="spellStart"/>
      <w:r w:rsidR="005F6C13">
        <w:rPr>
          <w:rFonts w:ascii="Cambria" w:eastAsia="Cambria" w:hAnsi="Cambria" w:cs="Cambria"/>
          <w:sz w:val="21"/>
          <w:szCs w:val="21"/>
          <w:lang w:val="es-PE"/>
        </w:rPr>
        <w:t>ii</w:t>
      </w:r>
      <w:proofErr w:type="spellEnd"/>
      <w:r w:rsidR="005F6C13">
        <w:rPr>
          <w:rFonts w:ascii="Cambria" w:eastAsia="Cambria" w:hAnsi="Cambria" w:cs="Cambria"/>
          <w:sz w:val="21"/>
          <w:szCs w:val="21"/>
          <w:lang w:val="es-PE"/>
        </w:rPr>
        <w:t>)</w:t>
      </w:r>
      <w:r w:rsidR="005F6C13" w:rsidRPr="005F6C13">
        <w:rPr>
          <w:rFonts w:ascii="Cambria" w:eastAsia="Cambria" w:hAnsi="Cambria" w:cs="Cambria"/>
          <w:sz w:val="21"/>
          <w:szCs w:val="21"/>
          <w:lang w:val="es-PE"/>
        </w:rPr>
        <w:t xml:space="preserve">  </w:t>
      </w:r>
      <w:r w:rsidRPr="004575D5">
        <w:rPr>
          <w:rFonts w:ascii="Cambria" w:eastAsia="Cambria" w:hAnsi="Cambria" w:cs="Cambria"/>
          <w:sz w:val="21"/>
          <w:szCs w:val="21"/>
          <w:lang w:val="es-PE"/>
        </w:rPr>
        <w:t>los obstáculos para el acceso a los servicios de salud sexual y reproductiva; (</w:t>
      </w:r>
      <w:proofErr w:type="spellStart"/>
      <w:r w:rsidRPr="004575D5">
        <w:rPr>
          <w:rFonts w:ascii="Cambria" w:eastAsia="Cambria" w:hAnsi="Cambria" w:cs="Cambria"/>
          <w:sz w:val="21"/>
          <w:szCs w:val="21"/>
          <w:lang w:val="es-PE"/>
        </w:rPr>
        <w:t>ii</w:t>
      </w:r>
      <w:r w:rsidR="005F6C13">
        <w:rPr>
          <w:rFonts w:ascii="Cambria" w:eastAsia="Cambria" w:hAnsi="Cambria" w:cs="Cambria"/>
          <w:sz w:val="21"/>
          <w:szCs w:val="21"/>
          <w:lang w:val="es-PE"/>
        </w:rPr>
        <w:t>i</w:t>
      </w:r>
      <w:proofErr w:type="spellEnd"/>
      <w:r w:rsidRPr="004575D5">
        <w:rPr>
          <w:rFonts w:ascii="Cambria" w:eastAsia="Cambria" w:hAnsi="Cambria" w:cs="Cambria"/>
          <w:sz w:val="21"/>
          <w:szCs w:val="21"/>
          <w:lang w:val="es-PE"/>
        </w:rPr>
        <w:t>) el acceso a métodos de anticoncepción modernos y gama completa de información; (</w:t>
      </w:r>
      <w:proofErr w:type="spellStart"/>
      <w:r w:rsidRPr="004575D5">
        <w:rPr>
          <w:rFonts w:ascii="Cambria" w:eastAsia="Cambria" w:hAnsi="Cambria" w:cs="Cambria"/>
          <w:sz w:val="21"/>
          <w:szCs w:val="21"/>
          <w:lang w:val="es-PE"/>
        </w:rPr>
        <w:t>i</w:t>
      </w:r>
      <w:r w:rsidR="005F6C13">
        <w:rPr>
          <w:rFonts w:ascii="Cambria" w:eastAsia="Cambria" w:hAnsi="Cambria" w:cs="Cambria"/>
          <w:sz w:val="21"/>
          <w:szCs w:val="21"/>
          <w:lang w:val="es-PE"/>
        </w:rPr>
        <w:t>v</w:t>
      </w:r>
      <w:proofErr w:type="spellEnd"/>
      <w:r w:rsidRPr="004575D5">
        <w:rPr>
          <w:rFonts w:ascii="Cambria" w:eastAsia="Cambria" w:hAnsi="Cambria" w:cs="Cambria"/>
          <w:sz w:val="21"/>
          <w:szCs w:val="21"/>
          <w:lang w:val="es-PE"/>
        </w:rPr>
        <w:t>) los altos índices de embarazos adolescentes y mortalidad materna; (v) las barreras persistentes en el acceso al aborto terapéutico; y (v</w:t>
      </w:r>
      <w:r w:rsidR="005F6C13">
        <w:rPr>
          <w:rFonts w:ascii="Cambria" w:eastAsia="Cambria" w:hAnsi="Cambria" w:cs="Cambria"/>
          <w:sz w:val="21"/>
          <w:szCs w:val="21"/>
          <w:lang w:val="es-PE"/>
        </w:rPr>
        <w:t>i</w:t>
      </w:r>
      <w:r w:rsidRPr="004575D5">
        <w:rPr>
          <w:rFonts w:ascii="Cambria" w:eastAsia="Cambria" w:hAnsi="Cambria" w:cs="Cambria"/>
          <w:sz w:val="21"/>
          <w:szCs w:val="21"/>
          <w:lang w:val="es-PE"/>
        </w:rPr>
        <w:t>) la criminalización de las mujeres por aborto. Por último, formulamos algunas preguntas que, respetuosamente, proponemos que el Comité sugiere al Estado peruano.</w:t>
      </w:r>
    </w:p>
    <w:p w14:paraId="77DD1792" w14:textId="77777777" w:rsidR="00B96550" w:rsidRPr="004575D5" w:rsidRDefault="00B96550">
      <w:pPr>
        <w:widowControl/>
        <w:tabs>
          <w:tab w:val="left" w:pos="2127"/>
        </w:tabs>
        <w:spacing w:after="0"/>
        <w:jc w:val="both"/>
        <w:rPr>
          <w:rFonts w:ascii="Cambria" w:eastAsia="Cambria" w:hAnsi="Cambria" w:cs="Cambria"/>
          <w:b/>
          <w:sz w:val="21"/>
          <w:szCs w:val="21"/>
          <w:lang w:val="es-PE"/>
        </w:rPr>
      </w:pPr>
    </w:p>
    <w:p w14:paraId="77DE386B" w14:textId="77777777" w:rsidR="00B96550" w:rsidRPr="004575D5" w:rsidRDefault="00B96550">
      <w:pPr>
        <w:widowControl/>
        <w:tabs>
          <w:tab w:val="left" w:pos="2127"/>
        </w:tabs>
        <w:spacing w:after="0"/>
        <w:jc w:val="both"/>
        <w:rPr>
          <w:rFonts w:ascii="Cambria" w:eastAsia="Cambria" w:hAnsi="Cambria" w:cs="Cambria"/>
          <w:b/>
          <w:sz w:val="21"/>
          <w:szCs w:val="21"/>
          <w:lang w:val="es-PE"/>
        </w:rPr>
      </w:pPr>
    </w:p>
    <w:p w14:paraId="23274ECB" w14:textId="77777777" w:rsidR="00B96550" w:rsidRPr="004575D5" w:rsidRDefault="00B96550">
      <w:pPr>
        <w:widowControl/>
        <w:tabs>
          <w:tab w:val="left" w:pos="2127"/>
        </w:tabs>
        <w:spacing w:after="0"/>
        <w:jc w:val="both"/>
        <w:rPr>
          <w:rFonts w:ascii="Cambria" w:eastAsia="Cambria" w:hAnsi="Cambria" w:cs="Cambria"/>
          <w:b/>
          <w:sz w:val="21"/>
          <w:szCs w:val="21"/>
          <w:lang w:val="es-PE"/>
        </w:rPr>
      </w:pPr>
    </w:p>
    <w:p w14:paraId="337DBE57" w14:textId="57B23545" w:rsidR="00B96550" w:rsidRPr="00A517BC" w:rsidRDefault="00EE7CA1" w:rsidP="00A517BC">
      <w:pPr>
        <w:pStyle w:val="Ttulo1"/>
        <w:numPr>
          <w:ilvl w:val="0"/>
          <w:numId w:val="6"/>
        </w:numPr>
        <w:spacing w:before="280" w:after="280" w:line="276" w:lineRule="auto"/>
        <w:rPr>
          <w:rFonts w:ascii="Cambria" w:eastAsia="Cambria" w:hAnsi="Cambria" w:cs="Cambria"/>
          <w:sz w:val="21"/>
          <w:szCs w:val="21"/>
        </w:rPr>
      </w:pPr>
      <w:bookmarkStart w:id="0" w:name="_Hlk97385492"/>
      <w:r>
        <w:rPr>
          <w:rFonts w:ascii="Cambria" w:eastAsia="Cambria" w:hAnsi="Cambria" w:cs="Cambria"/>
          <w:sz w:val="21"/>
          <w:szCs w:val="21"/>
        </w:rPr>
        <w:lastRenderedPageBreak/>
        <w:t xml:space="preserve">Situación de los migrantes y el acceso a los servicios de salud  </w:t>
      </w:r>
    </w:p>
    <w:bookmarkEnd w:id="0"/>
    <w:p w14:paraId="79FBF162" w14:textId="5D2A0789" w:rsidR="00B96550" w:rsidRPr="004575D5" w:rsidRDefault="00EE7CA1">
      <w:pPr>
        <w:widowControl/>
        <w:numPr>
          <w:ilvl w:val="0"/>
          <w:numId w:val="7"/>
        </w:numPr>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En Perú, las personas venezolanas son la principal población migrante, solicitante de asilo y refugio caracterizadas por ser, mayoritariamente, jóvenes cuya edad oscila entre los 16 y 35 años</w:t>
      </w:r>
      <w:r>
        <w:rPr>
          <w:rFonts w:ascii="Cambria" w:eastAsia="Cambria" w:hAnsi="Cambria" w:cs="Cambria"/>
          <w:sz w:val="21"/>
          <w:szCs w:val="21"/>
          <w:vertAlign w:val="superscript"/>
        </w:rPr>
        <w:footnoteReference w:id="2"/>
      </w:r>
      <w:r w:rsidRPr="004575D5">
        <w:rPr>
          <w:rFonts w:ascii="Cambria" w:eastAsia="Cambria" w:hAnsi="Cambria" w:cs="Cambria"/>
          <w:sz w:val="21"/>
          <w:szCs w:val="21"/>
          <w:lang w:val="es-PE"/>
        </w:rPr>
        <w:t>. Según la Superintendencia Nacional de Migraciones, entre enero de 2016 y mayo de 2021, 1’533.449 personas venezolanas ingresaron por puntos de control migratorio y, de ellas, 788.295 permanecen en el Perú</w:t>
      </w:r>
      <w:r>
        <w:rPr>
          <w:rFonts w:ascii="Cambria" w:eastAsia="Cambria" w:hAnsi="Cambria" w:cs="Cambria"/>
          <w:sz w:val="21"/>
          <w:szCs w:val="21"/>
          <w:vertAlign w:val="superscript"/>
        </w:rPr>
        <w:footnoteReference w:id="3"/>
      </w:r>
      <w:r w:rsidRPr="004575D5">
        <w:rPr>
          <w:rFonts w:ascii="Cambria" w:eastAsia="Cambria" w:hAnsi="Cambria" w:cs="Cambria"/>
          <w:sz w:val="21"/>
          <w:szCs w:val="21"/>
          <w:lang w:val="es-PE"/>
        </w:rPr>
        <w:t>. No obstante, la cifra no oficial se estima en aproximadamente 1.2 millones de personas venezolanas</w:t>
      </w:r>
      <w:r>
        <w:rPr>
          <w:rFonts w:ascii="Cambria" w:eastAsia="Cambria" w:hAnsi="Cambria" w:cs="Cambria"/>
          <w:sz w:val="21"/>
          <w:szCs w:val="21"/>
          <w:vertAlign w:val="superscript"/>
        </w:rPr>
        <w:footnoteReference w:id="4"/>
      </w:r>
      <w:r w:rsidRPr="004575D5">
        <w:rPr>
          <w:rFonts w:ascii="Cambria" w:eastAsia="Cambria" w:hAnsi="Cambria" w:cs="Cambria"/>
          <w:sz w:val="21"/>
          <w:szCs w:val="21"/>
          <w:lang w:val="es-PE"/>
        </w:rPr>
        <w:t>, de las cuáles más de 496 mil han solicitado la condición de refugiado</w:t>
      </w:r>
      <w:r>
        <w:rPr>
          <w:rFonts w:ascii="Cambria" w:eastAsia="Cambria" w:hAnsi="Cambria" w:cs="Cambria"/>
          <w:sz w:val="21"/>
          <w:szCs w:val="21"/>
          <w:vertAlign w:val="superscript"/>
        </w:rPr>
        <w:footnoteReference w:id="5"/>
      </w:r>
      <w:r w:rsidRPr="004575D5">
        <w:rPr>
          <w:rFonts w:ascii="Cambria" w:eastAsia="Cambria" w:hAnsi="Cambria" w:cs="Cambria"/>
          <w:sz w:val="21"/>
          <w:szCs w:val="21"/>
          <w:lang w:val="es-PE"/>
        </w:rPr>
        <w:t xml:space="preserve">. Esto ha convertido al Perú en el </w:t>
      </w:r>
      <w:r w:rsidRPr="004575D5">
        <w:rPr>
          <w:rFonts w:ascii="Cambria" w:eastAsia="Cambria" w:hAnsi="Cambria" w:cs="Cambria"/>
          <w:i/>
          <w:sz w:val="21"/>
          <w:szCs w:val="21"/>
          <w:lang w:val="es-PE"/>
        </w:rPr>
        <w:t xml:space="preserve">primer país de acogida de personas venezolanas con necesidad de protección internacional y el segundo destino de </w:t>
      </w:r>
      <w:r w:rsidR="00A517BC" w:rsidRPr="004575D5">
        <w:rPr>
          <w:rFonts w:ascii="Cambria" w:eastAsia="Cambria" w:hAnsi="Cambria" w:cs="Cambria"/>
          <w:i/>
          <w:sz w:val="21"/>
          <w:szCs w:val="21"/>
          <w:lang w:val="es-PE"/>
        </w:rPr>
        <w:t>refugiados y</w:t>
      </w:r>
      <w:r w:rsidRPr="004575D5">
        <w:rPr>
          <w:rFonts w:ascii="Cambria" w:eastAsia="Cambria" w:hAnsi="Cambria" w:cs="Cambria"/>
          <w:i/>
          <w:sz w:val="21"/>
          <w:szCs w:val="21"/>
          <w:lang w:val="es-PE"/>
        </w:rPr>
        <w:t xml:space="preserve"> migrantes venezolanos a nivel mundial</w:t>
      </w:r>
      <w:r>
        <w:rPr>
          <w:rFonts w:ascii="Cambria" w:eastAsia="Cambria" w:hAnsi="Cambria" w:cs="Cambria"/>
          <w:i/>
          <w:sz w:val="21"/>
          <w:szCs w:val="21"/>
          <w:vertAlign w:val="superscript"/>
        </w:rPr>
        <w:footnoteReference w:id="6"/>
      </w:r>
      <w:r w:rsidRPr="004575D5">
        <w:rPr>
          <w:rFonts w:ascii="Cambria" w:eastAsia="Cambria" w:hAnsi="Cambria" w:cs="Cambria"/>
          <w:i/>
          <w:sz w:val="21"/>
          <w:szCs w:val="21"/>
          <w:lang w:val="es-PE"/>
        </w:rPr>
        <w:t>.</w:t>
      </w:r>
    </w:p>
    <w:p w14:paraId="51683E60" w14:textId="77777777" w:rsidR="00B96550" w:rsidRPr="004575D5" w:rsidRDefault="00B96550">
      <w:pPr>
        <w:widowControl/>
        <w:tabs>
          <w:tab w:val="left" w:pos="2127"/>
        </w:tabs>
        <w:spacing w:after="0"/>
        <w:jc w:val="both"/>
        <w:rPr>
          <w:rFonts w:ascii="Cambria" w:eastAsia="Cambria" w:hAnsi="Cambria" w:cs="Cambria"/>
          <w:sz w:val="21"/>
          <w:szCs w:val="21"/>
          <w:lang w:val="es-PE"/>
        </w:rPr>
      </w:pPr>
    </w:p>
    <w:p w14:paraId="272DD9CB" w14:textId="77777777" w:rsidR="00B96550" w:rsidRPr="004575D5" w:rsidRDefault="00EE7CA1">
      <w:pPr>
        <w:widowControl/>
        <w:numPr>
          <w:ilvl w:val="0"/>
          <w:numId w:val="7"/>
        </w:numPr>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Gran parte de las personas migrantes no ven garantizado su derecho a la salud en las mismas condiciones que una persona de nacionalidad peruana. Esto se ve agravado especialmente en el caso de aquellas personas solicitantes de asilo y refugio, dada su condición migratoria irregular más aún si pertenecen a otros grupos en situación de vulnerabilidad como el ser LGBTI, persona con discapacidad, etcétera. Lamentablemente, el Estado peruano no cuenta con información pública y desagregada por variables como nacionalidad, situación migratoria, orientación sexual, identidad de género, origen étnico, discapacidad, entre otras, que permitan dimensionar el grado de vulneración de su derecho a la salud, especialmente, de sus derechos sexuales y reproductivos.</w:t>
      </w:r>
    </w:p>
    <w:p w14:paraId="25091052" w14:textId="77777777" w:rsidR="00B96550" w:rsidRPr="004575D5" w:rsidRDefault="00B96550">
      <w:pPr>
        <w:widowControl/>
        <w:tabs>
          <w:tab w:val="left" w:pos="2127"/>
        </w:tabs>
        <w:spacing w:after="0"/>
        <w:ind w:left="720"/>
        <w:jc w:val="both"/>
        <w:rPr>
          <w:rFonts w:ascii="Cambria" w:eastAsia="Cambria" w:hAnsi="Cambria" w:cs="Cambria"/>
          <w:sz w:val="21"/>
          <w:szCs w:val="21"/>
          <w:lang w:val="es-PE"/>
        </w:rPr>
      </w:pPr>
    </w:p>
    <w:p w14:paraId="67C3EFE1" w14:textId="77777777" w:rsidR="00B96550" w:rsidRPr="004575D5" w:rsidRDefault="00EE7CA1">
      <w:pPr>
        <w:widowControl/>
        <w:numPr>
          <w:ilvl w:val="0"/>
          <w:numId w:val="7"/>
        </w:numPr>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Sobre el particular, en la “Encuesta dirigida a la población venezolana que reside en el país” (ENVOPE) reveló que, para 2018, el 91.5% de la población no contaba con un seguro de salud</w:t>
      </w:r>
      <w:r>
        <w:rPr>
          <w:rFonts w:ascii="Cambria" w:eastAsia="Cambria" w:hAnsi="Cambria" w:cs="Cambria"/>
          <w:sz w:val="21"/>
          <w:szCs w:val="21"/>
          <w:vertAlign w:val="superscript"/>
        </w:rPr>
        <w:footnoteReference w:id="7"/>
      </w:r>
      <w:r w:rsidRPr="004575D5">
        <w:rPr>
          <w:rFonts w:ascii="Cambria" w:eastAsia="Cambria" w:hAnsi="Cambria" w:cs="Cambria"/>
          <w:sz w:val="21"/>
          <w:szCs w:val="21"/>
          <w:lang w:val="es-PE"/>
        </w:rPr>
        <w:t>. Del total de personas que sí cuenta con un seguro (8.5%), el 53.5% tiene cobertura del Seguro Integral de Salud</w:t>
      </w:r>
      <w:r>
        <w:rPr>
          <w:rFonts w:ascii="Cambria" w:eastAsia="Cambria" w:hAnsi="Cambria" w:cs="Cambria"/>
          <w:sz w:val="21"/>
          <w:szCs w:val="21"/>
          <w:vertAlign w:val="superscript"/>
        </w:rPr>
        <w:footnoteReference w:id="8"/>
      </w:r>
      <w:r w:rsidRPr="004575D5">
        <w:rPr>
          <w:rFonts w:ascii="Cambria" w:eastAsia="Cambria" w:hAnsi="Cambria" w:cs="Cambria"/>
          <w:sz w:val="21"/>
          <w:szCs w:val="21"/>
          <w:lang w:val="es-PE"/>
        </w:rPr>
        <w:t xml:space="preserve"> (SIS), el 29.4% del seguro social de EsSalud y el 17.1% cuenta con seguro privado</w:t>
      </w:r>
      <w:r>
        <w:rPr>
          <w:rFonts w:ascii="Cambria" w:eastAsia="Cambria" w:hAnsi="Cambria" w:cs="Cambria"/>
          <w:sz w:val="21"/>
          <w:szCs w:val="21"/>
          <w:vertAlign w:val="superscript"/>
        </w:rPr>
        <w:footnoteReference w:id="9"/>
      </w:r>
      <w:r w:rsidRPr="004575D5">
        <w:rPr>
          <w:rFonts w:ascii="Cambria" w:eastAsia="Cambria" w:hAnsi="Cambria" w:cs="Cambria"/>
          <w:sz w:val="21"/>
          <w:szCs w:val="21"/>
          <w:lang w:val="es-PE"/>
        </w:rPr>
        <w:t>. Las personas migrantes venezolanas que residen en Perú identificaron que las razones más importantes para no buscar atención de salud formal son la falta de recursos y de un seguro médico</w:t>
      </w:r>
      <w:r>
        <w:rPr>
          <w:rFonts w:ascii="Cambria" w:eastAsia="Cambria" w:hAnsi="Cambria" w:cs="Cambria"/>
          <w:sz w:val="21"/>
          <w:szCs w:val="21"/>
          <w:vertAlign w:val="superscript"/>
        </w:rPr>
        <w:footnoteReference w:id="10"/>
      </w:r>
      <w:r w:rsidRPr="004575D5">
        <w:rPr>
          <w:rFonts w:ascii="Cambria" w:eastAsia="Cambria" w:hAnsi="Cambria" w:cs="Cambria"/>
          <w:sz w:val="21"/>
          <w:szCs w:val="21"/>
          <w:lang w:val="es-PE"/>
        </w:rPr>
        <w:t>.</w:t>
      </w:r>
    </w:p>
    <w:p w14:paraId="62D67FA0" w14:textId="77777777" w:rsidR="00B96550" w:rsidRPr="004575D5" w:rsidRDefault="00B96550">
      <w:pPr>
        <w:widowControl/>
        <w:tabs>
          <w:tab w:val="left" w:pos="2127"/>
        </w:tabs>
        <w:spacing w:after="0"/>
        <w:jc w:val="both"/>
        <w:rPr>
          <w:rFonts w:ascii="Cambria" w:eastAsia="Cambria" w:hAnsi="Cambria" w:cs="Cambria"/>
          <w:sz w:val="21"/>
          <w:szCs w:val="21"/>
          <w:lang w:val="es-PE"/>
        </w:rPr>
      </w:pPr>
    </w:p>
    <w:p w14:paraId="59EB04C0" w14:textId="77777777" w:rsidR="00B96550" w:rsidRPr="004575D5" w:rsidRDefault="00EE7CA1">
      <w:pPr>
        <w:widowControl/>
        <w:numPr>
          <w:ilvl w:val="0"/>
          <w:numId w:val="7"/>
        </w:numPr>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 xml:space="preserve">La Defensoría del Pueblo (Defensoría) publicó un Informe (2020), en el que alertó sobre las profundas restricciones que sufre la población venezolana en el acceso SIS al exigirles contar con carné de extranjería, cuando la mayoría de ellos cuenta únicamente </w:t>
      </w:r>
      <w:r w:rsidRPr="004575D5">
        <w:rPr>
          <w:rFonts w:ascii="Cambria" w:eastAsia="Cambria" w:hAnsi="Cambria" w:cs="Cambria"/>
          <w:sz w:val="21"/>
          <w:szCs w:val="21"/>
          <w:lang w:val="es-PE"/>
        </w:rPr>
        <w:lastRenderedPageBreak/>
        <w:t>con un permiso temporal de permanencia (PTP)</w:t>
      </w:r>
      <w:r>
        <w:rPr>
          <w:rFonts w:ascii="Cambria" w:eastAsia="Cambria" w:hAnsi="Cambria" w:cs="Cambria"/>
          <w:sz w:val="21"/>
          <w:szCs w:val="21"/>
          <w:vertAlign w:val="superscript"/>
        </w:rPr>
        <w:footnoteReference w:id="11"/>
      </w:r>
      <w:r w:rsidRPr="004575D5">
        <w:rPr>
          <w:rFonts w:ascii="Cambria" w:eastAsia="Cambria" w:hAnsi="Cambria" w:cs="Cambria"/>
          <w:sz w:val="21"/>
          <w:szCs w:val="21"/>
          <w:lang w:val="es-PE"/>
        </w:rPr>
        <w:t xml:space="preserve">. La Defensoría ha solicitado al Ministerio de Salud (Minsa) que permita la afiliación directa temporal de migrantes, en particular a grupos específicos como las mujeres gestantes, </w:t>
      </w:r>
      <w:proofErr w:type="gramStart"/>
      <w:r w:rsidRPr="004575D5">
        <w:rPr>
          <w:rFonts w:ascii="Cambria" w:eastAsia="Cambria" w:hAnsi="Cambria" w:cs="Cambria"/>
          <w:sz w:val="21"/>
          <w:szCs w:val="21"/>
          <w:lang w:val="es-PE"/>
        </w:rPr>
        <w:t>niñas y niños</w:t>
      </w:r>
      <w:proofErr w:type="gramEnd"/>
      <w:r w:rsidRPr="004575D5">
        <w:rPr>
          <w:rFonts w:ascii="Cambria" w:eastAsia="Cambria" w:hAnsi="Cambria" w:cs="Cambria"/>
          <w:sz w:val="21"/>
          <w:szCs w:val="21"/>
          <w:lang w:val="es-PE"/>
        </w:rPr>
        <w:t xml:space="preserve"> menores de 5 años</w:t>
      </w:r>
      <w:r>
        <w:rPr>
          <w:rFonts w:ascii="Cambria" w:eastAsia="Cambria" w:hAnsi="Cambria" w:cs="Cambria"/>
          <w:sz w:val="21"/>
          <w:szCs w:val="21"/>
          <w:vertAlign w:val="superscript"/>
        </w:rPr>
        <w:footnoteReference w:id="12"/>
      </w:r>
      <w:r w:rsidRPr="004575D5">
        <w:rPr>
          <w:rFonts w:ascii="Cambria" w:eastAsia="Cambria" w:hAnsi="Cambria" w:cs="Cambria"/>
          <w:sz w:val="21"/>
          <w:szCs w:val="21"/>
          <w:lang w:val="es-PE"/>
        </w:rPr>
        <w:t>.</w:t>
      </w:r>
    </w:p>
    <w:p w14:paraId="28221B9C" w14:textId="77777777" w:rsidR="00B96550" w:rsidRPr="004575D5" w:rsidRDefault="00B96550">
      <w:pPr>
        <w:widowControl/>
        <w:tabs>
          <w:tab w:val="left" w:pos="2127"/>
        </w:tabs>
        <w:spacing w:after="0"/>
        <w:jc w:val="both"/>
        <w:rPr>
          <w:rFonts w:ascii="Cambria" w:eastAsia="Cambria" w:hAnsi="Cambria" w:cs="Cambria"/>
          <w:sz w:val="21"/>
          <w:szCs w:val="21"/>
          <w:lang w:val="es-PE"/>
        </w:rPr>
      </w:pPr>
    </w:p>
    <w:p w14:paraId="2923ABBC" w14:textId="5ECD7949" w:rsidR="00B96550" w:rsidRPr="00A517BC" w:rsidRDefault="00EE7CA1" w:rsidP="00A517BC">
      <w:pPr>
        <w:widowControl/>
        <w:numPr>
          <w:ilvl w:val="0"/>
          <w:numId w:val="7"/>
        </w:numPr>
        <w:tabs>
          <w:tab w:val="left" w:pos="2127"/>
        </w:tabs>
        <w:spacing w:after="0"/>
        <w:jc w:val="both"/>
        <w:rPr>
          <w:rFonts w:ascii="Cambria" w:eastAsia="Cambria" w:hAnsi="Cambria" w:cs="Cambria"/>
          <w:sz w:val="21"/>
          <w:szCs w:val="21"/>
          <w:lang w:val="es-PE"/>
        </w:rPr>
      </w:pPr>
      <w:r w:rsidRPr="004575D5">
        <w:rPr>
          <w:rFonts w:ascii="Cambria" w:eastAsia="Cambria" w:hAnsi="Cambria" w:cs="Cambria"/>
          <w:sz w:val="21"/>
          <w:szCs w:val="21"/>
          <w:lang w:val="es-PE"/>
        </w:rPr>
        <w:t xml:space="preserve">Si la falta de medidas y acciones para garantizar el derecho a la salud de las personas migrantes es alarmante, estas son especialmente graves en el caso de sus derechos sexuales y reproductivos. </w:t>
      </w:r>
    </w:p>
    <w:p w14:paraId="58801B3F" w14:textId="75FB5B77" w:rsidR="00B96550" w:rsidRPr="00A517BC" w:rsidRDefault="00EE7CA1" w:rsidP="00A517BC">
      <w:pPr>
        <w:pStyle w:val="Ttulo1"/>
        <w:numPr>
          <w:ilvl w:val="0"/>
          <w:numId w:val="5"/>
        </w:numPr>
        <w:spacing w:before="280" w:after="0" w:afterAutospacing="0" w:line="276" w:lineRule="auto"/>
        <w:rPr>
          <w:rFonts w:ascii="Cambria" w:eastAsia="Cambria" w:hAnsi="Cambria" w:cs="Cambria"/>
          <w:sz w:val="21"/>
          <w:szCs w:val="21"/>
        </w:rPr>
      </w:pPr>
      <w:r>
        <w:rPr>
          <w:rFonts w:ascii="Cambria" w:eastAsia="Cambria" w:hAnsi="Cambria" w:cs="Cambria"/>
          <w:sz w:val="21"/>
          <w:szCs w:val="21"/>
        </w:rPr>
        <w:t>Obstáculos para el acceso a los servicios de salud sexual y reproductiva</w:t>
      </w:r>
      <w:r w:rsidR="00A517BC">
        <w:rPr>
          <w:rFonts w:ascii="Cambria" w:eastAsia="Cambria" w:hAnsi="Cambria" w:cs="Cambria"/>
          <w:sz w:val="21"/>
          <w:szCs w:val="21"/>
        </w:rPr>
        <w:br/>
      </w:r>
      <w:r w:rsidRPr="00A517BC">
        <w:rPr>
          <w:rFonts w:ascii="Cambria" w:eastAsia="Cambria" w:hAnsi="Cambria" w:cs="Cambria"/>
          <w:sz w:val="21"/>
          <w:szCs w:val="21"/>
        </w:rPr>
        <w:t xml:space="preserve"> </w:t>
      </w:r>
    </w:p>
    <w:p w14:paraId="45A21275" w14:textId="07194D7F" w:rsidR="00B96550" w:rsidRPr="004575D5"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4575D5">
        <w:rPr>
          <w:rFonts w:ascii="Cambria" w:eastAsia="Cambria" w:hAnsi="Cambria" w:cs="Cambria"/>
          <w:color w:val="000000"/>
          <w:sz w:val="21"/>
          <w:szCs w:val="21"/>
          <w:lang w:val="es-PE"/>
        </w:rPr>
        <w:t xml:space="preserve">La situación de la salud sexual y reproductiva de la población venezolana es grave, especialmente para aquellas personas que no cuentan con una condición migratoria regular y, más aún, si </w:t>
      </w:r>
      <w:r w:rsidRPr="004575D5">
        <w:rPr>
          <w:rFonts w:ascii="Cambria" w:eastAsia="Cambria" w:hAnsi="Cambria" w:cs="Cambria"/>
          <w:sz w:val="21"/>
          <w:szCs w:val="21"/>
          <w:lang w:val="es-PE"/>
        </w:rPr>
        <w:t>además</w:t>
      </w:r>
      <w:r w:rsidRPr="004575D5">
        <w:rPr>
          <w:rFonts w:ascii="Cambria" w:eastAsia="Cambria" w:hAnsi="Cambria" w:cs="Cambria"/>
          <w:color w:val="000000"/>
          <w:sz w:val="21"/>
          <w:szCs w:val="21"/>
          <w:lang w:val="es-PE"/>
        </w:rPr>
        <w:t xml:space="preserve"> pertenecen a otro grupo en situación de vulnerabilidad como </w:t>
      </w:r>
      <w:r w:rsidRPr="004575D5">
        <w:rPr>
          <w:rFonts w:ascii="Cambria" w:eastAsia="Cambria" w:hAnsi="Cambria" w:cs="Cambria"/>
          <w:sz w:val="21"/>
          <w:szCs w:val="21"/>
          <w:lang w:val="es-PE"/>
        </w:rPr>
        <w:t xml:space="preserve">el ser </w:t>
      </w:r>
      <w:r w:rsidR="00A517BC" w:rsidRPr="004575D5">
        <w:rPr>
          <w:rFonts w:ascii="Cambria" w:eastAsia="Cambria" w:hAnsi="Cambria" w:cs="Cambria"/>
          <w:sz w:val="21"/>
          <w:szCs w:val="21"/>
          <w:lang w:val="es-PE"/>
        </w:rPr>
        <w:t>LGBTI</w:t>
      </w:r>
      <w:r w:rsidR="00A517BC" w:rsidRPr="004575D5">
        <w:rPr>
          <w:rFonts w:ascii="Cambria" w:eastAsia="Cambria" w:hAnsi="Cambria" w:cs="Cambria"/>
          <w:color w:val="000000"/>
          <w:sz w:val="21"/>
          <w:szCs w:val="21"/>
          <w:lang w:val="es-PE"/>
        </w:rPr>
        <w:t>.</w:t>
      </w:r>
      <w:r w:rsidRPr="004575D5">
        <w:rPr>
          <w:rFonts w:ascii="Cambria" w:eastAsia="Cambria" w:hAnsi="Cambria" w:cs="Cambria"/>
          <w:color w:val="000000"/>
          <w:sz w:val="21"/>
          <w:szCs w:val="21"/>
          <w:lang w:val="es-PE"/>
        </w:rPr>
        <w:t xml:space="preserve"> De acuerdo con la ENVOPE, sólo el 26.5% de la población venezolana de 15 años a más recibió algún servicio referido a la salud reproductiva y/o sexual; en tanto el 66.7% no accedió a estos servicios y el 6.8% no tiene conocimiento su existencia</w:t>
      </w:r>
      <w:r>
        <w:rPr>
          <w:rFonts w:ascii="Cambria" w:eastAsia="Cambria" w:hAnsi="Cambria" w:cs="Cambria"/>
          <w:color w:val="000000"/>
          <w:sz w:val="21"/>
          <w:szCs w:val="21"/>
          <w:vertAlign w:val="superscript"/>
        </w:rPr>
        <w:footnoteReference w:id="13"/>
      </w:r>
      <w:r w:rsidRPr="004575D5">
        <w:rPr>
          <w:rFonts w:ascii="Cambria" w:eastAsia="Cambria" w:hAnsi="Cambria" w:cs="Cambria"/>
          <w:color w:val="000000"/>
          <w:sz w:val="21"/>
          <w:szCs w:val="21"/>
          <w:lang w:val="es-PE"/>
        </w:rPr>
        <w:t>. Asimismo, es preocupante que, desde que llegaron a residir al Perú, el 97.2% de esta población no haya accedido a una prueba de VIH o para detectar si padece de alguna infecci</w:t>
      </w:r>
      <w:r w:rsidRPr="004575D5">
        <w:rPr>
          <w:rFonts w:ascii="Cambria" w:eastAsia="Cambria" w:hAnsi="Cambria" w:cs="Cambria"/>
          <w:sz w:val="21"/>
          <w:szCs w:val="21"/>
          <w:lang w:val="es-PE"/>
        </w:rPr>
        <w:t>ón</w:t>
      </w:r>
      <w:r w:rsidRPr="004575D5">
        <w:rPr>
          <w:rFonts w:ascii="Cambria" w:eastAsia="Cambria" w:hAnsi="Cambria" w:cs="Cambria"/>
          <w:color w:val="000000"/>
          <w:sz w:val="21"/>
          <w:szCs w:val="21"/>
          <w:lang w:val="es-PE"/>
        </w:rPr>
        <w:t xml:space="preserve"> de transmisión sexual</w:t>
      </w:r>
      <w:r>
        <w:rPr>
          <w:rFonts w:ascii="Cambria" w:eastAsia="Cambria" w:hAnsi="Cambria" w:cs="Cambria"/>
          <w:color w:val="000000"/>
          <w:sz w:val="21"/>
          <w:szCs w:val="21"/>
          <w:vertAlign w:val="superscript"/>
        </w:rPr>
        <w:footnoteReference w:id="14"/>
      </w:r>
      <w:r w:rsidRPr="004575D5">
        <w:rPr>
          <w:rFonts w:ascii="Cambria" w:eastAsia="Cambria" w:hAnsi="Cambria" w:cs="Cambria"/>
          <w:color w:val="000000"/>
          <w:sz w:val="21"/>
          <w:szCs w:val="21"/>
          <w:lang w:val="es-PE"/>
        </w:rPr>
        <w:t xml:space="preserve">.  </w:t>
      </w:r>
    </w:p>
    <w:p w14:paraId="75AAF2C9" w14:textId="77777777" w:rsidR="00B96550" w:rsidRPr="004575D5" w:rsidRDefault="00B96550">
      <w:pPr>
        <w:widowControl/>
        <w:tabs>
          <w:tab w:val="left" w:pos="2127"/>
        </w:tabs>
        <w:spacing w:after="0"/>
        <w:jc w:val="both"/>
        <w:rPr>
          <w:rFonts w:ascii="Cambria" w:eastAsia="Cambria" w:hAnsi="Cambria" w:cs="Cambria"/>
          <w:sz w:val="21"/>
          <w:szCs w:val="21"/>
          <w:lang w:val="es-PE"/>
        </w:rPr>
      </w:pPr>
    </w:p>
    <w:p w14:paraId="3A30F285" w14:textId="77777777" w:rsidR="00B96550" w:rsidRPr="004575D5"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4575D5">
        <w:rPr>
          <w:rFonts w:ascii="Cambria" w:eastAsia="Cambria" w:hAnsi="Cambria" w:cs="Cambria"/>
          <w:b/>
          <w:color w:val="000000"/>
          <w:sz w:val="21"/>
          <w:szCs w:val="21"/>
          <w:lang w:val="es-PE"/>
        </w:rPr>
        <w:t>Durante la pandemia se suspendieron las consultas externas en 8 mil establecimientos de salud</w:t>
      </w:r>
      <w:r>
        <w:rPr>
          <w:rFonts w:ascii="Cambria" w:eastAsia="Cambria" w:hAnsi="Cambria" w:cs="Cambria"/>
          <w:color w:val="000000"/>
          <w:sz w:val="21"/>
          <w:szCs w:val="21"/>
          <w:vertAlign w:val="superscript"/>
        </w:rPr>
        <w:footnoteReference w:id="15"/>
      </w:r>
      <w:r w:rsidRPr="004575D5">
        <w:rPr>
          <w:rFonts w:ascii="Cambria" w:eastAsia="Cambria" w:hAnsi="Cambria" w:cs="Cambria"/>
          <w:b/>
          <w:color w:val="000000"/>
          <w:sz w:val="21"/>
          <w:szCs w:val="21"/>
          <w:lang w:val="es-PE"/>
        </w:rPr>
        <w:t xml:space="preserve">, </w:t>
      </w:r>
      <w:r w:rsidRPr="004575D5">
        <w:rPr>
          <w:rFonts w:ascii="Cambria" w:eastAsia="Cambria" w:hAnsi="Cambria" w:cs="Cambria"/>
          <w:color w:val="000000"/>
          <w:sz w:val="21"/>
          <w:szCs w:val="21"/>
          <w:lang w:val="es-PE"/>
        </w:rPr>
        <w:t>implicando la desatención de las mujeres gestantes, de aquellas que requerían acceder al kit de emergencia</w:t>
      </w:r>
      <w:r>
        <w:rPr>
          <w:rFonts w:ascii="Cambria" w:eastAsia="Cambria" w:hAnsi="Cambria" w:cs="Cambria"/>
          <w:color w:val="000000"/>
          <w:sz w:val="21"/>
          <w:szCs w:val="21"/>
          <w:vertAlign w:val="superscript"/>
        </w:rPr>
        <w:footnoteReference w:id="16"/>
      </w:r>
      <w:r w:rsidRPr="004575D5">
        <w:rPr>
          <w:rFonts w:ascii="Cambria" w:eastAsia="Cambria" w:hAnsi="Cambria" w:cs="Cambria"/>
          <w:color w:val="000000"/>
          <w:sz w:val="21"/>
          <w:szCs w:val="21"/>
          <w:lang w:val="es-PE"/>
        </w:rPr>
        <w:t xml:space="preserve"> ante violencia sexual y AOE, así como los servicios de planificación familiar. </w:t>
      </w:r>
      <w:r w:rsidRPr="004575D5">
        <w:rPr>
          <w:rFonts w:ascii="Cambria" w:eastAsia="Cambria" w:hAnsi="Cambria" w:cs="Cambria"/>
          <w:sz w:val="21"/>
          <w:szCs w:val="21"/>
          <w:lang w:val="es-PE"/>
        </w:rPr>
        <w:t>Según el Fondo de Población de las Naciones Unidas (</w:t>
      </w:r>
      <w:r w:rsidRPr="004575D5">
        <w:rPr>
          <w:rFonts w:ascii="Cambria" w:eastAsia="Cambria" w:hAnsi="Cambria" w:cs="Cambria"/>
          <w:color w:val="000000"/>
          <w:sz w:val="21"/>
          <w:szCs w:val="21"/>
          <w:lang w:val="es-PE"/>
        </w:rPr>
        <w:t>UNFPA)</w:t>
      </w:r>
      <w:r w:rsidRPr="004575D5">
        <w:rPr>
          <w:rFonts w:ascii="Cambria" w:eastAsia="Cambria" w:hAnsi="Cambria" w:cs="Cambria"/>
          <w:sz w:val="21"/>
          <w:szCs w:val="21"/>
          <w:lang w:val="es-PE"/>
        </w:rPr>
        <w:t>,</w:t>
      </w:r>
      <w:r w:rsidRPr="004575D5">
        <w:rPr>
          <w:rFonts w:ascii="Cambria" w:eastAsia="Cambria" w:hAnsi="Cambria" w:cs="Cambria"/>
          <w:color w:val="000000"/>
          <w:sz w:val="21"/>
          <w:szCs w:val="21"/>
          <w:lang w:val="es-PE"/>
        </w:rPr>
        <w:t xml:space="preserve"> entre 2020 y 2021, en el Perú se incrementarán entre 50 mil y 100 mil nacimientos no planificados</w:t>
      </w:r>
      <w:r>
        <w:rPr>
          <w:rFonts w:ascii="Cambria" w:eastAsia="Cambria" w:hAnsi="Cambria" w:cs="Cambria"/>
          <w:color w:val="000000"/>
          <w:sz w:val="21"/>
          <w:szCs w:val="21"/>
          <w:vertAlign w:val="superscript"/>
        </w:rPr>
        <w:footnoteReference w:id="17"/>
      </w:r>
      <w:r w:rsidRPr="004575D5">
        <w:rPr>
          <w:rFonts w:ascii="Cambria" w:eastAsia="Cambria" w:hAnsi="Cambria" w:cs="Cambria"/>
          <w:color w:val="000000"/>
          <w:sz w:val="21"/>
          <w:szCs w:val="21"/>
          <w:lang w:val="es-PE"/>
        </w:rPr>
        <w:t xml:space="preserve">. </w:t>
      </w:r>
    </w:p>
    <w:p w14:paraId="02D4A892" w14:textId="77777777" w:rsidR="00B96550" w:rsidRPr="004575D5" w:rsidRDefault="00B96550">
      <w:pPr>
        <w:widowControl/>
        <w:pBdr>
          <w:top w:val="nil"/>
          <w:left w:val="nil"/>
          <w:bottom w:val="nil"/>
          <w:right w:val="nil"/>
          <w:between w:val="nil"/>
        </w:pBdr>
        <w:spacing w:after="0"/>
        <w:jc w:val="both"/>
        <w:rPr>
          <w:rFonts w:ascii="Cambria" w:eastAsia="Cambria" w:hAnsi="Cambria" w:cs="Cambria"/>
          <w:color w:val="000000"/>
          <w:sz w:val="21"/>
          <w:szCs w:val="21"/>
          <w:lang w:val="es-PE"/>
        </w:rPr>
      </w:pPr>
    </w:p>
    <w:p w14:paraId="33538AC2" w14:textId="77777777" w:rsidR="00B96550" w:rsidRPr="004575D5" w:rsidRDefault="00EE7CA1">
      <w:pPr>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4575D5">
        <w:rPr>
          <w:rFonts w:ascii="Cambria" w:eastAsia="Cambria" w:hAnsi="Cambria" w:cs="Cambria"/>
          <w:b/>
          <w:color w:val="000000"/>
          <w:sz w:val="21"/>
          <w:szCs w:val="21"/>
          <w:lang w:val="es-PE"/>
        </w:rPr>
        <w:t>Estos obstáculos en el acceso a los servicios de salud sexual y reproductiva suponen una grave vulneración en los artículos 7, 9 y 28 de la Convención, bajo los cuales Perú está en la obligación de proteger a todos los trabajadores migratorios y sus familiares contra cualquier tipo de discriminación, en particular respecto al derecho a la vida y la salud.</w:t>
      </w:r>
    </w:p>
    <w:p w14:paraId="4C0F1BFD" w14:textId="77777777" w:rsidR="004575D5" w:rsidRPr="004575D5" w:rsidRDefault="004575D5" w:rsidP="004575D5">
      <w:pPr>
        <w:pStyle w:val="Prrafodelista"/>
        <w:widowControl/>
        <w:numPr>
          <w:ilvl w:val="0"/>
          <w:numId w:val="4"/>
        </w:numPr>
        <w:spacing w:before="280" w:beforeAutospacing="1" w:after="280" w:afterAutospacing="1"/>
        <w:contextualSpacing w:val="0"/>
        <w:jc w:val="both"/>
        <w:outlineLvl w:val="0"/>
        <w:rPr>
          <w:rFonts w:ascii="Cambria" w:eastAsia="Cambria" w:hAnsi="Cambria" w:cs="Cambria"/>
          <w:b/>
          <w:bCs/>
          <w:vanish/>
          <w:kern w:val="36"/>
          <w:sz w:val="21"/>
          <w:szCs w:val="21"/>
          <w:lang w:val="es-PE"/>
        </w:rPr>
      </w:pPr>
      <w:bookmarkStart w:id="1" w:name="_heading=h.gjdgxs" w:colFirst="0" w:colLast="0"/>
      <w:bookmarkEnd w:id="1"/>
    </w:p>
    <w:p w14:paraId="0B09ADE6" w14:textId="77777777" w:rsidR="004575D5" w:rsidRPr="004575D5" w:rsidRDefault="004575D5" w:rsidP="004575D5">
      <w:pPr>
        <w:pStyle w:val="Prrafodelista"/>
        <w:widowControl/>
        <w:numPr>
          <w:ilvl w:val="0"/>
          <w:numId w:val="4"/>
        </w:numPr>
        <w:spacing w:before="280" w:beforeAutospacing="1" w:after="280" w:afterAutospacing="1"/>
        <w:contextualSpacing w:val="0"/>
        <w:jc w:val="both"/>
        <w:outlineLvl w:val="0"/>
        <w:rPr>
          <w:rFonts w:ascii="Cambria" w:eastAsia="Cambria" w:hAnsi="Cambria" w:cs="Cambria"/>
          <w:b/>
          <w:bCs/>
          <w:vanish/>
          <w:kern w:val="36"/>
          <w:sz w:val="21"/>
          <w:szCs w:val="21"/>
          <w:lang w:val="es-PE"/>
        </w:rPr>
      </w:pPr>
    </w:p>
    <w:p w14:paraId="26FF0448" w14:textId="7AB19E0F" w:rsidR="00B96550" w:rsidRDefault="00EE7CA1" w:rsidP="004575D5">
      <w:pPr>
        <w:pStyle w:val="Ttulo1"/>
        <w:numPr>
          <w:ilvl w:val="0"/>
          <w:numId w:val="4"/>
        </w:numPr>
        <w:spacing w:before="280" w:after="280" w:line="276" w:lineRule="auto"/>
        <w:jc w:val="both"/>
        <w:rPr>
          <w:rFonts w:ascii="Cambria" w:eastAsia="Cambria" w:hAnsi="Cambria" w:cs="Cambria"/>
          <w:sz w:val="21"/>
          <w:szCs w:val="21"/>
        </w:rPr>
      </w:pPr>
      <w:r>
        <w:rPr>
          <w:rFonts w:ascii="Cambria" w:eastAsia="Cambria" w:hAnsi="Cambria" w:cs="Cambria"/>
          <w:sz w:val="21"/>
          <w:szCs w:val="21"/>
        </w:rPr>
        <w:t>El acceso a métodos de anticoncepción modernos y gama completa de información</w:t>
      </w:r>
    </w:p>
    <w:p w14:paraId="2053F36F" w14:textId="77777777" w:rsidR="00B96550" w:rsidRPr="004575D5" w:rsidRDefault="00EE7CA1">
      <w:pPr>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4575D5">
        <w:rPr>
          <w:rFonts w:ascii="Cambria" w:eastAsia="Cambria" w:hAnsi="Cambria" w:cs="Cambria"/>
          <w:color w:val="000000"/>
          <w:sz w:val="21"/>
          <w:szCs w:val="21"/>
          <w:lang w:val="es-PE"/>
        </w:rPr>
        <w:t>El acceso a métodos de planificación familiar y asistencia a controles de embarazo entre las mujeres venezolanas es limitado, en comparación al de la población nacional. Según la ENVOPE, solo el 27.2% de las mujeres venezolanas en edad fértil (de 15 a 49 años) accedieron a un método de planificación familiar, de las cuales el 17% usaba un método moderno (17%) y únicamente el 2.3% al anticonceptivo oral de emergencia (AOE)</w:t>
      </w:r>
      <w:r>
        <w:rPr>
          <w:rFonts w:ascii="Cambria" w:eastAsia="Cambria" w:hAnsi="Cambria" w:cs="Cambria"/>
          <w:color w:val="000000"/>
          <w:sz w:val="21"/>
          <w:szCs w:val="21"/>
          <w:vertAlign w:val="superscript"/>
        </w:rPr>
        <w:footnoteReference w:id="18"/>
      </w:r>
      <w:r w:rsidRPr="004575D5">
        <w:rPr>
          <w:rFonts w:ascii="Cambria" w:eastAsia="Cambria" w:hAnsi="Cambria" w:cs="Cambria"/>
          <w:color w:val="000000"/>
          <w:sz w:val="21"/>
          <w:szCs w:val="21"/>
          <w:lang w:val="es-PE"/>
        </w:rPr>
        <w:t xml:space="preserve">. Esto difiere de la población peruana donde, según la Encuesta Demográfica y de Salud Familiar de 2017 (ENDES), el 53% de mujeres peruanas usa algún método anticonceptivo moderno.  </w:t>
      </w:r>
    </w:p>
    <w:p w14:paraId="4FAEA26B" w14:textId="77777777" w:rsidR="00B96550" w:rsidRPr="004575D5" w:rsidRDefault="00B96550">
      <w:pPr>
        <w:pBdr>
          <w:top w:val="nil"/>
          <w:left w:val="nil"/>
          <w:bottom w:val="nil"/>
          <w:right w:val="nil"/>
          <w:between w:val="nil"/>
        </w:pBdr>
        <w:spacing w:after="0"/>
        <w:ind w:left="720"/>
        <w:jc w:val="both"/>
        <w:rPr>
          <w:rFonts w:ascii="Cambria" w:eastAsia="Cambria" w:hAnsi="Cambria" w:cs="Cambria"/>
          <w:color w:val="000000"/>
          <w:sz w:val="21"/>
          <w:szCs w:val="21"/>
          <w:lang w:val="es-PE"/>
        </w:rPr>
      </w:pPr>
    </w:p>
    <w:p w14:paraId="7999CC71" w14:textId="77777777" w:rsidR="00B96550" w:rsidRPr="00746268" w:rsidRDefault="00EE7CA1">
      <w:pPr>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4575D5">
        <w:rPr>
          <w:rFonts w:ascii="Cambria" w:eastAsia="Cambria" w:hAnsi="Cambria" w:cs="Cambria"/>
          <w:color w:val="000000"/>
          <w:sz w:val="21"/>
          <w:szCs w:val="21"/>
          <w:lang w:val="es-PE"/>
        </w:rPr>
        <w:t xml:space="preserve">Asimismo, de acuerdo con la ENVOPE el 5% de mujeres encuestadas se encontraban embarazadas, de las cuales el 19% no asistió a un control de embarazo. </w:t>
      </w:r>
      <w:r w:rsidRPr="00746268">
        <w:rPr>
          <w:rFonts w:ascii="Cambria" w:eastAsia="Cambria" w:hAnsi="Cambria" w:cs="Cambria"/>
          <w:color w:val="000000"/>
          <w:sz w:val="21"/>
          <w:szCs w:val="21"/>
          <w:lang w:val="es-PE"/>
        </w:rPr>
        <w:t>A ello se suma que únicamente el 4.6% de la población venezolana de 15 años y más recibió educación o consejos sobre educación sexual y/o reproductiva</w:t>
      </w:r>
      <w:r>
        <w:rPr>
          <w:rFonts w:ascii="Cambria" w:eastAsia="Cambria" w:hAnsi="Cambria" w:cs="Cambria"/>
          <w:color w:val="000000"/>
          <w:sz w:val="21"/>
          <w:szCs w:val="21"/>
          <w:vertAlign w:val="superscript"/>
        </w:rPr>
        <w:footnoteReference w:id="19"/>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lang w:val="es-PE"/>
        </w:rPr>
        <w:t>Esta situación genera graves riesgos de salud para las mujeres gestantes como para sus bebés e incrementa potencialmente los casos de embarazos no deseados y mortalidad materna.</w:t>
      </w:r>
      <w:r w:rsidRPr="00746268">
        <w:rPr>
          <w:rFonts w:ascii="Cambria" w:eastAsia="Cambria" w:hAnsi="Cambria" w:cs="Cambria"/>
          <w:color w:val="000000"/>
          <w:sz w:val="21"/>
          <w:szCs w:val="21"/>
          <w:lang w:val="es-PE"/>
        </w:rPr>
        <w:br/>
      </w:r>
    </w:p>
    <w:p w14:paraId="1C4508A2"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La prohibición de la distribución gratuita de la AOE afecta los derechos fundamentales de las mujeres más pobres y de las víctimas de violación sexual, que son –en su mayoría- menores de edad (71%) y muchas de ellas migrantes, encontrándose expuestas a embarazos forzados producto de esta violencia</w:t>
      </w:r>
      <w:r>
        <w:rPr>
          <w:rFonts w:ascii="Cambria" w:eastAsia="Cambria" w:hAnsi="Cambria" w:cs="Cambria"/>
          <w:color w:val="000000"/>
          <w:sz w:val="21"/>
          <w:szCs w:val="21"/>
          <w:vertAlign w:val="superscript"/>
        </w:rPr>
        <w:footnoteReference w:id="20"/>
      </w:r>
      <w:r w:rsidRPr="00746268">
        <w:rPr>
          <w:rFonts w:ascii="Cambria" w:eastAsia="Cambria" w:hAnsi="Cambria" w:cs="Cambria"/>
          <w:color w:val="000000"/>
          <w:sz w:val="21"/>
          <w:szCs w:val="21"/>
          <w:lang w:val="es-PE"/>
        </w:rPr>
        <w:t xml:space="preserve">. Por ello, la </w:t>
      </w:r>
      <w:r w:rsidRPr="00746268">
        <w:rPr>
          <w:rFonts w:ascii="Cambria" w:eastAsia="Cambria" w:hAnsi="Cambria" w:cs="Cambria"/>
          <w:b/>
          <w:color w:val="000000"/>
          <w:sz w:val="21"/>
          <w:szCs w:val="21"/>
          <w:lang w:val="es-PE"/>
        </w:rPr>
        <w:t>Defensoría llamó al MINSA a adoptar las medidas necesarias para garantizar la ejecución del fallo del Poder Judicial que le ordena a informar y distribuir gratuitamente el AOE</w:t>
      </w:r>
      <w:r>
        <w:rPr>
          <w:rFonts w:ascii="Cambria" w:eastAsia="Cambria" w:hAnsi="Cambria" w:cs="Cambria"/>
          <w:color w:val="000000"/>
          <w:sz w:val="21"/>
          <w:szCs w:val="21"/>
          <w:vertAlign w:val="superscript"/>
        </w:rPr>
        <w:footnoteReference w:id="21"/>
      </w:r>
      <w:r w:rsidRPr="00746268">
        <w:rPr>
          <w:rFonts w:ascii="Cambria" w:eastAsia="Cambria" w:hAnsi="Cambria" w:cs="Cambria"/>
          <w:color w:val="000000"/>
          <w:sz w:val="21"/>
          <w:szCs w:val="21"/>
          <w:lang w:val="es-PE"/>
        </w:rPr>
        <w:t>.</w:t>
      </w:r>
    </w:p>
    <w:p w14:paraId="1F68F2D0" w14:textId="77777777" w:rsidR="00B96550" w:rsidRPr="00746268" w:rsidRDefault="00EE7CA1">
      <w:pPr>
        <w:widowControl/>
        <w:numPr>
          <w:ilvl w:val="0"/>
          <w:numId w:val="7"/>
        </w:numPr>
        <w:tabs>
          <w:tab w:val="left" w:pos="2127"/>
        </w:tabs>
        <w:spacing w:before="240" w:after="240"/>
        <w:jc w:val="both"/>
        <w:rPr>
          <w:rFonts w:ascii="Cambria" w:eastAsia="Cambria" w:hAnsi="Cambria" w:cs="Cambria"/>
          <w:sz w:val="21"/>
          <w:szCs w:val="21"/>
          <w:lang w:val="es-PE"/>
        </w:rPr>
      </w:pPr>
      <w:r w:rsidRPr="00746268">
        <w:rPr>
          <w:rFonts w:ascii="Cambria" w:eastAsia="Cambria" w:hAnsi="Cambria" w:cs="Cambria"/>
          <w:sz w:val="21"/>
          <w:szCs w:val="21"/>
          <w:lang w:val="es-PE"/>
        </w:rPr>
        <w:t>Es importante recordar que desde octubre de 2009 la AOE no estuvo disponible en el sector público por una Sentencia del Tribunal Constitucional</w:t>
      </w:r>
      <w:r>
        <w:rPr>
          <w:rFonts w:ascii="Cambria" w:eastAsia="Cambria" w:hAnsi="Cambria" w:cs="Cambria"/>
          <w:sz w:val="21"/>
          <w:szCs w:val="21"/>
          <w:vertAlign w:val="superscript"/>
        </w:rPr>
        <w:footnoteReference w:id="22"/>
      </w:r>
      <w:r w:rsidRPr="00746268">
        <w:rPr>
          <w:rFonts w:ascii="Cambria" w:eastAsia="Cambria" w:hAnsi="Cambria" w:cs="Cambria"/>
          <w:sz w:val="21"/>
          <w:szCs w:val="21"/>
          <w:lang w:val="es-PE"/>
        </w:rPr>
        <w:t xml:space="preserve">en un proceso promovido por una ONG religiosa y, por ello, tampoco se brindaba información sobre la misma. El Tribunal prohibió al Minsa la distribución del AOE en establecimientos públicos, mas no la venta en farmacias privadas, lo que representó una manifiesta discriminación en contra de las mujeres de escasos recursos económicos. Actualmente, la obligación de provisión de AOE se debe a una medida cautelar dictada por el 1er Juzgado Constitucional de Lima en agosto de 2016, que fue confirmada a través de una decisión judicial del mismo juzgado en 2019, en el marco de un proceso de amparo acompañado por PROMSEX. </w:t>
      </w:r>
      <w:r w:rsidRPr="00746268">
        <w:rPr>
          <w:rFonts w:ascii="Cambria" w:eastAsia="Cambria" w:hAnsi="Cambria" w:cs="Cambria"/>
          <w:color w:val="000000"/>
          <w:sz w:val="21"/>
          <w:szCs w:val="21"/>
          <w:lang w:val="es-PE"/>
        </w:rPr>
        <w:t>La decisión final del Tribunal Constitucional</w:t>
      </w:r>
      <w:r w:rsidRPr="00746268">
        <w:rPr>
          <w:rFonts w:ascii="Cambria" w:eastAsia="Cambria" w:hAnsi="Cambria" w:cs="Cambria"/>
          <w:sz w:val="21"/>
          <w:szCs w:val="21"/>
          <w:lang w:val="es-PE"/>
        </w:rPr>
        <w:t xml:space="preserve"> </w:t>
      </w:r>
      <w:r w:rsidRPr="00746268">
        <w:rPr>
          <w:rFonts w:ascii="Cambria" w:eastAsia="Cambria" w:hAnsi="Cambria" w:cs="Cambria"/>
          <w:color w:val="000000"/>
          <w:sz w:val="21"/>
          <w:szCs w:val="21"/>
          <w:lang w:val="es-PE"/>
        </w:rPr>
        <w:t xml:space="preserve">se encuentra pendiente. Un pronunciamiento en contra de las pretensiones de la demanda por parte del Tribunal </w:t>
      </w:r>
      <w:r w:rsidRPr="00746268">
        <w:rPr>
          <w:rFonts w:ascii="Cambria" w:eastAsia="Cambria" w:hAnsi="Cambria" w:cs="Cambria"/>
          <w:color w:val="000000"/>
          <w:sz w:val="21"/>
          <w:szCs w:val="21"/>
          <w:lang w:val="es-PE"/>
        </w:rPr>
        <w:lastRenderedPageBreak/>
        <w:t>implicaría que el</w:t>
      </w:r>
      <w:r w:rsidRPr="00746268">
        <w:rPr>
          <w:rFonts w:ascii="Cambria" w:eastAsia="Cambria" w:hAnsi="Cambria" w:cs="Cambria"/>
          <w:sz w:val="21"/>
          <w:szCs w:val="21"/>
          <w:lang w:val="es-PE"/>
        </w:rPr>
        <w:t xml:space="preserve"> </w:t>
      </w:r>
      <w:r w:rsidRPr="00746268">
        <w:rPr>
          <w:rFonts w:ascii="Cambria" w:eastAsia="Cambria" w:hAnsi="Cambria" w:cs="Cambria"/>
          <w:color w:val="000000"/>
          <w:sz w:val="21"/>
          <w:szCs w:val="21"/>
          <w:lang w:val="es-PE"/>
        </w:rPr>
        <w:t xml:space="preserve">Minsa se abstenga de desarrollar como política pública la distribución gratuita del AOE a nivel nacional. </w:t>
      </w:r>
    </w:p>
    <w:p w14:paraId="1837E5BD"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 xml:space="preserve">La emergencia sanitaria ha agudizado la dificultad de acceder a métodos anticonceptivos modernos. </w:t>
      </w:r>
      <w:r w:rsidRPr="00746268">
        <w:rPr>
          <w:rFonts w:ascii="Cambria" w:eastAsia="Cambria" w:hAnsi="Cambria" w:cs="Cambria"/>
          <w:color w:val="000000"/>
          <w:sz w:val="21"/>
          <w:szCs w:val="21"/>
          <w:lang w:val="es-PE"/>
        </w:rPr>
        <w:t>En Perú, la</w:t>
      </w:r>
      <w:r w:rsidRPr="00746268">
        <w:rPr>
          <w:rFonts w:ascii="Cambria" w:eastAsia="Cambria" w:hAnsi="Cambria" w:cs="Cambria"/>
          <w:color w:val="000000"/>
          <w:sz w:val="21"/>
          <w:szCs w:val="21"/>
          <w:highlight w:val="white"/>
          <w:lang w:val="es-PE"/>
        </w:rPr>
        <w:t xml:space="preserve"> proporción de uso de métodos anticonceptivos modernos es de 55%, una tasa significativamente menor que el promedio regional de 70%. De ese 55% que usa métodos anticonceptivos modernos, 54,2% de las mujeres los reciben de los servicios públicos y el 45% los reciben de los servicios privados, dentro de ellos, 8 de cada 9 los adquiere en </w:t>
      </w:r>
      <w:r w:rsidRPr="00746268">
        <w:rPr>
          <w:rFonts w:ascii="Cambria" w:eastAsia="Cambria" w:hAnsi="Cambria" w:cs="Cambria"/>
          <w:color w:val="000000"/>
          <w:sz w:val="21"/>
          <w:szCs w:val="21"/>
          <w:lang w:val="es-PE"/>
        </w:rPr>
        <w:t>f</w:t>
      </w:r>
      <w:r w:rsidRPr="00746268">
        <w:rPr>
          <w:rFonts w:ascii="Cambria" w:eastAsia="Cambria" w:hAnsi="Cambria" w:cs="Cambria"/>
          <w:color w:val="000000"/>
          <w:sz w:val="21"/>
          <w:szCs w:val="21"/>
          <w:highlight w:val="white"/>
          <w:lang w:val="es-PE"/>
        </w:rPr>
        <w:t>armacias</w:t>
      </w:r>
      <w:r>
        <w:rPr>
          <w:rFonts w:ascii="Cambria" w:eastAsia="Cambria" w:hAnsi="Cambria" w:cs="Cambria"/>
          <w:color w:val="000000"/>
          <w:sz w:val="21"/>
          <w:szCs w:val="21"/>
          <w:highlight w:val="white"/>
          <w:vertAlign w:val="superscript"/>
        </w:rPr>
        <w:footnoteReference w:id="23"/>
      </w:r>
      <w:r w:rsidRPr="00746268">
        <w:rPr>
          <w:rFonts w:ascii="Cambria" w:eastAsia="Cambria" w:hAnsi="Cambria" w:cs="Cambria"/>
          <w:color w:val="000000"/>
          <w:sz w:val="21"/>
          <w:szCs w:val="21"/>
          <w:highlight w:val="white"/>
          <w:lang w:val="es-PE"/>
        </w:rPr>
        <w:t xml:space="preserve">.  </w:t>
      </w:r>
    </w:p>
    <w:p w14:paraId="337544C6"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highlight w:val="white"/>
          <w:lang w:val="es-PE"/>
        </w:rPr>
      </w:pPr>
    </w:p>
    <w:p w14:paraId="34DC33DA"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 xml:space="preserve">Mientras la provisión de métodos anticonceptivos por el sistema público se vio interrumpida desde el mes de marzo de 2020 debido a la cuarentena, </w:t>
      </w:r>
      <w:r w:rsidRPr="00746268">
        <w:rPr>
          <w:rFonts w:ascii="Cambria" w:eastAsia="Cambria" w:hAnsi="Cambria" w:cs="Cambria"/>
          <w:color w:val="000000"/>
          <w:sz w:val="21"/>
          <w:szCs w:val="21"/>
          <w:highlight w:val="white"/>
          <w:lang w:val="es-PE"/>
        </w:rPr>
        <w:t xml:space="preserve">las farmacias privadas continuaron </w:t>
      </w:r>
      <w:r w:rsidRPr="00746268">
        <w:rPr>
          <w:rFonts w:ascii="Cambria" w:eastAsia="Cambria" w:hAnsi="Cambria" w:cs="Cambria"/>
          <w:sz w:val="21"/>
          <w:szCs w:val="21"/>
          <w:highlight w:val="white"/>
          <w:lang w:val="es-PE"/>
        </w:rPr>
        <w:t>ofreciéndoles</w:t>
      </w:r>
      <w:r w:rsidRPr="00746268">
        <w:rPr>
          <w:rFonts w:ascii="Cambria" w:eastAsia="Cambria" w:hAnsi="Cambria" w:cs="Cambria"/>
          <w:color w:val="000000"/>
          <w:sz w:val="21"/>
          <w:szCs w:val="21"/>
          <w:highlight w:val="white"/>
          <w:lang w:val="es-PE"/>
        </w:rPr>
        <w:t xml:space="preserve">, aunque se reportó un </w:t>
      </w:r>
      <w:r w:rsidRPr="00746268">
        <w:rPr>
          <w:rFonts w:ascii="Cambria" w:eastAsia="Cambria" w:hAnsi="Cambria" w:cs="Cambria"/>
          <w:color w:val="000000"/>
          <w:sz w:val="21"/>
          <w:szCs w:val="21"/>
          <w:lang w:val="es-PE"/>
        </w:rPr>
        <w:t>incremento inusual del precio de los medicamentos</w:t>
      </w:r>
      <w:r w:rsidRPr="00746268">
        <w:rPr>
          <w:rFonts w:ascii="Cambria" w:eastAsia="Cambria" w:hAnsi="Cambria" w:cs="Cambria"/>
          <w:color w:val="000000"/>
          <w:sz w:val="21"/>
          <w:szCs w:val="21"/>
          <w:highlight w:val="white"/>
          <w:lang w:val="es-PE"/>
        </w:rPr>
        <w:t xml:space="preserve">. Como resultado, se ha generado </w:t>
      </w:r>
      <w:r w:rsidRPr="00746268">
        <w:rPr>
          <w:rFonts w:ascii="Cambria" w:eastAsia="Cambria" w:hAnsi="Cambria" w:cs="Cambria"/>
          <w:color w:val="000000"/>
          <w:sz w:val="21"/>
          <w:szCs w:val="21"/>
          <w:lang w:val="es-PE"/>
        </w:rPr>
        <w:t xml:space="preserve">un </w:t>
      </w:r>
      <w:r w:rsidRPr="00746268">
        <w:rPr>
          <w:rFonts w:ascii="Cambria" w:eastAsia="Cambria" w:hAnsi="Cambria" w:cs="Cambria"/>
          <w:b/>
          <w:color w:val="000000"/>
          <w:sz w:val="21"/>
          <w:szCs w:val="21"/>
          <w:lang w:val="es-PE"/>
        </w:rPr>
        <w:t>potencial aumento de embarazos no planeados o deseados</w:t>
      </w:r>
      <w:r w:rsidRPr="00746268">
        <w:rPr>
          <w:rFonts w:ascii="Cambria" w:eastAsia="Cambria" w:hAnsi="Cambria" w:cs="Cambria"/>
          <w:b/>
          <w:color w:val="000000"/>
          <w:sz w:val="21"/>
          <w:szCs w:val="21"/>
          <w:highlight w:val="white"/>
          <w:lang w:val="es-PE"/>
        </w:rPr>
        <w:t xml:space="preserve"> principalmente en aquellas mujeres que no cuentan con las capacidades económicas y geográficas para poder adquirir anticonceptivos</w:t>
      </w:r>
      <w:r w:rsidRPr="00746268">
        <w:rPr>
          <w:rFonts w:ascii="Cambria" w:eastAsia="Cambria" w:hAnsi="Cambria" w:cs="Cambria"/>
          <w:color w:val="000000"/>
          <w:sz w:val="21"/>
          <w:szCs w:val="21"/>
          <w:highlight w:val="white"/>
          <w:lang w:val="es-PE"/>
        </w:rPr>
        <w:t xml:space="preserve">. </w:t>
      </w:r>
    </w:p>
    <w:p w14:paraId="7EBDF674"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58A4AC30"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 xml:space="preserve">La falta de recursos, servicios y acceso a información sobre salud sexual y reproductiva, incluyendo el acceso de la AOE, constituye una forma de discriminación, y claras violaciones a los derechos a la salud, la salud sexual y reproductiva, y la vida protegidos bajo los artículos 7, 9 y 28 de la Convención. </w:t>
      </w:r>
    </w:p>
    <w:p w14:paraId="406E8494" w14:textId="77777777" w:rsidR="00B96550" w:rsidRDefault="00EE7CA1">
      <w:pPr>
        <w:pStyle w:val="Ttulo1"/>
        <w:numPr>
          <w:ilvl w:val="0"/>
          <w:numId w:val="4"/>
        </w:numPr>
        <w:spacing w:before="280" w:after="280" w:line="276" w:lineRule="auto"/>
        <w:rPr>
          <w:rFonts w:ascii="Cambria" w:eastAsia="Cambria" w:hAnsi="Cambria" w:cs="Cambria"/>
          <w:sz w:val="21"/>
          <w:szCs w:val="21"/>
        </w:rPr>
      </w:pPr>
      <w:r>
        <w:rPr>
          <w:rFonts w:ascii="Cambria" w:eastAsia="Cambria" w:hAnsi="Cambria" w:cs="Cambria"/>
          <w:sz w:val="21"/>
          <w:szCs w:val="21"/>
        </w:rPr>
        <w:t>Los altos índices de embarazos forzados y mortalidad materna</w:t>
      </w:r>
    </w:p>
    <w:p w14:paraId="6AE1051E" w14:textId="77777777" w:rsidR="00B96550" w:rsidRPr="00746268" w:rsidRDefault="00EE7CA1">
      <w:pPr>
        <w:tabs>
          <w:tab w:val="left" w:pos="2127"/>
        </w:tabs>
        <w:rPr>
          <w:rFonts w:ascii="Cambria" w:eastAsia="Cambria" w:hAnsi="Cambria" w:cs="Cambria"/>
          <w:b/>
          <w:i/>
          <w:sz w:val="21"/>
          <w:szCs w:val="21"/>
          <w:lang w:val="es-PE"/>
        </w:rPr>
      </w:pPr>
      <w:r w:rsidRPr="00746268">
        <w:rPr>
          <w:rFonts w:ascii="Cambria" w:eastAsia="Cambria" w:hAnsi="Cambria" w:cs="Cambria"/>
          <w:b/>
          <w:i/>
          <w:sz w:val="21"/>
          <w:szCs w:val="21"/>
          <w:lang w:val="es-PE"/>
        </w:rPr>
        <w:t>Embarazos forzados en niñas y adolescentes</w:t>
      </w:r>
    </w:p>
    <w:p w14:paraId="558E4A8E"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 xml:space="preserve">El embarazo adolescente en Perú es un problema de salud pública que vulnera los derechos humanos y se mantiene estable desde hace 15 años aproximadamente. </w:t>
      </w:r>
      <w:r w:rsidRPr="00746268">
        <w:rPr>
          <w:rFonts w:ascii="Cambria" w:eastAsia="Cambria" w:hAnsi="Cambria" w:cs="Cambria"/>
          <w:b/>
          <w:color w:val="000000"/>
          <w:sz w:val="21"/>
          <w:szCs w:val="21"/>
          <w:lang w:val="es-PE"/>
        </w:rPr>
        <w:t>Según datos oficiales</w:t>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lang w:val="es-PE"/>
        </w:rPr>
        <w:t>13 de cada 100 adolescentes entre 15 y 19 años son madres o están embarazadas por primera vez y el 71% de estos embarazos no fueron deseados</w:t>
      </w:r>
      <w:r>
        <w:rPr>
          <w:rFonts w:ascii="Cambria" w:eastAsia="Cambria" w:hAnsi="Cambria" w:cs="Cambria"/>
          <w:color w:val="000000"/>
          <w:sz w:val="21"/>
          <w:szCs w:val="21"/>
          <w:vertAlign w:val="superscript"/>
        </w:rPr>
        <w:footnoteReference w:id="24"/>
      </w:r>
      <w:r w:rsidRPr="00746268">
        <w:rPr>
          <w:rFonts w:ascii="Cambria" w:eastAsia="Cambria" w:hAnsi="Cambria" w:cs="Cambria"/>
          <w:color w:val="000000"/>
          <w:sz w:val="21"/>
          <w:szCs w:val="21"/>
          <w:lang w:val="es-PE"/>
        </w:rPr>
        <w:t xml:space="preserve">. </w:t>
      </w:r>
    </w:p>
    <w:p w14:paraId="4ECF10C3" w14:textId="77777777" w:rsidR="00B96550" w:rsidRPr="00746268" w:rsidRDefault="00B96550">
      <w:pPr>
        <w:widowControl/>
        <w:tabs>
          <w:tab w:val="left" w:pos="2127"/>
        </w:tabs>
        <w:spacing w:after="0"/>
        <w:jc w:val="both"/>
        <w:rPr>
          <w:rFonts w:ascii="Cambria" w:eastAsia="Cambria" w:hAnsi="Cambria" w:cs="Cambria"/>
          <w:sz w:val="21"/>
          <w:szCs w:val="21"/>
          <w:lang w:val="es-PE"/>
        </w:rPr>
      </w:pPr>
    </w:p>
    <w:p w14:paraId="78C2E73F"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En 2020, mientras el promedio nacional de embarazo adolescente de 15 a 19 años era de 8.2%, en las poblaciones marginalizadas y pobres del país, las cifras alcanzaron el 20%</w:t>
      </w:r>
      <w:r>
        <w:rPr>
          <w:rFonts w:ascii="Cambria" w:eastAsia="Cambria" w:hAnsi="Cambria" w:cs="Cambria"/>
          <w:color w:val="000000"/>
          <w:sz w:val="21"/>
          <w:szCs w:val="21"/>
          <w:vertAlign w:val="superscript"/>
        </w:rPr>
        <w:footnoteReference w:id="25"/>
      </w:r>
      <w:r w:rsidRPr="00746268">
        <w:rPr>
          <w:rFonts w:ascii="Cambria" w:eastAsia="Cambria" w:hAnsi="Cambria" w:cs="Cambria"/>
          <w:color w:val="000000"/>
          <w:sz w:val="21"/>
          <w:szCs w:val="21"/>
          <w:lang w:val="es-PE"/>
        </w:rPr>
        <w:t xml:space="preserve">. Según UNFPA siete de cada diez madres adolescentes no deseaban quedar </w:t>
      </w:r>
      <w:r w:rsidRPr="00746268">
        <w:rPr>
          <w:rFonts w:ascii="Cambria" w:eastAsia="Cambria" w:hAnsi="Cambria" w:cs="Cambria"/>
          <w:color w:val="000000"/>
          <w:sz w:val="21"/>
          <w:szCs w:val="21"/>
          <w:lang w:val="es-PE"/>
        </w:rPr>
        <w:lastRenderedPageBreak/>
        <w:t>embarazadas</w:t>
      </w:r>
      <w:r>
        <w:rPr>
          <w:rFonts w:ascii="Cambria" w:eastAsia="Cambria" w:hAnsi="Cambria" w:cs="Cambria"/>
          <w:color w:val="000000"/>
          <w:sz w:val="21"/>
          <w:szCs w:val="21"/>
          <w:vertAlign w:val="superscript"/>
        </w:rPr>
        <w:footnoteReference w:id="26"/>
      </w:r>
      <w:r w:rsidRPr="00746268">
        <w:rPr>
          <w:rFonts w:ascii="Cambria" w:eastAsia="Cambria" w:hAnsi="Cambria" w:cs="Cambria"/>
          <w:color w:val="000000"/>
          <w:sz w:val="21"/>
          <w:szCs w:val="21"/>
          <w:lang w:val="es-PE"/>
        </w:rPr>
        <w:t>. Asimismo, el 34% de las adolescentes que reportó haber sufrido una violación sexual resultó embarazada</w:t>
      </w:r>
      <w:r>
        <w:rPr>
          <w:rFonts w:ascii="Cambria" w:eastAsia="Cambria" w:hAnsi="Cambria" w:cs="Cambria"/>
          <w:color w:val="000000"/>
          <w:sz w:val="21"/>
          <w:szCs w:val="21"/>
          <w:vertAlign w:val="superscript"/>
        </w:rPr>
        <w:footnoteReference w:id="27"/>
      </w:r>
      <w:r w:rsidRPr="00746268">
        <w:rPr>
          <w:rFonts w:ascii="Cambria" w:eastAsia="Cambria" w:hAnsi="Cambria" w:cs="Cambria"/>
          <w:color w:val="000000"/>
          <w:sz w:val="21"/>
          <w:szCs w:val="21"/>
          <w:lang w:val="es-PE"/>
        </w:rPr>
        <w:t xml:space="preserve"> y el 14% de ellas tenía entre 10 y 14 años</w:t>
      </w:r>
      <w:r>
        <w:rPr>
          <w:rFonts w:ascii="Cambria" w:eastAsia="Cambria" w:hAnsi="Cambria" w:cs="Cambria"/>
          <w:color w:val="000000"/>
          <w:sz w:val="21"/>
          <w:szCs w:val="21"/>
          <w:vertAlign w:val="superscript"/>
        </w:rPr>
        <w:footnoteReference w:id="28"/>
      </w:r>
      <w:r w:rsidRPr="00746268">
        <w:rPr>
          <w:rFonts w:ascii="Cambria" w:eastAsia="Cambria" w:hAnsi="Cambria" w:cs="Cambria"/>
          <w:color w:val="000000"/>
          <w:sz w:val="21"/>
          <w:szCs w:val="21"/>
          <w:lang w:val="es-PE"/>
        </w:rPr>
        <w:t xml:space="preserve">.  </w:t>
      </w:r>
    </w:p>
    <w:p w14:paraId="682E56FE"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54CC38E5"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El confinamiento obligatorio por COVID-19</w:t>
      </w:r>
      <w:r w:rsidRPr="00746268">
        <w:rPr>
          <w:rFonts w:ascii="Cambria" w:eastAsia="Cambria" w:hAnsi="Cambria" w:cs="Cambria"/>
          <w:color w:val="000000"/>
          <w:sz w:val="21"/>
          <w:szCs w:val="21"/>
          <w:lang w:val="es-PE"/>
        </w:rPr>
        <w:t xml:space="preserve"> limitó el acceso a los servicios de salud sexual y reproductiva, sumado a que el 30% de centros de salud suspendió las consultas externas. </w:t>
      </w:r>
      <w:r w:rsidRPr="00746268">
        <w:rPr>
          <w:rFonts w:ascii="Cambria" w:eastAsia="Cambria" w:hAnsi="Cambria" w:cs="Cambria"/>
          <w:b/>
          <w:color w:val="000000"/>
          <w:sz w:val="21"/>
          <w:szCs w:val="21"/>
          <w:lang w:val="es-PE"/>
        </w:rPr>
        <w:t>Aun cuando según la normativa peruana toda relación sexual con una adolescente menor de 14 años constituye violación sexual</w:t>
      </w:r>
      <w:r>
        <w:rPr>
          <w:rFonts w:ascii="Cambria" w:eastAsia="Cambria" w:hAnsi="Cambria" w:cs="Cambria"/>
          <w:color w:val="000000"/>
          <w:sz w:val="21"/>
          <w:szCs w:val="21"/>
          <w:vertAlign w:val="superscript"/>
        </w:rPr>
        <w:footnoteReference w:id="29"/>
      </w:r>
      <w:r w:rsidRPr="00746268">
        <w:rPr>
          <w:rFonts w:ascii="Cambria" w:eastAsia="Cambria" w:hAnsi="Cambria" w:cs="Cambria"/>
          <w:color w:val="000000"/>
          <w:sz w:val="21"/>
          <w:szCs w:val="21"/>
          <w:lang w:val="es-PE"/>
        </w:rPr>
        <w:t xml:space="preserve"> en 2021, se registraron 1435 partos de madres menores de 15 años; es decir, 258 partos más que el año anterior</w:t>
      </w:r>
      <w:r>
        <w:rPr>
          <w:rFonts w:ascii="Cambria" w:eastAsia="Cambria" w:hAnsi="Cambria" w:cs="Cambria"/>
          <w:color w:val="000000"/>
          <w:sz w:val="21"/>
          <w:szCs w:val="21"/>
          <w:vertAlign w:val="superscript"/>
        </w:rPr>
        <w:footnoteReference w:id="30"/>
      </w:r>
      <w:r w:rsidRPr="00746268">
        <w:rPr>
          <w:rFonts w:ascii="Cambria" w:eastAsia="Cambria" w:hAnsi="Cambria" w:cs="Cambria"/>
          <w:color w:val="000000"/>
          <w:sz w:val="21"/>
          <w:szCs w:val="21"/>
          <w:lang w:val="es-PE"/>
        </w:rPr>
        <w:t xml:space="preserve">. </w:t>
      </w:r>
    </w:p>
    <w:p w14:paraId="39AF953D" w14:textId="77777777" w:rsidR="00B96550" w:rsidRPr="00746268" w:rsidRDefault="00B96550">
      <w:pPr>
        <w:pBdr>
          <w:top w:val="nil"/>
          <w:left w:val="nil"/>
          <w:bottom w:val="nil"/>
          <w:right w:val="nil"/>
          <w:between w:val="nil"/>
        </w:pBdr>
        <w:spacing w:after="0"/>
        <w:ind w:left="720"/>
        <w:rPr>
          <w:rFonts w:ascii="Cambria" w:eastAsia="Cambria" w:hAnsi="Cambria" w:cs="Cambria"/>
          <w:color w:val="000000"/>
          <w:sz w:val="21"/>
          <w:szCs w:val="21"/>
          <w:lang w:val="es-PE"/>
        </w:rPr>
      </w:pPr>
    </w:p>
    <w:p w14:paraId="1FFD1C27"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Estos datos son alarmantes considerando</w:t>
      </w:r>
      <w:r w:rsidRPr="00746268">
        <w:rPr>
          <w:rFonts w:ascii="Cambria" w:eastAsia="Cambria" w:hAnsi="Cambria" w:cs="Cambria"/>
          <w:b/>
          <w:color w:val="000000"/>
          <w:sz w:val="21"/>
          <w:szCs w:val="21"/>
          <w:lang w:val="es-PE"/>
        </w:rPr>
        <w:t xml:space="preserve"> que una niña o adolescente migrante menor de 14 años embarazada es una niña víctima de violación sexual con un embarazo forzado</w:t>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lang w:val="es-PE"/>
        </w:rPr>
        <w:t>y, al no proveerle la posibilidad para que decida sobre éste, el Estado impone una maternidad no deseada</w:t>
      </w:r>
      <w:r w:rsidRPr="00746268">
        <w:rPr>
          <w:rFonts w:ascii="Cambria" w:eastAsia="Cambria" w:hAnsi="Cambria" w:cs="Cambria"/>
          <w:color w:val="000000"/>
          <w:sz w:val="21"/>
          <w:szCs w:val="21"/>
          <w:lang w:val="es-PE"/>
        </w:rPr>
        <w:t xml:space="preserve">. </w:t>
      </w:r>
    </w:p>
    <w:p w14:paraId="4C2DD996" w14:textId="77777777" w:rsidR="00B96550" w:rsidRPr="00746268" w:rsidRDefault="00B96550">
      <w:pPr>
        <w:tabs>
          <w:tab w:val="left" w:pos="2127"/>
        </w:tabs>
        <w:spacing w:after="0"/>
        <w:jc w:val="both"/>
        <w:rPr>
          <w:rFonts w:ascii="Cambria" w:eastAsia="Cambria" w:hAnsi="Cambria" w:cs="Cambria"/>
          <w:sz w:val="21"/>
          <w:szCs w:val="21"/>
          <w:lang w:val="es-PE"/>
        </w:rPr>
      </w:pPr>
    </w:p>
    <w:p w14:paraId="16012C08" w14:textId="77777777" w:rsidR="00B96550" w:rsidRPr="00746268" w:rsidRDefault="00EE7CA1">
      <w:pPr>
        <w:widowControl/>
        <w:tabs>
          <w:tab w:val="left" w:pos="2127"/>
        </w:tabs>
        <w:spacing w:after="0"/>
        <w:jc w:val="both"/>
        <w:rPr>
          <w:rFonts w:ascii="Cambria" w:eastAsia="Cambria" w:hAnsi="Cambria" w:cs="Cambria"/>
          <w:b/>
          <w:i/>
          <w:sz w:val="21"/>
          <w:szCs w:val="21"/>
          <w:lang w:val="es-PE"/>
        </w:rPr>
      </w:pPr>
      <w:r w:rsidRPr="00746268">
        <w:rPr>
          <w:rFonts w:ascii="Cambria" w:eastAsia="Cambria" w:hAnsi="Cambria" w:cs="Cambria"/>
          <w:b/>
          <w:i/>
          <w:sz w:val="21"/>
          <w:szCs w:val="21"/>
          <w:lang w:val="es-PE"/>
        </w:rPr>
        <w:t>Mortalidad materna de niñas y adolescentes</w:t>
      </w:r>
    </w:p>
    <w:p w14:paraId="4602EEE5" w14:textId="77777777" w:rsidR="00B96550" w:rsidRPr="00746268" w:rsidRDefault="00B96550">
      <w:pPr>
        <w:widowControl/>
        <w:pBdr>
          <w:top w:val="nil"/>
          <w:left w:val="nil"/>
          <w:bottom w:val="nil"/>
          <w:right w:val="nil"/>
          <w:between w:val="nil"/>
        </w:pBdr>
        <w:tabs>
          <w:tab w:val="left" w:pos="2127"/>
        </w:tabs>
        <w:spacing w:after="0"/>
        <w:ind w:left="720"/>
        <w:jc w:val="both"/>
        <w:rPr>
          <w:rFonts w:ascii="Cambria" w:eastAsia="Cambria" w:hAnsi="Cambria" w:cs="Cambria"/>
          <w:color w:val="000000"/>
          <w:sz w:val="21"/>
          <w:szCs w:val="21"/>
          <w:lang w:val="es-PE"/>
        </w:rPr>
      </w:pPr>
    </w:p>
    <w:p w14:paraId="7993A5AC"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Según el MINSA, entre 2014 y 2017 el promedio de mortalidad materna (MM) en menores de 19 años fue el 13,8%</w:t>
      </w:r>
      <w:r>
        <w:rPr>
          <w:rFonts w:ascii="Cambria" w:eastAsia="Cambria" w:hAnsi="Cambria" w:cs="Cambria"/>
          <w:color w:val="000000"/>
          <w:sz w:val="21"/>
          <w:szCs w:val="21"/>
          <w:vertAlign w:val="superscript"/>
        </w:rPr>
        <w:footnoteReference w:id="31"/>
      </w:r>
      <w:r w:rsidRPr="00746268">
        <w:rPr>
          <w:rFonts w:ascii="Cambria" w:eastAsia="Cambria" w:hAnsi="Cambria" w:cs="Cambria"/>
          <w:color w:val="000000"/>
          <w:sz w:val="21"/>
          <w:szCs w:val="21"/>
          <w:lang w:val="es-PE"/>
        </w:rPr>
        <w:t>. Similarmente, durante 2018 hubo 362 casos de muerte materna a nivel nacional, de los cuales 49 son niñas y adolescentes menores de 19 años, siendo que las niñas entre 10 y 14 años tienen cuatro veces más riesgo de morir durante el parto que una mujer adulta</w:t>
      </w:r>
      <w:r w:rsidRPr="00746268">
        <w:rPr>
          <w:rFonts w:ascii="Cambria" w:eastAsia="Cambria" w:hAnsi="Cambria" w:cs="Cambria"/>
          <w:color w:val="000000"/>
          <w:sz w:val="21"/>
          <w:szCs w:val="21"/>
          <w:vertAlign w:val="superscript"/>
          <w:lang w:val="es-PE"/>
        </w:rPr>
        <w:t xml:space="preserve"> </w:t>
      </w:r>
      <w:r>
        <w:rPr>
          <w:rFonts w:ascii="Cambria" w:eastAsia="Cambria" w:hAnsi="Cambria" w:cs="Cambria"/>
          <w:color w:val="000000"/>
          <w:sz w:val="21"/>
          <w:szCs w:val="21"/>
          <w:vertAlign w:val="superscript"/>
        </w:rPr>
        <w:footnoteReference w:id="32"/>
      </w:r>
      <w:r w:rsidRPr="00746268">
        <w:rPr>
          <w:rFonts w:ascii="Cambria" w:eastAsia="Cambria" w:hAnsi="Cambria" w:cs="Cambria"/>
          <w:color w:val="000000"/>
          <w:sz w:val="21"/>
          <w:szCs w:val="21"/>
          <w:lang w:val="es-PE"/>
        </w:rPr>
        <w:t>. Si bien durante 2019 el porcentaje de MM se redujo a 10,9%,</w:t>
      </w:r>
      <w:r w:rsidRPr="00746268">
        <w:rPr>
          <w:rFonts w:ascii="Cambria" w:eastAsia="Cambria" w:hAnsi="Cambria" w:cs="Cambria"/>
          <w:b/>
          <w:color w:val="000000"/>
          <w:sz w:val="21"/>
          <w:szCs w:val="21"/>
          <w:lang w:val="es-PE"/>
        </w:rPr>
        <w:t xml:space="preserve"> </w:t>
      </w:r>
      <w:r w:rsidRPr="00746268">
        <w:rPr>
          <w:rFonts w:ascii="Cambria" w:eastAsia="Cambria" w:hAnsi="Cambria" w:cs="Cambria"/>
          <w:color w:val="000000"/>
          <w:sz w:val="21"/>
          <w:szCs w:val="21"/>
          <w:lang w:val="es-PE"/>
        </w:rPr>
        <w:t>las muertes en menores de 17 años incrementaron llegando al 6,1% de muertes maternas</w:t>
      </w:r>
      <w:r>
        <w:rPr>
          <w:rFonts w:ascii="Cambria" w:eastAsia="Cambria" w:hAnsi="Cambria" w:cs="Cambria"/>
          <w:color w:val="000000"/>
          <w:sz w:val="21"/>
          <w:szCs w:val="21"/>
          <w:vertAlign w:val="superscript"/>
        </w:rPr>
        <w:footnoteReference w:id="33"/>
      </w:r>
      <w:r w:rsidRPr="00746268">
        <w:rPr>
          <w:rFonts w:ascii="Cambria" w:eastAsia="Cambria" w:hAnsi="Cambria" w:cs="Cambria"/>
          <w:color w:val="000000"/>
          <w:sz w:val="21"/>
          <w:szCs w:val="21"/>
          <w:lang w:val="es-PE"/>
        </w:rPr>
        <w:t xml:space="preserve"> y hasta mayo de 2020, se había reportado una MM de 14,9% en adolescentes de 19 años o menores</w:t>
      </w:r>
      <w:r>
        <w:rPr>
          <w:rFonts w:ascii="Cambria" w:eastAsia="Cambria" w:hAnsi="Cambria" w:cs="Cambria"/>
          <w:color w:val="000000"/>
          <w:sz w:val="21"/>
          <w:szCs w:val="21"/>
          <w:vertAlign w:val="superscript"/>
        </w:rPr>
        <w:footnoteReference w:id="34"/>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lang w:val="es-PE"/>
        </w:rPr>
        <w:t>La maternidad precoz es un factor de riesgo para la salud de las adolescentes, no sólo en cuanto el aborto figura entre las cinco causas principales de muerte entre las mujeres de 15 y 19 años, sino también debido al alza de suicidios en adolescentes embarazadas</w:t>
      </w:r>
      <w:r>
        <w:rPr>
          <w:rFonts w:ascii="Cambria" w:eastAsia="Cambria" w:hAnsi="Cambria" w:cs="Cambria"/>
          <w:color w:val="000000"/>
          <w:sz w:val="21"/>
          <w:szCs w:val="21"/>
          <w:vertAlign w:val="superscript"/>
        </w:rPr>
        <w:footnoteReference w:id="35"/>
      </w:r>
      <w:r w:rsidRPr="00746268">
        <w:rPr>
          <w:rFonts w:ascii="Cambria" w:eastAsia="Cambria" w:hAnsi="Cambria" w:cs="Cambria"/>
          <w:color w:val="000000"/>
          <w:sz w:val="21"/>
          <w:szCs w:val="21"/>
          <w:lang w:val="es-PE"/>
        </w:rPr>
        <w:t xml:space="preserve">. </w:t>
      </w:r>
    </w:p>
    <w:p w14:paraId="3047B990" w14:textId="77777777" w:rsidR="00B96550" w:rsidRPr="00746268" w:rsidRDefault="00B96550">
      <w:pPr>
        <w:widowControl/>
        <w:pBdr>
          <w:top w:val="nil"/>
          <w:left w:val="nil"/>
          <w:bottom w:val="nil"/>
          <w:right w:val="nil"/>
          <w:between w:val="nil"/>
        </w:pBdr>
        <w:tabs>
          <w:tab w:val="left" w:pos="2127"/>
        </w:tabs>
        <w:spacing w:after="0"/>
        <w:ind w:left="720"/>
        <w:jc w:val="both"/>
        <w:rPr>
          <w:rFonts w:ascii="Cambria" w:eastAsia="Cambria" w:hAnsi="Cambria" w:cs="Cambria"/>
          <w:color w:val="000000"/>
          <w:sz w:val="21"/>
          <w:szCs w:val="21"/>
          <w:lang w:val="es-PE"/>
        </w:rPr>
      </w:pPr>
    </w:p>
    <w:p w14:paraId="4AA68960" w14:textId="77777777" w:rsidR="00B96550" w:rsidRPr="00746268" w:rsidRDefault="00EE7CA1">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 xml:space="preserve">Dentro de las causas de MM en adolescentes se encuentran: </w:t>
      </w:r>
      <w:r w:rsidRPr="00746268">
        <w:rPr>
          <w:rFonts w:ascii="Cambria" w:eastAsia="Cambria" w:hAnsi="Cambria" w:cs="Cambria"/>
          <w:b/>
          <w:color w:val="000000"/>
          <w:sz w:val="21"/>
          <w:szCs w:val="21"/>
          <w:lang w:val="es-PE"/>
        </w:rPr>
        <w:t>la demora en acudir a los servicios de salud y</w:t>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lang w:val="es-PE"/>
        </w:rPr>
        <w:t>las barreras para encontrar servicios de salud que las atiendan.</w:t>
      </w:r>
      <w:r w:rsidRPr="00746268">
        <w:rPr>
          <w:rFonts w:ascii="Cambria" w:eastAsia="Cambria" w:hAnsi="Cambria" w:cs="Cambria"/>
          <w:color w:val="000000"/>
          <w:sz w:val="21"/>
          <w:szCs w:val="21"/>
          <w:lang w:val="es-PE"/>
        </w:rPr>
        <w:t xml:space="preserve"> La demora en la atención de salud está asociada, entre otros, a la falta de disponibilidad de los servicios por el incumplimiento del horario de atención; la falta de </w:t>
      </w:r>
      <w:r w:rsidRPr="00746268">
        <w:rPr>
          <w:rFonts w:ascii="Cambria" w:eastAsia="Cambria" w:hAnsi="Cambria" w:cs="Cambria"/>
          <w:color w:val="000000"/>
          <w:sz w:val="21"/>
          <w:szCs w:val="21"/>
          <w:lang w:val="es-PE"/>
        </w:rPr>
        <w:lastRenderedPageBreak/>
        <w:t>personal capacitado; el incumplimiento de protocolos y, muchas veces, esta demora se impone como “castigo”</w:t>
      </w:r>
      <w:r>
        <w:rPr>
          <w:rFonts w:ascii="Cambria" w:eastAsia="Cambria" w:hAnsi="Cambria" w:cs="Cambria"/>
          <w:color w:val="000000"/>
          <w:sz w:val="21"/>
          <w:szCs w:val="21"/>
          <w:vertAlign w:val="superscript"/>
        </w:rPr>
        <w:footnoteReference w:id="36"/>
      </w:r>
      <w:r w:rsidRPr="00746268">
        <w:rPr>
          <w:rFonts w:ascii="Cambria" w:eastAsia="Cambria" w:hAnsi="Cambria" w:cs="Cambria"/>
          <w:color w:val="000000"/>
          <w:sz w:val="21"/>
          <w:szCs w:val="21"/>
          <w:lang w:val="es-PE"/>
        </w:rPr>
        <w:t>.</w:t>
      </w:r>
    </w:p>
    <w:p w14:paraId="71F10D53" w14:textId="77777777" w:rsidR="00B96550" w:rsidRPr="00746268" w:rsidRDefault="00B96550">
      <w:pPr>
        <w:tabs>
          <w:tab w:val="left" w:pos="2127"/>
        </w:tabs>
        <w:spacing w:after="0"/>
        <w:jc w:val="both"/>
        <w:rPr>
          <w:rFonts w:ascii="Cambria" w:eastAsia="Cambria" w:hAnsi="Cambria" w:cs="Cambria"/>
          <w:sz w:val="21"/>
          <w:szCs w:val="21"/>
          <w:lang w:val="es-PE"/>
        </w:rPr>
      </w:pPr>
    </w:p>
    <w:p w14:paraId="4799271B" w14:textId="77777777" w:rsidR="00B96550" w:rsidRPr="00746268" w:rsidRDefault="00EE7CA1">
      <w:pPr>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Siendo que la continuación forzada del embarazo</w:t>
      </w:r>
      <w:r>
        <w:rPr>
          <w:rFonts w:ascii="Cambria" w:eastAsia="Cambria" w:hAnsi="Cambria" w:cs="Cambria"/>
          <w:color w:val="000000"/>
          <w:sz w:val="21"/>
          <w:szCs w:val="21"/>
          <w:vertAlign w:val="superscript"/>
        </w:rPr>
        <w:footnoteReference w:id="37"/>
      </w:r>
      <w:r w:rsidRPr="00746268">
        <w:rPr>
          <w:rFonts w:ascii="Cambria" w:eastAsia="Cambria" w:hAnsi="Cambria" w:cs="Cambria"/>
          <w:color w:val="000000"/>
          <w:sz w:val="21"/>
          <w:szCs w:val="21"/>
          <w:lang w:val="es-PE"/>
        </w:rPr>
        <w:t xml:space="preserve"> son una forma de violencia de género -que pueden constituir una forma de trato cruel, inhumano o degradante e incluso tortura, así como discriminación</w:t>
      </w:r>
      <w:r>
        <w:rPr>
          <w:rFonts w:ascii="Cambria" w:eastAsia="Cambria" w:hAnsi="Cambria" w:cs="Cambria"/>
          <w:color w:val="000000"/>
          <w:sz w:val="21"/>
          <w:szCs w:val="21"/>
          <w:vertAlign w:val="superscript"/>
        </w:rPr>
        <w:footnoteReference w:id="38"/>
      </w:r>
      <w:r w:rsidRPr="00746268">
        <w:rPr>
          <w:rFonts w:ascii="Cambria" w:eastAsia="Cambria" w:hAnsi="Cambria" w:cs="Cambria"/>
          <w:color w:val="000000"/>
          <w:sz w:val="21"/>
          <w:szCs w:val="21"/>
          <w:lang w:val="es-PE"/>
        </w:rPr>
        <w:t xml:space="preserve">-, </w:t>
      </w:r>
      <w:r w:rsidRPr="00746268">
        <w:rPr>
          <w:rFonts w:ascii="Cambria" w:eastAsia="Cambria" w:hAnsi="Cambria" w:cs="Cambria"/>
          <w:b/>
          <w:color w:val="000000"/>
          <w:sz w:val="21"/>
          <w:szCs w:val="21"/>
          <w:u w:val="single"/>
          <w:lang w:val="es-PE"/>
        </w:rPr>
        <w:t>la inacción</w:t>
      </w:r>
      <w:r w:rsidRPr="00746268">
        <w:rPr>
          <w:rFonts w:ascii="Cambria" w:eastAsia="Cambria" w:hAnsi="Cambria" w:cs="Cambria"/>
          <w:b/>
          <w:color w:val="000000"/>
          <w:sz w:val="21"/>
          <w:szCs w:val="21"/>
          <w:lang w:val="es-PE"/>
        </w:rPr>
        <w:t xml:space="preserve"> por parte del Estado para proteger a las niñas y adolescentes migrantes de embarazos no deseados y riesgos de MM, constituye una clara violación a los artículos 7, 9, 10 y 28 de la Convención, bajo los cuales Perú está en la obligación de proteger a todos los trabajadores migratorios y sus familiares contra cualquier tipo de discriminación, así como  tortura o tratos crueles, inhumanos o degradantes; en particular respecto al derecho a la vida y la salud.</w:t>
      </w:r>
    </w:p>
    <w:p w14:paraId="597E1DAF" w14:textId="77777777" w:rsidR="00B96550" w:rsidRDefault="00EE7CA1">
      <w:pPr>
        <w:pStyle w:val="Ttulo1"/>
        <w:numPr>
          <w:ilvl w:val="0"/>
          <w:numId w:val="4"/>
        </w:numPr>
        <w:spacing w:before="280" w:after="280" w:line="276" w:lineRule="auto"/>
        <w:rPr>
          <w:rFonts w:ascii="Cambria" w:eastAsia="Cambria" w:hAnsi="Cambria" w:cs="Cambria"/>
          <w:sz w:val="21"/>
          <w:szCs w:val="21"/>
        </w:rPr>
      </w:pPr>
      <w:r>
        <w:rPr>
          <w:rFonts w:ascii="Cambria" w:eastAsia="Cambria" w:hAnsi="Cambria" w:cs="Cambria"/>
          <w:sz w:val="21"/>
          <w:szCs w:val="21"/>
        </w:rPr>
        <w:t xml:space="preserve">Barreras persistentes en el acceso al aborto terapéutico, en particular para las sobrevivientes de violencia sexual </w:t>
      </w:r>
    </w:p>
    <w:p w14:paraId="5645AB79" w14:textId="4C5CBA1D" w:rsidR="00B96550" w:rsidRPr="00746268" w:rsidRDefault="00EE7CA1">
      <w:pPr>
        <w:numPr>
          <w:ilvl w:val="0"/>
          <w:numId w:val="7"/>
        </w:numPr>
        <w:tabs>
          <w:tab w:val="left" w:pos="2127"/>
        </w:tabs>
        <w:spacing w:after="0"/>
        <w:jc w:val="both"/>
        <w:rPr>
          <w:rFonts w:ascii="Cambria" w:eastAsia="Cambria" w:hAnsi="Cambria" w:cs="Cambria"/>
          <w:lang w:val="es-PE"/>
        </w:rPr>
      </w:pPr>
      <w:r w:rsidRPr="00746268">
        <w:rPr>
          <w:rFonts w:ascii="Cambria" w:eastAsia="Cambria" w:hAnsi="Cambria" w:cs="Cambria"/>
          <w:lang w:val="es-PE"/>
        </w:rPr>
        <w:t xml:space="preserve">El aborto en el Perú </w:t>
      </w:r>
      <w:r w:rsidR="008675CF" w:rsidRPr="00746268">
        <w:rPr>
          <w:rFonts w:ascii="Cambria" w:eastAsia="Cambria" w:hAnsi="Cambria" w:cs="Cambria"/>
          <w:lang w:val="es-PE"/>
        </w:rPr>
        <w:t>está</w:t>
      </w:r>
      <w:r w:rsidRPr="00746268">
        <w:rPr>
          <w:rFonts w:ascii="Cambria" w:eastAsia="Cambria" w:hAnsi="Cambria" w:cs="Cambria"/>
          <w:lang w:val="es-PE"/>
        </w:rPr>
        <w:t xml:space="preserve"> permitido únicamente cuando la vida o salud de la mujer está en riesgo grave y permanente</w:t>
      </w:r>
      <w:r>
        <w:rPr>
          <w:rFonts w:ascii="Cambria" w:eastAsia="Cambria" w:hAnsi="Cambria" w:cs="Cambria"/>
          <w:vertAlign w:val="superscript"/>
        </w:rPr>
        <w:footnoteReference w:id="39"/>
      </w:r>
      <w:r w:rsidRPr="00746268">
        <w:rPr>
          <w:rFonts w:ascii="Cambria" w:eastAsia="Cambria" w:hAnsi="Cambria" w:cs="Cambria"/>
          <w:lang w:val="es-PE"/>
        </w:rPr>
        <w:t xml:space="preserve">, para los casos de malformaciones congénitas y violación sexual </w:t>
      </w:r>
      <w:r w:rsidR="008675CF" w:rsidRPr="00746268">
        <w:rPr>
          <w:rFonts w:ascii="Cambria" w:eastAsia="Cambria" w:hAnsi="Cambria" w:cs="Cambria"/>
          <w:lang w:val="es-PE"/>
        </w:rPr>
        <w:t>está</w:t>
      </w:r>
      <w:r w:rsidRPr="00746268">
        <w:rPr>
          <w:rFonts w:ascii="Cambria" w:eastAsia="Cambria" w:hAnsi="Cambria" w:cs="Cambria"/>
          <w:lang w:val="es-PE"/>
        </w:rPr>
        <w:t xml:space="preserve"> penalizado; aunque la sanción penal es denominada “simbólica”, aun estigmatiza y confina a las mujeres a la ilegalidad y recurrir a abortos clandestinos que implican graves riesgos para su vida y salud, creando una barrera de acceso al aborto legal.</w:t>
      </w:r>
    </w:p>
    <w:p w14:paraId="49D0262F" w14:textId="77777777" w:rsidR="00B96550" w:rsidRPr="00746268" w:rsidRDefault="00B96550">
      <w:pPr>
        <w:pBdr>
          <w:top w:val="nil"/>
          <w:left w:val="nil"/>
          <w:bottom w:val="nil"/>
          <w:right w:val="nil"/>
          <w:between w:val="nil"/>
        </w:pBdr>
        <w:tabs>
          <w:tab w:val="left" w:pos="2127"/>
        </w:tabs>
        <w:spacing w:after="0"/>
        <w:ind w:left="720"/>
        <w:jc w:val="both"/>
        <w:rPr>
          <w:rFonts w:ascii="Cambria" w:eastAsia="Cambria" w:hAnsi="Cambria" w:cs="Cambria"/>
          <w:color w:val="000000"/>
          <w:sz w:val="21"/>
          <w:szCs w:val="21"/>
          <w:lang w:val="es-PE"/>
        </w:rPr>
      </w:pPr>
    </w:p>
    <w:p w14:paraId="5155C21F"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 xml:space="preserve">Luego de las decisiones del caso </w:t>
      </w:r>
      <w:r w:rsidRPr="00746268">
        <w:rPr>
          <w:rFonts w:ascii="Cambria" w:eastAsia="Cambria" w:hAnsi="Cambria" w:cs="Cambria"/>
          <w:i/>
          <w:color w:val="000000"/>
          <w:sz w:val="21"/>
          <w:szCs w:val="21"/>
          <w:lang w:val="es-PE"/>
        </w:rPr>
        <w:t>K.L c. Perú</w:t>
      </w:r>
      <w:r>
        <w:rPr>
          <w:rFonts w:ascii="Cambria" w:eastAsia="Cambria" w:hAnsi="Cambria" w:cs="Cambria"/>
          <w:color w:val="000000"/>
          <w:sz w:val="21"/>
          <w:szCs w:val="21"/>
          <w:vertAlign w:val="superscript"/>
        </w:rPr>
        <w:footnoteReference w:id="40"/>
      </w:r>
      <w:r w:rsidRPr="00746268">
        <w:rPr>
          <w:rFonts w:ascii="Cambria" w:eastAsia="Cambria" w:hAnsi="Cambria" w:cs="Cambria"/>
          <w:color w:val="000000"/>
          <w:sz w:val="21"/>
          <w:szCs w:val="21"/>
          <w:lang w:val="es-PE"/>
        </w:rPr>
        <w:t xml:space="preserve"> y el caso </w:t>
      </w:r>
      <w:r w:rsidRPr="00746268">
        <w:rPr>
          <w:rFonts w:ascii="Cambria" w:eastAsia="Cambria" w:hAnsi="Cambria" w:cs="Cambria"/>
          <w:i/>
          <w:color w:val="000000"/>
          <w:sz w:val="21"/>
          <w:szCs w:val="21"/>
          <w:lang w:val="es-PE"/>
        </w:rPr>
        <w:t>L.C c. Perú</w:t>
      </w:r>
      <w:r w:rsidRPr="00746268">
        <w:rPr>
          <w:rFonts w:ascii="Cambria" w:eastAsia="Cambria" w:hAnsi="Cambria" w:cs="Cambria"/>
          <w:color w:val="000000"/>
          <w:sz w:val="21"/>
          <w:szCs w:val="21"/>
          <w:lang w:val="es-PE"/>
        </w:rPr>
        <w:t xml:space="preserve"> (2011), en 2014 finalmente Perú promulgó la “</w:t>
      </w:r>
      <w:r w:rsidRPr="00746268">
        <w:rPr>
          <w:rFonts w:ascii="Cambria" w:eastAsia="Cambria" w:hAnsi="Cambria" w:cs="Cambria"/>
          <w:i/>
          <w:color w:val="000000"/>
          <w:sz w:val="21"/>
          <w:szCs w:val="21"/>
          <w:lang w:val="es-PE"/>
        </w:rPr>
        <w:t>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w:t>
      </w:r>
      <w:r w:rsidRPr="00746268">
        <w:rPr>
          <w:rFonts w:ascii="Cambria" w:eastAsia="Cambria" w:hAnsi="Cambria" w:cs="Cambria"/>
          <w:color w:val="000000"/>
          <w:sz w:val="21"/>
          <w:szCs w:val="21"/>
          <w:lang w:val="es-PE"/>
        </w:rPr>
        <w:t>” (en adelante la “</w:t>
      </w:r>
      <w:r w:rsidRPr="00746268">
        <w:rPr>
          <w:rFonts w:ascii="Cambria" w:eastAsia="Cambria" w:hAnsi="Cambria" w:cs="Cambria"/>
          <w:i/>
          <w:color w:val="000000"/>
          <w:sz w:val="21"/>
          <w:szCs w:val="21"/>
          <w:lang w:val="es-PE"/>
        </w:rPr>
        <w:t>Guía Técnica” o “Guía”</w:t>
      </w:r>
      <w:r w:rsidRPr="00746268">
        <w:rPr>
          <w:rFonts w:ascii="Cambria" w:eastAsia="Cambria" w:hAnsi="Cambria" w:cs="Cambria"/>
          <w:color w:val="000000"/>
          <w:sz w:val="21"/>
          <w:szCs w:val="21"/>
          <w:lang w:val="es-PE"/>
        </w:rPr>
        <w:t>)</w:t>
      </w:r>
      <w:r>
        <w:rPr>
          <w:rFonts w:ascii="Cambria" w:eastAsia="Cambria" w:hAnsi="Cambria" w:cs="Cambria"/>
          <w:color w:val="000000"/>
          <w:sz w:val="21"/>
          <w:szCs w:val="21"/>
          <w:vertAlign w:val="superscript"/>
        </w:rPr>
        <w:footnoteReference w:id="41"/>
      </w:r>
      <w:r w:rsidRPr="00746268">
        <w:rPr>
          <w:rFonts w:ascii="Cambria" w:eastAsia="Cambria" w:hAnsi="Cambria" w:cs="Cambria"/>
          <w:color w:val="000000"/>
          <w:sz w:val="21"/>
          <w:szCs w:val="21"/>
          <w:lang w:val="es-PE"/>
        </w:rPr>
        <w:t xml:space="preserve">. Sin embargo, existe un proceso de judicialización de la </w:t>
      </w:r>
      <w:r w:rsidRPr="00746268">
        <w:rPr>
          <w:rFonts w:ascii="Cambria" w:eastAsia="Cambria" w:hAnsi="Cambria" w:cs="Cambria"/>
          <w:i/>
          <w:color w:val="000000"/>
          <w:sz w:val="21"/>
          <w:szCs w:val="21"/>
          <w:lang w:val="es-PE"/>
        </w:rPr>
        <w:t xml:space="preserve">Guía </w:t>
      </w:r>
      <w:r w:rsidRPr="00746268">
        <w:rPr>
          <w:rFonts w:ascii="Cambria" w:eastAsia="Cambria" w:hAnsi="Cambria" w:cs="Cambria"/>
          <w:color w:val="000000"/>
          <w:sz w:val="21"/>
          <w:szCs w:val="21"/>
          <w:lang w:val="es-PE"/>
        </w:rPr>
        <w:t xml:space="preserve">promovida por la Asociación Centro de Estudios Jurídicos Santo Tomás Moro a fin de </w:t>
      </w:r>
      <w:r w:rsidRPr="00746268">
        <w:rPr>
          <w:rFonts w:ascii="Cambria" w:eastAsia="Cambria" w:hAnsi="Cambria" w:cs="Cambria"/>
          <w:color w:val="000000"/>
          <w:sz w:val="21"/>
          <w:szCs w:val="21"/>
          <w:lang w:val="es-PE"/>
        </w:rPr>
        <w:lastRenderedPageBreak/>
        <w:t xml:space="preserve">que se la declare inconstitucional. Se encuentra pendiente la vista de la causa por parte de la Corte Suprema. </w:t>
      </w:r>
    </w:p>
    <w:p w14:paraId="6205126D" w14:textId="77777777" w:rsidR="00B96550" w:rsidRPr="00746268" w:rsidRDefault="00B96550">
      <w:pPr>
        <w:pBdr>
          <w:top w:val="nil"/>
          <w:left w:val="nil"/>
          <w:bottom w:val="nil"/>
          <w:right w:val="nil"/>
          <w:between w:val="nil"/>
        </w:pBdr>
        <w:spacing w:after="0"/>
        <w:ind w:left="720"/>
        <w:rPr>
          <w:rFonts w:ascii="Cambria" w:eastAsia="Cambria" w:hAnsi="Cambria" w:cs="Cambria"/>
          <w:color w:val="000000"/>
          <w:sz w:val="21"/>
          <w:szCs w:val="21"/>
          <w:lang w:val="es-PE"/>
        </w:rPr>
      </w:pPr>
    </w:p>
    <w:p w14:paraId="77A0C067"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 xml:space="preserve">Los procesos de judicialización de los derechos sexuales y reproductivos de las mujeres, niñas y adolescentes -como los del AOE y la Guía- no solo suponen la negación del deber del Estado peruano en la protección y garantía efectiva de estos derechos, sino que las mujeres, niñas y adolescentes sean forzadas a llevar a término embarazos no deseados y vean incrementados sus riesgos de mortalidad materna.  </w:t>
      </w:r>
    </w:p>
    <w:p w14:paraId="6D022354" w14:textId="77777777" w:rsidR="00B96550" w:rsidRPr="00746268" w:rsidRDefault="00B96550">
      <w:pPr>
        <w:pBdr>
          <w:top w:val="nil"/>
          <w:left w:val="nil"/>
          <w:bottom w:val="nil"/>
          <w:right w:val="nil"/>
          <w:between w:val="nil"/>
        </w:pBdr>
        <w:spacing w:after="0"/>
        <w:ind w:left="720"/>
        <w:rPr>
          <w:rFonts w:ascii="Cambria" w:eastAsia="Cambria" w:hAnsi="Cambria" w:cs="Cambria"/>
          <w:color w:val="000000"/>
          <w:sz w:val="21"/>
          <w:szCs w:val="21"/>
          <w:lang w:val="es-PE"/>
        </w:rPr>
      </w:pPr>
    </w:p>
    <w:p w14:paraId="06124DB9"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Entre el 2018 y 2020, 226 mujeres que accedieron a una interrupción del embarazo por indicación terapéutica, de los cuales 17 fueron practicados a mujeres menores de 20 años</w:t>
      </w:r>
      <w:r>
        <w:rPr>
          <w:rFonts w:ascii="Cambria" w:eastAsia="Cambria" w:hAnsi="Cambria" w:cs="Cambria"/>
          <w:color w:val="000000"/>
          <w:sz w:val="21"/>
          <w:szCs w:val="21"/>
          <w:vertAlign w:val="superscript"/>
        </w:rPr>
        <w:footnoteReference w:id="42"/>
      </w:r>
      <w:r w:rsidRPr="00746268">
        <w:rPr>
          <w:rFonts w:ascii="Cambria" w:eastAsia="Cambria" w:hAnsi="Cambria" w:cs="Cambria"/>
          <w:color w:val="000000"/>
          <w:sz w:val="21"/>
          <w:szCs w:val="21"/>
          <w:lang w:val="es-PE"/>
        </w:rPr>
        <w:t xml:space="preserve">. Lamentablemente, la ausencia de información pública actualizada y desagregada por variables como nacionalidad y situación migratoria impiden conocer cuántas mujeres migrantes accedieron o se </w:t>
      </w:r>
      <w:proofErr w:type="gramStart"/>
      <w:r w:rsidRPr="00746268">
        <w:rPr>
          <w:rFonts w:ascii="Cambria" w:eastAsia="Cambria" w:hAnsi="Cambria" w:cs="Cambria"/>
          <w:color w:val="000000"/>
          <w:sz w:val="21"/>
          <w:szCs w:val="21"/>
          <w:lang w:val="es-PE"/>
        </w:rPr>
        <w:t>les</w:t>
      </w:r>
      <w:proofErr w:type="gramEnd"/>
      <w:r w:rsidRPr="00746268">
        <w:rPr>
          <w:rFonts w:ascii="Cambria" w:eastAsia="Cambria" w:hAnsi="Cambria" w:cs="Cambria"/>
          <w:color w:val="000000"/>
          <w:sz w:val="21"/>
          <w:szCs w:val="21"/>
          <w:lang w:val="es-PE"/>
        </w:rPr>
        <w:t xml:space="preserve"> negó el acceso a este servicio. </w:t>
      </w:r>
    </w:p>
    <w:p w14:paraId="073C5D98"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lang w:val="es-PE"/>
        </w:rPr>
      </w:pPr>
    </w:p>
    <w:p w14:paraId="31DF4A37"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El 17 de abril de 2019 se aprobó</w:t>
      </w:r>
      <w:r>
        <w:rPr>
          <w:rFonts w:ascii="Cambria" w:eastAsia="Cambria" w:hAnsi="Cambria" w:cs="Cambria"/>
          <w:color w:val="000000"/>
          <w:sz w:val="21"/>
          <w:szCs w:val="21"/>
          <w:vertAlign w:val="superscript"/>
        </w:rPr>
        <w:footnoteReference w:id="43"/>
      </w:r>
      <w:r w:rsidRPr="00746268">
        <w:rPr>
          <w:rFonts w:ascii="Cambria" w:eastAsia="Cambria" w:hAnsi="Cambria" w:cs="Cambria"/>
          <w:color w:val="000000"/>
          <w:sz w:val="21"/>
          <w:szCs w:val="21"/>
          <w:lang w:val="es-PE"/>
        </w:rPr>
        <w:t xml:space="preserve">, el </w:t>
      </w:r>
      <w:r w:rsidRPr="00746268">
        <w:rPr>
          <w:rFonts w:ascii="Cambria" w:eastAsia="Cambria" w:hAnsi="Cambria" w:cs="Cambria"/>
          <w:i/>
          <w:color w:val="000000"/>
          <w:sz w:val="21"/>
          <w:szCs w:val="21"/>
          <w:lang w:val="es-PE"/>
        </w:rPr>
        <w:t>Protocolo de actuación conjunta entre los CEM y los establecimientos de salud (EE.SS.) para la atención de las víctimas de violencia contra las mujeres</w:t>
      </w:r>
      <w:r w:rsidRPr="00746268">
        <w:rPr>
          <w:rFonts w:ascii="Cambria" w:eastAsia="Cambria" w:hAnsi="Cambria" w:cs="Cambria"/>
          <w:color w:val="000000"/>
          <w:sz w:val="21"/>
          <w:szCs w:val="21"/>
          <w:lang w:val="es-PE"/>
        </w:rPr>
        <w:t xml:space="preserve">, que incluye la valoración de la afectación que un embarazo producto de violación produce a fin de ofrecer y garantizar un aborto terapéutico. Sin embargo, </w:t>
      </w:r>
      <w:r w:rsidRPr="00746268">
        <w:rPr>
          <w:rFonts w:ascii="Cambria" w:eastAsia="Cambria" w:hAnsi="Cambria" w:cs="Cambria"/>
          <w:b/>
          <w:color w:val="000000"/>
          <w:sz w:val="21"/>
          <w:szCs w:val="21"/>
          <w:lang w:val="es-PE"/>
        </w:rPr>
        <w:t>la indicación para garantizar el acceso a un aborto terapéutico no es parte integral de la normativa, dejando a discrecionalidad de los funcionarios el acceso a este derecho</w:t>
      </w:r>
      <w:r w:rsidRPr="00746268">
        <w:rPr>
          <w:rFonts w:ascii="Cambria" w:eastAsia="Cambria" w:hAnsi="Cambria" w:cs="Cambria"/>
          <w:i/>
          <w:color w:val="000000"/>
          <w:sz w:val="21"/>
          <w:szCs w:val="21"/>
          <w:lang w:val="es-PE"/>
        </w:rPr>
        <w:t>.</w:t>
      </w:r>
      <w:r w:rsidRPr="00746268">
        <w:rPr>
          <w:rFonts w:ascii="Cambria" w:eastAsia="Cambria" w:hAnsi="Cambria" w:cs="Cambria"/>
          <w:color w:val="000000"/>
          <w:sz w:val="21"/>
          <w:szCs w:val="21"/>
          <w:lang w:val="es-PE"/>
        </w:rPr>
        <w:t xml:space="preserve"> La falta de coordinación entre los CEM y </w:t>
      </w:r>
      <w:proofErr w:type="gramStart"/>
      <w:r w:rsidRPr="00746268">
        <w:rPr>
          <w:rFonts w:ascii="Cambria" w:eastAsia="Cambria" w:hAnsi="Cambria" w:cs="Cambria"/>
          <w:color w:val="000000"/>
          <w:sz w:val="21"/>
          <w:szCs w:val="21"/>
          <w:lang w:val="es-PE"/>
        </w:rPr>
        <w:t>EE.SS</w:t>
      </w:r>
      <w:proofErr w:type="gramEnd"/>
      <w:r w:rsidRPr="00746268">
        <w:rPr>
          <w:rFonts w:ascii="Cambria" w:eastAsia="Cambria" w:hAnsi="Cambria" w:cs="Cambria"/>
          <w:color w:val="000000"/>
          <w:sz w:val="21"/>
          <w:szCs w:val="21"/>
          <w:lang w:val="es-PE"/>
        </w:rPr>
        <w:t xml:space="preserve"> genera episodios de revictimización y dificulta el acceso de las víctimas a su derecho a la salud.</w:t>
      </w:r>
    </w:p>
    <w:p w14:paraId="5E2EEA15"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lang w:val="es-PE"/>
        </w:rPr>
      </w:pPr>
    </w:p>
    <w:p w14:paraId="48D71A1E"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Asimismo, existen barreras estructurales que</w:t>
      </w:r>
      <w:r w:rsidRPr="00746268">
        <w:rPr>
          <w:rFonts w:ascii="Cambria" w:eastAsia="Cambria" w:hAnsi="Cambria" w:cs="Cambria"/>
          <w:i/>
          <w:color w:val="000000"/>
          <w:sz w:val="21"/>
          <w:szCs w:val="21"/>
          <w:lang w:val="es-PE"/>
        </w:rPr>
        <w:t xml:space="preserve"> </w:t>
      </w:r>
      <w:r w:rsidRPr="00746268">
        <w:rPr>
          <w:rFonts w:ascii="Cambria" w:eastAsia="Cambria" w:hAnsi="Cambria" w:cs="Cambria"/>
          <w:color w:val="000000"/>
          <w:sz w:val="21"/>
          <w:szCs w:val="21"/>
          <w:lang w:val="es-PE"/>
        </w:rPr>
        <w:t xml:space="preserve">en la práctica </w:t>
      </w:r>
      <w:r w:rsidRPr="00746268">
        <w:rPr>
          <w:rFonts w:ascii="Cambria" w:eastAsia="Cambria" w:hAnsi="Cambria" w:cs="Cambria"/>
          <w:b/>
          <w:color w:val="000000"/>
          <w:sz w:val="21"/>
          <w:szCs w:val="21"/>
          <w:lang w:val="es-PE"/>
        </w:rPr>
        <w:t xml:space="preserve">no permiten el acceso efectivo al aborto terapéutico para mujeres y niñas, con especial agravante para las sobrevivientes de violencia sexual. </w:t>
      </w:r>
      <w:r w:rsidRPr="00746268">
        <w:rPr>
          <w:rFonts w:ascii="Cambria" w:eastAsia="Cambria" w:hAnsi="Cambria" w:cs="Cambria"/>
          <w:color w:val="000000"/>
          <w:sz w:val="21"/>
          <w:szCs w:val="21"/>
          <w:lang w:val="es-PE"/>
        </w:rPr>
        <w:t xml:space="preserve">De los escasos servicios que prestaban el servicio de aborto terapéutico que no sobrepasan de 10 a nivel nacional, en el </w:t>
      </w:r>
      <w:r w:rsidRPr="00746268">
        <w:rPr>
          <w:rFonts w:ascii="Cambria" w:eastAsia="Cambria" w:hAnsi="Cambria" w:cs="Cambria"/>
          <w:b/>
          <w:color w:val="000000"/>
          <w:sz w:val="21"/>
          <w:szCs w:val="21"/>
          <w:lang w:val="es-PE"/>
        </w:rPr>
        <w:t xml:space="preserve">contexto de la emergencia sanitaria </w:t>
      </w:r>
      <w:r w:rsidRPr="00746268">
        <w:rPr>
          <w:rFonts w:ascii="Cambria" w:eastAsia="Cambria" w:hAnsi="Cambria" w:cs="Cambria"/>
          <w:color w:val="000000"/>
          <w:sz w:val="21"/>
          <w:szCs w:val="21"/>
          <w:lang w:val="es-PE"/>
        </w:rPr>
        <w:t>se han reducido a solo 1, generando el inacceso a un servicio esencial para aquellas niñas y adolescentes que se han visto forzadas a continuar un embarazo producto de una violación sexual.</w:t>
      </w:r>
    </w:p>
    <w:p w14:paraId="7F11DFB7"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lang w:val="es-PE"/>
        </w:rPr>
      </w:pPr>
    </w:p>
    <w:p w14:paraId="6BC0621E"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Durante la declaración de la pandemia por COVID-19, el Estado ha promulgado exiguas políticas, normas y/o directivas sobre la garantía y protección de los derechos sexuales y reproductivos. Hasta el 28 de agosto de 2020, el Ministerio de Salud emitió 183 normas, y solo dos de ellas hacen referencia a los servicios sexuales y reprod</w:t>
      </w:r>
      <w:r w:rsidRPr="00746268">
        <w:rPr>
          <w:rFonts w:ascii="Cambria" w:eastAsia="Cambria" w:hAnsi="Cambria" w:cs="Cambria"/>
          <w:color w:val="000000"/>
          <w:lang w:val="es-PE"/>
        </w:rPr>
        <w:t>uctivos</w:t>
      </w:r>
      <w:r>
        <w:rPr>
          <w:rFonts w:ascii="Cambria" w:eastAsia="Cambria" w:hAnsi="Cambria" w:cs="Cambria"/>
          <w:color w:val="000000"/>
          <w:vertAlign w:val="superscript"/>
        </w:rPr>
        <w:footnoteReference w:id="44"/>
      </w:r>
      <w:r w:rsidRPr="00746268">
        <w:rPr>
          <w:rFonts w:ascii="Cambria" w:eastAsia="Cambria" w:hAnsi="Cambria" w:cs="Cambria"/>
          <w:lang w:val="es-PE"/>
        </w:rPr>
        <w:t xml:space="preserve">. </w:t>
      </w:r>
      <w:r w:rsidRPr="00746268">
        <w:rPr>
          <w:rFonts w:ascii="Cambria" w:eastAsia="Cambria" w:hAnsi="Cambria" w:cs="Cambria"/>
          <w:color w:val="000000"/>
          <w:lang w:val="es-PE"/>
        </w:rPr>
        <w:t xml:space="preserve">Esto evidencia que para el Estado los servicios esenciales y urgentes de salud sexual y reproductiva de las mujeres, niñas y adolescentes, no son una prioridad. A ello se </w:t>
      </w:r>
      <w:r w:rsidRPr="00746268">
        <w:rPr>
          <w:rFonts w:ascii="Cambria" w:eastAsia="Cambria" w:hAnsi="Cambria" w:cs="Cambria"/>
          <w:color w:val="000000"/>
          <w:lang w:val="es-PE"/>
        </w:rPr>
        <w:lastRenderedPageBreak/>
        <w:t>suma q</w:t>
      </w:r>
      <w:r w:rsidRPr="00746268">
        <w:rPr>
          <w:rFonts w:ascii="Cambria" w:eastAsia="Cambria" w:hAnsi="Cambria" w:cs="Cambria"/>
          <w:color w:val="000000"/>
          <w:sz w:val="21"/>
          <w:szCs w:val="21"/>
          <w:lang w:val="es-PE"/>
        </w:rPr>
        <w:t xml:space="preserve">ue no todas estas normas </w:t>
      </w:r>
      <w:r w:rsidRPr="00746268">
        <w:rPr>
          <w:rFonts w:ascii="Cambria" w:eastAsia="Cambria" w:hAnsi="Cambria" w:cs="Cambria"/>
          <w:sz w:val="21"/>
          <w:szCs w:val="21"/>
          <w:lang w:val="es-PE"/>
        </w:rPr>
        <w:t>reconocen</w:t>
      </w:r>
      <w:r w:rsidRPr="00746268">
        <w:rPr>
          <w:rFonts w:ascii="Cambria" w:eastAsia="Cambria" w:hAnsi="Cambria" w:cs="Cambria"/>
          <w:color w:val="000000"/>
          <w:sz w:val="21"/>
          <w:szCs w:val="21"/>
          <w:lang w:val="es-PE"/>
        </w:rPr>
        <w:t xml:space="preserve"> a las mujeres, niñas y adolescentes migrantes como un grupo de especial protección.</w:t>
      </w:r>
    </w:p>
    <w:p w14:paraId="4E8115CE" w14:textId="77777777" w:rsidR="00B96550" w:rsidRPr="00746268" w:rsidRDefault="00B96550">
      <w:pPr>
        <w:widowControl/>
        <w:pBdr>
          <w:top w:val="nil"/>
          <w:left w:val="nil"/>
          <w:bottom w:val="nil"/>
          <w:right w:val="nil"/>
          <w:between w:val="nil"/>
        </w:pBdr>
        <w:spacing w:after="0"/>
        <w:ind w:left="720"/>
        <w:jc w:val="both"/>
        <w:rPr>
          <w:rFonts w:ascii="Cambria" w:eastAsia="Cambria" w:hAnsi="Cambria" w:cs="Cambria"/>
          <w:color w:val="000000"/>
          <w:sz w:val="21"/>
          <w:szCs w:val="21"/>
          <w:lang w:val="es-PE"/>
        </w:rPr>
      </w:pPr>
    </w:p>
    <w:p w14:paraId="492E51E2"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Muestra de ello es</w:t>
      </w:r>
      <w:r w:rsidRPr="00746268">
        <w:rPr>
          <w:rFonts w:ascii="Cambria" w:eastAsia="Cambria" w:hAnsi="Cambria" w:cs="Cambria"/>
          <w:color w:val="000000"/>
          <w:sz w:val="21"/>
          <w:szCs w:val="21"/>
          <w:lang w:val="es-PE"/>
        </w:rPr>
        <w:t xml:space="preserve"> la </w:t>
      </w:r>
      <w:r w:rsidRPr="00746268">
        <w:rPr>
          <w:rFonts w:ascii="Cambria" w:eastAsia="Cambria" w:hAnsi="Cambria" w:cs="Cambria"/>
          <w:i/>
          <w:color w:val="000000"/>
          <w:sz w:val="21"/>
          <w:szCs w:val="21"/>
          <w:lang w:val="es-PE"/>
        </w:rPr>
        <w:t xml:space="preserve">Directiva Sanitaria No. </w:t>
      </w:r>
      <w:r w:rsidRPr="00746268">
        <w:rPr>
          <w:rFonts w:ascii="Cambria" w:eastAsia="Cambria" w:hAnsi="Cambria" w:cs="Cambria"/>
          <w:color w:val="000000"/>
          <w:sz w:val="21"/>
          <w:szCs w:val="21"/>
          <w:lang w:val="es-PE"/>
        </w:rPr>
        <w:t>94-MINSA/2020/DGIESP que plantea únicamente que se deberá “</w:t>
      </w:r>
      <w:r w:rsidRPr="00746268">
        <w:rPr>
          <w:rFonts w:ascii="Cambria" w:eastAsia="Cambria" w:hAnsi="Cambria" w:cs="Cambria"/>
          <w:i/>
          <w:color w:val="000000"/>
          <w:sz w:val="21"/>
          <w:szCs w:val="21"/>
          <w:lang w:val="es-PE"/>
        </w:rPr>
        <w:t>valorar finalizar el embarazo en cualquier momento, en caso se encuentre en riesgo la vida de la gestante infectada por COVID-19</w:t>
      </w:r>
      <w:r w:rsidRPr="00746268">
        <w:rPr>
          <w:rFonts w:ascii="Cambria" w:eastAsia="Cambria" w:hAnsi="Cambria" w:cs="Cambria"/>
          <w:color w:val="000000"/>
          <w:sz w:val="21"/>
          <w:szCs w:val="21"/>
          <w:lang w:val="es-PE"/>
        </w:rPr>
        <w:t>”</w:t>
      </w:r>
      <w:r>
        <w:rPr>
          <w:rFonts w:ascii="Cambria" w:eastAsia="Cambria" w:hAnsi="Cambria" w:cs="Cambria"/>
          <w:color w:val="000000"/>
          <w:sz w:val="21"/>
          <w:szCs w:val="21"/>
          <w:vertAlign w:val="superscript"/>
        </w:rPr>
        <w:footnoteReference w:id="45"/>
      </w:r>
      <w:r w:rsidRPr="00746268">
        <w:rPr>
          <w:rFonts w:ascii="Cambria" w:eastAsia="Cambria" w:hAnsi="Cambria" w:cs="Cambria"/>
          <w:color w:val="000000"/>
          <w:sz w:val="21"/>
          <w:szCs w:val="21"/>
          <w:lang w:val="es-PE"/>
        </w:rPr>
        <w:t>. Es decir, este se “valorará” solo cuando está en riesgo la vida de la mujer gestante, dejando por fuera los casos de riesgo a la salud, ello, en contravención de lo que señala la Guía Técnica (2014) y el Código Penal. Asimismo, se restringe el acceso solo a las mujeres con COVID-19, dejando en total desprotección a mujeres gestantes, sin COVID-19, que presenten riesgos para su vida y salud.</w:t>
      </w:r>
      <w:r w:rsidRPr="00746268">
        <w:rPr>
          <w:rFonts w:ascii="Cambria" w:eastAsia="Cambria" w:hAnsi="Cambria" w:cs="Cambria"/>
          <w:sz w:val="21"/>
          <w:szCs w:val="21"/>
          <w:lang w:val="es-PE"/>
        </w:rPr>
        <w:t xml:space="preserve">  Finalmente, la norma no contempla a las mujeres, niñas y adolescentes migrantes como un grupo de especial protección.</w:t>
      </w:r>
    </w:p>
    <w:p w14:paraId="110820F9"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highlight w:val="white"/>
          <w:lang w:val="es-PE"/>
        </w:rPr>
      </w:pPr>
    </w:p>
    <w:p w14:paraId="7FE5AA13" w14:textId="77777777" w:rsidR="00B96550" w:rsidRPr="00746268" w:rsidRDefault="00EE7CA1">
      <w:pPr>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Así, el contexto aquí descrito demuestra que aún persisten barreras estructurales que en la práctica no permiten el acceso efectivo al aborto terapéutico para mujeres y niñas, con especial agravante para las sobrevivientes de violencia sexual. De esta manera, se ven vulnerados los derechos a la no discriminación, la vida y la salud de las mujeres, niñas y adolescentes contenidas en los artículos 7, 9 y 28 de la Convención.</w:t>
      </w:r>
    </w:p>
    <w:p w14:paraId="28BA8EE5" w14:textId="77777777" w:rsidR="00B96550" w:rsidRDefault="00EE7CA1">
      <w:pPr>
        <w:pStyle w:val="Ttulo1"/>
        <w:numPr>
          <w:ilvl w:val="0"/>
          <w:numId w:val="4"/>
        </w:numPr>
        <w:spacing w:before="280" w:after="280" w:line="276" w:lineRule="auto"/>
        <w:rPr>
          <w:rFonts w:ascii="Cambria" w:eastAsia="Cambria" w:hAnsi="Cambria" w:cs="Cambria"/>
          <w:sz w:val="21"/>
          <w:szCs w:val="21"/>
        </w:rPr>
      </w:pPr>
      <w:bookmarkStart w:id="2" w:name="_heading=h.30j0zll" w:colFirst="0" w:colLast="0"/>
      <w:bookmarkEnd w:id="2"/>
      <w:r>
        <w:rPr>
          <w:rFonts w:ascii="Cambria" w:eastAsia="Cambria" w:hAnsi="Cambria" w:cs="Cambria"/>
          <w:sz w:val="21"/>
          <w:szCs w:val="21"/>
        </w:rPr>
        <w:t>Criminalización de las mujeres por aborto: la obligatoriedad de denuncia desde los servicios de salud</w:t>
      </w:r>
    </w:p>
    <w:p w14:paraId="6CA94A13" w14:textId="32507CCB" w:rsidR="00B96550" w:rsidRPr="00746268" w:rsidRDefault="00EE7CA1" w:rsidP="00746268">
      <w:pPr>
        <w:widowControl/>
        <w:numPr>
          <w:ilvl w:val="0"/>
          <w:numId w:val="7"/>
        </w:numPr>
        <w:pBdr>
          <w:top w:val="nil"/>
          <w:left w:val="nil"/>
          <w:bottom w:val="nil"/>
          <w:right w:val="nil"/>
          <w:between w:val="nil"/>
        </w:pBdr>
        <w:tabs>
          <w:tab w:val="left" w:pos="2127"/>
        </w:tabs>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En Perú, el aborto continúa penalizado en los casos de violación sexual y malformaciones incompatibles con la vida extrauterina</w:t>
      </w:r>
      <w:r>
        <w:rPr>
          <w:rFonts w:ascii="Cambria" w:eastAsia="Cambria" w:hAnsi="Cambria" w:cs="Cambria"/>
          <w:color w:val="000000"/>
          <w:sz w:val="21"/>
          <w:szCs w:val="21"/>
          <w:vertAlign w:val="superscript"/>
        </w:rPr>
        <w:footnoteReference w:id="46"/>
      </w:r>
      <w:r w:rsidRPr="00746268">
        <w:rPr>
          <w:rFonts w:ascii="Cambria" w:eastAsia="Cambria" w:hAnsi="Cambria" w:cs="Cambria"/>
          <w:color w:val="000000"/>
          <w:sz w:val="21"/>
          <w:szCs w:val="21"/>
          <w:lang w:val="es-PE"/>
        </w:rPr>
        <w:t>.</w:t>
      </w:r>
      <w:r w:rsidR="00746268">
        <w:rPr>
          <w:rFonts w:ascii="Cambria" w:eastAsia="Cambria" w:hAnsi="Cambria" w:cs="Cambria"/>
          <w:color w:val="000000"/>
          <w:sz w:val="21"/>
          <w:szCs w:val="21"/>
          <w:lang w:val="es-PE"/>
        </w:rPr>
        <w:t xml:space="preserve"> Como </w:t>
      </w:r>
      <w:r w:rsidR="00A517BC">
        <w:rPr>
          <w:rFonts w:ascii="Cambria" w:eastAsia="Cambria" w:hAnsi="Cambria" w:cs="Cambria"/>
          <w:color w:val="000000"/>
          <w:sz w:val="21"/>
          <w:szCs w:val="21"/>
          <w:lang w:val="es-PE"/>
        </w:rPr>
        <w:t>consecuencia</w:t>
      </w:r>
      <w:r w:rsidR="00746268">
        <w:rPr>
          <w:rFonts w:ascii="Cambria" w:eastAsia="Cambria" w:hAnsi="Cambria" w:cs="Cambria"/>
          <w:color w:val="000000"/>
          <w:sz w:val="21"/>
          <w:szCs w:val="21"/>
          <w:lang w:val="es-PE"/>
        </w:rPr>
        <w:t>, casi</w:t>
      </w:r>
      <w:r w:rsidRPr="00746268">
        <w:rPr>
          <w:rFonts w:ascii="Cambria" w:eastAsia="Cambria" w:hAnsi="Cambria" w:cs="Cambria"/>
          <w:color w:val="000000"/>
          <w:sz w:val="21"/>
          <w:szCs w:val="21"/>
          <w:lang w:val="es-PE"/>
        </w:rPr>
        <w:t xml:space="preserve"> 350 000 abortos clandestinos son practicados anualmente, mayoritariamente, en condiciones antihigiénicas y peligrosas</w:t>
      </w:r>
      <w:r>
        <w:rPr>
          <w:rFonts w:ascii="Cambria" w:eastAsia="Cambria" w:hAnsi="Cambria" w:cs="Cambria"/>
          <w:color w:val="000000"/>
          <w:sz w:val="21"/>
          <w:szCs w:val="21"/>
          <w:vertAlign w:val="superscript"/>
        </w:rPr>
        <w:footnoteReference w:id="47"/>
      </w:r>
      <w:r w:rsidRPr="00746268">
        <w:rPr>
          <w:rFonts w:ascii="Cambria" w:eastAsia="Cambria" w:hAnsi="Cambria" w:cs="Cambria"/>
          <w:color w:val="000000"/>
          <w:sz w:val="21"/>
          <w:szCs w:val="21"/>
          <w:lang w:val="es-PE"/>
        </w:rPr>
        <w:t>. Cada año, cerca de 65 000 personas son hospitalizadas y 800 de ellas fallecen a consecuencia de las complicaciones relacionadas al aborto</w:t>
      </w:r>
      <w:r>
        <w:rPr>
          <w:rFonts w:ascii="Cambria" w:eastAsia="Cambria" w:hAnsi="Cambria" w:cs="Cambria"/>
          <w:color w:val="000000"/>
          <w:sz w:val="21"/>
          <w:szCs w:val="21"/>
          <w:vertAlign w:val="superscript"/>
        </w:rPr>
        <w:footnoteReference w:id="48"/>
      </w:r>
      <w:r w:rsidRPr="00746268">
        <w:rPr>
          <w:rFonts w:ascii="Cambria" w:eastAsia="Cambria" w:hAnsi="Cambria" w:cs="Cambria"/>
          <w:color w:val="000000"/>
          <w:sz w:val="21"/>
          <w:szCs w:val="21"/>
          <w:lang w:val="es-PE"/>
        </w:rPr>
        <w:t>. Asimismo, la criminalización del aborto ha generado que entre 2018 y 2020, el Poder Judicial resuelva en trámite 512 denuncias contra mujeres por el delito de aborto</w:t>
      </w:r>
      <w:r>
        <w:rPr>
          <w:rFonts w:ascii="Cambria" w:eastAsia="Cambria" w:hAnsi="Cambria" w:cs="Cambria"/>
          <w:color w:val="000000"/>
          <w:sz w:val="21"/>
          <w:szCs w:val="21"/>
          <w:vertAlign w:val="superscript"/>
        </w:rPr>
        <w:footnoteReference w:id="49"/>
      </w:r>
      <w:r w:rsidRPr="00746268">
        <w:rPr>
          <w:rFonts w:ascii="Cambria" w:eastAsia="Cambria" w:hAnsi="Cambria" w:cs="Cambria"/>
          <w:color w:val="000000"/>
          <w:sz w:val="21"/>
          <w:szCs w:val="21"/>
          <w:lang w:val="es-PE"/>
        </w:rPr>
        <w:t>.</w:t>
      </w:r>
    </w:p>
    <w:p w14:paraId="358BAB98" w14:textId="77777777" w:rsidR="00B96550" w:rsidRPr="00746268" w:rsidRDefault="00B96550">
      <w:pPr>
        <w:widowControl/>
        <w:tabs>
          <w:tab w:val="left" w:pos="2127"/>
        </w:tabs>
        <w:spacing w:after="0"/>
        <w:jc w:val="both"/>
        <w:rPr>
          <w:rFonts w:ascii="Cambria" w:eastAsia="Cambria" w:hAnsi="Cambria" w:cs="Cambria"/>
          <w:sz w:val="21"/>
          <w:szCs w:val="21"/>
          <w:lang w:val="es-PE"/>
        </w:rPr>
      </w:pPr>
    </w:p>
    <w:p w14:paraId="4A42C740"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color w:val="000000"/>
          <w:sz w:val="21"/>
          <w:szCs w:val="21"/>
          <w:lang w:val="es-PE"/>
        </w:rPr>
        <w:t>El artículo 30 de la Ley General de Salud (LGS), dispone que los profesionales de la salud deben denunciar aquellas evidencias de delito, violencia o indicio de aborto</w:t>
      </w:r>
      <w:r>
        <w:rPr>
          <w:rFonts w:ascii="Cambria" w:eastAsia="Cambria" w:hAnsi="Cambria" w:cs="Cambria"/>
          <w:color w:val="000000"/>
          <w:sz w:val="21"/>
          <w:szCs w:val="21"/>
          <w:vertAlign w:val="superscript"/>
        </w:rPr>
        <w:footnoteReference w:id="50"/>
      </w:r>
      <w:r w:rsidRPr="00746268">
        <w:rPr>
          <w:rFonts w:ascii="Cambria" w:eastAsia="Cambria" w:hAnsi="Cambria" w:cs="Cambria"/>
          <w:color w:val="000000"/>
          <w:sz w:val="21"/>
          <w:szCs w:val="21"/>
          <w:lang w:val="es-PE"/>
        </w:rPr>
        <w:t xml:space="preserve">. Esta </w:t>
      </w:r>
      <w:r w:rsidRPr="00746268">
        <w:rPr>
          <w:rFonts w:ascii="Cambria" w:eastAsia="Cambria" w:hAnsi="Cambria" w:cs="Cambria"/>
          <w:color w:val="000000"/>
          <w:sz w:val="21"/>
          <w:szCs w:val="21"/>
          <w:lang w:val="es-PE"/>
        </w:rPr>
        <w:lastRenderedPageBreak/>
        <w:t xml:space="preserve">obligación de denunciar no tiene como finalidad de proteger la salud pública o privada, ni guarda concordancia con el secreto profesional (contenido en el artículo2.18 de la Constitución Política del Perú); o de garantizar a las/los pacientes justicia frente a delitos de acción pública, o de proteger su salud, sino con el fin de perseguirlo penalmente. </w:t>
      </w:r>
    </w:p>
    <w:p w14:paraId="7EE2C4B4" w14:textId="77777777" w:rsidR="00B96550" w:rsidRPr="00746268" w:rsidRDefault="00B96550">
      <w:pPr>
        <w:widowControl/>
        <w:pBdr>
          <w:top w:val="nil"/>
          <w:left w:val="nil"/>
          <w:bottom w:val="nil"/>
          <w:right w:val="nil"/>
          <w:between w:val="nil"/>
        </w:pBdr>
        <w:spacing w:after="0"/>
        <w:jc w:val="both"/>
        <w:rPr>
          <w:rFonts w:ascii="Cambria" w:eastAsia="Cambria" w:hAnsi="Cambria" w:cs="Cambria"/>
          <w:color w:val="000000"/>
          <w:sz w:val="21"/>
          <w:szCs w:val="21"/>
          <w:lang w:val="es-PE"/>
        </w:rPr>
      </w:pPr>
    </w:p>
    <w:p w14:paraId="5CA12127"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i/>
          <w:sz w:val="21"/>
          <w:szCs w:val="21"/>
          <w:lang w:val="es-PE"/>
        </w:rPr>
      </w:pPr>
      <w:r w:rsidRPr="00746268">
        <w:rPr>
          <w:rFonts w:ascii="Cambria" w:eastAsia="Cambria" w:hAnsi="Cambria" w:cs="Cambria"/>
          <w:color w:val="000000"/>
          <w:sz w:val="21"/>
          <w:szCs w:val="21"/>
          <w:lang w:val="es-PE"/>
        </w:rPr>
        <w:t>La amenaza de denuncia a las mujeres que acuden al servicio público de salud por quienes las atiendan, se convierte en una barrera para el acceso -sin discriminación- a los servicios necesarios para salvar sus vidas. Asimismo, evita que personal médico atienda a mujeres, niñas y adolescentes por el temor de ser aprehendidos</w:t>
      </w:r>
      <w:r>
        <w:rPr>
          <w:rFonts w:ascii="Cambria" w:eastAsia="Cambria" w:hAnsi="Cambria" w:cs="Cambria"/>
          <w:color w:val="000000"/>
          <w:sz w:val="21"/>
          <w:szCs w:val="21"/>
          <w:vertAlign w:val="superscript"/>
        </w:rPr>
        <w:footnoteReference w:id="51"/>
      </w:r>
      <w:r w:rsidRPr="00746268">
        <w:rPr>
          <w:rFonts w:ascii="Cambria" w:eastAsia="Cambria" w:hAnsi="Cambria" w:cs="Cambria"/>
          <w:color w:val="000000"/>
          <w:sz w:val="21"/>
          <w:szCs w:val="21"/>
          <w:lang w:val="es-PE"/>
        </w:rPr>
        <w:t xml:space="preserve">. La Corte Interamericana de Derechos Humanos (Corte IDH) </w:t>
      </w:r>
      <w:r w:rsidRPr="00746268">
        <w:rPr>
          <w:rFonts w:ascii="Cambria" w:eastAsia="Cambria" w:hAnsi="Cambria" w:cs="Cambria"/>
          <w:b/>
          <w:color w:val="000000"/>
          <w:sz w:val="21"/>
          <w:szCs w:val="21"/>
          <w:lang w:val="es-PE"/>
        </w:rPr>
        <w:t>ha señalado que estas situaciones colocan en riesgo los derechos a la salud, integridad personal y a la vida de las mujeres</w:t>
      </w:r>
      <w:r>
        <w:rPr>
          <w:rFonts w:ascii="Cambria" w:eastAsia="Cambria" w:hAnsi="Cambria" w:cs="Cambria"/>
          <w:b/>
          <w:color w:val="000000"/>
          <w:sz w:val="21"/>
          <w:szCs w:val="21"/>
          <w:vertAlign w:val="superscript"/>
        </w:rPr>
        <w:footnoteReference w:id="52"/>
      </w:r>
      <w:r w:rsidRPr="00746268">
        <w:rPr>
          <w:rFonts w:ascii="Cambria" w:eastAsia="Cambria" w:hAnsi="Cambria" w:cs="Cambria"/>
          <w:b/>
          <w:color w:val="000000"/>
          <w:sz w:val="21"/>
          <w:szCs w:val="21"/>
          <w:lang w:val="es-PE"/>
        </w:rPr>
        <w:t>.</w:t>
      </w:r>
    </w:p>
    <w:p w14:paraId="2C81C76F" w14:textId="77777777" w:rsidR="00B96550" w:rsidRPr="00746268" w:rsidRDefault="00B96550">
      <w:pPr>
        <w:widowControl/>
        <w:pBdr>
          <w:top w:val="nil"/>
          <w:left w:val="nil"/>
          <w:bottom w:val="nil"/>
          <w:right w:val="nil"/>
          <w:between w:val="nil"/>
        </w:pBdr>
        <w:spacing w:after="0"/>
        <w:jc w:val="both"/>
        <w:rPr>
          <w:rFonts w:ascii="Cambria" w:eastAsia="Cambria" w:hAnsi="Cambria" w:cs="Cambria"/>
          <w:b/>
          <w:color w:val="000000"/>
          <w:sz w:val="21"/>
          <w:szCs w:val="21"/>
          <w:lang w:val="es-PE"/>
        </w:rPr>
      </w:pPr>
    </w:p>
    <w:p w14:paraId="09CCC73E"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La criminalización del aborto no fue ajena en el contexto de emergencia sanitaria</w:t>
      </w:r>
      <w:r w:rsidRPr="00746268">
        <w:rPr>
          <w:rFonts w:ascii="Cambria" w:eastAsia="Cambria" w:hAnsi="Cambria" w:cs="Cambria"/>
          <w:color w:val="000000"/>
          <w:sz w:val="21"/>
          <w:szCs w:val="21"/>
          <w:lang w:val="es-PE"/>
        </w:rPr>
        <w:t>, como muestra el caso de Diana Alemán</w:t>
      </w:r>
      <w:r>
        <w:rPr>
          <w:rFonts w:ascii="Cambria" w:eastAsia="Cambria" w:hAnsi="Cambria" w:cs="Cambria"/>
          <w:color w:val="000000"/>
          <w:sz w:val="21"/>
          <w:szCs w:val="21"/>
          <w:vertAlign w:val="superscript"/>
        </w:rPr>
        <w:footnoteReference w:id="53"/>
      </w:r>
      <w:r w:rsidRPr="00746268">
        <w:rPr>
          <w:rFonts w:ascii="Cambria" w:eastAsia="Cambria" w:hAnsi="Cambria" w:cs="Cambria"/>
          <w:color w:val="000000"/>
          <w:sz w:val="21"/>
          <w:szCs w:val="21"/>
          <w:lang w:val="es-PE"/>
        </w:rPr>
        <w:t>, migrante venezolana. El 3 de julio de 2020 fue internada en el área de ginecología del hospital María Auxiliadora por presentar una hemorragia a consecuencia de un aborto incompleto, dos días después fue hallada muerta en el piso del hospital, al parecer a causa de un suicidio provocado por el amedrentamiento del personal de salud de ser conducida a la comisaria por el aborto que tuvo. El personal médico habría expuesto al peligro a Diana al afectar su salud mental. No se priorizo su vida, aun cuando el aborto incompleto es la segunda causa de internamiento de mujeres, después del parto en nuestro país.</w:t>
      </w:r>
    </w:p>
    <w:p w14:paraId="100447CE" w14:textId="77777777" w:rsidR="00B96550" w:rsidRPr="00746268" w:rsidRDefault="00B96550">
      <w:pPr>
        <w:widowControl/>
        <w:pBdr>
          <w:top w:val="nil"/>
          <w:left w:val="nil"/>
          <w:bottom w:val="nil"/>
          <w:right w:val="nil"/>
          <w:between w:val="nil"/>
        </w:pBdr>
        <w:spacing w:after="0"/>
        <w:jc w:val="both"/>
        <w:rPr>
          <w:rFonts w:ascii="Cambria" w:eastAsia="Cambria" w:hAnsi="Cambria" w:cs="Cambria"/>
          <w:sz w:val="21"/>
          <w:szCs w:val="21"/>
          <w:lang w:val="es-PE"/>
        </w:rPr>
      </w:pPr>
    </w:p>
    <w:p w14:paraId="0F4358BF" w14:textId="77777777" w:rsidR="00B96550" w:rsidRPr="00746268" w:rsidRDefault="00EE7CA1">
      <w:pPr>
        <w:widowControl/>
        <w:numPr>
          <w:ilvl w:val="0"/>
          <w:numId w:val="7"/>
        </w:numPr>
        <w:pBdr>
          <w:top w:val="nil"/>
          <w:left w:val="nil"/>
          <w:bottom w:val="nil"/>
          <w:right w:val="nil"/>
          <w:between w:val="nil"/>
        </w:pBdr>
        <w:spacing w:after="0"/>
        <w:jc w:val="both"/>
        <w:rPr>
          <w:rFonts w:ascii="Cambria" w:eastAsia="Cambria" w:hAnsi="Cambria" w:cs="Cambria"/>
          <w:sz w:val="21"/>
          <w:szCs w:val="21"/>
          <w:lang w:val="es-PE"/>
        </w:rPr>
      </w:pPr>
      <w:r w:rsidRPr="00746268">
        <w:rPr>
          <w:rFonts w:ascii="Cambria" w:eastAsia="Cambria" w:hAnsi="Cambria" w:cs="Cambria"/>
          <w:b/>
          <w:color w:val="000000"/>
          <w:sz w:val="21"/>
          <w:szCs w:val="21"/>
          <w:lang w:val="es-PE"/>
        </w:rPr>
        <w:t xml:space="preserve">Luego de casi 10 años de la decisión del Comité CEDAW en el caso </w:t>
      </w:r>
      <w:r w:rsidRPr="00746268">
        <w:rPr>
          <w:rFonts w:ascii="Cambria" w:eastAsia="Cambria" w:hAnsi="Cambria" w:cs="Cambria"/>
          <w:b/>
          <w:i/>
          <w:color w:val="000000"/>
          <w:sz w:val="21"/>
          <w:szCs w:val="21"/>
          <w:lang w:val="es-PE"/>
        </w:rPr>
        <w:t>L.C</w:t>
      </w:r>
      <w:r w:rsidRPr="00746268">
        <w:rPr>
          <w:rFonts w:ascii="Cambria" w:eastAsia="Cambria" w:hAnsi="Cambria" w:cs="Cambria"/>
          <w:b/>
          <w:color w:val="000000"/>
          <w:sz w:val="21"/>
          <w:szCs w:val="21"/>
          <w:lang w:val="es-PE"/>
        </w:rPr>
        <w:t xml:space="preserve">, Perú ha cumplido sólo de manera parcial con el dictamen. Pese a haber aprobado la </w:t>
      </w:r>
      <w:r w:rsidRPr="00746268">
        <w:rPr>
          <w:rFonts w:ascii="Cambria" w:eastAsia="Cambria" w:hAnsi="Cambria" w:cs="Cambria"/>
          <w:b/>
          <w:i/>
          <w:color w:val="000000"/>
          <w:sz w:val="21"/>
          <w:szCs w:val="21"/>
          <w:lang w:val="es-PE"/>
        </w:rPr>
        <w:t>Guía Técnica</w:t>
      </w:r>
      <w:r w:rsidRPr="00746268">
        <w:rPr>
          <w:rFonts w:ascii="Cambria" w:eastAsia="Cambria" w:hAnsi="Cambria" w:cs="Cambria"/>
          <w:b/>
          <w:color w:val="000000"/>
          <w:sz w:val="21"/>
          <w:szCs w:val="21"/>
          <w:lang w:val="es-PE"/>
        </w:rPr>
        <w:t>, no solo persisten las barreras estructurales que impiden el acceso efectivo a este derecho para las mujeres, sino que el aborto por violación sexual continúa siendo un delito, lo que se ha traducido en la alarmante persecución y criminalización de mujeres que desean ver satisfecho su derecho a decidir sobre sus cuerpos</w:t>
      </w:r>
      <w:r>
        <w:rPr>
          <w:rFonts w:ascii="Cambria" w:eastAsia="Cambria" w:hAnsi="Cambria" w:cs="Cambria"/>
          <w:color w:val="000000"/>
          <w:sz w:val="21"/>
          <w:szCs w:val="21"/>
          <w:vertAlign w:val="superscript"/>
        </w:rPr>
        <w:footnoteReference w:id="54"/>
      </w:r>
      <w:r w:rsidRPr="00746268">
        <w:rPr>
          <w:rFonts w:ascii="Cambria" w:eastAsia="Cambria" w:hAnsi="Cambria" w:cs="Cambria"/>
          <w:b/>
          <w:color w:val="000000"/>
          <w:sz w:val="21"/>
          <w:szCs w:val="21"/>
          <w:lang w:val="es-PE"/>
        </w:rPr>
        <w:t>. De esta manera, el Estado continúa vulnerado los derechos a la no discriminación, la vida y la salud de las mujeres, niñas y adolescentes contenidas en los artículos 7, 9 y 28 de la Convención.</w:t>
      </w:r>
    </w:p>
    <w:p w14:paraId="25B03FA0" w14:textId="77777777" w:rsidR="00B96550" w:rsidRDefault="00EE7CA1">
      <w:pPr>
        <w:pStyle w:val="Ttulo1"/>
        <w:spacing w:before="280" w:after="280" w:line="276" w:lineRule="auto"/>
        <w:rPr>
          <w:rFonts w:ascii="Cambria" w:eastAsia="Cambria" w:hAnsi="Cambria" w:cs="Cambria"/>
          <w:sz w:val="21"/>
          <w:szCs w:val="21"/>
        </w:rPr>
      </w:pPr>
      <w:r>
        <w:rPr>
          <w:rFonts w:ascii="Cambria" w:eastAsia="Cambria" w:hAnsi="Cambria" w:cs="Cambria"/>
          <w:sz w:val="21"/>
          <w:szCs w:val="21"/>
        </w:rPr>
        <w:t>PREGUNTAS FORMULADAS AL ESTADO PERUANO</w:t>
      </w:r>
    </w:p>
    <w:p w14:paraId="7585A55A" w14:textId="77777777" w:rsidR="00B96550" w:rsidRPr="00746268" w:rsidRDefault="00EE7CA1">
      <w:pPr>
        <w:widowControl/>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Con base a la información aquí expuesta, desde Promsex solicitamos, respetuosamente, a este honorable Comité que en el marco de la elaboración de las cuestiones previas tome en consideración lo anteriormente descrito y le pregunte al Estado peruano, lo siguiente: </w:t>
      </w:r>
    </w:p>
    <w:p w14:paraId="232571CC" w14:textId="77777777" w:rsidR="00B96550" w:rsidRPr="00746268" w:rsidRDefault="00B96550">
      <w:pPr>
        <w:widowControl/>
        <w:tabs>
          <w:tab w:val="left" w:pos="2127"/>
        </w:tabs>
        <w:spacing w:after="0"/>
        <w:jc w:val="both"/>
        <w:rPr>
          <w:rFonts w:ascii="Cambria" w:eastAsia="Cambria" w:hAnsi="Cambria" w:cs="Cambria"/>
          <w:sz w:val="21"/>
          <w:szCs w:val="21"/>
          <w:lang w:val="es-PE"/>
        </w:rPr>
      </w:pPr>
    </w:p>
    <w:p w14:paraId="6E8B5B93" w14:textId="77777777" w:rsidR="00B96550" w:rsidRPr="00746268" w:rsidRDefault="00EE7CA1">
      <w:pPr>
        <w:widowControl/>
        <w:numPr>
          <w:ilvl w:val="0"/>
          <w:numId w:val="2"/>
        </w:numPr>
        <w:pBdr>
          <w:top w:val="nil"/>
          <w:left w:val="nil"/>
          <w:bottom w:val="nil"/>
          <w:right w:val="nil"/>
          <w:between w:val="nil"/>
        </w:pBdr>
        <w:tabs>
          <w:tab w:val="left" w:pos="2127"/>
        </w:tabs>
        <w:spacing w:after="0"/>
        <w:jc w:val="both"/>
        <w:rPr>
          <w:rFonts w:ascii="Cambria" w:eastAsia="Cambria" w:hAnsi="Cambria" w:cs="Cambria"/>
          <w:b/>
          <w:color w:val="000000"/>
          <w:sz w:val="21"/>
          <w:szCs w:val="21"/>
          <w:lang w:val="es-PE"/>
        </w:rPr>
      </w:pPr>
      <w:bookmarkStart w:id="3" w:name="_heading=h.1fob9te" w:colFirst="0" w:colLast="0"/>
      <w:bookmarkEnd w:id="3"/>
      <w:r w:rsidRPr="00746268">
        <w:rPr>
          <w:rFonts w:ascii="Cambria" w:eastAsia="Cambria" w:hAnsi="Cambria" w:cs="Cambria"/>
          <w:b/>
          <w:color w:val="000000"/>
          <w:sz w:val="21"/>
          <w:szCs w:val="21"/>
          <w:lang w:val="es-PE"/>
        </w:rPr>
        <w:t>Acceso a los servicios de salud sexual y reproductiva</w:t>
      </w:r>
    </w:p>
    <w:p w14:paraId="734506A4"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3A1CC5AD" w14:textId="77777777" w:rsidR="00B96550" w:rsidRPr="00746268" w:rsidRDefault="00EE7CA1">
      <w:pPr>
        <w:widowControl/>
        <w:numPr>
          <w:ilvl w:val="0"/>
          <w:numId w:val="3"/>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¿Qué acciones o medidas adoptó e implementó el Estado para garantizar el acceso a los servicios de salud sexual y reproductiva a las personas migrantes? </w:t>
      </w:r>
    </w:p>
    <w:p w14:paraId="7CD860AD" w14:textId="77777777" w:rsidR="00B96550" w:rsidRPr="00746268" w:rsidRDefault="00EE7CA1">
      <w:pPr>
        <w:widowControl/>
        <w:numPr>
          <w:ilvl w:val="0"/>
          <w:numId w:val="3"/>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políticas normativas y presupuestales está tomando el Estado peruano para garantizar que en los establecimientos de salud las personas migrantes puedan recibir atención de salud de calidad sin discriminación?</w:t>
      </w:r>
    </w:p>
    <w:p w14:paraId="1401BD18" w14:textId="77777777" w:rsidR="00B96550" w:rsidRPr="00746268" w:rsidRDefault="00EE7CA1">
      <w:pPr>
        <w:numPr>
          <w:ilvl w:val="0"/>
          <w:numId w:val="3"/>
        </w:numPr>
        <w:pBdr>
          <w:top w:val="nil"/>
          <w:left w:val="nil"/>
          <w:bottom w:val="nil"/>
          <w:right w:val="nil"/>
          <w:between w:val="nil"/>
        </w:pBdr>
        <w:tabs>
          <w:tab w:val="left" w:pos="2127"/>
        </w:tabs>
        <w:spacing w:after="0"/>
        <w:jc w:val="both"/>
        <w:rPr>
          <w:rFonts w:ascii="Cambria" w:eastAsia="Cambria" w:hAnsi="Cambria" w:cs="Cambria"/>
          <w:color w:val="000000"/>
          <w:sz w:val="21"/>
          <w:szCs w:val="21"/>
          <w:lang w:val="es-PE"/>
        </w:rPr>
      </w:pPr>
      <w:r w:rsidRPr="00746268">
        <w:rPr>
          <w:rFonts w:ascii="Cambria" w:eastAsia="Cambria" w:hAnsi="Cambria" w:cs="Cambria"/>
          <w:color w:val="000000"/>
          <w:sz w:val="21"/>
          <w:szCs w:val="21"/>
          <w:lang w:val="es-PE"/>
        </w:rPr>
        <w:t xml:space="preserve">¿Qué </w:t>
      </w:r>
      <w:r w:rsidRPr="00746268">
        <w:rPr>
          <w:rFonts w:ascii="Cambria" w:eastAsia="Cambria" w:hAnsi="Cambria" w:cs="Cambria"/>
          <w:sz w:val="21"/>
          <w:szCs w:val="21"/>
          <w:lang w:val="es-PE"/>
        </w:rPr>
        <w:t xml:space="preserve">acciones o medidas adoptó e implementó el Estado </w:t>
      </w:r>
      <w:r w:rsidRPr="00746268">
        <w:rPr>
          <w:rFonts w:ascii="Cambria" w:eastAsia="Cambria" w:hAnsi="Cambria" w:cs="Cambria"/>
          <w:color w:val="000000"/>
          <w:sz w:val="21"/>
          <w:szCs w:val="21"/>
          <w:lang w:val="es-PE"/>
        </w:rPr>
        <w:t>para garantizar que las personas migrantes accedan de manera gratuita a pruebas de VIH y/o ITS?</w:t>
      </w:r>
    </w:p>
    <w:p w14:paraId="21BFF918"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5CC3CA1C" w14:textId="77777777" w:rsidR="00B96550" w:rsidRPr="00746268" w:rsidRDefault="00EE7CA1">
      <w:pPr>
        <w:numPr>
          <w:ilvl w:val="0"/>
          <w:numId w:val="2"/>
        </w:numPr>
        <w:pBdr>
          <w:top w:val="nil"/>
          <w:left w:val="nil"/>
          <w:bottom w:val="nil"/>
          <w:right w:val="nil"/>
          <w:between w:val="nil"/>
        </w:pBdr>
        <w:jc w:val="both"/>
        <w:rPr>
          <w:rFonts w:ascii="Cambria" w:eastAsia="Cambria" w:hAnsi="Cambria" w:cs="Cambria"/>
          <w:b/>
          <w:color w:val="000000"/>
          <w:sz w:val="21"/>
          <w:szCs w:val="21"/>
          <w:lang w:val="es-PE"/>
        </w:rPr>
      </w:pPr>
      <w:r w:rsidRPr="00746268">
        <w:rPr>
          <w:rFonts w:ascii="Cambria" w:eastAsia="Cambria" w:hAnsi="Cambria" w:cs="Cambria"/>
          <w:b/>
          <w:color w:val="000000"/>
          <w:sz w:val="21"/>
          <w:szCs w:val="21"/>
          <w:lang w:val="es-PE"/>
        </w:rPr>
        <w:t>Acceso a métodos de anticoncepción modernos y gama completa de información</w:t>
      </w:r>
    </w:p>
    <w:p w14:paraId="5E2D7D72" w14:textId="77777777" w:rsidR="00B96550" w:rsidRPr="00746268" w:rsidRDefault="00EE7CA1">
      <w:pPr>
        <w:widowControl/>
        <w:numPr>
          <w:ilvl w:val="0"/>
          <w:numId w:val="3"/>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acciones o medidas está priorizando el Estado para reducir la alta tasa de embarazos de adolescentes migrantes y asegurar la accesibilidad y disponibilidad de los servicios de salud sexual y reproductiva, con inclusión de la AOE?</w:t>
      </w:r>
    </w:p>
    <w:p w14:paraId="12326020" w14:textId="77777777" w:rsidR="00B96550" w:rsidRPr="00746268" w:rsidRDefault="00EE7CA1">
      <w:pPr>
        <w:widowControl/>
        <w:numPr>
          <w:ilvl w:val="0"/>
          <w:numId w:val="3"/>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políticas normativas y presupuestales está tomando el Estado peruano para garantizar que en todos establecimientos de salud se distribuya la AOE sin discriminación por nacionalidad y/o situación migratoria?</w:t>
      </w:r>
    </w:p>
    <w:p w14:paraId="319E59B5" w14:textId="77777777" w:rsidR="00B96550" w:rsidRPr="00746268" w:rsidRDefault="00EE7CA1">
      <w:pPr>
        <w:widowControl/>
        <w:numPr>
          <w:ilvl w:val="0"/>
          <w:numId w:val="3"/>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¿Cómo el Estado peruano garantiza que en los centros de salud se entregue la AOE a las adolescentes migrantes sin supervisión de adultos y que los proveedores de </w:t>
      </w:r>
      <w:proofErr w:type="gramStart"/>
      <w:r w:rsidRPr="00746268">
        <w:rPr>
          <w:rFonts w:ascii="Cambria" w:eastAsia="Cambria" w:hAnsi="Cambria" w:cs="Cambria"/>
          <w:sz w:val="21"/>
          <w:szCs w:val="21"/>
          <w:lang w:val="es-PE"/>
        </w:rPr>
        <w:t>salud,</w:t>
      </w:r>
      <w:proofErr w:type="gramEnd"/>
      <w:r w:rsidRPr="00746268">
        <w:rPr>
          <w:rFonts w:ascii="Cambria" w:eastAsia="Cambria" w:hAnsi="Cambria" w:cs="Cambria"/>
          <w:sz w:val="21"/>
          <w:szCs w:val="21"/>
          <w:lang w:val="es-PE"/>
        </w:rPr>
        <w:t xml:space="preserve"> no sigan discriminando y estigmatizando la entrega de la AOE a los/as adolescentes?</w:t>
      </w:r>
    </w:p>
    <w:p w14:paraId="22E4436E" w14:textId="77777777" w:rsidR="00B96550" w:rsidRPr="00746268" w:rsidRDefault="00EE7CA1">
      <w:pPr>
        <w:numPr>
          <w:ilvl w:val="0"/>
          <w:numId w:val="3"/>
        </w:numPr>
        <w:pBdr>
          <w:top w:val="nil"/>
          <w:left w:val="nil"/>
          <w:bottom w:val="nil"/>
          <w:right w:val="nil"/>
          <w:between w:val="nil"/>
        </w:pBdr>
        <w:tabs>
          <w:tab w:val="left" w:pos="2127"/>
        </w:tabs>
        <w:spacing w:after="0"/>
        <w:jc w:val="both"/>
        <w:rPr>
          <w:rFonts w:ascii="Cambria" w:eastAsia="Cambria" w:hAnsi="Cambria" w:cs="Cambria"/>
          <w:color w:val="000000"/>
          <w:sz w:val="21"/>
          <w:szCs w:val="21"/>
          <w:lang w:val="es-PE"/>
        </w:rPr>
      </w:pPr>
      <w:r w:rsidRPr="00746268">
        <w:rPr>
          <w:rFonts w:ascii="Cambria" w:eastAsia="Cambria" w:hAnsi="Cambria" w:cs="Cambria"/>
          <w:color w:val="000000"/>
          <w:sz w:val="21"/>
          <w:szCs w:val="21"/>
          <w:lang w:val="es-PE"/>
        </w:rPr>
        <w:t>¿Cómo se garantizará el suministro de métodos anticonceptivos gratuitos, así como el abastecimiento del kit de atención para víctimas de violencia sexual que incluye la AOE y medicamentos de prevención para el VIH e ITS durante el estado de emergencia por el COVID-19?</w:t>
      </w:r>
    </w:p>
    <w:p w14:paraId="29FBA229" w14:textId="77777777" w:rsidR="00B96550" w:rsidRPr="00746268" w:rsidRDefault="00B96550">
      <w:pPr>
        <w:widowControl/>
        <w:pBdr>
          <w:top w:val="nil"/>
          <w:left w:val="nil"/>
          <w:bottom w:val="nil"/>
          <w:right w:val="nil"/>
          <w:between w:val="nil"/>
        </w:pBdr>
        <w:tabs>
          <w:tab w:val="left" w:pos="2127"/>
        </w:tabs>
        <w:spacing w:after="0"/>
        <w:ind w:left="720"/>
        <w:jc w:val="both"/>
        <w:rPr>
          <w:rFonts w:ascii="Cambria" w:eastAsia="Cambria" w:hAnsi="Cambria" w:cs="Cambria"/>
          <w:b/>
          <w:color w:val="000000"/>
          <w:sz w:val="21"/>
          <w:szCs w:val="21"/>
          <w:lang w:val="es-PE"/>
        </w:rPr>
      </w:pPr>
    </w:p>
    <w:p w14:paraId="3588D882" w14:textId="77777777" w:rsidR="00B96550" w:rsidRPr="00746268" w:rsidRDefault="00EE7CA1">
      <w:pPr>
        <w:widowControl/>
        <w:numPr>
          <w:ilvl w:val="0"/>
          <w:numId w:val="2"/>
        </w:numPr>
        <w:pBdr>
          <w:top w:val="nil"/>
          <w:left w:val="nil"/>
          <w:bottom w:val="nil"/>
          <w:right w:val="nil"/>
          <w:between w:val="nil"/>
        </w:pBdr>
        <w:tabs>
          <w:tab w:val="left" w:pos="2127"/>
        </w:tabs>
        <w:spacing w:after="0"/>
        <w:jc w:val="both"/>
        <w:rPr>
          <w:rFonts w:ascii="Cambria" w:eastAsia="Cambria" w:hAnsi="Cambria" w:cs="Cambria"/>
          <w:b/>
          <w:color w:val="000000"/>
          <w:sz w:val="21"/>
          <w:szCs w:val="21"/>
          <w:lang w:val="es-PE"/>
        </w:rPr>
      </w:pPr>
      <w:r w:rsidRPr="00746268">
        <w:rPr>
          <w:rFonts w:ascii="Cambria" w:eastAsia="Cambria" w:hAnsi="Cambria" w:cs="Cambria"/>
          <w:b/>
          <w:color w:val="000000"/>
          <w:sz w:val="21"/>
          <w:szCs w:val="21"/>
          <w:lang w:val="es-PE"/>
        </w:rPr>
        <w:t>Prevención de embarazos forzados y mortalidad materna</w:t>
      </w:r>
    </w:p>
    <w:p w14:paraId="5DE6D65B" w14:textId="77777777" w:rsidR="00B96550" w:rsidRPr="00746268" w:rsidRDefault="00B96550">
      <w:pPr>
        <w:widowControl/>
        <w:tabs>
          <w:tab w:val="left" w:pos="2127"/>
        </w:tabs>
        <w:spacing w:after="0"/>
        <w:jc w:val="both"/>
        <w:rPr>
          <w:rFonts w:ascii="Cambria" w:eastAsia="Cambria" w:hAnsi="Cambria" w:cs="Cambria"/>
          <w:sz w:val="21"/>
          <w:szCs w:val="21"/>
          <w:lang w:val="es-PE"/>
        </w:rPr>
      </w:pPr>
    </w:p>
    <w:p w14:paraId="7BBA46CF" w14:textId="77777777" w:rsidR="00B96550" w:rsidRPr="00746268" w:rsidRDefault="00EE7CA1">
      <w:pPr>
        <w:numPr>
          <w:ilvl w:val="0"/>
          <w:numId w:val="8"/>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políticas normativas y presupuestales se están adoptando para reducir la tasa de embarazos forzados de mujeres migrantes, especialmente de las niñas y adolescentes, y asegurar la accesibilidad y disponibilidad de los servicios de salud sexual y reproductiva de forma integral incluyendo la AOE?</w:t>
      </w:r>
    </w:p>
    <w:p w14:paraId="343B66AA" w14:textId="77777777" w:rsidR="00B96550" w:rsidRPr="00746268" w:rsidRDefault="00EE7CA1">
      <w:pPr>
        <w:numPr>
          <w:ilvl w:val="0"/>
          <w:numId w:val="8"/>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estrategias y medidas específicas está adoptando el Estado para prevenir el embarazo en niñas y adolescentes migrantes producto de violación sexual, incluido el acceso a la AOE sin discriminación?</w:t>
      </w:r>
    </w:p>
    <w:p w14:paraId="65DE5E26" w14:textId="77777777" w:rsidR="00B96550" w:rsidRPr="00746268" w:rsidRDefault="00EE7CA1">
      <w:pPr>
        <w:numPr>
          <w:ilvl w:val="0"/>
          <w:numId w:val="8"/>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medidas de prevención está adoptando el Estado frente a la mortalidad y morbilidad materna en niñas y adolescentes migrantes?</w:t>
      </w:r>
    </w:p>
    <w:p w14:paraId="1ECEC235" w14:textId="77777777" w:rsidR="00B96550" w:rsidRPr="00746268" w:rsidRDefault="00EE7CA1">
      <w:pPr>
        <w:numPr>
          <w:ilvl w:val="0"/>
          <w:numId w:val="8"/>
        </w:numPr>
        <w:pBdr>
          <w:top w:val="nil"/>
          <w:left w:val="nil"/>
          <w:bottom w:val="nil"/>
          <w:right w:val="nil"/>
          <w:between w:val="nil"/>
        </w:pBdr>
        <w:tabs>
          <w:tab w:val="left" w:pos="2127"/>
        </w:tabs>
        <w:spacing w:after="0"/>
        <w:jc w:val="both"/>
        <w:rPr>
          <w:rFonts w:ascii="Cambria" w:eastAsia="Cambria" w:hAnsi="Cambria" w:cs="Cambria"/>
          <w:color w:val="000000"/>
          <w:sz w:val="21"/>
          <w:szCs w:val="21"/>
          <w:lang w:val="es-PE"/>
        </w:rPr>
      </w:pPr>
      <w:r w:rsidRPr="00746268">
        <w:rPr>
          <w:rFonts w:ascii="Cambria" w:eastAsia="Cambria" w:hAnsi="Cambria" w:cs="Cambria"/>
          <w:color w:val="000000"/>
          <w:sz w:val="21"/>
          <w:szCs w:val="21"/>
          <w:lang w:val="es-PE"/>
        </w:rPr>
        <w:t>¿Cómo se garantiza la atención de las mujeres migrantes gestantes en sus controles prenatales y atención del parto con estándares de calidad, incluido el derecho a interrumpir un embarazo por causal salud?</w:t>
      </w:r>
    </w:p>
    <w:p w14:paraId="7CFD1C07"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15294244" w14:textId="77777777" w:rsidR="00B96550" w:rsidRPr="00746268" w:rsidRDefault="00EE7CA1">
      <w:pPr>
        <w:widowControl/>
        <w:numPr>
          <w:ilvl w:val="0"/>
          <w:numId w:val="2"/>
        </w:numPr>
        <w:pBdr>
          <w:top w:val="nil"/>
          <w:left w:val="nil"/>
          <w:bottom w:val="nil"/>
          <w:right w:val="nil"/>
          <w:between w:val="nil"/>
        </w:pBdr>
        <w:tabs>
          <w:tab w:val="left" w:pos="2127"/>
        </w:tabs>
        <w:spacing w:after="0"/>
        <w:jc w:val="both"/>
        <w:rPr>
          <w:rFonts w:ascii="Cambria" w:eastAsia="Cambria" w:hAnsi="Cambria" w:cs="Cambria"/>
          <w:b/>
          <w:color w:val="000000"/>
          <w:sz w:val="21"/>
          <w:szCs w:val="21"/>
          <w:lang w:val="es-PE"/>
        </w:rPr>
      </w:pPr>
      <w:r w:rsidRPr="00746268">
        <w:rPr>
          <w:rFonts w:ascii="Cambria" w:eastAsia="Cambria" w:hAnsi="Cambria" w:cs="Cambria"/>
          <w:b/>
          <w:color w:val="000000"/>
          <w:sz w:val="21"/>
          <w:szCs w:val="21"/>
          <w:lang w:val="es-PE"/>
        </w:rPr>
        <w:t xml:space="preserve"> Acceso al aborto terapéutico y despenalización del aborto</w:t>
      </w:r>
    </w:p>
    <w:p w14:paraId="6ADFD8C8" w14:textId="77777777" w:rsidR="00B96550" w:rsidRPr="00746268" w:rsidRDefault="00B96550">
      <w:pPr>
        <w:widowControl/>
        <w:tabs>
          <w:tab w:val="left" w:pos="2127"/>
        </w:tabs>
        <w:spacing w:after="0"/>
        <w:jc w:val="both"/>
        <w:rPr>
          <w:rFonts w:ascii="Cambria" w:eastAsia="Cambria" w:hAnsi="Cambria" w:cs="Cambria"/>
          <w:b/>
          <w:sz w:val="21"/>
          <w:szCs w:val="21"/>
          <w:lang w:val="es-PE"/>
        </w:rPr>
      </w:pPr>
    </w:p>
    <w:p w14:paraId="288C65B2" w14:textId="77777777" w:rsidR="00B96550" w:rsidRPr="00746268" w:rsidRDefault="00EE7CA1">
      <w:pPr>
        <w:widowControl/>
        <w:numPr>
          <w:ilvl w:val="0"/>
          <w:numId w:val="1"/>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¿Qué medidas está adoptando el Estado para garantizar el acceso al aborto terapéutico de las mujeres migrantes, relacionadas con la interpretación restrictiva del derecho a la salud y la causal salud? </w:t>
      </w:r>
    </w:p>
    <w:p w14:paraId="2D262D04" w14:textId="77777777" w:rsidR="00B96550" w:rsidRPr="00746268" w:rsidRDefault="00EE7CA1">
      <w:pPr>
        <w:widowControl/>
        <w:numPr>
          <w:ilvl w:val="0"/>
          <w:numId w:val="1"/>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lastRenderedPageBreak/>
        <w:t>¿Qué medidas está tomando el Estado para implementar el protocolo de atención conjunta del CEM y establecimientos de salud en casos de atención de víctimas de violencia sexual?</w:t>
      </w:r>
    </w:p>
    <w:p w14:paraId="2C99B3A4" w14:textId="77777777" w:rsidR="00B96550" w:rsidRPr="00746268" w:rsidRDefault="00EE7CA1">
      <w:pPr>
        <w:widowControl/>
        <w:numPr>
          <w:ilvl w:val="0"/>
          <w:numId w:val="1"/>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¿Por qué el Estado peruano no ha despenalizado el aborto en casos de violación sexual y malformaciones incompatibles con la vida extrauterina, en el marco del cumplimiento del dictamen caso LC v. Perú y las recomendaciones del Comité CEDAW?</w:t>
      </w:r>
    </w:p>
    <w:p w14:paraId="1F8D7578" w14:textId="77777777" w:rsidR="00B96550" w:rsidRPr="00746268" w:rsidRDefault="00EE7CA1">
      <w:pPr>
        <w:widowControl/>
        <w:numPr>
          <w:ilvl w:val="0"/>
          <w:numId w:val="1"/>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¿Cuántas mujeres, niñas y adolescentes migrantes han sido sometidas a procesos judiciales por el delito de aborto y cuáles han sido las sanciones impuestas? </w:t>
      </w:r>
    </w:p>
    <w:p w14:paraId="10E03CBC" w14:textId="77777777" w:rsidR="00B96550" w:rsidRPr="00746268" w:rsidRDefault="00EE7CA1">
      <w:pPr>
        <w:widowControl/>
        <w:numPr>
          <w:ilvl w:val="0"/>
          <w:numId w:val="1"/>
        </w:num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¿Qué medidas se han adoptado para garantizar un debido proceso a las mujeres, niñas y adolescentes migrantes procesadas por el delito de aborto, que supongan garantizar la imparcialidad en los operadores de justicia?</w:t>
      </w:r>
    </w:p>
    <w:p w14:paraId="0586BE5C" w14:textId="77777777" w:rsidR="00B96550" w:rsidRPr="00746268" w:rsidRDefault="00B96550">
      <w:pPr>
        <w:tabs>
          <w:tab w:val="left" w:pos="2127"/>
        </w:tabs>
        <w:spacing w:after="0"/>
        <w:jc w:val="both"/>
        <w:rPr>
          <w:rFonts w:ascii="Cambria" w:eastAsia="Cambria" w:hAnsi="Cambria" w:cs="Cambria"/>
          <w:sz w:val="21"/>
          <w:szCs w:val="21"/>
          <w:lang w:val="es-PE"/>
        </w:rPr>
      </w:pPr>
    </w:p>
    <w:p w14:paraId="1BCC55B5" w14:textId="77777777" w:rsidR="00C876D6" w:rsidRDefault="00C876D6">
      <w:pPr>
        <w:tabs>
          <w:tab w:val="left" w:pos="2127"/>
        </w:tabs>
        <w:spacing w:after="0"/>
        <w:jc w:val="both"/>
        <w:rPr>
          <w:rFonts w:ascii="Cambria" w:eastAsia="Cambria" w:hAnsi="Cambria" w:cs="Cambria"/>
          <w:sz w:val="21"/>
          <w:szCs w:val="21"/>
          <w:lang w:val="es-PE"/>
        </w:rPr>
      </w:pPr>
    </w:p>
    <w:p w14:paraId="2CBEB8C6" w14:textId="1E64CAFF" w:rsidR="00C876D6" w:rsidRDefault="00EE7CA1">
      <w:p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 xml:space="preserve">Atentamente, </w:t>
      </w:r>
    </w:p>
    <w:p w14:paraId="7E1FA0B2" w14:textId="77777777" w:rsidR="00C876D6" w:rsidRDefault="00C876D6">
      <w:pPr>
        <w:tabs>
          <w:tab w:val="left" w:pos="2127"/>
        </w:tabs>
        <w:spacing w:after="0"/>
        <w:jc w:val="both"/>
        <w:rPr>
          <w:rFonts w:ascii="Cambria" w:eastAsia="Cambria" w:hAnsi="Cambria" w:cs="Cambria"/>
          <w:sz w:val="21"/>
          <w:szCs w:val="21"/>
          <w:lang w:val="es-PE"/>
        </w:rPr>
      </w:pPr>
    </w:p>
    <w:p w14:paraId="1D417C88" w14:textId="2BC34AF7" w:rsidR="00B96550" w:rsidRPr="00746268" w:rsidRDefault="00EE7CA1">
      <w:pPr>
        <w:tabs>
          <w:tab w:val="left" w:pos="2127"/>
        </w:tabs>
        <w:spacing w:after="0"/>
        <w:jc w:val="both"/>
        <w:rPr>
          <w:rFonts w:ascii="Cambria" w:eastAsia="Cambria" w:hAnsi="Cambria" w:cs="Cambria"/>
          <w:sz w:val="21"/>
          <w:szCs w:val="21"/>
          <w:lang w:val="es-PE"/>
        </w:rPr>
      </w:pPr>
      <w:r>
        <w:rPr>
          <w:noProof/>
        </w:rPr>
        <w:drawing>
          <wp:anchor distT="0" distB="0" distL="0" distR="0" simplePos="0" relativeHeight="251658240" behindDoc="1" locked="0" layoutInCell="1" hidden="0" allowOverlap="1" wp14:anchorId="58944B7F" wp14:editId="4C212A0B">
            <wp:simplePos x="0" y="0"/>
            <wp:positionH relativeFrom="column">
              <wp:posOffset>-60959</wp:posOffset>
            </wp:positionH>
            <wp:positionV relativeFrom="paragraph">
              <wp:posOffset>95885</wp:posOffset>
            </wp:positionV>
            <wp:extent cx="2160819" cy="1133475"/>
            <wp:effectExtent l="0" t="0" r="0" b="0"/>
            <wp:wrapNone/>
            <wp:docPr id="8" name="image2.jp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Texto, Carta&#10;&#10;Descripción generada automáticamente"/>
                    <pic:cNvPicPr preferRelativeResize="0"/>
                  </pic:nvPicPr>
                  <pic:blipFill>
                    <a:blip r:embed="rId8"/>
                    <a:srcRect/>
                    <a:stretch>
                      <a:fillRect/>
                    </a:stretch>
                  </pic:blipFill>
                  <pic:spPr>
                    <a:xfrm>
                      <a:off x="0" y="0"/>
                      <a:ext cx="2160819" cy="1133475"/>
                    </a:xfrm>
                    <a:prstGeom prst="rect">
                      <a:avLst/>
                    </a:prstGeom>
                    <a:ln/>
                  </pic:spPr>
                </pic:pic>
              </a:graphicData>
            </a:graphic>
          </wp:anchor>
        </w:drawing>
      </w:r>
    </w:p>
    <w:p w14:paraId="74532E37" w14:textId="77777777" w:rsidR="00B96550" w:rsidRPr="00746268" w:rsidRDefault="00B96550">
      <w:pPr>
        <w:tabs>
          <w:tab w:val="left" w:pos="2127"/>
        </w:tabs>
        <w:spacing w:after="0"/>
        <w:jc w:val="both"/>
        <w:rPr>
          <w:rFonts w:ascii="Cambria" w:eastAsia="Cambria" w:hAnsi="Cambria" w:cs="Cambria"/>
          <w:sz w:val="21"/>
          <w:szCs w:val="21"/>
          <w:lang w:val="es-PE"/>
        </w:rPr>
      </w:pPr>
    </w:p>
    <w:p w14:paraId="3620F8C1" w14:textId="77777777" w:rsidR="00B96550" w:rsidRPr="00746268" w:rsidRDefault="00B96550">
      <w:pPr>
        <w:tabs>
          <w:tab w:val="left" w:pos="2127"/>
        </w:tabs>
        <w:spacing w:after="0"/>
        <w:jc w:val="both"/>
        <w:rPr>
          <w:rFonts w:ascii="Cambria" w:eastAsia="Cambria" w:hAnsi="Cambria" w:cs="Cambria"/>
          <w:sz w:val="21"/>
          <w:szCs w:val="21"/>
          <w:lang w:val="es-PE"/>
        </w:rPr>
      </w:pPr>
    </w:p>
    <w:p w14:paraId="29F3D8DC" w14:textId="77777777" w:rsidR="00B96550" w:rsidRPr="00746268" w:rsidRDefault="00B96550">
      <w:pPr>
        <w:tabs>
          <w:tab w:val="left" w:pos="2127"/>
        </w:tabs>
        <w:spacing w:after="0"/>
        <w:jc w:val="both"/>
        <w:rPr>
          <w:rFonts w:ascii="Cambria" w:eastAsia="Cambria" w:hAnsi="Cambria" w:cs="Cambria"/>
          <w:sz w:val="21"/>
          <w:szCs w:val="21"/>
          <w:lang w:val="es-PE"/>
        </w:rPr>
      </w:pPr>
    </w:p>
    <w:p w14:paraId="0AD3341C" w14:textId="77777777" w:rsidR="00B96550" w:rsidRPr="00746268" w:rsidRDefault="00B96550">
      <w:pPr>
        <w:tabs>
          <w:tab w:val="left" w:pos="2127"/>
        </w:tabs>
        <w:spacing w:after="0"/>
        <w:jc w:val="both"/>
        <w:rPr>
          <w:rFonts w:ascii="Cambria" w:eastAsia="Cambria" w:hAnsi="Cambria" w:cs="Cambria"/>
          <w:sz w:val="21"/>
          <w:szCs w:val="21"/>
          <w:lang w:val="es-PE"/>
        </w:rPr>
      </w:pPr>
    </w:p>
    <w:p w14:paraId="6382D4E3" w14:textId="77777777" w:rsidR="00B96550" w:rsidRPr="00746268" w:rsidRDefault="00EE7CA1">
      <w:p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Susana Chávez Alvarado</w:t>
      </w:r>
    </w:p>
    <w:p w14:paraId="2D2DE394" w14:textId="77777777" w:rsidR="00B96550" w:rsidRPr="00746268" w:rsidRDefault="00EE7CA1">
      <w:pPr>
        <w:tabs>
          <w:tab w:val="left" w:pos="2127"/>
        </w:tabs>
        <w:spacing w:after="0"/>
        <w:jc w:val="both"/>
        <w:rPr>
          <w:rFonts w:ascii="Cambria" w:eastAsia="Cambria" w:hAnsi="Cambria" w:cs="Cambria"/>
          <w:sz w:val="21"/>
          <w:szCs w:val="21"/>
          <w:lang w:val="es-PE"/>
        </w:rPr>
      </w:pPr>
      <w:r w:rsidRPr="00746268">
        <w:rPr>
          <w:rFonts w:ascii="Cambria" w:eastAsia="Cambria" w:hAnsi="Cambria" w:cs="Cambria"/>
          <w:sz w:val="21"/>
          <w:szCs w:val="21"/>
          <w:lang w:val="es-PE"/>
        </w:rPr>
        <w:t>Directora Ejecutiva</w:t>
      </w:r>
    </w:p>
    <w:p w14:paraId="548079CF" w14:textId="77777777" w:rsidR="00B96550" w:rsidRPr="00746268" w:rsidRDefault="00B96550">
      <w:pPr>
        <w:tabs>
          <w:tab w:val="left" w:pos="2127"/>
        </w:tabs>
        <w:spacing w:after="0"/>
        <w:jc w:val="both"/>
        <w:rPr>
          <w:rFonts w:ascii="Cambria" w:eastAsia="Cambria" w:hAnsi="Cambria" w:cs="Cambria"/>
          <w:sz w:val="21"/>
          <w:szCs w:val="21"/>
          <w:lang w:val="es-PE"/>
        </w:rPr>
      </w:pPr>
    </w:p>
    <w:p w14:paraId="5FCDDA41" w14:textId="77777777" w:rsidR="00B96550" w:rsidRPr="00746268" w:rsidRDefault="00B96550">
      <w:pPr>
        <w:tabs>
          <w:tab w:val="left" w:pos="2127"/>
        </w:tabs>
        <w:spacing w:after="0"/>
        <w:jc w:val="both"/>
        <w:rPr>
          <w:rFonts w:ascii="Cambria" w:eastAsia="Cambria" w:hAnsi="Cambria" w:cs="Cambria"/>
          <w:sz w:val="21"/>
          <w:szCs w:val="21"/>
          <w:lang w:val="es-PE"/>
        </w:rPr>
      </w:pPr>
    </w:p>
    <w:p w14:paraId="773AEA91" w14:textId="77777777" w:rsidR="00B96550" w:rsidRPr="00746268" w:rsidRDefault="00B96550">
      <w:pPr>
        <w:tabs>
          <w:tab w:val="left" w:pos="2127"/>
        </w:tabs>
        <w:spacing w:after="0"/>
        <w:jc w:val="both"/>
        <w:rPr>
          <w:rFonts w:ascii="Cambria" w:eastAsia="Cambria" w:hAnsi="Cambria" w:cs="Cambria"/>
          <w:sz w:val="21"/>
          <w:szCs w:val="21"/>
          <w:lang w:val="es-PE"/>
        </w:rPr>
      </w:pPr>
    </w:p>
    <w:p w14:paraId="2A45BFA7" w14:textId="77777777" w:rsidR="00B96550" w:rsidRPr="00746268" w:rsidRDefault="00B96550">
      <w:pPr>
        <w:tabs>
          <w:tab w:val="left" w:pos="2127"/>
        </w:tabs>
        <w:spacing w:after="0"/>
        <w:jc w:val="both"/>
        <w:rPr>
          <w:rFonts w:ascii="Cambria" w:eastAsia="Cambria" w:hAnsi="Cambria" w:cs="Cambria"/>
          <w:sz w:val="21"/>
          <w:szCs w:val="21"/>
          <w:lang w:val="es-PE"/>
        </w:rPr>
      </w:pPr>
    </w:p>
    <w:p w14:paraId="50D630A0" w14:textId="77777777" w:rsidR="00B96550" w:rsidRDefault="00EE7CA1">
      <w:pPr>
        <w:tabs>
          <w:tab w:val="left" w:pos="2127"/>
        </w:tabs>
        <w:spacing w:after="0"/>
        <w:jc w:val="both"/>
        <w:rPr>
          <w:rFonts w:ascii="Cambria" w:eastAsia="Cambria" w:hAnsi="Cambria" w:cs="Cambria"/>
          <w:b/>
          <w:sz w:val="21"/>
          <w:szCs w:val="21"/>
        </w:rPr>
      </w:pPr>
      <w:r>
        <w:rPr>
          <w:rFonts w:ascii="Cambria" w:eastAsia="Cambria" w:hAnsi="Cambria" w:cs="Cambria"/>
          <w:b/>
          <w:sz w:val="21"/>
          <w:szCs w:val="21"/>
        </w:rPr>
        <w:t>MSH/mm</w:t>
      </w:r>
    </w:p>
    <w:p w14:paraId="4414447D" w14:textId="77777777" w:rsidR="00B96550" w:rsidRDefault="00B96550">
      <w:pPr>
        <w:tabs>
          <w:tab w:val="left" w:pos="2127"/>
        </w:tabs>
        <w:rPr>
          <w:rFonts w:ascii="Cambria" w:eastAsia="Cambria" w:hAnsi="Cambria" w:cs="Cambria"/>
          <w:sz w:val="21"/>
          <w:szCs w:val="21"/>
        </w:rPr>
      </w:pPr>
    </w:p>
    <w:sectPr w:rsidR="00B96550">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8A64" w14:textId="77777777" w:rsidR="003A120E" w:rsidRDefault="003A120E">
      <w:pPr>
        <w:spacing w:after="0" w:line="240" w:lineRule="auto"/>
      </w:pPr>
      <w:r>
        <w:separator/>
      </w:r>
    </w:p>
  </w:endnote>
  <w:endnote w:type="continuationSeparator" w:id="0">
    <w:p w14:paraId="79CC0233" w14:textId="77777777" w:rsidR="003A120E" w:rsidRDefault="003A1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19B0" w14:textId="77777777" w:rsidR="00B96550" w:rsidRDefault="00EE7CA1">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575D5">
      <w:rPr>
        <w:noProof/>
        <w:color w:val="000000"/>
      </w:rPr>
      <w:t>1</w:t>
    </w:r>
    <w:r>
      <w:rPr>
        <w:color w:val="000000"/>
      </w:rPr>
      <w:fldChar w:fldCharType="end"/>
    </w:r>
  </w:p>
  <w:p w14:paraId="44733BD2" w14:textId="77777777" w:rsidR="00B96550" w:rsidRDefault="00B96550">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5D504" w14:textId="77777777" w:rsidR="003A120E" w:rsidRDefault="003A120E">
      <w:pPr>
        <w:spacing w:after="0" w:line="240" w:lineRule="auto"/>
      </w:pPr>
      <w:r>
        <w:separator/>
      </w:r>
    </w:p>
  </w:footnote>
  <w:footnote w:type="continuationSeparator" w:id="0">
    <w:p w14:paraId="3A3C5D94" w14:textId="77777777" w:rsidR="003A120E" w:rsidRDefault="003A120E">
      <w:pPr>
        <w:spacing w:after="0" w:line="240" w:lineRule="auto"/>
      </w:pPr>
      <w:r>
        <w:continuationSeparator/>
      </w:r>
    </w:p>
  </w:footnote>
  <w:footnote w:id="1">
    <w:p w14:paraId="20B72730"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w:t>
      </w:r>
      <w:r w:rsidRPr="00A517BC">
        <w:rPr>
          <w:rFonts w:asciiTheme="minorHAnsi" w:hAnsiTheme="minorHAnsi" w:cstheme="minorHAnsi"/>
          <w:b/>
          <w:color w:val="000000"/>
          <w:sz w:val="18"/>
          <w:szCs w:val="18"/>
          <w:lang w:val="es-PE"/>
        </w:rPr>
        <w:t>PROMSEX</w:t>
      </w:r>
      <w:r w:rsidRPr="00A517BC">
        <w:rPr>
          <w:rFonts w:asciiTheme="minorHAnsi" w:hAnsiTheme="minorHAnsi" w:cstheme="minorHAnsi"/>
          <w:color w:val="000000"/>
          <w:sz w:val="18"/>
          <w:szCs w:val="18"/>
          <w:lang w:val="es-PE"/>
        </w:rPr>
        <w:t xml:space="preserve"> es una organización no gubernamental feminista que contribuye a la vigencia de la integridad y dignidad de las personas en el acceso a la salud sexual y reproductiva y a que las personas decidan sobre su sexualidad y reproducción con autonomía, dignidad, justicia e igualdad.</w:t>
      </w:r>
    </w:p>
  </w:footnote>
  <w:footnote w:id="2">
    <w:p w14:paraId="2D671CBA"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Banco Mundial (2019). Una oportunidad para todos. Los migrantes y refugiados venezolanos y el desarrollo del Perú. Perú: Banco Mundial.</w:t>
      </w:r>
    </w:p>
  </w:footnote>
  <w:footnote w:id="3">
    <w:p w14:paraId="67C5DF90"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Fundación Konrad Adenauer. (2021). </w:t>
      </w:r>
      <w:r w:rsidR="003A120E">
        <w:fldChar w:fldCharType="begin"/>
      </w:r>
      <w:r w:rsidR="003A120E" w:rsidRPr="00C876D6">
        <w:rPr>
          <w:lang w:val="es-PE"/>
        </w:rPr>
        <w:instrText xml:space="preserve"> HYPERLINK "https://www.kas.de/es/web/peru/statische-inhal</w:instrText>
      </w:r>
      <w:r w:rsidR="003A120E" w:rsidRPr="00C876D6">
        <w:rPr>
          <w:lang w:val="es-PE"/>
        </w:rPr>
        <w:instrText xml:space="preserve">te-detail/-/content/especial-migracion-venezolana-1" \h </w:instrText>
      </w:r>
      <w:r w:rsidR="003A120E">
        <w:fldChar w:fldCharType="separate"/>
      </w:r>
      <w:r w:rsidRPr="00A517BC">
        <w:rPr>
          <w:rFonts w:asciiTheme="minorHAnsi" w:hAnsiTheme="minorHAnsi" w:cstheme="minorHAnsi"/>
          <w:color w:val="0000FF"/>
          <w:sz w:val="18"/>
          <w:szCs w:val="18"/>
          <w:u w:val="single"/>
          <w:lang w:val="es-PE"/>
        </w:rPr>
        <w:t>Migración venezolana</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 xml:space="preserve">. </w:t>
      </w:r>
    </w:p>
  </w:footnote>
  <w:footnote w:id="4">
    <w:p w14:paraId="2D1E88E8"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Ídem.</w:t>
      </w:r>
    </w:p>
  </w:footnote>
  <w:footnote w:id="5">
    <w:p w14:paraId="0776EDD9"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ACNUR. (2022). </w:t>
      </w:r>
      <w:r w:rsidR="003A120E">
        <w:fldChar w:fldCharType="begin"/>
      </w:r>
      <w:r w:rsidR="003A120E" w:rsidRPr="00C876D6">
        <w:rPr>
          <w:lang w:val="es-PE"/>
        </w:rPr>
        <w:instrText xml:space="preserve"> HYPERLINK "https://www.acnur.org/peru.html" \h </w:instrText>
      </w:r>
      <w:r w:rsidR="003A120E">
        <w:fldChar w:fldCharType="separate"/>
      </w:r>
      <w:r w:rsidRPr="00A517BC">
        <w:rPr>
          <w:rFonts w:asciiTheme="minorHAnsi" w:hAnsiTheme="minorHAnsi" w:cstheme="minorHAnsi"/>
          <w:color w:val="0000FF"/>
          <w:sz w:val="18"/>
          <w:szCs w:val="18"/>
          <w:u w:val="single"/>
          <w:lang w:val="es-PE"/>
        </w:rPr>
        <w:t>Perú</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w:t>
      </w:r>
    </w:p>
  </w:footnote>
  <w:footnote w:id="6">
    <w:p w14:paraId="788F4ED5"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Ídem.</w:t>
      </w:r>
    </w:p>
  </w:footnote>
  <w:footnote w:id="7">
    <w:p w14:paraId="2CD039A4"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INEI. (2019). Condiciones de vida de la población venezolana que reside en Perú. Lima: INEI, p. 72.</w:t>
      </w:r>
    </w:p>
  </w:footnote>
  <w:footnote w:id="8">
    <w:p w14:paraId="4B401095"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El SIS es una Institución Administradora de Fondos de Aseguramiento en Salud que gestiona fondos para la cobertura de las atenciones de salud a través de dos tipos de regímenes: (i) subsidiado y (</w:t>
      </w:r>
      <w:proofErr w:type="spellStart"/>
      <w:r w:rsidRPr="00A517BC">
        <w:rPr>
          <w:rFonts w:asciiTheme="minorHAnsi" w:hAnsiTheme="minorHAnsi" w:cstheme="minorHAnsi"/>
          <w:sz w:val="18"/>
          <w:szCs w:val="18"/>
          <w:lang w:val="es-PE"/>
        </w:rPr>
        <w:t>ii</w:t>
      </w:r>
      <w:proofErr w:type="spellEnd"/>
      <w:r w:rsidRPr="00A517BC">
        <w:rPr>
          <w:rFonts w:asciiTheme="minorHAnsi" w:hAnsiTheme="minorHAnsi" w:cstheme="minorHAnsi"/>
          <w:sz w:val="18"/>
          <w:szCs w:val="18"/>
          <w:lang w:val="es-PE"/>
        </w:rPr>
        <w:t xml:space="preserve">) semi contributivo. El primero está destinado a personas de escasos recursos consideradas “pobres” o “extremadamente pobres” y el segundo a personas que puedan aportar económicamente. </w:t>
      </w:r>
    </w:p>
  </w:footnote>
  <w:footnote w:id="9">
    <w:p w14:paraId="73C91352"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Ídem.</w:t>
      </w:r>
    </w:p>
  </w:footnote>
  <w:footnote w:id="10">
    <w:p w14:paraId="03F71FE9"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Banco Mundial. (2019). Una oportunidad para todos. Los migrantes y refugiados venezolanos y el desarrollo del Perú. Lima: Banco Mundial, p. 139.</w:t>
      </w:r>
    </w:p>
  </w:footnote>
  <w:footnote w:id="11">
    <w:p w14:paraId="3A8FEF82"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Defensoría del Pueblo. Personas venezolanas en el Perú. Análisis de la situación antes y durante la crisis sanitaria generada por el Covid-29. Informe de Adjuntía </w:t>
      </w:r>
      <w:proofErr w:type="spellStart"/>
      <w:r w:rsidRPr="00A517BC">
        <w:rPr>
          <w:rFonts w:asciiTheme="minorHAnsi" w:hAnsiTheme="minorHAnsi" w:cstheme="minorHAnsi"/>
          <w:color w:val="000000"/>
          <w:sz w:val="18"/>
          <w:szCs w:val="18"/>
          <w:lang w:val="es-PE"/>
        </w:rPr>
        <w:t>N°</w:t>
      </w:r>
      <w:proofErr w:type="spellEnd"/>
      <w:r w:rsidRPr="00A517BC">
        <w:rPr>
          <w:rFonts w:asciiTheme="minorHAnsi" w:hAnsiTheme="minorHAnsi" w:cstheme="minorHAnsi"/>
          <w:color w:val="000000"/>
          <w:sz w:val="18"/>
          <w:szCs w:val="18"/>
          <w:lang w:val="es-PE"/>
        </w:rPr>
        <w:t xml:space="preserve"> 002-2020-DP/ADHPD. Lima: Defensoría del Pueblo, 2020, p. 45.</w:t>
      </w:r>
    </w:p>
  </w:footnote>
  <w:footnote w:id="12">
    <w:p w14:paraId="3EE41B1A" w14:textId="3FE5A11A"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w:t>
      </w:r>
      <w:r w:rsidR="00C41E54" w:rsidRPr="00A517BC">
        <w:rPr>
          <w:rFonts w:asciiTheme="minorHAnsi" w:hAnsiTheme="minorHAnsi" w:cstheme="minorHAnsi"/>
          <w:color w:val="000000"/>
          <w:sz w:val="18"/>
          <w:szCs w:val="18"/>
          <w:lang w:val="es-PE"/>
        </w:rPr>
        <w:t>Ibidem</w:t>
      </w:r>
      <w:r w:rsidRPr="00A517BC">
        <w:rPr>
          <w:rFonts w:asciiTheme="minorHAnsi" w:hAnsiTheme="minorHAnsi" w:cstheme="minorHAnsi"/>
          <w:color w:val="000000"/>
          <w:sz w:val="18"/>
          <w:szCs w:val="18"/>
          <w:lang w:val="es-PE"/>
        </w:rPr>
        <w:t>, p. 46</w:t>
      </w:r>
    </w:p>
  </w:footnote>
  <w:footnote w:id="13">
    <w:p w14:paraId="4FF09C38"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INEI. Condiciones de vida de la población venezolana que reside en Perú. Lima: INEI, </w:t>
      </w:r>
      <w:r w:rsidRPr="00A517BC">
        <w:rPr>
          <w:rFonts w:asciiTheme="minorHAnsi" w:hAnsiTheme="minorHAnsi" w:cstheme="minorHAnsi"/>
          <w:sz w:val="18"/>
          <w:szCs w:val="18"/>
          <w:lang w:val="es-PE"/>
        </w:rPr>
        <w:t>2019,</w:t>
      </w:r>
      <w:r w:rsidRPr="00A517BC">
        <w:rPr>
          <w:rFonts w:asciiTheme="minorHAnsi" w:hAnsiTheme="minorHAnsi" w:cstheme="minorHAnsi"/>
          <w:color w:val="000000"/>
          <w:sz w:val="18"/>
          <w:szCs w:val="18"/>
          <w:lang w:val="es-PE"/>
        </w:rPr>
        <w:t xml:space="preserve"> p. 73.</w:t>
      </w:r>
    </w:p>
  </w:footnote>
  <w:footnote w:id="14">
    <w:p w14:paraId="5CA60023"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Ibidem, p. 75.</w:t>
      </w:r>
    </w:p>
  </w:footnote>
  <w:footnote w:id="15">
    <w:p w14:paraId="676018DA"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Salud con Lupa. </w:t>
      </w:r>
      <w:r w:rsidR="003A120E">
        <w:fldChar w:fldCharType="begin"/>
      </w:r>
      <w:r w:rsidR="003A120E" w:rsidRPr="00C876D6">
        <w:rPr>
          <w:lang w:val="es-PE"/>
        </w:rPr>
        <w:instrText xml:space="preserve"> HYPERLINK "https://saludconlupa.com/entrevistas/el-desconcierto-de-las-embarazadas-que-se-quedaron-sin-controles-prenatales/" \h </w:instrText>
      </w:r>
      <w:r w:rsidR="003A120E">
        <w:fldChar w:fldCharType="separate"/>
      </w:r>
      <w:r w:rsidRPr="00A517BC">
        <w:rPr>
          <w:rFonts w:asciiTheme="minorHAnsi" w:hAnsiTheme="minorHAnsi" w:cstheme="minorHAnsi"/>
          <w:color w:val="0000FF"/>
          <w:sz w:val="18"/>
          <w:szCs w:val="18"/>
          <w:u w:val="single"/>
          <w:lang w:val="es-PE"/>
        </w:rPr>
        <w:t>El desconcierto de las embarazadas que se quedaron sin controles prenatales</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w:t>
      </w:r>
      <w:r w:rsidRPr="00A517BC">
        <w:rPr>
          <w:rFonts w:asciiTheme="minorHAnsi" w:hAnsiTheme="minorHAnsi" w:cstheme="minorHAnsi"/>
          <w:sz w:val="18"/>
          <w:szCs w:val="18"/>
          <w:lang w:val="es-PE"/>
        </w:rPr>
        <w:t xml:space="preserve"> (2 de mayo de 2020).</w:t>
      </w:r>
    </w:p>
  </w:footnote>
  <w:footnote w:id="16">
    <w:p w14:paraId="6CA650BD" w14:textId="77777777" w:rsidR="00B96550" w:rsidRPr="00A517BC" w:rsidRDefault="00EE7CA1" w:rsidP="00A517BC">
      <w:pPr>
        <w:spacing w:after="0" w:line="240" w:lineRule="auto"/>
        <w:contextualSpacing/>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Se encuentra compuesto por un conjunto de medicamentos que están enfocados en salvaguardar la salud de una víctima de violencia sexual. Los medicamentos que lo componen son: </w:t>
      </w:r>
      <w:proofErr w:type="spellStart"/>
      <w:r w:rsidRPr="00A517BC">
        <w:rPr>
          <w:rFonts w:asciiTheme="minorHAnsi" w:hAnsiTheme="minorHAnsi" w:cstheme="minorHAnsi"/>
          <w:sz w:val="18"/>
          <w:szCs w:val="18"/>
          <w:lang w:val="es-PE"/>
        </w:rPr>
        <w:t>Levonorgestrel</w:t>
      </w:r>
      <w:proofErr w:type="spellEnd"/>
      <w:r w:rsidRPr="00A517BC">
        <w:rPr>
          <w:rFonts w:asciiTheme="minorHAnsi" w:hAnsiTheme="minorHAnsi" w:cstheme="minorHAnsi"/>
          <w:sz w:val="18"/>
          <w:szCs w:val="18"/>
          <w:lang w:val="es-PE"/>
        </w:rPr>
        <w:t xml:space="preserve"> (anticonceptivo oral de emergencia), prueba rápida para hepatitis B y para la detección de VIH/Sífilis, vacuna contra la difteria y tétano, azitromicina, gonadotropina coriónica, entre otros.</w:t>
      </w:r>
    </w:p>
  </w:footnote>
  <w:footnote w:id="17">
    <w:p w14:paraId="437451EE"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Diario Oficial El Peruano. </w:t>
      </w:r>
      <w:r w:rsidR="003A120E">
        <w:fldChar w:fldCharType="begin"/>
      </w:r>
      <w:r w:rsidR="003A120E" w:rsidRPr="00C876D6">
        <w:rPr>
          <w:lang w:val="es-PE"/>
        </w:rPr>
        <w:instrText xml:space="preserve"> HYPERLINK "http://www.elperuano.pe/noticia-unfpa-pandemia-incrementaria-40-nacimientos-no-planificados-el-pais-durante-20202021-95439.aspx" \h </w:instrText>
      </w:r>
      <w:r w:rsidR="003A120E">
        <w:fldChar w:fldCharType="separate"/>
      </w:r>
      <w:r w:rsidRPr="00A517BC">
        <w:rPr>
          <w:rFonts w:asciiTheme="minorHAnsi" w:hAnsiTheme="minorHAnsi" w:cstheme="minorHAnsi"/>
          <w:i/>
          <w:color w:val="000000"/>
          <w:sz w:val="18"/>
          <w:szCs w:val="18"/>
          <w:u w:val="single"/>
          <w:lang w:val="es-PE"/>
        </w:rPr>
        <w:t>UNFPA: Pandemia incrementaría en 40% nacimientos no planificados en el país durante 2020-2021</w:t>
      </w:r>
      <w:r w:rsidR="003A120E">
        <w:rPr>
          <w:rFonts w:asciiTheme="minorHAnsi" w:hAnsiTheme="minorHAnsi" w:cstheme="minorHAnsi"/>
          <w:i/>
          <w:color w:val="000000"/>
          <w:sz w:val="18"/>
          <w:szCs w:val="18"/>
          <w:u w:val="single"/>
          <w:lang w:val="es-PE"/>
        </w:rPr>
        <w:fldChar w:fldCharType="end"/>
      </w:r>
      <w:r w:rsidRPr="00A517BC">
        <w:rPr>
          <w:rFonts w:asciiTheme="minorHAnsi" w:hAnsiTheme="minorHAnsi" w:cstheme="minorHAnsi"/>
          <w:color w:val="000000"/>
          <w:sz w:val="18"/>
          <w:szCs w:val="18"/>
          <w:lang w:val="es-PE"/>
        </w:rPr>
        <w:t>, 6 de mayo 2020.</w:t>
      </w:r>
    </w:p>
  </w:footnote>
  <w:footnote w:id="18">
    <w:p w14:paraId="6077E742"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INEI. (2019). Condiciones de vida de la población venezolana que reside en Perú. Lima: INEI, p. 74.</w:t>
      </w:r>
    </w:p>
  </w:footnote>
  <w:footnote w:id="19">
    <w:p w14:paraId="72EFB9F9"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Ibidem, p. 76.</w:t>
      </w:r>
    </w:p>
  </w:footnote>
  <w:footnote w:id="20">
    <w:p w14:paraId="71BE6DFB"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Defensoría del Pueblo, Pronunciamiento 05/DP/2016, </w:t>
      </w:r>
      <w:r w:rsidRPr="00A517BC">
        <w:rPr>
          <w:rFonts w:asciiTheme="minorHAnsi" w:hAnsiTheme="minorHAnsi" w:cstheme="minorHAnsi"/>
          <w:i/>
          <w:color w:val="000000"/>
          <w:sz w:val="18"/>
          <w:szCs w:val="18"/>
          <w:lang w:val="es-PE"/>
        </w:rPr>
        <w:t>Defensoría del Pueblo reitera su posición institucional sobre la distribución de la AOE</w:t>
      </w:r>
      <w:r w:rsidRPr="00A517BC">
        <w:rPr>
          <w:rFonts w:asciiTheme="minorHAnsi" w:hAnsiTheme="minorHAnsi" w:cstheme="minorHAnsi"/>
          <w:color w:val="000000"/>
          <w:sz w:val="18"/>
          <w:szCs w:val="18"/>
          <w:lang w:val="es-PE"/>
        </w:rPr>
        <w:t xml:space="preserve">, 16 de agosto de 2016. Disponible: </w:t>
      </w:r>
      <w:r w:rsidR="003A120E">
        <w:fldChar w:fldCharType="begin"/>
      </w:r>
      <w:r w:rsidR="003A120E" w:rsidRPr="00C876D6">
        <w:rPr>
          <w:lang w:val="es-PE"/>
        </w:rPr>
        <w:instrText xml:space="preserve"> HYPERLINK "https://www.defensoria.gob.pe/wp-content/uploads/2018/05/05.-Distribucion-de-AOE-26-08-16.pdf" \h </w:instrText>
      </w:r>
      <w:r w:rsidR="003A120E">
        <w:fldChar w:fldCharType="separate"/>
      </w:r>
      <w:r w:rsidRPr="00A517BC">
        <w:rPr>
          <w:rFonts w:asciiTheme="minorHAnsi" w:hAnsiTheme="minorHAnsi" w:cstheme="minorHAnsi"/>
          <w:color w:val="0000FF"/>
          <w:sz w:val="18"/>
          <w:szCs w:val="18"/>
          <w:u w:val="single"/>
          <w:lang w:val="es-PE"/>
        </w:rPr>
        <w:t>https://www.defensoria.gob.pe/wp-content/uploads/2018/05/05.-Distribucion-de-AOE-26-08-16.pdf</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FF"/>
          <w:sz w:val="18"/>
          <w:szCs w:val="18"/>
          <w:u w:val="single"/>
          <w:lang w:val="es-PE"/>
        </w:rPr>
        <w:t>.</w:t>
      </w:r>
    </w:p>
  </w:footnote>
  <w:footnote w:id="21">
    <w:p w14:paraId="318E1F02"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Defensoría del Pueblo. Nota de Prensa No. 202/OCII/DP/2019, </w:t>
      </w:r>
      <w:r w:rsidRPr="00A517BC">
        <w:rPr>
          <w:rFonts w:asciiTheme="minorHAnsi" w:hAnsiTheme="minorHAnsi" w:cstheme="minorHAnsi"/>
          <w:i/>
          <w:color w:val="000000"/>
          <w:sz w:val="18"/>
          <w:szCs w:val="18"/>
          <w:lang w:val="es-PE"/>
        </w:rPr>
        <w:t>Defensoría del Pueblo: ministerio de salud debe ejecutar fallo que le ordena distribuir gratis “píldora del día siguiente</w:t>
      </w:r>
      <w:r w:rsidRPr="00A517BC">
        <w:rPr>
          <w:rFonts w:asciiTheme="minorHAnsi" w:hAnsiTheme="minorHAnsi" w:cstheme="minorHAnsi"/>
          <w:color w:val="000000"/>
          <w:sz w:val="18"/>
          <w:szCs w:val="18"/>
          <w:lang w:val="es-PE"/>
        </w:rPr>
        <w:t xml:space="preserve">”, 4 de julio de 2019. Disponible en: </w:t>
      </w:r>
      <w:r w:rsidR="003A120E">
        <w:fldChar w:fldCharType="begin"/>
      </w:r>
      <w:r w:rsidR="003A120E" w:rsidRPr="00C876D6">
        <w:rPr>
          <w:lang w:val="es-PE"/>
        </w:rPr>
        <w:instrText xml:space="preserve"> HYPERLINK "https://www.defensoria.gob.pe/</w:instrText>
      </w:r>
      <w:r w:rsidR="003A120E" w:rsidRPr="00C876D6">
        <w:rPr>
          <w:lang w:val="es-PE"/>
        </w:rPr>
        <w:instrText xml:space="preserve">wp-content/uploads/2019/07/NP-202-19.pdf" \h </w:instrText>
      </w:r>
      <w:r w:rsidR="003A120E">
        <w:fldChar w:fldCharType="separate"/>
      </w:r>
      <w:r w:rsidRPr="00A517BC">
        <w:rPr>
          <w:rFonts w:asciiTheme="minorHAnsi" w:hAnsiTheme="minorHAnsi" w:cstheme="minorHAnsi"/>
          <w:color w:val="0000FF"/>
          <w:sz w:val="18"/>
          <w:szCs w:val="18"/>
          <w:u w:val="single"/>
          <w:lang w:val="es-PE"/>
        </w:rPr>
        <w:t>https://www.defensoria.gob.pe/wp-content/uploads/2019/07/NP-202-19.pdf</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FF"/>
          <w:sz w:val="18"/>
          <w:szCs w:val="18"/>
          <w:u w:val="single"/>
          <w:lang w:val="es-PE"/>
        </w:rPr>
        <w:t>.</w:t>
      </w:r>
    </w:p>
  </w:footnote>
  <w:footnote w:id="22">
    <w:p w14:paraId="34486E10" w14:textId="77777777" w:rsidR="00B96550" w:rsidRPr="00A517BC" w:rsidRDefault="00EE7CA1" w:rsidP="00A517BC">
      <w:pPr>
        <w:spacing w:after="0" w:line="240" w:lineRule="auto"/>
        <w:contextualSpacing/>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Tribunal Constitucional, Sentencia, Expediente N. 02005-2009-PA/TC (2009), Lima, 16 de octubre de 200</w:t>
      </w:r>
    </w:p>
  </w:footnote>
  <w:footnote w:id="23">
    <w:p w14:paraId="59B32996"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El Comercio, </w:t>
      </w:r>
      <w:r w:rsidR="003A120E">
        <w:fldChar w:fldCharType="begin"/>
      </w:r>
      <w:r w:rsidR="003A120E" w:rsidRPr="00C876D6">
        <w:rPr>
          <w:lang w:val="es-PE"/>
        </w:rPr>
        <w:instrText xml:space="preserve"> HYPERLINK "https://elcomercio.pe/lima/sucesos/el-acceso-a-anticonceptivos-ha-sido-afectado-en-el-contexto-del-covid-19-noticia/" \h </w:instrText>
      </w:r>
      <w:r w:rsidR="003A120E">
        <w:fldChar w:fldCharType="separate"/>
      </w:r>
      <w:r w:rsidRPr="00A517BC">
        <w:rPr>
          <w:rFonts w:asciiTheme="minorHAnsi" w:hAnsiTheme="minorHAnsi" w:cstheme="minorHAnsi"/>
          <w:i/>
          <w:color w:val="000000"/>
          <w:sz w:val="18"/>
          <w:szCs w:val="18"/>
          <w:u w:val="single"/>
          <w:lang w:val="es-PE"/>
        </w:rPr>
        <w:t>“El acceso a anticonceptivos ha sido afectado en el contexto del COVID-19”</w:t>
      </w:r>
      <w:r w:rsidR="003A120E">
        <w:rPr>
          <w:rFonts w:asciiTheme="minorHAnsi" w:hAnsiTheme="minorHAnsi" w:cstheme="minorHAnsi"/>
          <w:i/>
          <w:color w:val="000000"/>
          <w:sz w:val="18"/>
          <w:szCs w:val="18"/>
          <w:u w:val="single"/>
          <w:lang w:val="es-PE"/>
        </w:rPr>
        <w:fldChar w:fldCharType="end"/>
      </w:r>
      <w:r w:rsidRPr="00A517BC">
        <w:rPr>
          <w:rFonts w:asciiTheme="minorHAnsi" w:hAnsiTheme="minorHAnsi" w:cstheme="minorHAnsi"/>
          <w:color w:val="000000"/>
          <w:sz w:val="18"/>
          <w:szCs w:val="18"/>
          <w:lang w:val="es-PE"/>
        </w:rPr>
        <w:t>, 25 de mayo de 2020.</w:t>
      </w:r>
    </w:p>
  </w:footnote>
  <w:footnote w:id="24">
    <w:p w14:paraId="494F4E29"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Mesa de Concertación para la Lucha contra la Pobreza, Equipo de Seguimiento Concertado a las Políticas de Salud </w:t>
      </w:r>
      <w:proofErr w:type="gramStart"/>
      <w:r w:rsidRPr="00A517BC">
        <w:rPr>
          <w:rFonts w:asciiTheme="minorHAnsi" w:hAnsiTheme="minorHAnsi" w:cstheme="minorHAnsi"/>
          <w:color w:val="000000"/>
          <w:sz w:val="18"/>
          <w:szCs w:val="18"/>
          <w:lang w:val="es-PE"/>
        </w:rPr>
        <w:t>Sub Grupo</w:t>
      </w:r>
      <w:proofErr w:type="gramEnd"/>
      <w:r w:rsidRPr="00A517BC">
        <w:rPr>
          <w:rFonts w:asciiTheme="minorHAnsi" w:hAnsiTheme="minorHAnsi" w:cstheme="minorHAnsi"/>
          <w:color w:val="000000"/>
          <w:sz w:val="18"/>
          <w:szCs w:val="18"/>
          <w:lang w:val="es-PE"/>
        </w:rPr>
        <w:t xml:space="preserve">, “Prevención del Embarazo en Adolescentes”, Alerta No. 1-2018-SC/MCLCP, </w:t>
      </w:r>
      <w:r w:rsidRPr="00A517BC">
        <w:rPr>
          <w:rFonts w:asciiTheme="minorHAnsi" w:hAnsiTheme="minorHAnsi" w:cstheme="minorHAnsi"/>
          <w:i/>
          <w:color w:val="000000"/>
          <w:sz w:val="18"/>
          <w:szCs w:val="18"/>
          <w:lang w:val="es-PE"/>
        </w:rPr>
        <w:t>Embarazo en Adolescentes Peruanas Aumentó</w:t>
      </w:r>
      <w:r w:rsidRPr="00A517BC">
        <w:rPr>
          <w:rFonts w:asciiTheme="minorHAnsi" w:hAnsiTheme="minorHAnsi" w:cstheme="minorHAnsi"/>
          <w:color w:val="000000"/>
          <w:sz w:val="18"/>
          <w:szCs w:val="18"/>
          <w:lang w:val="es-PE"/>
        </w:rPr>
        <w:t xml:space="preserve">, 12 de junio del 2018, p. 4. </w:t>
      </w:r>
    </w:p>
  </w:footnote>
  <w:footnote w:id="25">
    <w:p w14:paraId="02765F9A"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Instituto Nacional de Estadística e Informática. Perú. Encuesta Demográfica y de Salud Familiar. ENDES 2020. (2020). Disponible en: </w:t>
      </w:r>
      <w:r w:rsidR="003A120E">
        <w:fldChar w:fldCharType="begin"/>
      </w:r>
      <w:r w:rsidR="003A120E" w:rsidRPr="00C876D6">
        <w:rPr>
          <w:lang w:val="es-PE"/>
        </w:rPr>
        <w:instrText xml:space="preserve"> HYPERLINK "https://proyectos.inei.gob.pe/endes/2020/INFORME_PRINCIPAL_2020/INFORME_PRINCIPAL_ENDES_2020.pdf" \h </w:instrText>
      </w:r>
      <w:r w:rsidR="003A120E">
        <w:fldChar w:fldCharType="separate"/>
      </w:r>
      <w:r w:rsidRPr="00A517BC">
        <w:rPr>
          <w:rFonts w:asciiTheme="minorHAnsi" w:hAnsiTheme="minorHAnsi" w:cstheme="minorHAnsi"/>
          <w:color w:val="0000FF"/>
          <w:sz w:val="18"/>
          <w:szCs w:val="18"/>
          <w:u w:val="single"/>
          <w:lang w:val="es-PE"/>
        </w:rPr>
        <w:t>https://proyectos.inei.gob.pe/endes/2020/INFORME_PRINCIPAL_2020/INFORME_PRINCIPAL_ENDES_2020.pdf</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 xml:space="preserve"> Ministerio de Salud. </w:t>
      </w:r>
      <w:r w:rsidRPr="00A517BC">
        <w:rPr>
          <w:rFonts w:asciiTheme="minorHAnsi" w:hAnsiTheme="minorHAnsi" w:cstheme="minorHAnsi"/>
          <w:i/>
          <w:color w:val="000000"/>
          <w:sz w:val="18"/>
          <w:szCs w:val="18"/>
          <w:lang w:val="es-PE"/>
        </w:rPr>
        <w:t>En el Perú, 12 de cada 100 adolescentes están embarazadas o ya son madres.</w:t>
      </w:r>
      <w:r w:rsidRPr="00A517BC">
        <w:rPr>
          <w:rFonts w:asciiTheme="minorHAnsi" w:hAnsiTheme="minorHAnsi" w:cstheme="minorHAnsi"/>
          <w:color w:val="000000"/>
          <w:sz w:val="18"/>
          <w:szCs w:val="18"/>
          <w:lang w:val="es-PE"/>
        </w:rPr>
        <w:t xml:space="preserve"> (23 de setiembre de 2020). Disponible en </w:t>
      </w:r>
      <w:r w:rsidR="003A120E">
        <w:fldChar w:fldCharType="begin"/>
      </w:r>
      <w:r w:rsidR="003A120E" w:rsidRPr="00C876D6">
        <w:rPr>
          <w:lang w:val="es-PE"/>
        </w:rPr>
        <w:instrText xml:space="preserve"> HYPERLINK "https://www.gob.pe/instituci</w:instrText>
      </w:r>
      <w:r w:rsidR="003A120E" w:rsidRPr="00C876D6">
        <w:rPr>
          <w:lang w:val="es-PE"/>
        </w:rPr>
        <w:instrText xml:space="preserve">on/minsa/noticias/303880-en-el-peru-12-de-cada-100-adolescentes-estan-embarazadas-o-ya-son-madres" \h </w:instrText>
      </w:r>
      <w:r w:rsidR="003A120E">
        <w:fldChar w:fldCharType="separate"/>
      </w:r>
      <w:r w:rsidRPr="00A517BC">
        <w:rPr>
          <w:rFonts w:asciiTheme="minorHAnsi" w:hAnsiTheme="minorHAnsi" w:cstheme="minorHAnsi"/>
          <w:color w:val="0000FF"/>
          <w:sz w:val="18"/>
          <w:szCs w:val="18"/>
          <w:u w:val="single"/>
          <w:lang w:val="es-PE"/>
        </w:rPr>
        <w:t>https://www.gob.pe/institucion/minsa/noticias/303880-en-el-peru-12-de-cada-100-adolescentes-estan-embarazadas-o-ya-son-madres</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 xml:space="preserve"> </w:t>
      </w:r>
    </w:p>
  </w:footnote>
  <w:footnote w:id="26">
    <w:p w14:paraId="123E4F38"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UNFPA 2019. Ver Portal de </w:t>
      </w:r>
      <w:r w:rsidR="003A120E">
        <w:fldChar w:fldCharType="begin"/>
      </w:r>
      <w:r w:rsidR="003A120E" w:rsidRPr="00C876D6">
        <w:rPr>
          <w:lang w:val="es-PE"/>
        </w:rPr>
        <w:instrText xml:space="preserve"> HYPERLINK "https://embarazoadolescente.promsex.org/?fbclid=IwAR1nmKGLGQ89AvxFzuegwUShHbWS-tCtmV4segiwYGoeteNGl1fJHu8SMF4" \h </w:instrText>
      </w:r>
      <w:r w:rsidR="003A120E">
        <w:fldChar w:fldCharType="separate"/>
      </w:r>
      <w:r w:rsidRPr="00A517BC">
        <w:rPr>
          <w:rFonts w:asciiTheme="minorHAnsi" w:hAnsiTheme="minorHAnsi" w:cstheme="minorHAnsi"/>
          <w:color w:val="0000FF"/>
          <w:sz w:val="18"/>
          <w:szCs w:val="18"/>
          <w:u w:val="single"/>
          <w:lang w:val="es-PE"/>
        </w:rPr>
        <w:t>Promsex embarazos adolescente en el Perú</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w:t>
      </w:r>
    </w:p>
  </w:footnote>
  <w:footnote w:id="27">
    <w:p w14:paraId="7B71DAA1"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strike/>
          <w:color w:val="000000"/>
          <w:sz w:val="18"/>
          <w:szCs w:val="18"/>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rPr>
        <w:t xml:space="preserve"> Cristina Puig </w:t>
      </w:r>
      <w:proofErr w:type="spellStart"/>
      <w:r w:rsidRPr="00A517BC">
        <w:rPr>
          <w:rFonts w:asciiTheme="minorHAnsi" w:hAnsiTheme="minorHAnsi" w:cstheme="minorHAnsi"/>
          <w:color w:val="000000"/>
          <w:sz w:val="18"/>
          <w:szCs w:val="18"/>
        </w:rPr>
        <w:t>Borràs</w:t>
      </w:r>
      <w:proofErr w:type="spellEnd"/>
      <w:r w:rsidRPr="00A517BC">
        <w:rPr>
          <w:rFonts w:asciiTheme="minorHAnsi" w:hAnsiTheme="minorHAnsi" w:cstheme="minorHAnsi"/>
          <w:color w:val="000000"/>
          <w:sz w:val="18"/>
          <w:szCs w:val="18"/>
        </w:rPr>
        <w:t xml:space="preserve"> &amp; Brenda I. Álvarez </w:t>
      </w:r>
      <w:proofErr w:type="spellStart"/>
      <w:r w:rsidRPr="00A517BC">
        <w:rPr>
          <w:rFonts w:asciiTheme="minorHAnsi" w:hAnsiTheme="minorHAnsi" w:cstheme="minorHAnsi"/>
          <w:color w:val="000000"/>
          <w:sz w:val="18"/>
          <w:szCs w:val="18"/>
        </w:rPr>
        <w:t>Álvarez</w:t>
      </w:r>
      <w:proofErr w:type="spellEnd"/>
      <w:r w:rsidRPr="00A517BC">
        <w:rPr>
          <w:rFonts w:asciiTheme="minorHAnsi" w:hAnsiTheme="minorHAnsi" w:cstheme="minorHAnsi"/>
          <w:color w:val="000000"/>
          <w:sz w:val="18"/>
          <w:szCs w:val="18"/>
        </w:rPr>
        <w:t xml:space="preserve">, </w:t>
      </w:r>
      <w:proofErr w:type="gramStart"/>
      <w:r w:rsidRPr="00A517BC">
        <w:rPr>
          <w:rFonts w:asciiTheme="minorHAnsi" w:hAnsiTheme="minorHAnsi" w:cstheme="minorHAnsi"/>
          <w:color w:val="000000"/>
          <w:sz w:val="18"/>
          <w:szCs w:val="18"/>
        </w:rPr>
        <w:t>The</w:t>
      </w:r>
      <w:proofErr w:type="gramEnd"/>
      <w:r w:rsidRPr="00A517BC">
        <w:rPr>
          <w:rFonts w:asciiTheme="minorHAnsi" w:hAnsiTheme="minorHAnsi" w:cstheme="minorHAnsi"/>
          <w:color w:val="000000"/>
          <w:sz w:val="18"/>
          <w:szCs w:val="18"/>
        </w:rPr>
        <w:t xml:space="preserve"> history of universal access to emergency contraception in Peru: a case of politics deepening inequalities, 26 REPROD. HEALTH MATTERS, no. 54, Nov. 2018, at 47-50. </w:t>
      </w:r>
    </w:p>
  </w:footnote>
  <w:footnote w:id="28">
    <w:p w14:paraId="59DD47AD"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rPr>
        <w:t xml:space="preserve"> </w:t>
      </w:r>
      <w:proofErr w:type="spellStart"/>
      <w:r w:rsidRPr="00A517BC">
        <w:rPr>
          <w:rFonts w:asciiTheme="minorHAnsi" w:hAnsiTheme="minorHAnsi" w:cstheme="minorHAnsi"/>
          <w:color w:val="000000"/>
          <w:sz w:val="18"/>
          <w:szCs w:val="18"/>
        </w:rPr>
        <w:t>Ídem</w:t>
      </w:r>
      <w:proofErr w:type="spellEnd"/>
    </w:p>
  </w:footnote>
  <w:footnote w:id="29">
    <w:p w14:paraId="191394FC"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rPr>
        <w:t xml:space="preserve"> Código Penal </w:t>
      </w:r>
      <w:proofErr w:type="spellStart"/>
      <w:r w:rsidRPr="00A517BC">
        <w:rPr>
          <w:rFonts w:asciiTheme="minorHAnsi" w:hAnsiTheme="minorHAnsi" w:cstheme="minorHAnsi"/>
          <w:color w:val="000000"/>
          <w:sz w:val="18"/>
          <w:szCs w:val="18"/>
        </w:rPr>
        <w:t>peruano</w:t>
      </w:r>
      <w:proofErr w:type="spellEnd"/>
      <w:r w:rsidRPr="00A517BC">
        <w:rPr>
          <w:rFonts w:asciiTheme="minorHAnsi" w:hAnsiTheme="minorHAnsi" w:cstheme="minorHAnsi"/>
          <w:color w:val="000000"/>
          <w:sz w:val="18"/>
          <w:szCs w:val="18"/>
        </w:rPr>
        <w:t xml:space="preserve">, art. 173 (Peru), disponible </w:t>
      </w:r>
      <w:proofErr w:type="spellStart"/>
      <w:r w:rsidRPr="00A517BC">
        <w:rPr>
          <w:rFonts w:asciiTheme="minorHAnsi" w:hAnsiTheme="minorHAnsi" w:cstheme="minorHAnsi"/>
          <w:color w:val="000000"/>
          <w:sz w:val="18"/>
          <w:szCs w:val="18"/>
        </w:rPr>
        <w:t>en</w:t>
      </w:r>
      <w:proofErr w:type="spellEnd"/>
      <w:r w:rsidRPr="00A517BC">
        <w:rPr>
          <w:rFonts w:asciiTheme="minorHAnsi" w:hAnsiTheme="minorHAnsi" w:cstheme="minorHAnsi"/>
          <w:color w:val="000000"/>
          <w:sz w:val="18"/>
          <w:szCs w:val="18"/>
        </w:rPr>
        <w:t xml:space="preserve"> http://spij.minjus.gob.pe/content/publicaciones_oficiales/img/CODIGOPENAL.pdf</w:t>
      </w:r>
    </w:p>
  </w:footnote>
  <w:footnote w:id="30">
    <w:p w14:paraId="1F4758EC"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w:t>
      </w:r>
      <w:r w:rsidR="003A120E">
        <w:fldChar w:fldCharType="begin"/>
      </w:r>
      <w:r w:rsidR="003A120E" w:rsidRPr="00C876D6">
        <w:rPr>
          <w:lang w:val="es-PE"/>
        </w:rPr>
        <w:instrText xml:space="preserve"> HYPERLINK "https://webapp.minsa.gob.pe/dwcnv/dwmadrenew.aspx" \h </w:instrText>
      </w:r>
      <w:r w:rsidR="003A120E">
        <w:fldChar w:fldCharType="separate"/>
      </w:r>
      <w:r w:rsidRPr="00A517BC">
        <w:rPr>
          <w:rFonts w:asciiTheme="minorHAnsi" w:hAnsiTheme="minorHAnsi" w:cstheme="minorHAnsi"/>
          <w:color w:val="0000FF"/>
          <w:sz w:val="18"/>
          <w:szCs w:val="18"/>
          <w:u w:val="single"/>
          <w:lang w:val="es-PE"/>
        </w:rPr>
        <w:t>Sistema de Registro del Certificado de Nacido Vivo en Línea</w:t>
      </w:r>
      <w:r w:rsidR="003A120E">
        <w:rPr>
          <w:rFonts w:asciiTheme="minorHAnsi" w:hAnsiTheme="minorHAnsi" w:cstheme="minorHAnsi"/>
          <w:color w:val="0000FF"/>
          <w:sz w:val="18"/>
          <w:szCs w:val="18"/>
          <w:u w:val="single"/>
          <w:lang w:val="es-PE"/>
        </w:rPr>
        <w:fldChar w:fldCharType="end"/>
      </w:r>
      <w:r w:rsidRPr="00A517BC">
        <w:rPr>
          <w:rFonts w:asciiTheme="minorHAnsi" w:hAnsiTheme="minorHAnsi" w:cstheme="minorHAnsi"/>
          <w:color w:val="000000"/>
          <w:sz w:val="18"/>
          <w:szCs w:val="18"/>
          <w:lang w:val="es-PE"/>
        </w:rPr>
        <w:t>, estadística 2021.</w:t>
      </w:r>
    </w:p>
  </w:footnote>
  <w:footnote w:id="31">
    <w:p w14:paraId="0F2B1341"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Respuesta del Ministerio de Salud a una solicitud de información pública realizada mediante Carta No. 08-2017-SIS/OGIIT. Base de datos del Sistema Integral de Salud 2016.</w:t>
      </w:r>
    </w:p>
  </w:footnote>
  <w:footnote w:id="32">
    <w:p w14:paraId="028E5CF7"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Respuesta del Ministerio de Salud a una solicitud de información pública realizada mediante Oficio No. 761-2019 de fecha 14 de abril de 2019, pág. 4.</w:t>
      </w:r>
    </w:p>
  </w:footnote>
  <w:footnote w:id="33">
    <w:p w14:paraId="2A91139F"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Ministerio de Salud (MINSA), </w:t>
      </w:r>
      <w:r w:rsidR="003A120E">
        <w:fldChar w:fldCharType="begin"/>
      </w:r>
      <w:r w:rsidR="003A120E" w:rsidRPr="00C876D6">
        <w:rPr>
          <w:lang w:val="es-PE"/>
        </w:rPr>
        <w:instrText xml:space="preserve"> HYPERLINK "http://www.dge.gob.pe/portal/docs/vigilancia/boletines/2019/52.pdf" \h </w:instrText>
      </w:r>
      <w:r w:rsidR="003A120E">
        <w:fldChar w:fldCharType="separate"/>
      </w:r>
      <w:r w:rsidRPr="00A517BC">
        <w:rPr>
          <w:rFonts w:asciiTheme="minorHAnsi" w:hAnsiTheme="minorHAnsi" w:cstheme="minorHAnsi"/>
          <w:color w:val="1155CC"/>
          <w:sz w:val="18"/>
          <w:szCs w:val="18"/>
          <w:u w:val="single"/>
          <w:lang w:val="es-PE"/>
        </w:rPr>
        <w:t>Boletín Epidemiológico del Perú</w:t>
      </w:r>
      <w:r w:rsidR="003A120E">
        <w:rPr>
          <w:rFonts w:asciiTheme="minorHAnsi" w:hAnsiTheme="minorHAnsi" w:cstheme="minorHAnsi"/>
          <w:color w:val="1155CC"/>
          <w:sz w:val="18"/>
          <w:szCs w:val="18"/>
          <w:u w:val="single"/>
          <w:lang w:val="es-PE"/>
        </w:rPr>
        <w:fldChar w:fldCharType="end"/>
      </w:r>
      <w:r w:rsidRPr="00A517BC">
        <w:rPr>
          <w:rFonts w:asciiTheme="minorHAnsi" w:hAnsiTheme="minorHAnsi" w:cstheme="minorHAnsi"/>
          <w:color w:val="000000"/>
          <w:sz w:val="18"/>
          <w:szCs w:val="18"/>
          <w:lang w:val="es-PE"/>
        </w:rPr>
        <w:t xml:space="preserve">, SE 52-2019, pág. 1337. </w:t>
      </w:r>
    </w:p>
  </w:footnote>
  <w:footnote w:id="34">
    <w:p w14:paraId="1AAA94D5"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Ministerio de Salud (MINSA), </w:t>
      </w:r>
      <w:r w:rsidR="003A120E">
        <w:fldChar w:fldCharType="begin"/>
      </w:r>
      <w:r w:rsidR="003A120E" w:rsidRPr="00C876D6">
        <w:rPr>
          <w:lang w:val="es-PE"/>
        </w:rPr>
        <w:instrText xml:space="preserve"> HYPERLINK "https://www.dge.gob.pe/portal/docs/vigilancia/sala/2020/SE21/mmaterna.pdf" \h </w:instrText>
      </w:r>
      <w:r w:rsidR="003A120E">
        <w:fldChar w:fldCharType="separate"/>
      </w:r>
      <w:r w:rsidRPr="00A517BC">
        <w:rPr>
          <w:rFonts w:asciiTheme="minorHAnsi" w:hAnsiTheme="minorHAnsi" w:cstheme="minorHAnsi"/>
          <w:i/>
          <w:color w:val="1155CC"/>
          <w:sz w:val="18"/>
          <w:szCs w:val="18"/>
          <w:u w:val="single"/>
          <w:lang w:val="es-PE"/>
        </w:rPr>
        <w:t>Número de muertes maternas anual y hasta la SE 21</w:t>
      </w:r>
      <w:r w:rsidR="003A120E">
        <w:rPr>
          <w:rFonts w:asciiTheme="minorHAnsi" w:hAnsiTheme="minorHAnsi" w:cstheme="minorHAnsi"/>
          <w:i/>
          <w:color w:val="1155CC"/>
          <w:sz w:val="18"/>
          <w:szCs w:val="18"/>
          <w:u w:val="single"/>
          <w:lang w:val="es-PE"/>
        </w:rPr>
        <w:fldChar w:fldCharType="end"/>
      </w:r>
      <w:r w:rsidRPr="00A517BC">
        <w:rPr>
          <w:rFonts w:asciiTheme="minorHAnsi" w:hAnsiTheme="minorHAnsi" w:cstheme="minorHAnsi"/>
          <w:i/>
          <w:sz w:val="18"/>
          <w:szCs w:val="18"/>
          <w:lang w:val="es-PE"/>
        </w:rPr>
        <w:t>, 2000-2020</w:t>
      </w:r>
      <w:r w:rsidRPr="00A517BC">
        <w:rPr>
          <w:rFonts w:asciiTheme="minorHAnsi" w:hAnsiTheme="minorHAnsi" w:cstheme="minorHAnsi"/>
          <w:sz w:val="18"/>
          <w:szCs w:val="18"/>
          <w:lang w:val="es-PE"/>
        </w:rPr>
        <w:t xml:space="preserve">. </w:t>
      </w:r>
    </w:p>
  </w:footnote>
  <w:footnote w:id="35">
    <w:p w14:paraId="1D1C603C"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INEI. </w:t>
      </w:r>
      <w:r w:rsidRPr="00A517BC">
        <w:rPr>
          <w:rFonts w:asciiTheme="minorHAnsi" w:hAnsiTheme="minorHAnsi" w:cstheme="minorHAnsi"/>
          <w:i/>
          <w:color w:val="000000"/>
          <w:sz w:val="18"/>
          <w:szCs w:val="18"/>
          <w:lang w:val="es-PE"/>
        </w:rPr>
        <w:t>Perú: Situación Social de las Madres Adolescentes</w:t>
      </w:r>
      <w:r w:rsidRPr="00A517BC">
        <w:rPr>
          <w:rFonts w:asciiTheme="minorHAnsi" w:hAnsiTheme="minorHAnsi" w:cstheme="minorHAnsi"/>
          <w:color w:val="000000"/>
          <w:sz w:val="18"/>
          <w:szCs w:val="18"/>
          <w:lang w:val="es-PE"/>
        </w:rPr>
        <w:t xml:space="preserve">, 2007. Lima: INEI, 2010. </w:t>
      </w:r>
    </w:p>
  </w:footnote>
  <w:footnote w:id="36">
    <w:p w14:paraId="64A4A1C1"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PROMSE</w:t>
      </w:r>
      <w:r w:rsidR="003A120E">
        <w:fldChar w:fldCharType="begin"/>
      </w:r>
      <w:r w:rsidR="003A120E" w:rsidRPr="00C876D6">
        <w:rPr>
          <w:lang w:val="es-PE"/>
        </w:rPr>
        <w:instrText xml:space="preserve"> HYPERLINK "https://www.google.com/search?rlz=1C1CHBF_esPE859PE859&amp;sxsrf=ALeKk00gkQ3qIjj_Ne988zRyBCZaQ1v8IA:1591274922571&amp;q=J+Balvin+X&amp;stick=H4sIAAAAAAAAAOPgE-LVT9c3NEwzKTLKK7Q0VYJw0w3LCyyLipK11LOTrfRzS4szk_WLUpPzi1Iy89Ljk3NKi0tSi6zSMouKSxQSc5JKcxexcnkpOCX</w:instrText>
      </w:r>
      <w:r w:rsidR="003A120E" w:rsidRPr="00C876D6">
        <w:rPr>
          <w:lang w:val="es-PE"/>
        </w:rPr>
        <w:instrText xml:space="preserve">mlGXmKUTsYGUEALtyb0hZAAAA&amp;sa=X&amp;ved=2ahUKEwj9rv-DmejpAhXnGrkGHVmDB8YQmxMoATAFegQIChAD" \h </w:instrText>
      </w:r>
      <w:r w:rsidR="003A120E">
        <w:fldChar w:fldCharType="separate"/>
      </w:r>
      <w:r w:rsidRPr="00A517BC">
        <w:rPr>
          <w:rFonts w:asciiTheme="minorHAnsi" w:hAnsiTheme="minorHAnsi" w:cstheme="minorHAnsi"/>
          <w:color w:val="0000FF"/>
          <w:sz w:val="18"/>
          <w:szCs w:val="18"/>
          <w:highlight w:val="white"/>
          <w:u w:val="single"/>
          <w:lang w:val="es-PE"/>
        </w:rPr>
        <w:t>X</w:t>
      </w:r>
      <w:r w:rsidR="003A120E">
        <w:rPr>
          <w:rFonts w:asciiTheme="minorHAnsi" w:hAnsiTheme="minorHAnsi" w:cstheme="minorHAnsi"/>
          <w:color w:val="0000FF"/>
          <w:sz w:val="18"/>
          <w:szCs w:val="18"/>
          <w:highlight w:val="white"/>
          <w:u w:val="single"/>
          <w:lang w:val="es-PE"/>
        </w:rPr>
        <w:fldChar w:fldCharType="end"/>
      </w:r>
      <w:r w:rsidRPr="00A517BC">
        <w:rPr>
          <w:rFonts w:asciiTheme="minorHAnsi" w:hAnsiTheme="minorHAnsi" w:cstheme="minorHAnsi"/>
          <w:color w:val="000000"/>
          <w:sz w:val="18"/>
          <w:szCs w:val="18"/>
          <w:lang w:val="es-PE"/>
        </w:rPr>
        <w:t xml:space="preserve">. </w:t>
      </w:r>
      <w:r w:rsidRPr="00A517BC">
        <w:rPr>
          <w:rFonts w:asciiTheme="minorHAnsi" w:hAnsiTheme="minorHAnsi" w:cstheme="minorHAnsi"/>
          <w:i/>
          <w:color w:val="000000"/>
          <w:sz w:val="18"/>
          <w:szCs w:val="18"/>
          <w:lang w:val="es-PE"/>
        </w:rPr>
        <w:t xml:space="preserve">Historias para no </w:t>
      </w:r>
      <w:r w:rsidRPr="00A517BC">
        <w:rPr>
          <w:rFonts w:asciiTheme="minorHAnsi" w:hAnsiTheme="minorHAnsi" w:cstheme="minorHAnsi"/>
          <w:color w:val="000000"/>
          <w:sz w:val="18"/>
          <w:szCs w:val="18"/>
          <w:lang w:val="es-PE"/>
        </w:rPr>
        <w:t xml:space="preserve">olvidar, </w:t>
      </w:r>
      <w:r w:rsidRPr="00A517BC">
        <w:rPr>
          <w:rFonts w:asciiTheme="minorHAnsi" w:hAnsiTheme="minorHAnsi" w:cstheme="minorHAnsi"/>
          <w:i/>
          <w:color w:val="000000"/>
          <w:sz w:val="18"/>
          <w:szCs w:val="18"/>
          <w:lang w:val="es-PE"/>
        </w:rPr>
        <w:t xml:space="preserve">supra </w:t>
      </w:r>
      <w:r w:rsidRPr="00A517BC">
        <w:rPr>
          <w:rFonts w:asciiTheme="minorHAnsi" w:hAnsiTheme="minorHAnsi" w:cstheme="minorHAnsi"/>
          <w:color w:val="000000"/>
          <w:sz w:val="18"/>
          <w:szCs w:val="18"/>
          <w:lang w:val="es-PE"/>
        </w:rPr>
        <w:t>nota 27. Entre los resultados de esta investigación: sobre las adolescentes fallecidas, cuatro tenían 15 años o menos y seis tenían entre 16 y 18 años al momento de fallecer; respecto a las causas de su fallecimiento, en tres de los casos sus muertes estuvieron asociadas al aborto y dos se dieron por causas indirectas, reportándose un suicidio y una fallecida durante el puerperio, respecto al control natal, solo cuatro de ellas tuvieron algún tipo de control; dos de los fallecimientos ocurrieron en el primer trimestre, uno en el segundo, tres en el tercero y dos murieron durante el puerperio.</w:t>
      </w:r>
    </w:p>
  </w:footnote>
  <w:footnote w:id="37">
    <w:p w14:paraId="1ADE5FA7"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w:t>
      </w:r>
      <w:r w:rsidRPr="00A517BC">
        <w:rPr>
          <w:rFonts w:asciiTheme="minorHAnsi" w:hAnsiTheme="minorHAnsi" w:cstheme="minorHAnsi"/>
          <w:i/>
          <w:sz w:val="18"/>
          <w:szCs w:val="18"/>
          <w:lang w:val="es-PE"/>
        </w:rPr>
        <w:t xml:space="preserve">Ibidem., </w:t>
      </w:r>
      <w:r w:rsidRPr="00A517BC">
        <w:rPr>
          <w:rFonts w:asciiTheme="minorHAnsi" w:hAnsiTheme="minorHAnsi" w:cstheme="minorHAnsi"/>
          <w:sz w:val="18"/>
          <w:szCs w:val="18"/>
          <w:lang w:val="es-PE"/>
        </w:rPr>
        <w:t>para 18.</w:t>
      </w:r>
    </w:p>
  </w:footnote>
  <w:footnote w:id="38">
    <w:p w14:paraId="60084AC7"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w:t>
      </w:r>
      <w:r w:rsidRPr="00A517BC">
        <w:rPr>
          <w:rFonts w:asciiTheme="minorHAnsi" w:hAnsiTheme="minorHAnsi" w:cstheme="minorHAnsi"/>
          <w:i/>
          <w:color w:val="000000"/>
          <w:sz w:val="18"/>
          <w:szCs w:val="18"/>
          <w:lang w:val="es-PE"/>
        </w:rPr>
        <w:t>Ibidem</w:t>
      </w:r>
      <w:r w:rsidRPr="00A517BC">
        <w:rPr>
          <w:rFonts w:asciiTheme="minorHAnsi" w:hAnsiTheme="minorHAnsi" w:cstheme="minorHAnsi"/>
          <w:color w:val="000000"/>
          <w:sz w:val="18"/>
          <w:szCs w:val="18"/>
          <w:lang w:val="es-PE"/>
        </w:rPr>
        <w:t xml:space="preserve">, para 21. Comité para la Eliminación de la Discriminación contra la Mujer, </w:t>
      </w:r>
      <w:r w:rsidRPr="00A517BC">
        <w:rPr>
          <w:rFonts w:asciiTheme="minorHAnsi" w:hAnsiTheme="minorHAnsi" w:cstheme="minorHAnsi"/>
          <w:i/>
          <w:color w:val="000000"/>
          <w:sz w:val="18"/>
          <w:szCs w:val="18"/>
          <w:lang w:val="es-PE"/>
        </w:rPr>
        <w:t>Recomendación general No 19</w:t>
      </w:r>
      <w:r w:rsidRPr="00A517BC">
        <w:rPr>
          <w:rFonts w:asciiTheme="minorHAnsi" w:hAnsiTheme="minorHAnsi" w:cstheme="minorHAnsi"/>
          <w:color w:val="000000"/>
          <w:sz w:val="18"/>
          <w:szCs w:val="18"/>
          <w:lang w:val="es-PE"/>
        </w:rPr>
        <w:t xml:space="preserve">: La Violencia contra la Mujer (1992), párr., 6–7; y Comité para la Eliminación de la Discriminación contra la Mujer, </w:t>
      </w:r>
      <w:r w:rsidRPr="00A517BC">
        <w:rPr>
          <w:rFonts w:asciiTheme="minorHAnsi" w:hAnsiTheme="minorHAnsi" w:cstheme="minorHAnsi"/>
          <w:i/>
          <w:color w:val="000000"/>
          <w:sz w:val="18"/>
          <w:szCs w:val="18"/>
          <w:lang w:val="es-PE"/>
        </w:rPr>
        <w:t>Recomendación general No 36: sobre el derecho de las niñas y las mujeres a la educación</w:t>
      </w:r>
      <w:r w:rsidRPr="00A517BC">
        <w:rPr>
          <w:rFonts w:asciiTheme="minorHAnsi" w:hAnsiTheme="minorHAnsi" w:cstheme="minorHAnsi"/>
          <w:color w:val="000000"/>
          <w:sz w:val="18"/>
          <w:szCs w:val="18"/>
          <w:lang w:val="es-PE"/>
        </w:rPr>
        <w:t>, 27 de noviembre de 2017, UN Doc. CEDAW/C/GC/36, párr. 64–69.</w:t>
      </w:r>
    </w:p>
  </w:footnote>
  <w:footnote w:id="39">
    <w:p w14:paraId="3929AE94"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Código Penal peruano, 1991, artículo 119. Sin embargo, incluso dentro de esta causal, el acceso al aborto es muy limitado.</w:t>
      </w:r>
    </w:p>
  </w:footnote>
  <w:footnote w:id="40">
    <w:p w14:paraId="0F1B2807"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Comité de Derechos Humanos, </w:t>
      </w:r>
      <w:r w:rsidRPr="00A517BC">
        <w:rPr>
          <w:rFonts w:asciiTheme="minorHAnsi" w:hAnsiTheme="minorHAnsi" w:cstheme="minorHAnsi"/>
          <w:i/>
          <w:color w:val="000000"/>
          <w:sz w:val="18"/>
          <w:szCs w:val="18"/>
          <w:lang w:val="es-PE"/>
        </w:rPr>
        <w:t>K.L. vs. Perú</w:t>
      </w:r>
      <w:r w:rsidRPr="00A517BC">
        <w:rPr>
          <w:rFonts w:asciiTheme="minorHAnsi" w:hAnsiTheme="minorHAnsi" w:cstheme="minorHAnsi"/>
          <w:color w:val="000000"/>
          <w:sz w:val="18"/>
          <w:szCs w:val="18"/>
          <w:lang w:val="es-PE"/>
        </w:rPr>
        <w:t>, Comunicación No. 1153/2003, U.N. Doc. CCPR/ C/85/D/1153/2003 (2005</w:t>
      </w:r>
      <w:proofErr w:type="gramStart"/>
      <w:r w:rsidRPr="00A517BC">
        <w:rPr>
          <w:rFonts w:asciiTheme="minorHAnsi" w:hAnsiTheme="minorHAnsi" w:cstheme="minorHAnsi"/>
          <w:color w:val="000000"/>
          <w:sz w:val="18"/>
          <w:szCs w:val="18"/>
          <w:lang w:val="es-PE"/>
        </w:rPr>
        <w:t>),pp.</w:t>
      </w:r>
      <w:proofErr w:type="gramEnd"/>
      <w:r w:rsidRPr="00A517BC">
        <w:rPr>
          <w:rFonts w:asciiTheme="minorHAnsi" w:hAnsiTheme="minorHAnsi" w:cstheme="minorHAnsi"/>
          <w:color w:val="000000"/>
          <w:sz w:val="18"/>
          <w:szCs w:val="18"/>
          <w:lang w:val="es-PE"/>
        </w:rPr>
        <w:t xml:space="preserve"> 8.</w:t>
      </w:r>
    </w:p>
  </w:footnote>
  <w:footnote w:id="41">
    <w:p w14:paraId="1FDB5A3B"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Ministerio de Salud</w:t>
      </w:r>
      <w:r w:rsidRPr="00A517BC">
        <w:rPr>
          <w:rFonts w:asciiTheme="minorHAnsi" w:hAnsiTheme="minorHAnsi" w:cstheme="minorHAnsi"/>
          <w:i/>
          <w:color w:val="000000"/>
          <w:sz w:val="18"/>
          <w:szCs w:val="18"/>
          <w:lang w:val="es-PE"/>
        </w:rPr>
        <w:t xml:space="preserve">, </w:t>
      </w:r>
      <w:r w:rsidR="003A120E">
        <w:fldChar w:fldCharType="begin"/>
      </w:r>
      <w:r w:rsidR="003A120E" w:rsidRPr="00C876D6">
        <w:rPr>
          <w:lang w:val="es-PE"/>
        </w:rPr>
        <w:instrText xml:space="preserve"> HYPERLINK "http://bvs.minsa.gob.pe/local/MINSA/3795.pdf." \h </w:instrText>
      </w:r>
      <w:r w:rsidR="003A120E">
        <w:fldChar w:fldCharType="separate"/>
      </w:r>
      <w:r w:rsidRPr="00A517BC">
        <w:rPr>
          <w:rFonts w:asciiTheme="minorHAnsi" w:hAnsiTheme="minorHAnsi" w:cstheme="minorHAnsi"/>
          <w:i/>
          <w:color w:val="000000"/>
          <w:sz w:val="18"/>
          <w:szCs w:val="18"/>
          <w:u w:val="single"/>
          <w:lang w:val="es-PE"/>
        </w:rPr>
        <w:t>Guía Técnica Nacional para la Estandarización del Procedimiento de la Atención Integral de la Gestante en la Interrupción Voluntaria por Indicación Terapéutica del embarazo menor de 22 semanas con consentimiento informado en el marco de lo dispuesto en el</w:t>
      </w:r>
      <w:r w:rsidR="003A120E">
        <w:rPr>
          <w:rFonts w:asciiTheme="minorHAnsi" w:hAnsiTheme="minorHAnsi" w:cstheme="minorHAnsi"/>
          <w:i/>
          <w:color w:val="000000"/>
          <w:sz w:val="18"/>
          <w:szCs w:val="18"/>
          <w:u w:val="single"/>
          <w:lang w:val="es-PE"/>
        </w:rPr>
        <w:fldChar w:fldCharType="end"/>
      </w:r>
      <w:r w:rsidRPr="00A517BC">
        <w:rPr>
          <w:rFonts w:asciiTheme="minorHAnsi" w:hAnsiTheme="minorHAnsi" w:cstheme="minorHAnsi"/>
          <w:i/>
          <w:color w:val="000000"/>
          <w:sz w:val="18"/>
          <w:szCs w:val="18"/>
          <w:lang w:val="es-PE"/>
        </w:rPr>
        <w:t>,</w:t>
      </w:r>
      <w:r w:rsidRPr="00A517BC">
        <w:rPr>
          <w:rFonts w:asciiTheme="minorHAnsi" w:hAnsiTheme="minorHAnsi" w:cstheme="minorHAnsi"/>
          <w:color w:val="000000"/>
          <w:sz w:val="18"/>
          <w:szCs w:val="18"/>
          <w:lang w:val="es-PE"/>
        </w:rPr>
        <w:t xml:space="preserve"> aprobada mediante Resolución No. 486-2014/MINSA, de fecha 27 de junio del 2014. </w:t>
      </w:r>
    </w:p>
  </w:footnote>
  <w:footnote w:id="42">
    <w:p w14:paraId="3D213A10"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Memorando </w:t>
      </w:r>
      <w:proofErr w:type="spellStart"/>
      <w:r w:rsidRPr="00A517BC">
        <w:rPr>
          <w:rFonts w:asciiTheme="minorHAnsi" w:hAnsiTheme="minorHAnsi" w:cstheme="minorHAnsi"/>
          <w:color w:val="000000"/>
          <w:sz w:val="18"/>
          <w:szCs w:val="18"/>
          <w:lang w:val="es-PE"/>
        </w:rPr>
        <w:t>N°</w:t>
      </w:r>
      <w:proofErr w:type="spellEnd"/>
      <w:r w:rsidRPr="00A517BC">
        <w:rPr>
          <w:rFonts w:asciiTheme="minorHAnsi" w:hAnsiTheme="minorHAnsi" w:cstheme="minorHAnsi"/>
          <w:color w:val="000000"/>
          <w:sz w:val="18"/>
          <w:szCs w:val="18"/>
          <w:lang w:val="es-PE"/>
        </w:rPr>
        <w:t xml:space="preserve"> 464-2021-DEOG/INMP, 29 de abril de 2021.</w:t>
      </w:r>
    </w:p>
  </w:footnote>
  <w:footnote w:id="43">
    <w:p w14:paraId="3EBD4D3B"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Ministerio de Salud. (2019). Decreto Supremo N°008-2019-SA </w:t>
      </w:r>
      <w:r w:rsidR="003A120E">
        <w:fldChar w:fldCharType="begin"/>
      </w:r>
      <w:r w:rsidR="003A120E" w:rsidRPr="00C876D6">
        <w:rPr>
          <w:lang w:val="es-PE"/>
        </w:rPr>
        <w:instrText xml:space="preserve"> HYPERLINK "https://cdn.www.gob.pe/uploads/document/file/309605/Decreto_Supremo_008-2019-SA.PDF" \h </w:instrText>
      </w:r>
      <w:r w:rsidR="003A120E">
        <w:fldChar w:fldCharType="separate"/>
      </w:r>
      <w:r w:rsidRPr="00A517BC">
        <w:rPr>
          <w:rFonts w:asciiTheme="minorHAnsi" w:hAnsiTheme="minorHAnsi" w:cstheme="minorHAnsi"/>
          <w:color w:val="000000"/>
          <w:sz w:val="18"/>
          <w:szCs w:val="18"/>
          <w:u w:val="single"/>
          <w:lang w:val="es-PE"/>
        </w:rPr>
        <w:t>“Protocolo de actuación conjunta entre los Centros de Emergencia Mujer -CEM y los Establecimientos de Salud – EE.SS. para la atención de las personas víctimas de violencia contra las mujeres y los integrantes del grupo familiar, en el marco de la Ley N°30</w:t>
      </w:r>
      <w:r w:rsidR="003A120E">
        <w:rPr>
          <w:rFonts w:asciiTheme="minorHAnsi" w:hAnsiTheme="minorHAnsi" w:cstheme="minorHAnsi"/>
          <w:color w:val="000000"/>
          <w:sz w:val="18"/>
          <w:szCs w:val="18"/>
          <w:u w:val="single"/>
          <w:lang w:val="es-PE"/>
        </w:rPr>
        <w:fldChar w:fldCharType="end"/>
      </w:r>
      <w:r w:rsidRPr="00A517BC">
        <w:rPr>
          <w:rFonts w:asciiTheme="minorHAnsi" w:hAnsiTheme="minorHAnsi" w:cstheme="minorHAnsi"/>
          <w:color w:val="000000"/>
          <w:sz w:val="18"/>
          <w:szCs w:val="18"/>
          <w:lang w:val="es-PE"/>
        </w:rPr>
        <w:t>.</w:t>
      </w:r>
      <w:r w:rsidRPr="00A517BC">
        <w:rPr>
          <w:rFonts w:asciiTheme="minorHAnsi" w:hAnsiTheme="minorHAnsi" w:cstheme="minorHAnsi"/>
          <w:i/>
          <w:color w:val="000000"/>
          <w:sz w:val="18"/>
          <w:szCs w:val="18"/>
          <w:lang w:val="es-PE"/>
        </w:rPr>
        <w:t xml:space="preserve"> </w:t>
      </w:r>
      <w:r w:rsidRPr="00A517BC">
        <w:rPr>
          <w:rFonts w:asciiTheme="minorHAnsi" w:hAnsiTheme="minorHAnsi" w:cstheme="minorHAnsi"/>
          <w:color w:val="000000"/>
          <w:sz w:val="18"/>
          <w:szCs w:val="18"/>
          <w:lang w:val="es-PE"/>
        </w:rPr>
        <w:t xml:space="preserve">Nota al pie 58. </w:t>
      </w:r>
    </w:p>
  </w:footnote>
  <w:footnote w:id="44">
    <w:p w14:paraId="7F48ACF7"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Estas son: (i) la Directiva Sanitaria N.º 094-MINSA/2020/DGIESP (23 de abril de 2020) para ‘Garantizar la salud de las gestantes y la continuidad de la atención en planificación familiar ante la infección por COVID-19’; y (</w:t>
      </w:r>
      <w:proofErr w:type="spellStart"/>
      <w:r w:rsidRPr="00A517BC">
        <w:rPr>
          <w:rFonts w:asciiTheme="minorHAnsi" w:hAnsiTheme="minorHAnsi" w:cstheme="minorHAnsi"/>
          <w:sz w:val="18"/>
          <w:szCs w:val="18"/>
          <w:lang w:val="es-PE"/>
        </w:rPr>
        <w:t>ii</w:t>
      </w:r>
      <w:proofErr w:type="spellEnd"/>
      <w:r w:rsidRPr="00A517BC">
        <w:rPr>
          <w:rFonts w:asciiTheme="minorHAnsi" w:hAnsiTheme="minorHAnsi" w:cstheme="minorHAnsi"/>
          <w:sz w:val="18"/>
          <w:szCs w:val="18"/>
          <w:lang w:val="es-PE"/>
        </w:rPr>
        <w:t xml:space="preserve">) la Directiva Sanitaria N.º 097-MINSA/2020/DGIESP (30 de abril de 2020) para la ‘Prevención y atención de la gestante y del recién nacido con riesgo o infección por COVID-19’. </w:t>
      </w:r>
    </w:p>
  </w:footnote>
  <w:footnote w:id="45">
    <w:p w14:paraId="22208C73"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MINSA, </w:t>
      </w:r>
      <w:r w:rsidRPr="00A517BC">
        <w:rPr>
          <w:rFonts w:asciiTheme="minorHAnsi" w:hAnsiTheme="minorHAnsi" w:cstheme="minorHAnsi"/>
          <w:i/>
          <w:color w:val="000000"/>
          <w:sz w:val="18"/>
          <w:szCs w:val="18"/>
          <w:lang w:val="es-PE"/>
        </w:rPr>
        <w:t>Directiva Sanitaria para garantizar la salud de las gestantes y la continuidad de la atención en planificación familiar ante la infección por COVID-19</w:t>
      </w:r>
      <w:r w:rsidRPr="00A517BC">
        <w:rPr>
          <w:rFonts w:asciiTheme="minorHAnsi" w:hAnsiTheme="minorHAnsi" w:cstheme="minorHAnsi"/>
          <w:color w:val="000000"/>
          <w:sz w:val="18"/>
          <w:szCs w:val="18"/>
          <w:lang w:val="es-PE"/>
        </w:rPr>
        <w:t xml:space="preserve">, </w:t>
      </w:r>
      <w:r w:rsidR="003A120E">
        <w:fldChar w:fldCharType="begin"/>
      </w:r>
      <w:r w:rsidR="003A120E" w:rsidRPr="00C876D6">
        <w:rPr>
          <w:lang w:val="es-PE"/>
        </w:rPr>
        <w:instrText xml:space="preserve"> HYPERLINK "https://cdn.www.gob.pe/uploads/document/file/607318/RM_217-2020-MINSA_Y_ANEXOS.PDF." \h </w:instrText>
      </w:r>
      <w:r w:rsidR="003A120E">
        <w:fldChar w:fldCharType="separate"/>
      </w:r>
      <w:r w:rsidRPr="00A517BC">
        <w:rPr>
          <w:rFonts w:asciiTheme="minorHAnsi" w:hAnsiTheme="minorHAnsi" w:cstheme="minorHAnsi"/>
          <w:color w:val="000000"/>
          <w:sz w:val="18"/>
          <w:szCs w:val="18"/>
          <w:u w:val="single"/>
          <w:lang w:val="es-PE"/>
        </w:rPr>
        <w:t xml:space="preserve">Directiva Sanitaria </w:t>
      </w:r>
      <w:proofErr w:type="spellStart"/>
      <w:r w:rsidRPr="00A517BC">
        <w:rPr>
          <w:rFonts w:asciiTheme="minorHAnsi" w:hAnsiTheme="minorHAnsi" w:cstheme="minorHAnsi"/>
          <w:color w:val="000000"/>
          <w:sz w:val="18"/>
          <w:szCs w:val="18"/>
          <w:u w:val="single"/>
          <w:lang w:val="es-PE"/>
        </w:rPr>
        <w:t>N°</w:t>
      </w:r>
      <w:proofErr w:type="spellEnd"/>
      <w:r w:rsidRPr="00A517BC">
        <w:rPr>
          <w:rFonts w:asciiTheme="minorHAnsi" w:hAnsiTheme="minorHAnsi" w:cstheme="minorHAnsi"/>
          <w:color w:val="000000"/>
          <w:sz w:val="18"/>
          <w:szCs w:val="18"/>
          <w:u w:val="single"/>
          <w:lang w:val="es-PE"/>
        </w:rPr>
        <w:t xml:space="preserve"> 094 -MINSA/2020/DGIESP</w:t>
      </w:r>
      <w:r w:rsidR="003A120E">
        <w:rPr>
          <w:rFonts w:asciiTheme="minorHAnsi" w:hAnsiTheme="minorHAnsi" w:cstheme="minorHAnsi"/>
          <w:color w:val="000000"/>
          <w:sz w:val="18"/>
          <w:szCs w:val="18"/>
          <w:u w:val="single"/>
          <w:lang w:val="es-PE"/>
        </w:rPr>
        <w:fldChar w:fldCharType="end"/>
      </w:r>
      <w:r w:rsidRPr="00A517BC">
        <w:rPr>
          <w:rFonts w:asciiTheme="minorHAnsi" w:hAnsiTheme="minorHAnsi" w:cstheme="minorHAnsi"/>
          <w:color w:val="000000"/>
          <w:sz w:val="18"/>
          <w:szCs w:val="18"/>
          <w:lang w:val="es-PE"/>
        </w:rPr>
        <w:t xml:space="preserve">. April 23, 2020, párr. 6.4 y 6.2.15. </w:t>
      </w:r>
    </w:p>
  </w:footnote>
  <w:footnote w:id="46">
    <w:p w14:paraId="55B8D00C"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Código Penal, 1991, </w:t>
      </w:r>
      <w:r w:rsidRPr="00A517BC">
        <w:rPr>
          <w:rFonts w:asciiTheme="minorHAnsi" w:hAnsiTheme="minorHAnsi" w:cstheme="minorHAnsi"/>
          <w:i/>
          <w:color w:val="000000"/>
          <w:sz w:val="18"/>
          <w:szCs w:val="18"/>
          <w:lang w:val="es-PE"/>
        </w:rPr>
        <w:t xml:space="preserve">supra </w:t>
      </w:r>
      <w:r w:rsidRPr="00A517BC">
        <w:rPr>
          <w:rFonts w:asciiTheme="minorHAnsi" w:hAnsiTheme="minorHAnsi" w:cstheme="minorHAnsi"/>
          <w:color w:val="000000"/>
          <w:sz w:val="18"/>
          <w:szCs w:val="18"/>
          <w:lang w:val="es-PE"/>
        </w:rPr>
        <w:t>nota 22, artículos 114 y 120.</w:t>
      </w:r>
    </w:p>
  </w:footnote>
  <w:footnote w:id="47">
    <w:p w14:paraId="2E124602"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rPr>
        <w:t xml:space="preserve"> Idem.</w:t>
      </w:r>
    </w:p>
  </w:footnote>
  <w:footnote w:id="48">
    <w:p w14:paraId="0E1498EA"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rPr>
        <w:t xml:space="preserve"> Sarah A. Huff, </w:t>
      </w:r>
      <w:r w:rsidRPr="00A517BC">
        <w:rPr>
          <w:rFonts w:asciiTheme="minorHAnsi" w:hAnsiTheme="minorHAnsi" w:cstheme="minorHAnsi"/>
          <w:i/>
          <w:color w:val="000000"/>
          <w:sz w:val="18"/>
          <w:szCs w:val="18"/>
        </w:rPr>
        <w:t>Abortion Crisis in Peru: Finding a Woman’s Right to Obtain Safe and Legal Abortions in the Convention on the Elimination of All Forms of Discrimination Against Women</w:t>
      </w:r>
      <w:r w:rsidRPr="00A517BC">
        <w:rPr>
          <w:rFonts w:asciiTheme="minorHAnsi" w:hAnsiTheme="minorHAnsi" w:cstheme="minorHAnsi"/>
          <w:color w:val="000000"/>
          <w:sz w:val="18"/>
          <w:szCs w:val="18"/>
        </w:rPr>
        <w:t xml:space="preserve">, 30 B.C. Int’l &amp; Comp. L. Rev. 237, 240 (2007), available at: </w:t>
      </w:r>
      <w:hyperlink r:id="rId1">
        <w:r w:rsidRPr="00A517BC">
          <w:rPr>
            <w:rFonts w:asciiTheme="minorHAnsi" w:hAnsiTheme="minorHAnsi" w:cstheme="minorHAnsi"/>
            <w:color w:val="0000FF"/>
            <w:sz w:val="18"/>
            <w:szCs w:val="18"/>
            <w:u w:val="single"/>
          </w:rPr>
          <w:t>http://lawdigitalcommons.bc.edu/iclr/vol30/iss1/14</w:t>
        </w:r>
      </w:hyperlink>
      <w:r w:rsidRPr="00A517BC">
        <w:rPr>
          <w:rFonts w:asciiTheme="minorHAnsi" w:hAnsiTheme="minorHAnsi" w:cstheme="minorHAnsi"/>
          <w:color w:val="000000"/>
          <w:sz w:val="18"/>
          <w:szCs w:val="18"/>
        </w:rPr>
        <w:t xml:space="preserve">; Alyssa </w:t>
      </w:r>
      <w:proofErr w:type="spellStart"/>
      <w:r w:rsidRPr="00A517BC">
        <w:rPr>
          <w:rFonts w:asciiTheme="minorHAnsi" w:hAnsiTheme="minorHAnsi" w:cstheme="minorHAnsi"/>
          <w:color w:val="000000"/>
          <w:sz w:val="18"/>
          <w:szCs w:val="18"/>
        </w:rPr>
        <w:t>Rayman</w:t>
      </w:r>
      <w:proofErr w:type="spellEnd"/>
      <w:r w:rsidRPr="00A517BC">
        <w:rPr>
          <w:rFonts w:asciiTheme="minorHAnsi" w:hAnsiTheme="minorHAnsi" w:cstheme="minorHAnsi"/>
          <w:color w:val="000000"/>
          <w:sz w:val="18"/>
          <w:szCs w:val="18"/>
        </w:rPr>
        <w:t xml:space="preserve">-Read, </w:t>
      </w:r>
      <w:r w:rsidRPr="00A517BC">
        <w:rPr>
          <w:rFonts w:asciiTheme="minorHAnsi" w:hAnsiTheme="minorHAnsi" w:cstheme="minorHAnsi"/>
          <w:i/>
          <w:color w:val="000000"/>
          <w:sz w:val="18"/>
          <w:szCs w:val="18"/>
        </w:rPr>
        <w:t>The Sound of Silence</w:t>
      </w:r>
      <w:r w:rsidRPr="00A517BC">
        <w:rPr>
          <w:rFonts w:asciiTheme="minorHAnsi" w:hAnsiTheme="minorHAnsi" w:cstheme="minorHAnsi"/>
          <w:color w:val="000000"/>
          <w:sz w:val="18"/>
          <w:szCs w:val="18"/>
        </w:rPr>
        <w:t xml:space="preserve">, Am. Prospect, Sept. 24, 2001, at A21. </w:t>
      </w:r>
      <w:proofErr w:type="spellStart"/>
      <w:r w:rsidRPr="00A517BC">
        <w:rPr>
          <w:rFonts w:asciiTheme="minorHAnsi" w:hAnsiTheme="minorHAnsi" w:cstheme="minorHAnsi"/>
          <w:i/>
          <w:color w:val="000000"/>
          <w:sz w:val="18"/>
          <w:szCs w:val="18"/>
        </w:rPr>
        <w:t>Véase</w:t>
      </w:r>
      <w:proofErr w:type="spellEnd"/>
      <w:r w:rsidRPr="00A517BC">
        <w:rPr>
          <w:rFonts w:asciiTheme="minorHAnsi" w:hAnsiTheme="minorHAnsi" w:cstheme="minorHAnsi"/>
          <w:i/>
          <w:color w:val="000000"/>
          <w:sz w:val="18"/>
          <w:szCs w:val="18"/>
        </w:rPr>
        <w:t xml:space="preserve"> </w:t>
      </w:r>
      <w:proofErr w:type="spellStart"/>
      <w:r w:rsidRPr="00A517BC">
        <w:rPr>
          <w:rFonts w:asciiTheme="minorHAnsi" w:hAnsiTheme="minorHAnsi" w:cstheme="minorHAnsi"/>
          <w:i/>
          <w:color w:val="000000"/>
          <w:sz w:val="18"/>
          <w:szCs w:val="18"/>
        </w:rPr>
        <w:t>también</w:t>
      </w:r>
      <w:proofErr w:type="spellEnd"/>
      <w:r w:rsidRPr="00A517BC">
        <w:rPr>
          <w:rFonts w:asciiTheme="minorHAnsi" w:hAnsiTheme="minorHAnsi" w:cstheme="minorHAnsi"/>
          <w:color w:val="000000"/>
          <w:sz w:val="18"/>
          <w:szCs w:val="18"/>
        </w:rPr>
        <w:t xml:space="preserve"> Office of the Deputy Director, </w:t>
      </w:r>
      <w:r w:rsidRPr="00A517BC">
        <w:rPr>
          <w:rFonts w:asciiTheme="minorHAnsi" w:hAnsiTheme="minorHAnsi" w:cstheme="minorHAnsi"/>
          <w:i/>
          <w:color w:val="000000"/>
          <w:sz w:val="18"/>
          <w:szCs w:val="18"/>
        </w:rPr>
        <w:t>Health Situation in the Americas: Basic Indicators</w:t>
      </w:r>
      <w:r w:rsidRPr="00A517BC">
        <w:rPr>
          <w:rFonts w:asciiTheme="minorHAnsi" w:hAnsiTheme="minorHAnsi" w:cstheme="minorHAnsi"/>
          <w:color w:val="000000"/>
          <w:sz w:val="18"/>
          <w:szCs w:val="18"/>
        </w:rPr>
        <w:t xml:space="preserve">, Pan Am. Health Org., 2005, available at: </w:t>
      </w:r>
      <w:hyperlink r:id="rId2">
        <w:r w:rsidRPr="00A517BC">
          <w:rPr>
            <w:rFonts w:asciiTheme="minorHAnsi" w:hAnsiTheme="minorHAnsi" w:cstheme="minorHAnsi"/>
            <w:color w:val="0000FF"/>
            <w:sz w:val="18"/>
            <w:szCs w:val="18"/>
            <w:u w:val="single"/>
          </w:rPr>
          <w:t>http://www.paho.org/English/DD/AIS/BI-brochure-2005</w:t>
        </w:r>
      </w:hyperlink>
    </w:p>
  </w:footnote>
  <w:footnote w:id="49">
    <w:p w14:paraId="473B08D9"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Respuesta a la solicitud de acceso a la información del Poder Judicial Memorando </w:t>
      </w:r>
      <w:proofErr w:type="spellStart"/>
      <w:r w:rsidRPr="00A517BC">
        <w:rPr>
          <w:rFonts w:asciiTheme="minorHAnsi" w:hAnsiTheme="minorHAnsi" w:cstheme="minorHAnsi"/>
          <w:color w:val="000000"/>
          <w:sz w:val="18"/>
          <w:szCs w:val="18"/>
          <w:lang w:val="es-PE"/>
        </w:rPr>
        <w:t>Nº</w:t>
      </w:r>
      <w:proofErr w:type="spellEnd"/>
      <w:r w:rsidRPr="00A517BC">
        <w:rPr>
          <w:rFonts w:asciiTheme="minorHAnsi" w:hAnsiTheme="minorHAnsi" w:cstheme="minorHAnsi"/>
          <w:color w:val="000000"/>
          <w:sz w:val="18"/>
          <w:szCs w:val="18"/>
          <w:lang w:val="es-PE"/>
        </w:rPr>
        <w:t xml:space="preserve"> 132-2021-SE-GP-GG-PJ de fecha 6 de mayo de 2021.</w:t>
      </w:r>
    </w:p>
  </w:footnote>
  <w:footnote w:id="50">
    <w:p w14:paraId="3ECF3D61"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Ley General de Salud, Ley </w:t>
      </w:r>
      <w:proofErr w:type="spellStart"/>
      <w:r w:rsidRPr="00A517BC">
        <w:rPr>
          <w:rFonts w:asciiTheme="minorHAnsi" w:hAnsiTheme="minorHAnsi" w:cstheme="minorHAnsi"/>
          <w:color w:val="000000"/>
          <w:sz w:val="18"/>
          <w:szCs w:val="18"/>
          <w:lang w:val="es-PE"/>
        </w:rPr>
        <w:t>Nº</w:t>
      </w:r>
      <w:proofErr w:type="spellEnd"/>
      <w:r w:rsidRPr="00A517BC">
        <w:rPr>
          <w:rFonts w:asciiTheme="minorHAnsi" w:hAnsiTheme="minorHAnsi" w:cstheme="minorHAnsi"/>
          <w:color w:val="000000"/>
          <w:sz w:val="18"/>
          <w:szCs w:val="18"/>
          <w:lang w:val="es-PE"/>
        </w:rPr>
        <w:t xml:space="preserve"> 26842. Artículo 30, “El médico que brinda atención médica a un apersona herida por </w:t>
      </w:r>
      <w:proofErr w:type="gramStart"/>
      <w:r w:rsidRPr="00A517BC">
        <w:rPr>
          <w:rFonts w:asciiTheme="minorHAnsi" w:hAnsiTheme="minorHAnsi" w:cstheme="minorHAnsi"/>
          <w:color w:val="000000"/>
          <w:sz w:val="18"/>
          <w:szCs w:val="18"/>
          <w:lang w:val="es-PE"/>
        </w:rPr>
        <w:t>una arma blanca</w:t>
      </w:r>
      <w:proofErr w:type="gramEnd"/>
      <w:r w:rsidRPr="00A517BC">
        <w:rPr>
          <w:rFonts w:asciiTheme="minorHAnsi" w:hAnsiTheme="minorHAnsi" w:cstheme="minorHAnsi"/>
          <w:color w:val="000000"/>
          <w:sz w:val="18"/>
          <w:szCs w:val="18"/>
          <w:lang w:val="es-PE"/>
        </w:rPr>
        <w:t xml:space="preserve">, herida de bala, accidente de tránsito o por causa de otro tipo de violencia que constituya delito perseguible de oficio o cuando </w:t>
      </w:r>
      <w:proofErr w:type="spellStart"/>
      <w:r w:rsidRPr="00A517BC">
        <w:rPr>
          <w:rFonts w:asciiTheme="minorHAnsi" w:hAnsiTheme="minorHAnsi" w:cstheme="minorHAnsi"/>
          <w:color w:val="000000"/>
          <w:sz w:val="18"/>
          <w:szCs w:val="18"/>
          <w:lang w:val="es-PE"/>
        </w:rPr>
        <w:t>existam</w:t>
      </w:r>
      <w:proofErr w:type="spellEnd"/>
      <w:r w:rsidRPr="00A517BC">
        <w:rPr>
          <w:rFonts w:asciiTheme="minorHAnsi" w:hAnsiTheme="minorHAnsi" w:cstheme="minorHAnsi"/>
          <w:color w:val="000000"/>
          <w:sz w:val="18"/>
          <w:szCs w:val="18"/>
          <w:lang w:val="es-PE"/>
        </w:rPr>
        <w:t xml:space="preserve"> indicios de aborto criminal, está obligado a poner el hecho en conocimiento de la autoridad competente”. </w:t>
      </w:r>
    </w:p>
  </w:footnote>
  <w:footnote w:id="51">
    <w:p w14:paraId="2F729632"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w:t>
      </w:r>
      <w:proofErr w:type="spellStart"/>
      <w:r w:rsidRPr="00A517BC">
        <w:rPr>
          <w:rFonts w:asciiTheme="minorHAnsi" w:hAnsiTheme="minorHAnsi" w:cstheme="minorHAnsi"/>
          <w:color w:val="000000"/>
          <w:sz w:val="18"/>
          <w:szCs w:val="18"/>
          <w:lang w:val="es-PE"/>
        </w:rPr>
        <w:t>O’Neil</w:t>
      </w:r>
      <w:proofErr w:type="spellEnd"/>
      <w:r w:rsidRPr="00A517BC">
        <w:rPr>
          <w:rFonts w:asciiTheme="minorHAnsi" w:hAnsiTheme="minorHAnsi" w:cstheme="minorHAnsi"/>
          <w:color w:val="000000"/>
          <w:sz w:val="18"/>
          <w:szCs w:val="18"/>
          <w:lang w:val="es-PE"/>
        </w:rPr>
        <w:t xml:space="preserve"> </w:t>
      </w:r>
      <w:proofErr w:type="spellStart"/>
      <w:r w:rsidRPr="00A517BC">
        <w:rPr>
          <w:rFonts w:asciiTheme="minorHAnsi" w:hAnsiTheme="minorHAnsi" w:cstheme="minorHAnsi"/>
          <w:color w:val="000000"/>
          <w:sz w:val="18"/>
          <w:szCs w:val="18"/>
          <w:lang w:val="es-PE"/>
        </w:rPr>
        <w:t>Institute</w:t>
      </w:r>
      <w:proofErr w:type="spellEnd"/>
      <w:r w:rsidRPr="00A517BC">
        <w:rPr>
          <w:rFonts w:asciiTheme="minorHAnsi" w:hAnsiTheme="minorHAnsi" w:cstheme="minorHAnsi"/>
          <w:color w:val="000000"/>
          <w:sz w:val="18"/>
          <w:szCs w:val="18"/>
          <w:lang w:val="es-PE"/>
        </w:rPr>
        <w:t xml:space="preserve"> </w:t>
      </w:r>
      <w:proofErr w:type="spellStart"/>
      <w:r w:rsidRPr="00A517BC">
        <w:rPr>
          <w:rFonts w:asciiTheme="minorHAnsi" w:hAnsiTheme="minorHAnsi" w:cstheme="minorHAnsi"/>
          <w:color w:val="000000"/>
          <w:sz w:val="18"/>
          <w:szCs w:val="18"/>
          <w:lang w:val="es-PE"/>
        </w:rPr>
        <w:t>for</w:t>
      </w:r>
      <w:proofErr w:type="spellEnd"/>
      <w:r w:rsidRPr="00A517BC">
        <w:rPr>
          <w:rFonts w:asciiTheme="minorHAnsi" w:hAnsiTheme="minorHAnsi" w:cstheme="minorHAnsi"/>
          <w:color w:val="000000"/>
          <w:sz w:val="18"/>
          <w:szCs w:val="18"/>
          <w:lang w:val="es-PE"/>
        </w:rPr>
        <w:t xml:space="preserve"> </w:t>
      </w:r>
      <w:proofErr w:type="spellStart"/>
      <w:r w:rsidRPr="00A517BC">
        <w:rPr>
          <w:rFonts w:asciiTheme="minorHAnsi" w:hAnsiTheme="minorHAnsi" w:cstheme="minorHAnsi"/>
          <w:color w:val="000000"/>
          <w:sz w:val="18"/>
          <w:szCs w:val="18"/>
          <w:lang w:val="es-PE"/>
        </w:rPr>
        <w:t>National</w:t>
      </w:r>
      <w:proofErr w:type="spellEnd"/>
      <w:r w:rsidRPr="00A517BC">
        <w:rPr>
          <w:rFonts w:asciiTheme="minorHAnsi" w:hAnsiTheme="minorHAnsi" w:cstheme="minorHAnsi"/>
          <w:color w:val="000000"/>
          <w:sz w:val="18"/>
          <w:szCs w:val="18"/>
          <w:lang w:val="es-PE"/>
        </w:rPr>
        <w:t xml:space="preserve"> and Global </w:t>
      </w:r>
      <w:proofErr w:type="spellStart"/>
      <w:r w:rsidRPr="00A517BC">
        <w:rPr>
          <w:rFonts w:asciiTheme="minorHAnsi" w:hAnsiTheme="minorHAnsi" w:cstheme="minorHAnsi"/>
          <w:color w:val="000000"/>
          <w:sz w:val="18"/>
          <w:szCs w:val="18"/>
          <w:lang w:val="es-PE"/>
        </w:rPr>
        <w:t>Health</w:t>
      </w:r>
      <w:proofErr w:type="spellEnd"/>
      <w:r w:rsidRPr="00A517BC">
        <w:rPr>
          <w:rFonts w:asciiTheme="minorHAnsi" w:hAnsiTheme="minorHAnsi" w:cstheme="minorHAnsi"/>
          <w:color w:val="000000"/>
          <w:sz w:val="18"/>
          <w:szCs w:val="18"/>
          <w:lang w:val="es-PE"/>
        </w:rPr>
        <w:t xml:space="preserve"> </w:t>
      </w:r>
      <w:proofErr w:type="spellStart"/>
      <w:r w:rsidRPr="00A517BC">
        <w:rPr>
          <w:rFonts w:asciiTheme="minorHAnsi" w:hAnsiTheme="minorHAnsi" w:cstheme="minorHAnsi"/>
          <w:color w:val="000000"/>
          <w:sz w:val="18"/>
          <w:szCs w:val="18"/>
          <w:lang w:val="es-PE"/>
        </w:rPr>
        <w:t>Law</w:t>
      </w:r>
      <w:proofErr w:type="spellEnd"/>
      <w:r w:rsidRPr="00A517BC">
        <w:rPr>
          <w:rFonts w:asciiTheme="minorHAnsi" w:hAnsiTheme="minorHAnsi" w:cstheme="minorHAnsi"/>
          <w:color w:val="000000"/>
          <w:sz w:val="18"/>
          <w:szCs w:val="18"/>
          <w:lang w:val="es-PE"/>
        </w:rPr>
        <w:t xml:space="preserve"> &amp; IPAS (2016), </w:t>
      </w:r>
      <w:r w:rsidR="003A120E">
        <w:fldChar w:fldCharType="begin"/>
      </w:r>
      <w:r w:rsidR="003A120E" w:rsidRPr="00C876D6">
        <w:rPr>
          <w:lang w:val="es-PE"/>
        </w:rPr>
        <w:instrText xml:space="preserve"> HYPERLINK "https://clacaidigital.info/bitstream/handle/123456789/790/CRIPPCS16.pdf?sequence=5&amp;isAllowed=y" \h </w:instrText>
      </w:r>
      <w:r w:rsidR="003A120E">
        <w:fldChar w:fldCharType="separate"/>
      </w:r>
      <w:r w:rsidRPr="00A517BC">
        <w:rPr>
          <w:rFonts w:asciiTheme="minorHAnsi" w:hAnsiTheme="minorHAnsi" w:cstheme="minorHAnsi"/>
          <w:i/>
          <w:color w:val="000000"/>
          <w:sz w:val="18"/>
          <w:szCs w:val="18"/>
          <w:u w:val="single"/>
          <w:lang w:val="es-PE"/>
        </w:rPr>
        <w:t>Delatando a las mujeres: el deber de cada prestador/a de servicios de denunciar: implicaciones jurídicas y derechos humanos para los servicios de salud reproductiva en Latinoamérica</w:t>
      </w:r>
      <w:r w:rsidR="003A120E">
        <w:rPr>
          <w:rFonts w:asciiTheme="minorHAnsi" w:hAnsiTheme="minorHAnsi" w:cstheme="minorHAnsi"/>
          <w:i/>
          <w:color w:val="000000"/>
          <w:sz w:val="18"/>
          <w:szCs w:val="18"/>
          <w:u w:val="single"/>
          <w:lang w:val="es-PE"/>
        </w:rPr>
        <w:fldChar w:fldCharType="end"/>
      </w:r>
      <w:r w:rsidRPr="00A517BC">
        <w:rPr>
          <w:rFonts w:asciiTheme="minorHAnsi" w:hAnsiTheme="minorHAnsi" w:cstheme="minorHAnsi"/>
          <w:color w:val="000000"/>
          <w:sz w:val="18"/>
          <w:szCs w:val="18"/>
          <w:lang w:val="es-PE"/>
        </w:rPr>
        <w:t xml:space="preserve">. CLACAI, octubre de 2018, pp. 15. </w:t>
      </w:r>
    </w:p>
  </w:footnote>
  <w:footnote w:id="52">
    <w:p w14:paraId="59F8BB7A" w14:textId="77777777" w:rsidR="00B96550" w:rsidRPr="00A517BC" w:rsidRDefault="00EE7CA1" w:rsidP="00A517BC">
      <w:pPr>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vertAlign w:val="superscript"/>
          <w:lang w:val="es-PE"/>
        </w:rPr>
        <w:t xml:space="preserve"> </w:t>
      </w:r>
      <w:r w:rsidRPr="00A517BC">
        <w:rPr>
          <w:rFonts w:asciiTheme="minorHAnsi" w:hAnsiTheme="minorHAnsi" w:cstheme="minorHAnsi"/>
          <w:sz w:val="18"/>
          <w:szCs w:val="18"/>
          <w:lang w:val="es-PE"/>
        </w:rPr>
        <w:t xml:space="preserve">Corte Interamericana de Derechos Humanos. </w:t>
      </w:r>
      <w:r w:rsidR="003A120E">
        <w:fldChar w:fldCharType="begin"/>
      </w:r>
      <w:r w:rsidR="003A120E" w:rsidRPr="00C876D6">
        <w:rPr>
          <w:lang w:val="es-PE"/>
        </w:rPr>
        <w:instrText xml:space="preserve"> HYPERLINK "https://www.corteidh.or.cr/docs/casos/articulos/seriec_441_esp.pdf" \h </w:instrText>
      </w:r>
      <w:r w:rsidR="003A120E">
        <w:fldChar w:fldCharType="separate"/>
      </w:r>
      <w:r w:rsidRPr="00A517BC">
        <w:rPr>
          <w:rFonts w:asciiTheme="minorHAnsi" w:hAnsiTheme="minorHAnsi" w:cstheme="minorHAnsi"/>
          <w:color w:val="1155CC"/>
          <w:sz w:val="18"/>
          <w:szCs w:val="18"/>
          <w:u w:val="single"/>
          <w:lang w:val="es-PE"/>
        </w:rPr>
        <w:t>Caso Manuela y otros vs. Salvador.</w:t>
      </w:r>
      <w:r w:rsidR="003A120E">
        <w:rPr>
          <w:rFonts w:asciiTheme="minorHAnsi" w:hAnsiTheme="minorHAnsi" w:cstheme="minorHAnsi"/>
          <w:color w:val="1155CC"/>
          <w:sz w:val="18"/>
          <w:szCs w:val="18"/>
          <w:u w:val="single"/>
          <w:lang w:val="es-PE"/>
        </w:rPr>
        <w:fldChar w:fldCharType="end"/>
      </w:r>
      <w:r w:rsidRPr="00A517BC">
        <w:rPr>
          <w:rFonts w:asciiTheme="minorHAnsi" w:hAnsiTheme="minorHAnsi" w:cstheme="minorHAnsi"/>
          <w:sz w:val="18"/>
          <w:szCs w:val="18"/>
          <w:lang w:val="es-PE"/>
        </w:rPr>
        <w:t xml:space="preserve"> Serie C 441, sentencia 2 de noviembre de 2021. párr. 223.</w:t>
      </w:r>
    </w:p>
  </w:footnote>
  <w:footnote w:id="53">
    <w:p w14:paraId="363D23D1" w14:textId="77777777" w:rsidR="00B96550" w:rsidRPr="00A517BC" w:rsidRDefault="00EE7CA1" w:rsidP="00A517BC">
      <w:pPr>
        <w:widowControl/>
        <w:pBdr>
          <w:top w:val="nil"/>
          <w:left w:val="nil"/>
          <w:bottom w:val="nil"/>
          <w:right w:val="nil"/>
          <w:between w:val="nil"/>
        </w:pBdr>
        <w:spacing w:after="0" w:line="240" w:lineRule="auto"/>
        <w:contextualSpacing/>
        <w:jc w:val="both"/>
        <w:rPr>
          <w:rFonts w:asciiTheme="minorHAnsi" w:hAnsiTheme="minorHAnsi" w:cstheme="minorHAnsi"/>
          <w:color w:val="000000"/>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color w:val="000000"/>
          <w:sz w:val="18"/>
          <w:szCs w:val="18"/>
          <w:lang w:val="es-PE"/>
        </w:rPr>
        <w:t xml:space="preserve"> El Comercio. ¿</w:t>
      </w:r>
      <w:r w:rsidR="003A120E">
        <w:fldChar w:fldCharType="begin"/>
      </w:r>
      <w:r w:rsidR="003A120E" w:rsidRPr="00C876D6">
        <w:rPr>
          <w:lang w:val="es-PE"/>
        </w:rPr>
        <w:instrText xml:space="preserve"> HYPERLINK "https://elcomercio.pe/lima/sucesos/que-paso-con-d</w:instrText>
      </w:r>
      <w:r w:rsidR="003A120E" w:rsidRPr="00C876D6">
        <w:rPr>
          <w:lang w:val="es-PE"/>
        </w:rPr>
        <w:instrText xml:space="preserve">iana-aleman-piden-esclarecer-muerte-de-mujer-en-hospital-maria-auxiliadora-noticia/" \h </w:instrText>
      </w:r>
      <w:r w:rsidR="003A120E">
        <w:fldChar w:fldCharType="separate"/>
      </w:r>
      <w:r w:rsidRPr="00A517BC">
        <w:rPr>
          <w:rFonts w:asciiTheme="minorHAnsi" w:hAnsiTheme="minorHAnsi" w:cstheme="minorHAnsi"/>
          <w:i/>
          <w:color w:val="000000"/>
          <w:sz w:val="18"/>
          <w:szCs w:val="18"/>
          <w:u w:val="single"/>
          <w:lang w:val="es-PE"/>
        </w:rPr>
        <w:t xml:space="preserve">Qué paso con Diana </w:t>
      </w:r>
      <w:proofErr w:type="spellStart"/>
      <w:r w:rsidRPr="00A517BC">
        <w:rPr>
          <w:rFonts w:asciiTheme="minorHAnsi" w:hAnsiTheme="minorHAnsi" w:cstheme="minorHAnsi"/>
          <w:i/>
          <w:color w:val="000000"/>
          <w:sz w:val="18"/>
          <w:szCs w:val="18"/>
          <w:u w:val="single"/>
          <w:lang w:val="es-PE"/>
        </w:rPr>
        <w:t>Aleman</w:t>
      </w:r>
      <w:proofErr w:type="spellEnd"/>
      <w:r w:rsidRPr="00A517BC">
        <w:rPr>
          <w:rFonts w:asciiTheme="minorHAnsi" w:hAnsiTheme="minorHAnsi" w:cstheme="minorHAnsi"/>
          <w:i/>
          <w:color w:val="000000"/>
          <w:sz w:val="18"/>
          <w:szCs w:val="18"/>
          <w:u w:val="single"/>
          <w:lang w:val="es-PE"/>
        </w:rPr>
        <w:t>?</w:t>
      </w:r>
      <w:r w:rsidR="003A120E">
        <w:rPr>
          <w:rFonts w:asciiTheme="minorHAnsi" w:hAnsiTheme="minorHAnsi" w:cstheme="minorHAnsi"/>
          <w:i/>
          <w:color w:val="000000"/>
          <w:sz w:val="18"/>
          <w:szCs w:val="18"/>
          <w:u w:val="single"/>
          <w:lang w:val="es-PE"/>
        </w:rPr>
        <w:fldChar w:fldCharType="end"/>
      </w:r>
      <w:r w:rsidRPr="00A517BC">
        <w:rPr>
          <w:rFonts w:asciiTheme="minorHAnsi" w:hAnsiTheme="minorHAnsi" w:cstheme="minorHAnsi"/>
          <w:color w:val="000000"/>
          <w:sz w:val="18"/>
          <w:szCs w:val="18"/>
          <w:lang w:val="es-PE"/>
        </w:rPr>
        <w:t xml:space="preserve">, 10 de agosto de 2020. </w:t>
      </w:r>
    </w:p>
  </w:footnote>
  <w:footnote w:id="54">
    <w:p w14:paraId="6293E35D" w14:textId="77777777" w:rsidR="00B96550" w:rsidRPr="00A517BC" w:rsidRDefault="00EE7CA1" w:rsidP="00A517BC">
      <w:pPr>
        <w:spacing w:after="0" w:line="240" w:lineRule="auto"/>
        <w:contextualSpacing/>
        <w:jc w:val="both"/>
        <w:rPr>
          <w:rFonts w:asciiTheme="minorHAnsi" w:hAnsiTheme="minorHAnsi" w:cstheme="minorHAnsi"/>
          <w:sz w:val="18"/>
          <w:szCs w:val="18"/>
          <w:lang w:val="es-PE"/>
        </w:rPr>
      </w:pPr>
      <w:r w:rsidRPr="00A517BC">
        <w:rPr>
          <w:rFonts w:asciiTheme="minorHAnsi" w:hAnsiTheme="minorHAnsi" w:cstheme="minorHAnsi"/>
          <w:sz w:val="18"/>
          <w:szCs w:val="18"/>
          <w:vertAlign w:val="superscript"/>
        </w:rPr>
        <w:footnoteRef/>
      </w:r>
      <w:r w:rsidRPr="00A517BC">
        <w:rPr>
          <w:rFonts w:asciiTheme="minorHAnsi" w:hAnsiTheme="minorHAnsi" w:cstheme="minorHAnsi"/>
          <w:sz w:val="18"/>
          <w:szCs w:val="18"/>
          <w:lang w:val="es-PE"/>
        </w:rPr>
        <w:t xml:space="preserve"> Comité CEDAW, L.C. c. Perú, supra nota 50, para 12.b.ii; 12.b.iii.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8445" w14:textId="77777777" w:rsidR="00B96550" w:rsidRDefault="00EE7CA1">
    <w:pPr>
      <w:pBdr>
        <w:top w:val="nil"/>
        <w:left w:val="nil"/>
        <w:bottom w:val="nil"/>
        <w:right w:val="nil"/>
        <w:between w:val="nil"/>
      </w:pBdr>
      <w:tabs>
        <w:tab w:val="center" w:pos="4252"/>
        <w:tab w:val="right" w:pos="8504"/>
      </w:tabs>
      <w:spacing w:after="0" w:line="240" w:lineRule="auto"/>
      <w:jc w:val="right"/>
      <w:rPr>
        <w:color w:val="000000"/>
      </w:rPr>
    </w:pPr>
    <w:r>
      <w:rPr>
        <w:noProof/>
      </w:rPr>
      <w:drawing>
        <wp:anchor distT="0" distB="0" distL="114300" distR="114300" simplePos="0" relativeHeight="251658240" behindDoc="0" locked="0" layoutInCell="1" hidden="0" allowOverlap="1" wp14:anchorId="4192FA30" wp14:editId="3E94D7CF">
          <wp:simplePos x="0" y="0"/>
          <wp:positionH relativeFrom="column">
            <wp:posOffset>-703780</wp:posOffset>
          </wp:positionH>
          <wp:positionV relativeFrom="paragraph">
            <wp:posOffset>-206463</wp:posOffset>
          </wp:positionV>
          <wp:extent cx="2179864" cy="999938"/>
          <wp:effectExtent l="0" t="0" r="0" b="0"/>
          <wp:wrapSquare wrapText="bothSides" distT="0" distB="0" distL="114300" distR="114300"/>
          <wp:docPr id="10" name="image3.jp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Logotipo, nombre de la empresa&#10;&#10;Descripción generada automáticamente"/>
                  <pic:cNvPicPr preferRelativeResize="0"/>
                </pic:nvPicPr>
                <pic:blipFill>
                  <a:blip r:embed="rId1"/>
                  <a:srcRect/>
                  <a:stretch>
                    <a:fillRect/>
                  </a:stretch>
                </pic:blipFill>
                <pic:spPr>
                  <a:xfrm>
                    <a:off x="0" y="0"/>
                    <a:ext cx="2179864" cy="999938"/>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F27E7E7" wp14:editId="68F88299">
          <wp:simplePos x="0" y="0"/>
          <wp:positionH relativeFrom="column">
            <wp:posOffset>4053840</wp:posOffset>
          </wp:positionH>
          <wp:positionV relativeFrom="paragraph">
            <wp:posOffset>-59053</wp:posOffset>
          </wp:positionV>
          <wp:extent cx="1950059" cy="884278"/>
          <wp:effectExtent l="0" t="0" r="0" b="0"/>
          <wp:wrapSquare wrapText="bothSides" distT="0" distB="0" distL="114300" distR="114300"/>
          <wp:docPr id="9" name="image1.jp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10;&#10;Descripción generada automáticamente"/>
                  <pic:cNvPicPr preferRelativeResize="0"/>
                </pic:nvPicPr>
                <pic:blipFill>
                  <a:blip r:embed="rId2"/>
                  <a:srcRect/>
                  <a:stretch>
                    <a:fillRect/>
                  </a:stretch>
                </pic:blipFill>
                <pic:spPr>
                  <a:xfrm>
                    <a:off x="0" y="0"/>
                    <a:ext cx="1950059" cy="884278"/>
                  </a:xfrm>
                  <a:prstGeom prst="rect">
                    <a:avLst/>
                  </a:prstGeom>
                  <a:ln/>
                </pic:spPr>
              </pic:pic>
            </a:graphicData>
          </a:graphic>
        </wp:anchor>
      </w:drawing>
    </w:r>
  </w:p>
  <w:p w14:paraId="5A3C311E" w14:textId="77777777" w:rsidR="00B96550" w:rsidRDefault="00B96550">
    <w:pPr>
      <w:pBdr>
        <w:top w:val="nil"/>
        <w:left w:val="nil"/>
        <w:bottom w:val="nil"/>
        <w:right w:val="nil"/>
        <w:between w:val="nil"/>
      </w:pBdr>
      <w:tabs>
        <w:tab w:val="center" w:pos="4252"/>
        <w:tab w:val="right" w:pos="8504"/>
      </w:tabs>
      <w:spacing w:after="0" w:line="240" w:lineRule="auto"/>
      <w:jc w:val="right"/>
      <w:rPr>
        <w:color w:val="000000"/>
      </w:rPr>
    </w:pPr>
  </w:p>
  <w:p w14:paraId="523534DF" w14:textId="77777777" w:rsidR="00B96550" w:rsidRDefault="00B96550">
    <w:pPr>
      <w:pBdr>
        <w:top w:val="nil"/>
        <w:left w:val="nil"/>
        <w:bottom w:val="nil"/>
        <w:right w:val="nil"/>
        <w:between w:val="nil"/>
      </w:pBdr>
      <w:tabs>
        <w:tab w:val="center" w:pos="4252"/>
        <w:tab w:val="right" w:pos="8504"/>
      </w:tabs>
      <w:spacing w:after="0" w:line="240" w:lineRule="auto"/>
      <w:rPr>
        <w:color w:val="000000"/>
      </w:rPr>
    </w:pPr>
  </w:p>
  <w:p w14:paraId="5E3A3B35" w14:textId="77777777" w:rsidR="00B96550" w:rsidRDefault="00B96550">
    <w:pPr>
      <w:pBdr>
        <w:top w:val="nil"/>
        <w:left w:val="nil"/>
        <w:bottom w:val="nil"/>
        <w:right w:val="nil"/>
        <w:between w:val="nil"/>
      </w:pBdr>
      <w:tabs>
        <w:tab w:val="center" w:pos="4252"/>
        <w:tab w:val="right" w:pos="8504"/>
      </w:tabs>
      <w:spacing w:after="0" w:line="240" w:lineRule="auto"/>
      <w:rPr>
        <w:color w:val="000000"/>
      </w:rPr>
    </w:pPr>
  </w:p>
  <w:p w14:paraId="7AFE452E" w14:textId="77777777" w:rsidR="00B96550" w:rsidRDefault="00B96550">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533"/>
    <w:multiLevelType w:val="multilevel"/>
    <w:tmpl w:val="48007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51160A"/>
    <w:multiLevelType w:val="multilevel"/>
    <w:tmpl w:val="644894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3994178D"/>
    <w:multiLevelType w:val="multilevel"/>
    <w:tmpl w:val="8828DE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3CA2542D"/>
    <w:multiLevelType w:val="multilevel"/>
    <w:tmpl w:val="28BAE786"/>
    <w:lvl w:ilvl="0">
      <w:start w:val="1"/>
      <w:numFmt w:val="decimal"/>
      <w:lvlText w:val="%1."/>
      <w:lvlJc w:val="left"/>
      <w:pPr>
        <w:ind w:left="720" w:hanging="360"/>
      </w:pPr>
      <w:rPr>
        <w:b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9C71E35"/>
    <w:multiLevelType w:val="multilevel"/>
    <w:tmpl w:val="8CE0D6DE"/>
    <w:lvl w:ilvl="0">
      <w:start w:val="2"/>
      <w:numFmt w:val="upperRoman"/>
      <w:lvlText w:val="%1."/>
      <w:lvlJc w:val="right"/>
      <w:pPr>
        <w:ind w:left="720" w:hanging="360"/>
      </w:pPr>
      <w:rPr>
        <w:rFonts w:hint="default"/>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5" w15:restartNumberingAfterBreak="0">
    <w:nsid w:val="57A5203C"/>
    <w:multiLevelType w:val="multilevel"/>
    <w:tmpl w:val="BE68391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CEA58A3"/>
    <w:multiLevelType w:val="multilevel"/>
    <w:tmpl w:val="48400FD0"/>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2A02D35"/>
    <w:multiLevelType w:val="multilevel"/>
    <w:tmpl w:val="F010238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 w:numId="4">
    <w:abstractNumId w:val="5"/>
  </w:num>
  <w:num w:numId="5">
    <w:abstractNumId w:val="4"/>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550"/>
    <w:rsid w:val="00332FCE"/>
    <w:rsid w:val="003A120E"/>
    <w:rsid w:val="004575D5"/>
    <w:rsid w:val="005F6C13"/>
    <w:rsid w:val="00746268"/>
    <w:rsid w:val="008675CF"/>
    <w:rsid w:val="00A517BC"/>
    <w:rsid w:val="00B3318A"/>
    <w:rsid w:val="00B96550"/>
    <w:rsid w:val="00C41E54"/>
    <w:rsid w:val="00C876D6"/>
    <w:rsid w:val="00EE7CA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4B0C"/>
  <w15:docId w15:val="{24DE8674-7436-455D-A211-D11F33F5B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2B1"/>
    <w:rPr>
      <w:lang w:val="en-US"/>
    </w:rPr>
  </w:style>
  <w:style w:type="paragraph" w:styleId="Ttulo1">
    <w:name w:val="heading 1"/>
    <w:basedOn w:val="Normal"/>
    <w:link w:val="Ttulo1Car"/>
    <w:uiPriority w:val="9"/>
    <w:qFormat/>
    <w:rsid w:val="004652B1"/>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val="es-PE"/>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863E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3EB"/>
  </w:style>
  <w:style w:type="paragraph" w:styleId="Piedepgina">
    <w:name w:val="footer"/>
    <w:basedOn w:val="Normal"/>
    <w:link w:val="PiedepginaCar"/>
    <w:uiPriority w:val="99"/>
    <w:unhideWhenUsed/>
    <w:rsid w:val="00F863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3EB"/>
  </w:style>
  <w:style w:type="character" w:styleId="Hipervnculo">
    <w:name w:val="Hyperlink"/>
    <w:uiPriority w:val="99"/>
    <w:rsid w:val="00862854"/>
    <w:rPr>
      <w:color w:val="0000FF"/>
      <w:u w:val="single"/>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TextonotapieCar"/>
    <w:uiPriority w:val="99"/>
    <w:unhideWhenUsed/>
    <w:qFormat/>
    <w:rsid w:val="00862854"/>
    <w:pPr>
      <w:spacing w:after="0" w:line="240" w:lineRule="auto"/>
    </w:pPr>
    <w:rPr>
      <w:rFonts w:ascii="Times New Roman" w:eastAsia="Times New Roman" w:hAnsi="Times New Roman" w:cs="Times New Roman"/>
      <w:sz w:val="20"/>
      <w:szCs w:val="20"/>
      <w:lang w:val="en-GB"/>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A Fu?notente Car"/>
    <w:basedOn w:val="Fuentedeprrafopredeter"/>
    <w:link w:val="Textonotapie"/>
    <w:uiPriority w:val="99"/>
    <w:qFormat/>
    <w:rsid w:val="00862854"/>
    <w:rPr>
      <w:rFonts w:ascii="Times New Roman" w:eastAsia="Times New Roman" w:hAnsi="Times New Roman" w:cs="Times New Roman"/>
      <w:sz w:val="20"/>
      <w:szCs w:val="20"/>
      <w:lang w:val="en-GB"/>
    </w:rPr>
  </w:style>
  <w:style w:type="paragraph" w:styleId="Textonotaalfinal">
    <w:name w:val="endnote text"/>
    <w:aliases w:val="en,2_G"/>
    <w:basedOn w:val="Normal"/>
    <w:link w:val="TextonotaalfinalCar"/>
    <w:uiPriority w:val="99"/>
    <w:unhideWhenUsed/>
    <w:qFormat/>
    <w:rsid w:val="00862854"/>
    <w:pPr>
      <w:spacing w:after="0" w:line="240" w:lineRule="auto"/>
    </w:pPr>
    <w:rPr>
      <w:rFonts w:ascii="Times New Roman" w:eastAsia="Times New Roman" w:hAnsi="Times New Roman" w:cs="Times New Roman"/>
      <w:sz w:val="20"/>
      <w:szCs w:val="20"/>
      <w:lang w:val="en-GB"/>
    </w:rPr>
  </w:style>
  <w:style w:type="character" w:customStyle="1" w:styleId="TextonotaalfinalCar">
    <w:name w:val="Texto nota al final Car"/>
    <w:aliases w:val="en Car,2_G Car"/>
    <w:basedOn w:val="Fuentedeprrafopredeter"/>
    <w:link w:val="Textonotaalfinal"/>
    <w:uiPriority w:val="99"/>
    <w:rsid w:val="00862854"/>
    <w:rPr>
      <w:rFonts w:ascii="Times New Roman" w:eastAsia="Times New Roman" w:hAnsi="Times New Roman" w:cs="Times New Roman"/>
      <w:sz w:val="20"/>
      <w:szCs w:val="20"/>
      <w:lang w:val="en-GB"/>
    </w:rPr>
  </w:style>
  <w:style w:type="character" w:styleId="Refdenotaalfinal">
    <w:name w:val="endnote reference"/>
    <w:basedOn w:val="Fuentedeprrafopredeter"/>
    <w:uiPriority w:val="99"/>
    <w:semiHidden/>
    <w:unhideWhenUsed/>
    <w:rsid w:val="00862854"/>
    <w:rPr>
      <w:vertAlign w:val="superscript"/>
    </w:rPr>
  </w:style>
  <w:style w:type="character" w:styleId="Refdenotaalpie">
    <w:name w:val="footnote reference"/>
    <w:aliases w:val="4_G,16 Point,Superscript 6 Point,Appel note de bas de page,Footnotes refss,f,Footnote number,referencia nota al pie,BVI fnr,Texto de nota al pie,Ref. de nota al pie.,Ref,de nota al pie,normal,Footnote symbol,Footnote,BVI fnr Car Car"/>
    <w:basedOn w:val="Fuentedeprrafopredeter"/>
    <w:link w:val="4GChar"/>
    <w:uiPriority w:val="99"/>
    <w:unhideWhenUsed/>
    <w:qFormat/>
    <w:rsid w:val="00E62E2A"/>
    <w:rPr>
      <w:vertAlign w:val="superscript"/>
    </w:rPr>
  </w:style>
  <w:style w:type="paragraph" w:styleId="Prrafodelista">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PrrafodelistaCar"/>
    <w:uiPriority w:val="34"/>
    <w:qFormat/>
    <w:rsid w:val="00FC155A"/>
    <w:pPr>
      <w:ind w:left="720"/>
      <w:contextualSpacing/>
    </w:pPr>
  </w:style>
  <w:style w:type="character" w:styleId="Hipervnculovisitado">
    <w:name w:val="FollowedHyperlink"/>
    <w:basedOn w:val="Fuentedeprrafopredeter"/>
    <w:uiPriority w:val="99"/>
    <w:semiHidden/>
    <w:unhideWhenUsed/>
    <w:rsid w:val="007E54DC"/>
    <w:rPr>
      <w:color w:val="954F72" w:themeColor="followedHyperlink"/>
      <w:u w:val="single"/>
    </w:rPr>
  </w:style>
  <w:style w:type="paragraph" w:styleId="HTMLconformatoprevio">
    <w:name w:val="HTML Preformatted"/>
    <w:basedOn w:val="Normal"/>
    <w:link w:val="HTMLconformatoprevioCar"/>
    <w:uiPriority w:val="99"/>
    <w:semiHidden/>
    <w:unhideWhenUsed/>
    <w:rsid w:val="00317649"/>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317649"/>
    <w:rPr>
      <w:rFonts w:ascii="Consolas" w:hAnsi="Consolas"/>
      <w:sz w:val="20"/>
      <w:szCs w:val="20"/>
    </w:rPr>
  </w:style>
  <w:style w:type="character" w:styleId="Nmerodepgina">
    <w:name w:val="page number"/>
    <w:basedOn w:val="Fuentedeprrafopredeter"/>
    <w:uiPriority w:val="9"/>
    <w:semiHidden/>
    <w:unhideWhenUsed/>
    <w:rsid w:val="009673D6"/>
  </w:style>
  <w:style w:type="character" w:customStyle="1" w:styleId="Ttulo1Car">
    <w:name w:val="Título 1 Car"/>
    <w:basedOn w:val="Fuentedeprrafopredeter"/>
    <w:link w:val="Ttulo1"/>
    <w:uiPriority w:val="9"/>
    <w:rsid w:val="004652B1"/>
    <w:rPr>
      <w:rFonts w:ascii="Times New Roman" w:eastAsia="Times New Roman" w:hAnsi="Times New Roman" w:cs="Times New Roman"/>
      <w:b/>
      <w:bCs/>
      <w:kern w:val="36"/>
      <w:sz w:val="48"/>
      <w:szCs w:val="48"/>
      <w:lang w:eastAsia="es-PE"/>
    </w:rPr>
  </w:style>
  <w:style w:type="paragraph" w:styleId="Sinespaciado">
    <w:name w:val="No Spacing"/>
    <w:uiPriority w:val="1"/>
    <w:qFormat/>
    <w:rsid w:val="004652B1"/>
    <w:pPr>
      <w:spacing w:after="0" w:line="240" w:lineRule="auto"/>
    </w:pPr>
    <w:rPr>
      <w:lang w:val="en-US"/>
    </w:rPr>
  </w:style>
  <w:style w:type="paragraph" w:styleId="Textodeglobo">
    <w:name w:val="Balloon Text"/>
    <w:basedOn w:val="Normal"/>
    <w:link w:val="TextodegloboCar"/>
    <w:uiPriority w:val="99"/>
    <w:semiHidden/>
    <w:unhideWhenUsed/>
    <w:rsid w:val="004652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52B1"/>
    <w:rPr>
      <w:rFonts w:ascii="Segoe UI" w:hAnsi="Segoe UI" w:cs="Segoe UI"/>
      <w:sz w:val="18"/>
      <w:szCs w:val="18"/>
      <w:lang w:val="en-US"/>
    </w:rPr>
  </w:style>
  <w:style w:type="character" w:styleId="Refdecomentario">
    <w:name w:val="annotation reference"/>
    <w:basedOn w:val="Fuentedeprrafopredeter"/>
    <w:uiPriority w:val="99"/>
    <w:semiHidden/>
    <w:unhideWhenUsed/>
    <w:rsid w:val="004652B1"/>
    <w:rPr>
      <w:sz w:val="16"/>
      <w:szCs w:val="16"/>
    </w:rPr>
  </w:style>
  <w:style w:type="paragraph" w:styleId="Textocomentario">
    <w:name w:val="annotation text"/>
    <w:basedOn w:val="Normal"/>
    <w:link w:val="TextocomentarioCar"/>
    <w:uiPriority w:val="99"/>
    <w:unhideWhenUsed/>
    <w:rsid w:val="004652B1"/>
    <w:pPr>
      <w:spacing w:line="240" w:lineRule="auto"/>
    </w:pPr>
    <w:rPr>
      <w:sz w:val="20"/>
      <w:szCs w:val="20"/>
    </w:rPr>
  </w:style>
  <w:style w:type="character" w:customStyle="1" w:styleId="TextocomentarioCar">
    <w:name w:val="Texto comentario Car"/>
    <w:basedOn w:val="Fuentedeprrafopredeter"/>
    <w:link w:val="Textocomentario"/>
    <w:uiPriority w:val="99"/>
    <w:rsid w:val="004652B1"/>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4652B1"/>
    <w:rPr>
      <w:b/>
      <w:bCs/>
    </w:rPr>
  </w:style>
  <w:style w:type="character" w:customStyle="1" w:styleId="AsuntodelcomentarioCar">
    <w:name w:val="Asunto del comentario Car"/>
    <w:basedOn w:val="TextocomentarioCar"/>
    <w:link w:val="Asuntodelcomentario"/>
    <w:uiPriority w:val="99"/>
    <w:semiHidden/>
    <w:rsid w:val="004652B1"/>
    <w:rPr>
      <w:b/>
      <w:bCs/>
      <w:sz w:val="20"/>
      <w:szCs w:val="20"/>
      <w:lang w:val="en-US"/>
    </w:rPr>
  </w:style>
  <w:style w:type="character" w:styleId="Mencinsinresolver">
    <w:name w:val="Unresolved Mention"/>
    <w:basedOn w:val="Fuentedeprrafopredeter"/>
    <w:uiPriority w:val="99"/>
    <w:semiHidden/>
    <w:unhideWhenUsed/>
    <w:rsid w:val="004652B1"/>
    <w:rPr>
      <w:color w:val="605E5C"/>
      <w:shd w:val="clear" w:color="auto" w:fill="E1DFDD"/>
    </w:rPr>
  </w:style>
  <w:style w:type="character" w:customStyle="1" w:styleId="PrrafodelistaCar">
    <w:name w:val="Párrafo de lista Car"/>
    <w:aliases w:val="Párrafo de lista1 Car,List Paragraph2 Car,Lista vistosa - Énfasis 11 Car,List Paragraph1 Car,List Paragraph11 Car,List 100s Car,Fundamentacion Car,paul2 Car,Bulleted List Car,Lista 123 Car,Viñeta normal Car,Cuadro 2-1 Car,Dot pt Car"/>
    <w:link w:val="Prrafodelista"/>
    <w:uiPriority w:val="34"/>
    <w:qFormat/>
    <w:locked/>
    <w:rsid w:val="004652B1"/>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qFormat/>
    <w:rsid w:val="004652B1"/>
    <w:pPr>
      <w:widowControl/>
      <w:spacing w:after="0" w:line="240" w:lineRule="auto"/>
      <w:jc w:val="both"/>
    </w:pPr>
    <w:rPr>
      <w:vertAlign w:val="superscript"/>
      <w:lang w:val="es-PE"/>
    </w:rPr>
  </w:style>
  <w:style w:type="character" w:styleId="Textoennegrita">
    <w:name w:val="Strong"/>
    <w:basedOn w:val="Fuentedeprrafopredeter"/>
    <w:uiPriority w:val="22"/>
    <w:qFormat/>
    <w:rsid w:val="004652B1"/>
    <w:rPr>
      <w:b/>
      <w:bCs/>
    </w:rPr>
  </w:style>
  <w:style w:type="table" w:styleId="Tablaconcuadrcula">
    <w:name w:val="Table Grid"/>
    <w:basedOn w:val="Tablanormal"/>
    <w:uiPriority w:val="39"/>
    <w:rsid w:val="004652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652B1"/>
    <w:pPr>
      <w:widowControl/>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BVIfnrCarCar1CarCarCarCarCarCar">
    <w:name w:val="BVI fnr Car Car1 Car Car Car Car Car Car"/>
    <w:aliases w:val="BVI fnr Car Car Car Car Car Car Car Car, BVI fnr Car Car Car Car1 Car Car Car Car Car Car,BVI fnr Car,BVI fnr Car Car Car Car Car Car Car Car Car Car,BVI fnr Car Car Car Car1 Car Car Car Car Car Car"/>
    <w:basedOn w:val="Normal"/>
    <w:uiPriority w:val="99"/>
    <w:rsid w:val="004652B1"/>
    <w:pPr>
      <w:widowControl/>
      <w:spacing w:after="160" w:line="240" w:lineRule="exact"/>
    </w:pPr>
    <w:rPr>
      <w:vertAlign w:val="superscript"/>
      <w:lang w:val="es-P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4652B1"/>
    <w:pPr>
      <w:widowControl/>
      <w:spacing w:before="200" w:after="160" w:line="240" w:lineRule="exact"/>
    </w:pPr>
    <w:rPr>
      <w:vertAlign w:val="superscript"/>
      <w:lang w:val="es-ES"/>
    </w:rPr>
  </w:style>
  <w:style w:type="paragraph" w:customStyle="1" w:styleId="H1G">
    <w:name w:val="_ H_1_G"/>
    <w:basedOn w:val="Normal"/>
    <w:next w:val="Normal"/>
    <w:rsid w:val="004652B1"/>
    <w:pPr>
      <w:keepNext/>
      <w:keepLines/>
      <w:widowControl/>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character" w:customStyle="1" w:styleId="A2">
    <w:name w:val="A2"/>
    <w:uiPriority w:val="99"/>
    <w:rsid w:val="004652B1"/>
    <w:rPr>
      <w:rFonts w:cs="Calibri"/>
      <w:color w:val="000000"/>
    </w:rPr>
  </w:style>
  <w:style w:type="character" w:styleId="nfasis">
    <w:name w:val="Emphasis"/>
    <w:basedOn w:val="Fuentedeprrafopredeter"/>
    <w:uiPriority w:val="20"/>
    <w:qFormat/>
    <w:rsid w:val="004652B1"/>
    <w:rPr>
      <w:i/>
      <w:iCs/>
    </w:rPr>
  </w:style>
  <w:style w:type="paragraph" w:styleId="Revisin">
    <w:name w:val="Revision"/>
    <w:hidden/>
    <w:uiPriority w:val="99"/>
    <w:semiHidden/>
    <w:rsid w:val="004652B1"/>
    <w:pPr>
      <w:spacing w:after="0" w:line="240" w:lineRule="auto"/>
    </w:pPr>
    <w:rPr>
      <w:lang w:val="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paho.org/English/DD/AIS/BI-brochure-2005" TargetMode="External"/><Relationship Id="rId1" Type="http://schemas.openxmlformats.org/officeDocument/2006/relationships/hyperlink" Target="http://lawdigitalcommons.bc.edu/iclr/vol30/iss1/1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fwetrLLTP1nmygPuZobx41ucLg==">AMUW2mU8wKVvLcO1u9B7M22Ns8YjKFcQIBDJWqxtum+Wnx9tfY8HA3uaKO7qqJmqWyC0NUtPmKWlrIvY5M6QUiVQ585ygdmZu8YOQ7Vcy5zHbdmWQ1YzaRAyrTG4yWeBXDFrqDyewwvPoW/n6o2Nhid5c20jBlSsOA==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6E33ED-F4B8-4E15-A0E1-EED99B821890}"/>
</file>

<file path=customXml/itemProps3.xml><?xml version="1.0" encoding="utf-8"?>
<ds:datastoreItem xmlns:ds="http://schemas.openxmlformats.org/officeDocument/2006/customXml" ds:itemID="{D75E26D1-1DEF-4862-BE00-72E5D59F86E1}"/>
</file>

<file path=customXml/itemProps4.xml><?xml version="1.0" encoding="utf-8"?>
<ds:datastoreItem xmlns:ds="http://schemas.openxmlformats.org/officeDocument/2006/customXml" ds:itemID="{4618B54D-A584-40D7-9F92-CF657B1ED5B2}"/>
</file>

<file path=docProps/app.xml><?xml version="1.0" encoding="utf-8"?>
<Properties xmlns="http://schemas.openxmlformats.org/officeDocument/2006/extended-properties" xmlns:vt="http://schemas.openxmlformats.org/officeDocument/2006/docPropsVTypes">
  <Template>Normal</Template>
  <TotalTime>16</TotalTime>
  <Pages>12</Pages>
  <Words>4021</Words>
  <Characters>22119</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VELIZ</dc:creator>
  <cp:lastModifiedBy>Mayra</cp:lastModifiedBy>
  <cp:revision>11</cp:revision>
  <cp:lastPrinted>2022-03-05T20:12:00Z</cp:lastPrinted>
  <dcterms:created xsi:type="dcterms:W3CDTF">2022-02-27T23:53:00Z</dcterms:created>
  <dcterms:modified xsi:type="dcterms:W3CDTF">2022-03-05T20:19:00Z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