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DFC" w:rsidRPr="00801DFC" w:rsidRDefault="00801DFC" w:rsidP="00801DFC">
      <w:pPr>
        <w:jc w:val="both"/>
        <w:rPr>
          <w:rFonts w:ascii="Times New Roman" w:eastAsia="Calibri" w:hAnsi="Times New Roman" w:cs="Times New Roman"/>
          <w:b/>
          <w:i/>
          <w:sz w:val="24"/>
          <w:szCs w:val="24"/>
          <w:u w:val="single"/>
          <w:lang w:val="en-GB"/>
        </w:rPr>
      </w:pPr>
      <w:r w:rsidRPr="00801DFC">
        <w:rPr>
          <w:rFonts w:ascii="Times New Roman" w:eastAsia="Calibri" w:hAnsi="Times New Roman" w:cs="Times New Roman"/>
          <w:b/>
          <w:i/>
          <w:sz w:val="24"/>
          <w:szCs w:val="24"/>
          <w:u w:val="single"/>
          <w:lang w:val="en-GB"/>
        </w:rPr>
        <w:t>Annex No. 5</w:t>
      </w:r>
    </w:p>
    <w:p w:rsidR="00801DFC" w:rsidRPr="00801DFC" w:rsidRDefault="00801DFC" w:rsidP="00801DFC">
      <w:pPr>
        <w:jc w:val="both"/>
        <w:rPr>
          <w:rFonts w:ascii="Times New Roman" w:eastAsia="Calibri" w:hAnsi="Times New Roman" w:cs="Times New Roman"/>
          <w:b/>
          <w:sz w:val="24"/>
          <w:szCs w:val="24"/>
          <w:u w:val="single"/>
          <w:lang w:val="en-GB"/>
        </w:rPr>
      </w:pPr>
      <w:r w:rsidRPr="00801DFC">
        <w:rPr>
          <w:rFonts w:ascii="Times New Roman" w:eastAsia="Calibri" w:hAnsi="Times New Roman" w:cs="Times New Roman"/>
          <w:b/>
          <w:sz w:val="24"/>
          <w:szCs w:val="24"/>
          <w:u w:val="single"/>
          <w:lang w:val="en-GB"/>
        </w:rPr>
        <w:t>Answer to Recommendation 14 (Articles 3; 6)</w:t>
      </w:r>
    </w:p>
    <w:p w:rsidR="009412B2" w:rsidRPr="009412B2" w:rsidRDefault="009412B2" w:rsidP="009412B2">
      <w:pPr>
        <w:jc w:val="both"/>
        <w:rPr>
          <w:rFonts w:ascii="Times New Roman" w:eastAsia="Calibri" w:hAnsi="Times New Roman" w:cs="Times New Roman"/>
          <w:sz w:val="24"/>
          <w:szCs w:val="24"/>
          <w:lang w:val="en-GB"/>
        </w:rPr>
      </w:pPr>
      <w:bookmarkStart w:id="0" w:name="_GoBack"/>
      <w:r w:rsidRPr="00801DFC">
        <w:rPr>
          <w:rFonts w:ascii="Times New Roman" w:eastAsia="Calibri" w:hAnsi="Times New Roman" w:cs="Times New Roman"/>
          <w:sz w:val="24"/>
          <w:szCs w:val="24"/>
          <w:lang w:val="en-GB"/>
        </w:rPr>
        <w:t>In the reporting period, 4 elections were conducted in the RS (2 general elections and 2 local elections)</w:t>
      </w:r>
      <w:proofErr w:type="gramStart"/>
      <w:r w:rsidRPr="00801DFC">
        <w:rPr>
          <w:rFonts w:ascii="Times New Roman" w:eastAsia="Calibri" w:hAnsi="Times New Roman" w:cs="Times New Roman"/>
          <w:sz w:val="24"/>
          <w:szCs w:val="24"/>
          <w:lang w:val="en-GB"/>
        </w:rPr>
        <w:t>,</w:t>
      </w:r>
      <w:proofErr w:type="gramEnd"/>
      <w:r w:rsidRPr="00801DFC">
        <w:rPr>
          <w:rFonts w:ascii="Times New Roman" w:eastAsia="Calibri" w:hAnsi="Times New Roman" w:cs="Times New Roman"/>
          <w:sz w:val="24"/>
          <w:szCs w:val="24"/>
          <w:lang w:val="en-GB"/>
        </w:rPr>
        <w:t xml:space="preserve"> numerous measures were implemented, led by the RS</w:t>
      </w:r>
      <w:r w:rsidRPr="00801DFC">
        <w:rPr>
          <w:rFonts w:ascii="Arial" w:eastAsia="Times New Roman" w:hAnsi="Arial" w:cs="Times New Roman"/>
          <w:sz w:val="24"/>
          <w:szCs w:val="20"/>
          <w:lang w:val="en-GB"/>
        </w:rPr>
        <w:t xml:space="preserve"> </w:t>
      </w:r>
      <w:r w:rsidRPr="00801DFC">
        <w:rPr>
          <w:rFonts w:ascii="Times New Roman" w:eastAsia="Calibri" w:hAnsi="Times New Roman" w:cs="Times New Roman"/>
          <w:sz w:val="24"/>
          <w:szCs w:val="24"/>
          <w:lang w:val="en-GB"/>
        </w:rPr>
        <w:t>GC, the RS-level and local government authorities, as well as non-governmental and international organizations. Despite this, numerous obstacles have been detected to an increase in the number of female decision makers, both at the RS and local levels, in order to reach the legal minimum of 40%. Th</w:t>
      </w:r>
      <w:bookmarkEnd w:id="0"/>
      <w:r w:rsidRPr="009412B2">
        <w:rPr>
          <w:rFonts w:ascii="Times New Roman" w:eastAsia="Calibri" w:hAnsi="Times New Roman" w:cs="Times New Roman"/>
          <w:sz w:val="24"/>
          <w:szCs w:val="24"/>
          <w:lang w:val="en-GB"/>
        </w:rPr>
        <w:t>e RS GC will continue to monitor the situation, report to the highest authorities in the RS, and implement measures and activities for improving the position of women in public and political life. The RS GC is working in particular to raise public awareness of the importance of increasing the participation of women in public and political life by implementing the "Elect on an equal footing" campaign, which is conducted in each election cycle.</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Every two years, the Gender Centre of the </w:t>
      </w:r>
      <w:proofErr w:type="spellStart"/>
      <w:r w:rsidRPr="009412B2">
        <w:rPr>
          <w:rFonts w:ascii="Times New Roman" w:eastAsia="Calibri" w:hAnsi="Times New Roman" w:cs="Times New Roman"/>
          <w:sz w:val="24"/>
          <w:szCs w:val="24"/>
          <w:lang w:val="en-GB"/>
        </w:rPr>
        <w:t>Republika</w:t>
      </w:r>
      <w:proofErr w:type="spellEnd"/>
      <w:r w:rsidRPr="009412B2">
        <w:rPr>
          <w:rFonts w:ascii="Times New Roman" w:eastAsia="Calibri" w:hAnsi="Times New Roman" w:cs="Times New Roman"/>
          <w:sz w:val="24"/>
          <w:szCs w:val="24"/>
          <w:lang w:val="en-GB"/>
        </w:rPr>
        <w:t xml:space="preserve"> </w:t>
      </w:r>
      <w:proofErr w:type="spellStart"/>
      <w:r w:rsidRPr="009412B2">
        <w:rPr>
          <w:rFonts w:ascii="Times New Roman" w:eastAsia="Calibri" w:hAnsi="Times New Roman" w:cs="Times New Roman"/>
          <w:sz w:val="24"/>
          <w:szCs w:val="24"/>
          <w:lang w:val="en-GB"/>
        </w:rPr>
        <w:t>Srpska</w:t>
      </w:r>
      <w:proofErr w:type="spellEnd"/>
      <w:r w:rsidRPr="009412B2">
        <w:rPr>
          <w:rFonts w:ascii="Times New Roman" w:eastAsia="Calibri" w:hAnsi="Times New Roman" w:cs="Times New Roman"/>
          <w:sz w:val="24"/>
          <w:szCs w:val="24"/>
          <w:lang w:val="en-GB"/>
        </w:rPr>
        <w:t xml:space="preserve">, prepares the Progress Report on the application of normative and legal standards for gender equality in the field of labour and employment in the RS and the Progress Report on the application of normative and legal standards for gender equality in public and political life.  Two reports on labour and employment and two reports on public and political life for the periods of 2013-2014 and 2015-2016 were prepared and adopted by the </w:t>
      </w:r>
      <w:proofErr w:type="spellStart"/>
      <w:r w:rsidRPr="009412B2">
        <w:rPr>
          <w:rFonts w:ascii="Times New Roman" w:eastAsia="Calibri" w:hAnsi="Times New Roman" w:cs="Times New Roman"/>
          <w:sz w:val="24"/>
          <w:szCs w:val="24"/>
          <w:lang w:val="en-GB"/>
        </w:rPr>
        <w:t>Republika</w:t>
      </w:r>
      <w:proofErr w:type="spellEnd"/>
      <w:r w:rsidRPr="009412B2">
        <w:rPr>
          <w:rFonts w:ascii="Times New Roman" w:eastAsia="Calibri" w:hAnsi="Times New Roman" w:cs="Times New Roman"/>
          <w:sz w:val="24"/>
          <w:szCs w:val="24"/>
          <w:lang w:val="en-GB"/>
        </w:rPr>
        <w:t xml:space="preserve"> </w:t>
      </w:r>
      <w:proofErr w:type="spellStart"/>
      <w:r w:rsidRPr="009412B2">
        <w:rPr>
          <w:rFonts w:ascii="Times New Roman" w:eastAsia="Calibri" w:hAnsi="Times New Roman" w:cs="Times New Roman"/>
          <w:sz w:val="24"/>
          <w:szCs w:val="24"/>
          <w:lang w:val="en-GB"/>
        </w:rPr>
        <w:t>Srpska</w:t>
      </w:r>
      <w:proofErr w:type="spellEnd"/>
      <w:r w:rsidRPr="009412B2">
        <w:rPr>
          <w:rFonts w:ascii="Times New Roman" w:eastAsia="Calibri" w:hAnsi="Times New Roman" w:cs="Times New Roman"/>
          <w:sz w:val="24"/>
          <w:szCs w:val="24"/>
          <w:lang w:val="en-GB"/>
        </w:rPr>
        <w:t xml:space="preserve"> Government. The aim is to monitor progress in the application of these standards in these areas, and it also provides a statistical overview of labour, employment and labour force, a review of the compliance of the legal framework and public policies in these areas with legally binding standards for gender equality, a review of the application of standards, as well as conclusions and recommendations for improving the situation. </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In 2016, the RS Gender Centre conducted and published a survey on gender inequalities in the RS in order to identify the most important gender disparities and define recommendations for programs and measures that will reduce these inequalities. The research was accompanied by gender inequalities in education and labour and employment. The research results show that, apart from patriarchal gender patterns in early socialization and cultural factors, there are certain systemic barriers to greater participation of women in the labour market. The findings show that gender gap in employment is present in all generations, and is most evident among young people. The participation of women in the labour market is less than the participation of men and their access to jobs is more limited. Women are more rarely employed and more often remain inactive, and young women represent a highly disadvantaged category in terms of labour market participation. The most important factors for women's participation in the labour market identified in the research are: working socialization of boys and girls is different (boys are more oriented to market economic activities and they are included earlier, and girls are more oriented to work in the household), there is still gender occupational segregation (men are oriented towards technical, natural science and mathematical fields, and women towards biological, medical, social, humanistic sciences, languages ​​and arts), women serve shorter pensionable periods than men because they get later in the labour market or make career breaks due to childbearing, which makes them less likely to have a right to a </w:t>
      </w:r>
      <w:r w:rsidRPr="009412B2">
        <w:rPr>
          <w:rFonts w:ascii="Times New Roman" w:eastAsia="Calibri" w:hAnsi="Times New Roman" w:cs="Times New Roman"/>
          <w:sz w:val="24"/>
          <w:szCs w:val="24"/>
          <w:lang w:val="en-GB"/>
        </w:rPr>
        <w:lastRenderedPageBreak/>
        <w:t>personal pension or earn as high pension as men do (20.5% of women aged 65+ does not receive any pension, while the percentage among men of the same age is only 5.7%, and 85% of men</w:t>
      </w:r>
      <w:r w:rsidRPr="009412B2">
        <w:rPr>
          <w:rFonts w:ascii="Arial" w:eastAsia="Times New Roman" w:hAnsi="Arial" w:cs="Times New Roman"/>
          <w:sz w:val="24"/>
          <w:szCs w:val="20"/>
          <w:lang w:val="en-GB"/>
        </w:rPr>
        <w:t xml:space="preserve"> </w:t>
      </w:r>
      <w:r w:rsidRPr="009412B2">
        <w:rPr>
          <w:rFonts w:ascii="Times New Roman" w:eastAsia="Calibri" w:hAnsi="Times New Roman" w:cs="Times New Roman"/>
          <w:sz w:val="24"/>
          <w:szCs w:val="24"/>
          <w:lang w:val="en-GB"/>
        </w:rPr>
        <w:t>aged 65+ versus  only 33% of women aged 65+ receive pensions earned on the grounds of pensionable service), women in general are paid less than men (employed women in the 2016 sample earned an average BAM 200 less per month than employed men), home work and family and children care are still almost entirely the responsibility of women (there is only a slight increase in men's caring for the sick and the elderly, and then taking care of children ( 44.3% of fathers do not assume any obligation for a small child, while on the other hand, 9 out of 10 mothers have all obligations), the modern system in which primarily young people are included is characterized by small chances and rigid rules, and does not provide adequate support (it is especially evident from the fact that early marriage and childbirth reduce the chances of attaining higher education.) The education and social support system is set up so as not to allow easy combining of family responsibilities with education. The research shows that lower educational achievements today are more a problem of male than female population. Younger men are much less motivated to continue their education than the women that are more and more encouraged by their families to get educated. Young men are less highly educated than young women.</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On the basis of the research, the RS Gender Centre made a special report on the findings and recommendations of the research on socio - economic gender inequalities in the RS, which was adopted by the </w:t>
      </w:r>
      <w:proofErr w:type="spellStart"/>
      <w:r w:rsidRPr="009412B2">
        <w:rPr>
          <w:rFonts w:ascii="Times New Roman" w:eastAsia="Calibri" w:hAnsi="Times New Roman" w:cs="Times New Roman"/>
          <w:sz w:val="24"/>
          <w:szCs w:val="24"/>
          <w:lang w:val="en-GB"/>
        </w:rPr>
        <w:t>Republika</w:t>
      </w:r>
      <w:proofErr w:type="spellEnd"/>
      <w:r w:rsidRPr="009412B2">
        <w:rPr>
          <w:rFonts w:ascii="Times New Roman" w:eastAsia="Calibri" w:hAnsi="Times New Roman" w:cs="Times New Roman"/>
          <w:sz w:val="24"/>
          <w:szCs w:val="24"/>
          <w:lang w:val="en-GB"/>
        </w:rPr>
        <w:t xml:space="preserve"> </w:t>
      </w:r>
      <w:proofErr w:type="spellStart"/>
      <w:r w:rsidRPr="009412B2">
        <w:rPr>
          <w:rFonts w:ascii="Times New Roman" w:eastAsia="Calibri" w:hAnsi="Times New Roman" w:cs="Times New Roman"/>
          <w:sz w:val="24"/>
          <w:szCs w:val="24"/>
          <w:lang w:val="en-GB"/>
        </w:rPr>
        <w:t>Srpska</w:t>
      </w:r>
      <w:proofErr w:type="spellEnd"/>
      <w:r w:rsidRPr="009412B2">
        <w:rPr>
          <w:rFonts w:ascii="Times New Roman" w:eastAsia="Calibri" w:hAnsi="Times New Roman" w:cs="Times New Roman"/>
          <w:sz w:val="24"/>
          <w:szCs w:val="24"/>
          <w:lang w:val="en-GB"/>
        </w:rPr>
        <w:t xml:space="preserve"> Government issuing a conclusion obliging all ministries of the </w:t>
      </w:r>
      <w:proofErr w:type="spellStart"/>
      <w:r w:rsidRPr="009412B2">
        <w:rPr>
          <w:rFonts w:ascii="Times New Roman" w:eastAsia="Calibri" w:hAnsi="Times New Roman" w:cs="Times New Roman"/>
          <w:sz w:val="24"/>
          <w:szCs w:val="24"/>
          <w:lang w:val="en-GB"/>
        </w:rPr>
        <w:t>Republika</w:t>
      </w:r>
      <w:proofErr w:type="spellEnd"/>
      <w:r w:rsidRPr="009412B2">
        <w:rPr>
          <w:rFonts w:ascii="Times New Roman" w:eastAsia="Calibri" w:hAnsi="Times New Roman" w:cs="Times New Roman"/>
          <w:sz w:val="24"/>
          <w:szCs w:val="24"/>
          <w:lang w:val="en-GB"/>
        </w:rPr>
        <w:t xml:space="preserve"> </w:t>
      </w:r>
      <w:proofErr w:type="spellStart"/>
      <w:r w:rsidRPr="009412B2">
        <w:rPr>
          <w:rFonts w:ascii="Times New Roman" w:eastAsia="Calibri" w:hAnsi="Times New Roman" w:cs="Times New Roman"/>
          <w:sz w:val="24"/>
          <w:szCs w:val="24"/>
          <w:lang w:val="en-GB"/>
        </w:rPr>
        <w:t>Srpska</w:t>
      </w:r>
      <w:proofErr w:type="spellEnd"/>
      <w:r w:rsidRPr="009412B2">
        <w:rPr>
          <w:rFonts w:ascii="Times New Roman" w:eastAsia="Calibri" w:hAnsi="Times New Roman" w:cs="Times New Roman"/>
          <w:sz w:val="24"/>
          <w:szCs w:val="24"/>
          <w:lang w:val="en-GB"/>
        </w:rPr>
        <w:t xml:space="preserve"> to take the findings and recommendations of the report into account in their planning, implementation and monitoring of the effects of the measures in their portfolios. The report contains research findings by areas, identification of areas of significant changes and areas without changes, recommendations for action and proposals for measures by areas and responsibilities for systematically overcoming identified factors and obstacles to women's participation in the labour market. Measures are being taken to contribute to reduction of gender segregation in education and labour, to encouragement of girls and boys to choose occupations in which they are less represented, to redistribution of roles and responsibilities in the private sphere, which also affects gender segregation in occupations, as well as encouragement of entrepreneurship, the abolition of wealth gap and other measures.</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Since 2011, the Gender Centre of the </w:t>
      </w:r>
      <w:proofErr w:type="spellStart"/>
      <w:r w:rsidRPr="009412B2">
        <w:rPr>
          <w:rFonts w:ascii="Times New Roman" w:eastAsia="Calibri" w:hAnsi="Times New Roman" w:cs="Times New Roman"/>
          <w:sz w:val="24"/>
          <w:szCs w:val="24"/>
          <w:lang w:val="en-GB"/>
        </w:rPr>
        <w:t>Republika</w:t>
      </w:r>
      <w:proofErr w:type="spellEnd"/>
      <w:r w:rsidRPr="009412B2">
        <w:rPr>
          <w:rFonts w:ascii="Times New Roman" w:eastAsia="Calibri" w:hAnsi="Times New Roman" w:cs="Times New Roman"/>
          <w:sz w:val="24"/>
          <w:szCs w:val="24"/>
          <w:lang w:val="en-GB"/>
        </w:rPr>
        <w:t xml:space="preserve"> </w:t>
      </w:r>
      <w:proofErr w:type="spellStart"/>
      <w:r w:rsidRPr="009412B2">
        <w:rPr>
          <w:rFonts w:ascii="Times New Roman" w:eastAsia="Calibri" w:hAnsi="Times New Roman" w:cs="Times New Roman"/>
          <w:sz w:val="24"/>
          <w:szCs w:val="24"/>
          <w:lang w:val="en-GB"/>
        </w:rPr>
        <w:t>Srpska</w:t>
      </w:r>
      <w:proofErr w:type="spellEnd"/>
      <w:r w:rsidRPr="009412B2">
        <w:rPr>
          <w:rFonts w:ascii="Times New Roman" w:eastAsia="Calibri" w:hAnsi="Times New Roman" w:cs="Times New Roman"/>
          <w:sz w:val="24"/>
          <w:szCs w:val="24"/>
          <w:lang w:val="en-GB"/>
        </w:rPr>
        <w:t xml:space="preserve"> has been marking the International Girls in Information Communication Technology (Girls in ICT Day! 2018) and, in cooperation with partners, has been organizing various activities and events. The aim of this campaign is to raise awareness and increase the participation of girls in information and communication technology. This campaign is recognized internationally by the Geneva-based International Communication Union (ITU), so our activities are visible every year on a global level on the website of Girls in ICT Day within the Union. </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government has embarked on the implementation of gender mainstreaming as a global strategy for achieving gender equality through incorporating priorities and needs of women and men into all public policies, including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Budget.</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lastRenderedPageBreak/>
        <w:t xml:space="preserve">The results achieved and experience gained in the previous period in the implementation of the Action Plan for the introduction of Gender Responsive Budgeting in the pilot "Work and Employment" area (AP / GOB /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 2010-2012), served to develop a new Strategic Plan for the introduction of Gender Responsible Budgeting in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(SP / GOB /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 2013-2015).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Gender Centre,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Ministry of Finance and other relevant ministries and institutions, which in their budgets have the means to encourage employment and sustainability of businesses, are in charge</w:t>
      </w:r>
      <w:r w:rsidRPr="009412B2">
        <w:rPr>
          <w:rFonts w:ascii="Arial" w:eastAsia="Times New Roman" w:hAnsi="Arial" w:cs="Times New Roman"/>
          <w:sz w:val="24"/>
          <w:szCs w:val="20"/>
          <w:lang w:val="en-GB"/>
        </w:rPr>
        <w:t xml:space="preserve"> </w:t>
      </w:r>
      <w:r w:rsidRPr="009412B2">
        <w:rPr>
          <w:rFonts w:ascii="Times New Roman" w:eastAsia="Calibri" w:hAnsi="Times New Roman" w:cs="Times New Roman"/>
          <w:sz w:val="24"/>
          <w:szCs w:val="24"/>
          <w:lang w:val="en-GB"/>
        </w:rPr>
        <w:t>of the implementation of this decision. The implementing agencies are responsible for the implementation of gender mainstreaming in all selected budget programmes, in all budget phases, whose expected outcome is the full implementation of the programme budget based on performance indicators, which includes monitoring the impact of budget spending on different needs and priorities of women and men, and the establishment of an appropriate control-oriented environment and control instruments.</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In accordance with the obligations of this policy document, the Final Report on results of the implementation of the SP / GOB /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 2013-2015 was put together with recommendations proposing the manner of continuing the development of the initiative for introduction of gender responsive budgeting into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Budget, and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Government adopter the Decision  expressing its determination to include in the current reform of public finances the methodology of gender responsible budgeting, through the prescribing methodology of result-based programme.</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In 2015 the Government of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made a conclusion that instructs budget programme managers to provide the necessary support for efficient work and take responsibility for purposeful and meaningful planning and use of budget funds in accordance with the </w:t>
      </w:r>
      <w:proofErr w:type="spellStart"/>
      <w:r w:rsidRPr="009412B2">
        <w:rPr>
          <w:rFonts w:ascii="Times New Roman" w:eastAsia="Calibri" w:hAnsi="Times New Roman" w:cs="Times New Roman"/>
          <w:sz w:val="24"/>
          <w:szCs w:val="24"/>
          <w:lang w:val="en-GB"/>
        </w:rPr>
        <w:t>BiH</w:t>
      </w:r>
      <w:proofErr w:type="spellEnd"/>
      <w:r w:rsidRPr="009412B2">
        <w:rPr>
          <w:rFonts w:ascii="Times New Roman" w:eastAsia="Calibri" w:hAnsi="Times New Roman" w:cs="Times New Roman"/>
          <w:sz w:val="24"/>
          <w:szCs w:val="24"/>
          <w:lang w:val="en-GB"/>
        </w:rPr>
        <w:t xml:space="preserve"> Law on Gender Equality and the </w:t>
      </w:r>
      <w:proofErr w:type="spellStart"/>
      <w:r w:rsidRPr="009412B2">
        <w:rPr>
          <w:rFonts w:ascii="Times New Roman" w:eastAsia="Calibri" w:hAnsi="Times New Roman" w:cs="Times New Roman"/>
          <w:sz w:val="24"/>
          <w:szCs w:val="24"/>
          <w:lang w:val="en-GB"/>
        </w:rPr>
        <w:t>BiH</w:t>
      </w:r>
      <w:proofErr w:type="spellEnd"/>
      <w:r w:rsidRPr="009412B2">
        <w:rPr>
          <w:rFonts w:ascii="Times New Roman" w:eastAsia="Calibri" w:hAnsi="Times New Roman" w:cs="Times New Roman"/>
          <w:sz w:val="24"/>
          <w:szCs w:val="24"/>
          <w:lang w:val="en-GB"/>
        </w:rPr>
        <w:t xml:space="preserve"> Gender Action Plan.</w:t>
      </w:r>
    </w:p>
    <w:p w:rsidR="009412B2" w:rsidRPr="009412B2" w:rsidRDefault="009412B2" w:rsidP="009412B2">
      <w:pPr>
        <w:jc w:val="both"/>
        <w:rPr>
          <w:rFonts w:ascii="Times New Roman" w:eastAsia="Calibri" w:hAnsi="Times New Roman" w:cs="Times New Roman"/>
          <w:sz w:val="24"/>
          <w:szCs w:val="24"/>
          <w:u w:val="single"/>
          <w:lang w:val="en-GB"/>
        </w:rPr>
      </w:pPr>
      <w:r w:rsidRPr="009412B2">
        <w:rPr>
          <w:rFonts w:ascii="Times New Roman" w:eastAsia="Calibri" w:hAnsi="Times New Roman" w:cs="Times New Roman"/>
          <w:sz w:val="24"/>
          <w:szCs w:val="24"/>
          <w:lang w:val="en-GB"/>
        </w:rPr>
        <w:t xml:space="preserve">In 2018,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Government adopted the 2018-2020 Action </w:t>
      </w:r>
      <w:proofErr w:type="gramStart"/>
      <w:r w:rsidRPr="009412B2">
        <w:rPr>
          <w:rFonts w:ascii="Times New Roman" w:eastAsia="Calibri" w:hAnsi="Times New Roman" w:cs="Times New Roman"/>
          <w:sz w:val="24"/>
          <w:szCs w:val="24"/>
          <w:lang w:val="en-GB"/>
        </w:rPr>
        <w:t>Plan</w:t>
      </w:r>
      <w:proofErr w:type="gramEnd"/>
      <w:r w:rsidRPr="009412B2">
        <w:rPr>
          <w:rFonts w:ascii="Times New Roman" w:eastAsia="Calibri" w:hAnsi="Times New Roman" w:cs="Times New Roman"/>
          <w:sz w:val="24"/>
          <w:szCs w:val="24"/>
          <w:lang w:val="en-GB"/>
        </w:rPr>
        <w:t xml:space="preserve"> for Women Entrepreneurship Development. The goals of the Action Plan are based on strategic Goal 8 "Encouraging Entrepreneurship of Targeted Groups", Measure 8.1.2 "Incentive to Women Entrepreneurs" set forth in the previous policy document titled "2009-2018 Development of Small and Medium Enterprises in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Based on the insights into the situation of women entrepreneurship and consultations with key actors that can contribute to its development, the following goals were set to be achieved in the Action Plan: 1. Improve the analytical basis for monitoring and encouraging the development of women entrepreneurship; 2. Ensure systemic support for the development of women entrepreneurship; 3. Strengthen the promotion and linking of female entrepreneurs.</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The active employment policy in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is implemented in accordance with the Law on Employment Mediation and Social Security of the Unemployed („Official Gazette of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nos. 55/00, 41/01, 22/05, 9/08). The active employment policy measures are implemented by the Federation Employment Service in co-operation with cantonal employment services through programs tailored to the needs of the labour market. Program activities within active employment policy measures include incentives for employment with employers, providing support for self-employment, preparing for work through training, vocational training and </w:t>
      </w:r>
      <w:r w:rsidRPr="009412B2">
        <w:rPr>
          <w:rFonts w:ascii="Times New Roman" w:eastAsia="Calibri" w:hAnsi="Times New Roman" w:cs="Times New Roman"/>
          <w:sz w:val="24"/>
          <w:szCs w:val="24"/>
          <w:lang w:val="en-GB"/>
        </w:rPr>
        <w:lastRenderedPageBreak/>
        <w:t xml:space="preserve">training of unemployed persons in accordance with the needs of certain employers and overall trends in the labour market. The active policy measures are aimed at achieving employment of as many people as possible from the unemployment records in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Active employment policy measures also include implementing programs that emphasize the special social and gender sensitivity in order to boost the employment of hard-to-employ categories, i.e. strengthening their competitiveness in the labour market. Programmes aimed at employment of women are also being implemented. According to the 2017 Activity Report of the Federation Employment Service, in 2016 a total of 42,670 women were struck off from the unemployment records. The 2018 Activity Program of the Federation Employment Service identified women as a target group of all individual programs of co-funding of employment, self-employment and preparation for work. Further, the World Bank Employment Support Project envisages that 15,000 hard-to-employ unemployed persons including women will be employed in the four-year period up to 2020</w:t>
      </w:r>
      <w:r w:rsidRPr="009412B2">
        <w:rPr>
          <w:rFonts w:ascii="Arial" w:eastAsia="Times New Roman" w:hAnsi="Arial" w:cs="Times New Roman"/>
          <w:sz w:val="24"/>
          <w:szCs w:val="20"/>
          <w:lang w:val="en-GB"/>
        </w:rPr>
        <w:t xml:space="preserve"> </w:t>
      </w:r>
      <w:r w:rsidRPr="009412B2">
        <w:rPr>
          <w:rFonts w:ascii="Times New Roman" w:eastAsia="Calibri" w:hAnsi="Times New Roman" w:cs="Times New Roman"/>
          <w:sz w:val="24"/>
          <w:szCs w:val="24"/>
          <w:lang w:val="en-GB"/>
        </w:rPr>
        <w:t>through the activities of the Federation Employment Service and cantonal employment services.</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When it comes to unemployment in the </w:t>
      </w:r>
      <w:proofErr w:type="spellStart"/>
      <w:r w:rsidRPr="009412B2">
        <w:rPr>
          <w:rFonts w:ascii="Times New Roman" w:eastAsia="Calibri" w:hAnsi="Times New Roman" w:cs="Times New Roman"/>
          <w:sz w:val="24"/>
          <w:szCs w:val="24"/>
          <w:lang w:val="en-GB"/>
        </w:rPr>
        <w:t>BiH</w:t>
      </w:r>
      <w:proofErr w:type="spellEnd"/>
      <w:r w:rsidRPr="009412B2">
        <w:rPr>
          <w:rFonts w:ascii="Arial" w:eastAsia="Times New Roman" w:hAnsi="Arial" w:cs="Times New Roman"/>
          <w:sz w:val="24"/>
          <w:szCs w:val="20"/>
          <w:lang w:val="en-GB"/>
        </w:rPr>
        <w:t xml:space="preserve"> </w:t>
      </w:r>
      <w:r w:rsidRPr="009412B2">
        <w:rPr>
          <w:rFonts w:ascii="Times New Roman" w:eastAsia="Calibri" w:hAnsi="Times New Roman" w:cs="Times New Roman"/>
          <w:sz w:val="24"/>
          <w:szCs w:val="24"/>
          <w:lang w:val="en-GB"/>
        </w:rPr>
        <w:t xml:space="preserve">BD, there is a noticeable decline in the number of unemployed persons on the records of the Employment Bureau of the </w:t>
      </w:r>
      <w:proofErr w:type="spellStart"/>
      <w:r w:rsidRPr="009412B2">
        <w:rPr>
          <w:rFonts w:ascii="Times New Roman" w:eastAsia="Calibri" w:hAnsi="Times New Roman" w:cs="Times New Roman"/>
          <w:sz w:val="24"/>
          <w:szCs w:val="24"/>
          <w:lang w:val="en-GB"/>
        </w:rPr>
        <w:t>BiH</w:t>
      </w:r>
      <w:proofErr w:type="spellEnd"/>
      <w:r w:rsidRPr="009412B2">
        <w:rPr>
          <w:rFonts w:ascii="Arial" w:eastAsia="Times New Roman" w:hAnsi="Arial" w:cs="Times New Roman"/>
          <w:sz w:val="24"/>
          <w:szCs w:val="20"/>
          <w:lang w:val="en-GB"/>
        </w:rPr>
        <w:t xml:space="preserve"> </w:t>
      </w:r>
      <w:r w:rsidRPr="009412B2">
        <w:rPr>
          <w:rFonts w:ascii="Times New Roman" w:eastAsia="Calibri" w:hAnsi="Times New Roman" w:cs="Times New Roman"/>
          <w:sz w:val="24"/>
          <w:szCs w:val="24"/>
          <w:lang w:val="en-GB"/>
        </w:rPr>
        <w:t>BD. Comparing 31 December 2012 and 31 December 2017, there were 1,243 registered unemployed persons less than on 31 December 2017. Of the total number of unemployed on 31 December 2017, there were 6,029 or 54.70% unemployed women.</w:t>
      </w:r>
    </w:p>
    <w:p w:rsidR="009412B2" w:rsidRPr="009412B2" w:rsidRDefault="009412B2" w:rsidP="009412B2">
      <w:pPr>
        <w:jc w:val="both"/>
        <w:rPr>
          <w:rFonts w:ascii="Times New Roman" w:eastAsia="Calibri" w:hAnsi="Times New Roman" w:cs="Times New Roman"/>
          <w:i/>
          <w:color w:val="FF0000"/>
          <w:sz w:val="24"/>
          <w:szCs w:val="24"/>
          <w:u w:val="single"/>
          <w:lang w:val="en-GB"/>
        </w:rPr>
      </w:pPr>
      <w:r w:rsidRPr="009412B2">
        <w:rPr>
          <w:rFonts w:ascii="Times New Roman" w:eastAsia="Calibri" w:hAnsi="Times New Roman" w:cs="Times New Roman"/>
          <w:i/>
          <w:color w:val="FF0000"/>
          <w:sz w:val="24"/>
          <w:szCs w:val="24"/>
          <w:u w:val="single"/>
          <w:lang w:val="en-GB"/>
        </w:rPr>
        <w:t>(Annex No. 5</w:t>
      </w:r>
      <w:r w:rsidR="00801DFC">
        <w:rPr>
          <w:rFonts w:ascii="Times New Roman" w:eastAsia="Calibri" w:hAnsi="Times New Roman" w:cs="Times New Roman"/>
          <w:i/>
          <w:color w:val="FF0000"/>
          <w:sz w:val="24"/>
          <w:szCs w:val="24"/>
          <w:u w:val="single"/>
          <w:lang w:val="en-GB"/>
        </w:rPr>
        <w:t>/a</w:t>
      </w:r>
      <w:r w:rsidRPr="009412B2">
        <w:rPr>
          <w:rFonts w:ascii="Times New Roman" w:eastAsia="Calibri" w:hAnsi="Times New Roman" w:cs="Times New Roman"/>
          <w:i/>
          <w:color w:val="FF0000"/>
          <w:sz w:val="24"/>
          <w:szCs w:val="24"/>
          <w:u w:val="single"/>
          <w:lang w:val="en-GB"/>
        </w:rPr>
        <w:t xml:space="preserve">. </w:t>
      </w:r>
      <w:proofErr w:type="spellStart"/>
      <w:r w:rsidRPr="009412B2">
        <w:rPr>
          <w:rFonts w:ascii="Times New Roman" w:eastAsia="Calibri" w:hAnsi="Times New Roman" w:cs="Times New Roman"/>
          <w:i/>
          <w:color w:val="FF0000"/>
          <w:sz w:val="24"/>
          <w:szCs w:val="24"/>
          <w:u w:val="single"/>
          <w:lang w:val="en-GB"/>
        </w:rPr>
        <w:t>Spreadsheet</w:t>
      </w:r>
      <w:proofErr w:type="spellEnd"/>
      <w:r w:rsidRPr="009412B2">
        <w:rPr>
          <w:rFonts w:ascii="Times New Roman" w:eastAsia="Calibri" w:hAnsi="Times New Roman" w:cs="Times New Roman"/>
          <w:i/>
          <w:color w:val="FF0000"/>
          <w:sz w:val="24"/>
          <w:szCs w:val="24"/>
          <w:u w:val="single"/>
          <w:lang w:val="en-GB"/>
        </w:rPr>
        <w:t xml:space="preserve"> of unemployed persons as at 31 December 2012/2017 - the BD Public Employment Service)</w:t>
      </w:r>
    </w:p>
    <w:p w:rsidR="009412B2" w:rsidRPr="009412B2" w:rsidRDefault="009412B2" w:rsidP="009412B2">
      <w:pPr>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In order to continue sustainable actions to improve the position of vulnerable groups,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Gender Centre participates in the implementation of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Strategy for the Promotion of the Rights and the Position of Persons with Disabilities in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in the part relating to the prevention of violence </w:t>
      </w:r>
      <w:proofErr w:type="gramStart"/>
      <w:r w:rsidRPr="009412B2">
        <w:rPr>
          <w:rFonts w:ascii="Times New Roman" w:eastAsia="Calibri" w:hAnsi="Times New Roman" w:cs="Times New Roman"/>
          <w:sz w:val="24"/>
          <w:szCs w:val="24"/>
          <w:lang w:val="en-GB"/>
        </w:rPr>
        <w:t>and  equal</w:t>
      </w:r>
      <w:proofErr w:type="gramEnd"/>
      <w:r w:rsidRPr="009412B2">
        <w:rPr>
          <w:rFonts w:ascii="Times New Roman" w:eastAsia="Calibri" w:hAnsi="Times New Roman" w:cs="Times New Roman"/>
          <w:sz w:val="24"/>
          <w:szCs w:val="24"/>
          <w:lang w:val="en-GB"/>
        </w:rPr>
        <w:t xml:space="preserve"> participation of women and men with disabilities in public life.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Gender Centre initiated activities to integrate people with disabilities into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Draft Action Plan for the Implementation of the Strategy for the Prevention and Fight against Domestic Violence (2018-2020). For the purpose of equal participation of women and men with disabilities in public life, in the election year,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Gender Centre sent to the political parties and the Central Election Commission of </w:t>
      </w:r>
      <w:proofErr w:type="spellStart"/>
      <w:r w:rsidRPr="009412B2">
        <w:rPr>
          <w:rFonts w:ascii="Times New Roman" w:eastAsia="Calibri" w:hAnsi="Times New Roman" w:cs="Times New Roman"/>
          <w:sz w:val="24"/>
          <w:szCs w:val="24"/>
          <w:lang w:val="en-GB"/>
        </w:rPr>
        <w:t>BiH</w:t>
      </w:r>
      <w:proofErr w:type="spellEnd"/>
      <w:r w:rsidRPr="009412B2">
        <w:rPr>
          <w:rFonts w:ascii="Times New Roman" w:eastAsia="Calibri" w:hAnsi="Times New Roman" w:cs="Times New Roman"/>
          <w:sz w:val="24"/>
          <w:szCs w:val="24"/>
          <w:lang w:val="en-GB"/>
        </w:rPr>
        <w:t xml:space="preserve"> a notice on the 12 April 2017 Concluding Observations of the UN Committee on the Rights of Persons with Disabilities on the initial report of </w:t>
      </w:r>
      <w:proofErr w:type="spellStart"/>
      <w:r w:rsidRPr="009412B2">
        <w:rPr>
          <w:rFonts w:ascii="Times New Roman" w:eastAsia="Calibri" w:hAnsi="Times New Roman" w:cs="Times New Roman"/>
          <w:sz w:val="24"/>
          <w:szCs w:val="24"/>
          <w:lang w:val="en-GB"/>
        </w:rPr>
        <w:t>BiH</w:t>
      </w:r>
      <w:proofErr w:type="spellEnd"/>
      <w:r w:rsidRPr="009412B2">
        <w:rPr>
          <w:rFonts w:ascii="Times New Roman" w:eastAsia="Calibri" w:hAnsi="Times New Roman" w:cs="Times New Roman"/>
          <w:sz w:val="24"/>
          <w:szCs w:val="24"/>
          <w:lang w:val="en-GB"/>
        </w:rPr>
        <w:t xml:space="preserve"> on the implementation of the Convention on the Rights of Persons with Disabilities disability and activities planned in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Strategy for the Promotion of the Rights and the Position of Persons with Disabilities (2016-2021) in the part concerning participation in public life. On behalf of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Gender Centre, a member has been appointed to the Coordination Body of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Government for monitoring, directing and reporting on activities of the </w:t>
      </w:r>
      <w:proofErr w:type="spellStart"/>
      <w:r w:rsidRPr="009412B2">
        <w:rPr>
          <w:rFonts w:ascii="Times New Roman" w:eastAsia="Calibri" w:hAnsi="Times New Roman" w:cs="Times New Roman"/>
          <w:sz w:val="24"/>
          <w:szCs w:val="24"/>
          <w:lang w:val="en-GB"/>
        </w:rPr>
        <w:t>FBiH</w:t>
      </w:r>
      <w:proofErr w:type="spellEnd"/>
      <w:r w:rsidRPr="009412B2">
        <w:rPr>
          <w:rFonts w:ascii="Times New Roman" w:eastAsia="Calibri" w:hAnsi="Times New Roman" w:cs="Times New Roman"/>
          <w:sz w:val="24"/>
          <w:szCs w:val="24"/>
          <w:lang w:val="en-GB"/>
        </w:rPr>
        <w:t xml:space="preserve"> Strategy for the Promotion of the Rights and the Position of Persons with Disabilities (2016-2020).</w:t>
      </w:r>
    </w:p>
    <w:p w:rsidR="009412B2" w:rsidRPr="009412B2" w:rsidRDefault="009412B2" w:rsidP="009412B2">
      <w:pPr>
        <w:spacing w:before="120" w:after="0"/>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The Law on Employment Mediation and Unemployment Rights provides that any gender-based discrimination in the process of employment, vacancy advertising or procedures for filling vacancies is prohibited. When planning and implementing employment programmes, </w:t>
      </w:r>
      <w:r w:rsidRPr="009412B2">
        <w:rPr>
          <w:rFonts w:ascii="Times New Roman" w:eastAsia="Calibri" w:hAnsi="Times New Roman" w:cs="Times New Roman"/>
          <w:sz w:val="24"/>
          <w:szCs w:val="24"/>
          <w:lang w:val="en-GB"/>
        </w:rPr>
        <w:lastRenderedPageBreak/>
        <w:t>the Employment Service takes into account equal representation of the sexes. The RS 2016-2020 Employment Strategy, which is the key document when it comes to employment, sets the first strategic goal titled "To increase the employment and economic activity of the population in the RS" within the operational objective titled "1.6 Improve the employment of the most vulnerable groups of unemployed persons (young people, children of fallen soldiers, militaries disabled in wartime and other people with disabilities, demobilized militaries, national minorities, women, persons aged 50+ ...)" identifying women as a separate target group and measure titled "1.6.1 Continuous designing, funding and implementation of active measures in order to increase employability, employment and self-employment of persons from vulnerable categories of unemployed persons" aiming at increasing the employment and employability of this category.</w:t>
      </w:r>
    </w:p>
    <w:p w:rsidR="009412B2" w:rsidRPr="009412B2" w:rsidRDefault="009412B2" w:rsidP="009412B2">
      <w:pPr>
        <w:spacing w:before="120" w:after="0"/>
        <w:jc w:val="both"/>
        <w:rPr>
          <w:rFonts w:ascii="Times New Roman" w:eastAsia="Calibri" w:hAnsi="Times New Roman" w:cs="Times New Roman"/>
          <w:sz w:val="24"/>
          <w:szCs w:val="24"/>
          <w:lang w:val="en-GB"/>
        </w:rPr>
      </w:pPr>
      <w:r w:rsidRPr="009412B2">
        <w:rPr>
          <w:rFonts w:ascii="Times New Roman" w:eastAsia="Calibri" w:hAnsi="Times New Roman" w:cs="Times New Roman"/>
          <w:sz w:val="24"/>
          <w:szCs w:val="24"/>
          <w:lang w:val="en-GB"/>
        </w:rPr>
        <w:t xml:space="preserve">One special measure of the 2018 Employment Action Plan is dedicated to women as a special target group: women victims of domestic violence and women in rural areas, with the </w:t>
      </w:r>
      <w:proofErr w:type="spellStart"/>
      <w:r w:rsidRPr="009412B2">
        <w:rPr>
          <w:rFonts w:ascii="Times New Roman" w:eastAsia="Calibri" w:hAnsi="Times New Roman" w:cs="Times New Roman"/>
          <w:sz w:val="24"/>
          <w:szCs w:val="24"/>
          <w:lang w:val="en-GB"/>
        </w:rPr>
        <w:t>Republika</w:t>
      </w:r>
      <w:proofErr w:type="spellEnd"/>
      <w:r w:rsidRPr="009412B2">
        <w:rPr>
          <w:rFonts w:ascii="Times New Roman" w:eastAsia="Calibri" w:hAnsi="Times New Roman" w:cs="Times New Roman"/>
          <w:sz w:val="24"/>
          <w:szCs w:val="24"/>
          <w:lang w:val="en-GB"/>
        </w:rPr>
        <w:t xml:space="preserve"> </w:t>
      </w:r>
      <w:proofErr w:type="spellStart"/>
      <w:r w:rsidRPr="009412B2">
        <w:rPr>
          <w:rFonts w:ascii="Times New Roman" w:eastAsia="Calibri" w:hAnsi="Times New Roman" w:cs="Times New Roman"/>
          <w:sz w:val="24"/>
          <w:szCs w:val="24"/>
          <w:lang w:val="en-GB"/>
        </w:rPr>
        <w:t>Srpska</w:t>
      </w:r>
      <w:proofErr w:type="spellEnd"/>
      <w:r w:rsidRPr="009412B2">
        <w:rPr>
          <w:rFonts w:ascii="Times New Roman" w:eastAsia="Calibri" w:hAnsi="Times New Roman" w:cs="Times New Roman"/>
          <w:sz w:val="24"/>
          <w:szCs w:val="24"/>
          <w:lang w:val="en-GB"/>
        </w:rPr>
        <w:t xml:space="preserve"> Employment Service allocating funds in the amount of BAM 500,000 for employment and self-employment of 115 people from this group in the RS economy in 2018. With the amendments to the 2018 Employment Action Plan, the number of persons was increased from 115 to 408 and the amount of funds from BAM 500,000 to BAM 1,725,000 for employment under this programme.</w:t>
      </w:r>
    </w:p>
    <w:p w:rsidR="009412B2" w:rsidRPr="009412B2" w:rsidRDefault="009412B2" w:rsidP="009412B2">
      <w:pPr>
        <w:keepNext/>
        <w:spacing w:after="0"/>
        <w:jc w:val="both"/>
        <w:outlineLvl w:val="1"/>
        <w:rPr>
          <w:rFonts w:ascii="Times New Roman" w:eastAsia="Calibri" w:hAnsi="Times New Roman" w:cs="Times New Roman"/>
          <w:bCs/>
          <w:sz w:val="24"/>
          <w:szCs w:val="24"/>
          <w:lang w:val="en-GB"/>
        </w:rPr>
      </w:pPr>
      <w:r w:rsidRPr="009412B2">
        <w:rPr>
          <w:rFonts w:ascii="Times New Roman" w:eastAsia="Calibri" w:hAnsi="Times New Roman" w:cs="Times New Roman"/>
          <w:bCs/>
          <w:sz w:val="24"/>
          <w:szCs w:val="24"/>
          <w:lang w:val="en-GB"/>
        </w:rPr>
        <w:t xml:space="preserve">In the </w:t>
      </w:r>
      <w:proofErr w:type="spellStart"/>
      <w:r w:rsidRPr="009412B2">
        <w:rPr>
          <w:rFonts w:ascii="Times New Roman" w:eastAsia="Calibri" w:hAnsi="Times New Roman" w:cs="Times New Roman"/>
          <w:bCs/>
          <w:sz w:val="24"/>
          <w:szCs w:val="24"/>
          <w:lang w:val="en-GB"/>
        </w:rPr>
        <w:t>Republika</w:t>
      </w:r>
      <w:proofErr w:type="spellEnd"/>
      <w:r w:rsidRPr="009412B2">
        <w:rPr>
          <w:rFonts w:ascii="Times New Roman" w:eastAsia="Calibri" w:hAnsi="Times New Roman" w:cs="Times New Roman"/>
          <w:bCs/>
          <w:sz w:val="24"/>
          <w:szCs w:val="24"/>
          <w:lang w:val="en-GB"/>
        </w:rPr>
        <w:t xml:space="preserve"> </w:t>
      </w:r>
      <w:proofErr w:type="spellStart"/>
      <w:r w:rsidRPr="009412B2">
        <w:rPr>
          <w:rFonts w:ascii="Times New Roman" w:eastAsia="Calibri" w:hAnsi="Times New Roman" w:cs="Times New Roman"/>
          <w:bCs/>
          <w:sz w:val="24"/>
          <w:szCs w:val="24"/>
          <w:lang w:val="en-GB"/>
        </w:rPr>
        <w:t>Srpska</w:t>
      </w:r>
      <w:proofErr w:type="spellEnd"/>
      <w:r w:rsidRPr="009412B2">
        <w:rPr>
          <w:rFonts w:ascii="Times New Roman" w:eastAsia="Calibri" w:hAnsi="Times New Roman" w:cs="Times New Roman"/>
          <w:bCs/>
          <w:sz w:val="24"/>
          <w:szCs w:val="24"/>
          <w:lang w:val="en-GB"/>
        </w:rPr>
        <w:t xml:space="preserve"> there is no difference in approach to education between boys and girls at any level. The Law on Preschool Upbringing and Education provides, </w:t>
      </w:r>
      <w:r w:rsidRPr="009412B2">
        <w:rPr>
          <w:rFonts w:ascii="Times New Roman" w:eastAsia="Calibri" w:hAnsi="Times New Roman" w:cs="Times New Roman"/>
          <w:bCs/>
          <w:i/>
          <w:sz w:val="24"/>
          <w:szCs w:val="24"/>
          <w:lang w:val="en-GB"/>
        </w:rPr>
        <w:t>inter alia</w:t>
      </w:r>
      <w:r w:rsidRPr="009412B2">
        <w:rPr>
          <w:rFonts w:ascii="Times New Roman" w:eastAsia="Calibri" w:hAnsi="Times New Roman" w:cs="Times New Roman"/>
          <w:bCs/>
          <w:sz w:val="24"/>
          <w:szCs w:val="24"/>
          <w:lang w:val="en-GB"/>
        </w:rPr>
        <w:t>, that equal access by every preschool child is guaranteed without discrimination and segregation of children on any grounds. The Law on Primary Education prescribes that every child has equal rights and equal opportunities in primary education and education without discrimination on any grounds. Secondary and higher education is accessible to everyone under equal conditions in accordance with the laws on secondary and higher education and the capabilities of the individual.</w:t>
      </w:r>
    </w:p>
    <w:p w:rsidR="008D312A" w:rsidRDefault="008D312A"/>
    <w:sectPr w:rsidR="008D31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2B2"/>
    <w:rsid w:val="00801DFC"/>
    <w:rsid w:val="008D312A"/>
    <w:rsid w:val="009412B2"/>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168FBB-2C49-4BBA-957E-E024C88C5D36}"/>
</file>

<file path=customXml/itemProps2.xml><?xml version="1.0" encoding="utf-8"?>
<ds:datastoreItem xmlns:ds="http://schemas.openxmlformats.org/officeDocument/2006/customXml" ds:itemID="{A876D0AB-CC7E-4D46-99C5-BD6FA5D85A1D}"/>
</file>

<file path=customXml/itemProps3.xml><?xml version="1.0" encoding="utf-8"?>
<ds:datastoreItem xmlns:ds="http://schemas.openxmlformats.org/officeDocument/2006/customXml" ds:itemID="{04873584-4E19-4104-82E1-EA435D239E94}"/>
</file>

<file path=docProps/app.xml><?xml version="1.0" encoding="utf-8"?>
<Properties xmlns="http://schemas.openxmlformats.org/officeDocument/2006/extended-properties" xmlns:vt="http://schemas.openxmlformats.org/officeDocument/2006/docPropsVTypes">
  <Template>Normal</Template>
  <TotalTime>8</TotalTime>
  <Pages>5</Pages>
  <Words>2399</Words>
  <Characters>13676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vanja.vujadin</dc:creator>
  <cp:lastModifiedBy>vanja.vujadin</cp:lastModifiedBy>
  <cp:revision>2</cp:revision>
  <dcterms:created xsi:type="dcterms:W3CDTF">2019-03-11T09:17:00Z</dcterms:created>
  <dcterms:modified xsi:type="dcterms:W3CDTF">2019-03-11T09:42:00Z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