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C60456" w:rsidRDefault="00C60456">
      <w:pPr>
        <w:spacing w:after="200" w:line="360" w:lineRule="auto"/>
        <w:ind w:left="720"/>
        <w:jc w:val="center"/>
        <w:rPr>
          <w:b/>
          <w:color w:val="0B5394"/>
          <w:sz w:val="36"/>
          <w:szCs w:val="36"/>
        </w:rPr>
      </w:pPr>
    </w:p>
    <w:p w14:paraId="00000002" w14:textId="5F5F8815" w:rsidR="00C60456" w:rsidRDefault="00C60456">
      <w:pPr>
        <w:spacing w:after="200" w:line="360" w:lineRule="auto"/>
        <w:ind w:left="720"/>
        <w:jc w:val="center"/>
        <w:rPr>
          <w:b/>
          <w:color w:val="0B5394"/>
          <w:sz w:val="36"/>
          <w:szCs w:val="36"/>
        </w:rPr>
      </w:pPr>
    </w:p>
    <w:p w14:paraId="00000003" w14:textId="4AC5F0C3" w:rsidR="00C60456" w:rsidRDefault="00C60456">
      <w:pPr>
        <w:spacing w:after="200" w:line="360" w:lineRule="auto"/>
        <w:ind w:left="720"/>
        <w:jc w:val="center"/>
        <w:rPr>
          <w:b/>
          <w:color w:val="0B5394"/>
          <w:sz w:val="36"/>
          <w:szCs w:val="36"/>
        </w:rPr>
      </w:pPr>
    </w:p>
    <w:p w14:paraId="7A172FFD" w14:textId="170BFFB2" w:rsidR="00FD274C" w:rsidRPr="00F437CC" w:rsidRDefault="00FD274C" w:rsidP="00FD274C">
      <w:pPr>
        <w:spacing w:after="200" w:line="360" w:lineRule="auto"/>
        <w:ind w:left="720"/>
        <w:jc w:val="center"/>
        <w:rPr>
          <w:b/>
          <w:color w:val="0B5394"/>
          <w:sz w:val="36"/>
          <w:szCs w:val="36"/>
          <w:lang w:val="en-US"/>
        </w:rPr>
      </w:pPr>
      <w:r w:rsidRPr="00F437CC">
        <w:rPr>
          <w:b/>
          <w:color w:val="0B5394"/>
          <w:sz w:val="36"/>
          <w:szCs w:val="36"/>
          <w:lang w:val="en-US"/>
        </w:rPr>
        <w:t>ALTERNATIVE REPORT PREPARED BY CIVIL SOCIETY ORGANIZATIONS FOR THE UNITED NATIONS COMMITTEE ON THE RIGHTS OF THE CHILD</w:t>
      </w:r>
    </w:p>
    <w:p w14:paraId="00000005" w14:textId="0B6B8A50" w:rsidR="00C60456" w:rsidRPr="0025143E" w:rsidRDefault="00A74445">
      <w:pPr>
        <w:spacing w:after="200" w:line="360" w:lineRule="auto"/>
        <w:ind w:left="720"/>
        <w:jc w:val="center"/>
        <w:rPr>
          <w:b/>
          <w:color w:val="0B5394"/>
          <w:sz w:val="36"/>
          <w:szCs w:val="36"/>
          <w:lang w:val="es-ES"/>
        </w:rPr>
      </w:pPr>
      <w:r w:rsidRPr="0025143E">
        <w:rPr>
          <w:b/>
          <w:color w:val="0B5394"/>
          <w:sz w:val="36"/>
          <w:szCs w:val="36"/>
          <w:lang w:val="es-ES"/>
        </w:rPr>
        <w:t>2024</w:t>
      </w:r>
    </w:p>
    <w:p w14:paraId="00000006" w14:textId="2AC1EFFB" w:rsidR="00C60456" w:rsidRPr="0025143E" w:rsidRDefault="00C60456">
      <w:pPr>
        <w:spacing w:after="200" w:line="360" w:lineRule="auto"/>
        <w:ind w:left="720"/>
        <w:jc w:val="center"/>
        <w:rPr>
          <w:b/>
          <w:color w:val="0B5394"/>
          <w:sz w:val="36"/>
          <w:szCs w:val="36"/>
          <w:lang w:val="es-ES"/>
        </w:rPr>
      </w:pPr>
    </w:p>
    <w:p w14:paraId="00000007" w14:textId="50954F61" w:rsidR="00C60456" w:rsidRPr="0025143E" w:rsidRDefault="00FD274C">
      <w:pPr>
        <w:spacing w:after="200" w:line="360" w:lineRule="auto"/>
        <w:ind w:left="720"/>
        <w:jc w:val="both"/>
        <w:rPr>
          <w:rFonts w:ascii="Roboto" w:eastAsia="Roboto" w:hAnsi="Roboto" w:cs="Roboto"/>
          <w:color w:val="0D0D0D"/>
          <w:sz w:val="24"/>
          <w:szCs w:val="24"/>
          <w:lang w:val="es-ES"/>
        </w:rPr>
      </w:pPr>
      <w:r w:rsidRPr="0025143E">
        <w:rPr>
          <w:b/>
          <w:sz w:val="24"/>
          <w:szCs w:val="24"/>
          <w:lang w:val="es-ES"/>
        </w:rPr>
        <w:t xml:space="preserve">Submitted by: </w:t>
      </w:r>
      <w:r w:rsidRPr="0025143E">
        <w:rPr>
          <w:rFonts w:ascii="Roboto" w:eastAsia="Roboto" w:hAnsi="Roboto" w:cs="Roboto"/>
          <w:color w:val="0D0D0D"/>
          <w:sz w:val="24"/>
          <w:szCs w:val="24"/>
          <w:lang w:val="es-ES"/>
        </w:rPr>
        <w:t>Asociación Santa Rita para la Educación y Promoción (FUNSAREP), Centro Cultural las Colinas (CECUCOL), Corporación Convivamos, Fundación Creciendo Unidos, FIAN Colombia, Humanidad Vigente Corporación Jurídica (HVCJ), PAS (Pensamiento y Acción Social), Plataforma Colombiana por el Protagonismo de Niñas, Niños y Jóvenes, Terre des Hommes Alemania (TDHA), Terre des Hommes Suiza (TDHS).</w:t>
      </w:r>
    </w:p>
    <w:p w14:paraId="00000008" w14:textId="6E0EA20D" w:rsidR="00C60456" w:rsidRPr="0025143E" w:rsidRDefault="00C60456">
      <w:pPr>
        <w:spacing w:after="200" w:line="360" w:lineRule="auto"/>
        <w:ind w:left="720"/>
        <w:jc w:val="both"/>
        <w:rPr>
          <w:sz w:val="24"/>
          <w:szCs w:val="24"/>
          <w:lang w:val="es-ES"/>
        </w:rPr>
      </w:pPr>
    </w:p>
    <w:p w14:paraId="00000009" w14:textId="40B4C09D" w:rsidR="00C60456" w:rsidRPr="0025143E" w:rsidRDefault="004D6EBE">
      <w:pPr>
        <w:spacing w:after="200" w:line="360" w:lineRule="auto"/>
        <w:ind w:left="720"/>
        <w:jc w:val="center"/>
        <w:rPr>
          <w:b/>
          <w:color w:val="0B5394"/>
          <w:sz w:val="36"/>
          <w:szCs w:val="36"/>
          <w:lang w:val="es-ES"/>
        </w:rPr>
      </w:pPr>
      <w:r w:rsidRPr="00FF7869">
        <w:rPr>
          <w:noProof/>
        </w:rPr>
        <w:drawing>
          <wp:anchor distT="0" distB="0" distL="114300" distR="114300" simplePos="0" relativeHeight="251667456" behindDoc="0" locked="0" layoutInCell="1" allowOverlap="1" wp14:anchorId="7941E844" wp14:editId="5D1F253E">
            <wp:simplePos x="0" y="0"/>
            <wp:positionH relativeFrom="page">
              <wp:posOffset>5615286</wp:posOffset>
            </wp:positionH>
            <wp:positionV relativeFrom="paragraph">
              <wp:posOffset>372487</wp:posOffset>
            </wp:positionV>
            <wp:extent cx="1502875" cy="663128"/>
            <wp:effectExtent l="0" t="0" r="2540" b="381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02875" cy="663128"/>
                    </a:xfrm>
                    <a:prstGeom prst="rect">
                      <a:avLst/>
                    </a:prstGeom>
                  </pic:spPr>
                </pic:pic>
              </a:graphicData>
            </a:graphic>
          </wp:anchor>
        </w:drawing>
      </w:r>
      <w:r>
        <w:rPr>
          <w:noProof/>
        </w:rPr>
        <w:drawing>
          <wp:anchor distT="0" distB="0" distL="114300" distR="114300" simplePos="0" relativeHeight="251665408" behindDoc="0" locked="0" layoutInCell="1" allowOverlap="1" wp14:anchorId="52E24964" wp14:editId="06EBABCD">
            <wp:simplePos x="0" y="0"/>
            <wp:positionH relativeFrom="column">
              <wp:posOffset>3551228</wp:posOffset>
            </wp:positionH>
            <wp:positionV relativeFrom="paragraph">
              <wp:posOffset>391373</wp:posOffset>
            </wp:positionV>
            <wp:extent cx="1078230" cy="606425"/>
            <wp:effectExtent l="0" t="0" r="7620" b="3175"/>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78230" cy="6064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2E45561C" wp14:editId="189175EB">
            <wp:simplePos x="0" y="0"/>
            <wp:positionH relativeFrom="margin">
              <wp:posOffset>-374650</wp:posOffset>
            </wp:positionH>
            <wp:positionV relativeFrom="paragraph">
              <wp:posOffset>252674</wp:posOffset>
            </wp:positionV>
            <wp:extent cx="581025" cy="762635"/>
            <wp:effectExtent l="0" t="0" r="9525"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1025" cy="7626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3360" behindDoc="0" locked="0" layoutInCell="1" allowOverlap="1" wp14:anchorId="05B4B839" wp14:editId="10B49B8A">
            <wp:simplePos x="0" y="0"/>
            <wp:positionH relativeFrom="margin">
              <wp:posOffset>1845317</wp:posOffset>
            </wp:positionH>
            <wp:positionV relativeFrom="paragraph">
              <wp:posOffset>167256</wp:posOffset>
            </wp:positionV>
            <wp:extent cx="1581785" cy="988695"/>
            <wp:effectExtent l="0" t="0" r="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81785" cy="9886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2FAD5EB8" wp14:editId="214E58BA">
            <wp:simplePos x="0" y="0"/>
            <wp:positionH relativeFrom="column">
              <wp:posOffset>347980</wp:posOffset>
            </wp:positionH>
            <wp:positionV relativeFrom="paragraph">
              <wp:posOffset>396818</wp:posOffset>
            </wp:positionV>
            <wp:extent cx="1503045" cy="480695"/>
            <wp:effectExtent l="0" t="0" r="1905"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03045" cy="4806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000000B" w14:textId="529509F7" w:rsidR="00C60456" w:rsidRPr="0025143E" w:rsidRDefault="004D6EBE" w:rsidP="004D6EBE">
      <w:pPr>
        <w:spacing w:after="200" w:line="360" w:lineRule="auto"/>
        <w:ind w:left="720"/>
        <w:jc w:val="center"/>
        <w:rPr>
          <w:b/>
          <w:color w:val="0B5394"/>
          <w:sz w:val="36"/>
          <w:szCs w:val="36"/>
          <w:lang w:val="es-ES"/>
        </w:rPr>
      </w:pPr>
      <w:r>
        <w:rPr>
          <w:noProof/>
        </w:rPr>
        <w:drawing>
          <wp:anchor distT="0" distB="0" distL="114300" distR="114300" simplePos="0" relativeHeight="251677696" behindDoc="0" locked="0" layoutInCell="1" allowOverlap="1" wp14:anchorId="5B871002" wp14:editId="23971EE8">
            <wp:simplePos x="0" y="0"/>
            <wp:positionH relativeFrom="column">
              <wp:posOffset>5284382</wp:posOffset>
            </wp:positionH>
            <wp:positionV relativeFrom="paragraph">
              <wp:posOffset>590004</wp:posOffset>
            </wp:positionV>
            <wp:extent cx="1350645" cy="512445"/>
            <wp:effectExtent l="0" t="0" r="1905" b="0"/>
            <wp:wrapSquare wrapText="bothSides"/>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50645" cy="5124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51215">
        <w:rPr>
          <w:noProof/>
        </w:rPr>
        <w:drawing>
          <wp:anchor distT="0" distB="0" distL="114300" distR="114300" simplePos="0" relativeHeight="251675648" behindDoc="0" locked="0" layoutInCell="1" allowOverlap="1" wp14:anchorId="1EBFFA21" wp14:editId="4BC9CC0D">
            <wp:simplePos x="0" y="0"/>
            <wp:positionH relativeFrom="column">
              <wp:posOffset>3734234</wp:posOffset>
            </wp:positionH>
            <wp:positionV relativeFrom="paragraph">
              <wp:posOffset>739970</wp:posOffset>
            </wp:positionV>
            <wp:extent cx="1516953" cy="256343"/>
            <wp:effectExtent l="0" t="0" r="0" b="0"/>
            <wp:wrapSquare wrapText="bothSides"/>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t="2062"/>
                    <a:stretch/>
                  </pic:blipFill>
                  <pic:spPr bwMode="auto">
                    <a:xfrm>
                      <a:off x="0" y="0"/>
                      <a:ext cx="1516953" cy="256343"/>
                    </a:xfrm>
                    <a:prstGeom prst="rect">
                      <a:avLst/>
                    </a:prstGeom>
                    <a:ln>
                      <a:noFill/>
                    </a:ln>
                    <a:extLst>
                      <a:ext uri="{53640926-AAD7-44D8-BBD7-CCE9431645EC}">
                        <a14:shadowObscured xmlns:a14="http://schemas.microsoft.com/office/drawing/2010/main"/>
                      </a:ext>
                    </a:extLst>
                  </pic:spPr>
                </pic:pic>
              </a:graphicData>
            </a:graphic>
          </wp:anchor>
        </w:drawing>
      </w:r>
      <w:r>
        <w:rPr>
          <w:noProof/>
        </w:rPr>
        <w:drawing>
          <wp:anchor distT="0" distB="0" distL="114300" distR="114300" simplePos="0" relativeHeight="251671552" behindDoc="0" locked="0" layoutInCell="1" allowOverlap="1" wp14:anchorId="10F6E385" wp14:editId="6A74AB4C">
            <wp:simplePos x="0" y="0"/>
            <wp:positionH relativeFrom="column">
              <wp:posOffset>887987</wp:posOffset>
            </wp:positionH>
            <wp:positionV relativeFrom="paragraph">
              <wp:posOffset>564515</wp:posOffset>
            </wp:positionV>
            <wp:extent cx="628650" cy="666799"/>
            <wp:effectExtent l="0" t="0" r="0"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28650" cy="666799"/>
                    </a:xfrm>
                    <a:prstGeom prst="rect">
                      <a:avLst/>
                    </a:prstGeom>
                    <a:noFill/>
                    <a:ln>
                      <a:noFill/>
                    </a:ln>
                  </pic:spPr>
                </pic:pic>
              </a:graphicData>
            </a:graphic>
          </wp:anchor>
        </w:drawing>
      </w:r>
      <w:r>
        <w:rPr>
          <w:noProof/>
        </w:rPr>
        <w:drawing>
          <wp:anchor distT="0" distB="0" distL="114300" distR="114300" simplePos="0" relativeHeight="251673600" behindDoc="0" locked="0" layoutInCell="1" allowOverlap="1" wp14:anchorId="4A1EC1EF" wp14:editId="000ADEEA">
            <wp:simplePos x="0" y="0"/>
            <wp:positionH relativeFrom="margin">
              <wp:posOffset>1796472</wp:posOffset>
            </wp:positionH>
            <wp:positionV relativeFrom="paragraph">
              <wp:posOffset>428449</wp:posOffset>
            </wp:positionV>
            <wp:extent cx="1897380" cy="803275"/>
            <wp:effectExtent l="0" t="0" r="7620" b="0"/>
            <wp:wrapSquare wrapText="bothSides"/>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897380" cy="8032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9504" behindDoc="0" locked="0" layoutInCell="1" allowOverlap="1" wp14:anchorId="52CB3453" wp14:editId="3C6C498C">
            <wp:simplePos x="0" y="0"/>
            <wp:positionH relativeFrom="margin">
              <wp:posOffset>-656483</wp:posOffset>
            </wp:positionH>
            <wp:positionV relativeFrom="paragraph">
              <wp:posOffset>808355</wp:posOffset>
            </wp:positionV>
            <wp:extent cx="1270000" cy="422910"/>
            <wp:effectExtent l="0" t="0" r="6350"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270000" cy="422910"/>
                    </a:xfrm>
                    <a:prstGeom prst="rect">
                      <a:avLst/>
                    </a:prstGeom>
                    <a:noFill/>
                    <a:ln>
                      <a:noFill/>
                    </a:ln>
                  </pic:spPr>
                </pic:pic>
              </a:graphicData>
            </a:graphic>
          </wp:anchor>
        </w:drawing>
      </w:r>
    </w:p>
    <w:p w14:paraId="781DC15B" w14:textId="5A7C60DC" w:rsidR="00924EFA" w:rsidRPr="0025143E" w:rsidRDefault="00924EFA">
      <w:pPr>
        <w:rPr>
          <w:lang w:val="es-ES"/>
        </w:rPr>
      </w:pPr>
    </w:p>
    <w:sdt>
      <w:sdtPr>
        <w:rPr>
          <w:rFonts w:ascii="Arial" w:eastAsia="Arial" w:hAnsi="Arial" w:cs="Arial"/>
          <w:b w:val="0"/>
          <w:color w:val="auto"/>
          <w:sz w:val="22"/>
          <w:szCs w:val="22"/>
          <w:lang w:val="en" w:eastAsia="en-GB"/>
        </w:rPr>
        <w:id w:val="273059362"/>
        <w:docPartObj>
          <w:docPartGallery w:val="Table of Contents"/>
          <w:docPartUnique/>
        </w:docPartObj>
      </w:sdtPr>
      <w:sdtEndPr>
        <w:rPr>
          <w:bCs/>
          <w:noProof/>
        </w:rPr>
      </w:sdtEndPr>
      <w:sdtContent>
        <w:p w14:paraId="059FF806" w14:textId="09E7A35D" w:rsidR="00C76D00" w:rsidRPr="00F437CC" w:rsidRDefault="00C76D00" w:rsidP="00022967">
          <w:pPr>
            <w:pStyle w:val="TOCHeading"/>
            <w:tabs>
              <w:tab w:val="left" w:pos="7645"/>
            </w:tabs>
            <w:rPr>
              <w:rFonts w:ascii="Arial" w:hAnsi="Arial" w:cs="Arial"/>
              <w:sz w:val="22"/>
              <w:szCs w:val="22"/>
            </w:rPr>
          </w:pPr>
          <w:r w:rsidRPr="00F437CC">
            <w:rPr>
              <w:rFonts w:asciiTheme="minorBidi" w:hAnsiTheme="minorBidi" w:cstheme="minorBidi"/>
              <w:sz w:val="22"/>
              <w:szCs w:val="22"/>
            </w:rPr>
            <w:t>Contents</w:t>
          </w:r>
          <w:r w:rsidR="00022967" w:rsidRPr="00F437CC">
            <w:rPr>
              <w:rFonts w:ascii="Arial" w:hAnsi="Arial" w:cs="Arial"/>
              <w:sz w:val="22"/>
              <w:szCs w:val="22"/>
            </w:rPr>
            <w:tab/>
          </w:r>
        </w:p>
        <w:p w14:paraId="354E41A2" w14:textId="0C4E1DB7" w:rsidR="00CC064B" w:rsidRPr="00F437CC" w:rsidRDefault="00C76D00">
          <w:pPr>
            <w:pStyle w:val="TOC1"/>
            <w:tabs>
              <w:tab w:val="right" w:leader="dot" w:pos="9350"/>
            </w:tabs>
            <w:rPr>
              <w:rFonts w:ascii="Arial" w:hAnsi="Arial" w:cs="Arial"/>
              <w:noProof/>
              <w:kern w:val="2"/>
              <w:sz w:val="24"/>
              <w:szCs w:val="24"/>
              <w14:ligatures w14:val="standardContextual"/>
            </w:rPr>
          </w:pPr>
          <w:r w:rsidRPr="00F437CC">
            <w:rPr>
              <w:rFonts w:ascii="Arial" w:hAnsi="Arial" w:cs="Arial"/>
            </w:rPr>
            <w:fldChar w:fldCharType="begin"/>
          </w:r>
          <w:r w:rsidRPr="00F437CC">
            <w:rPr>
              <w:rFonts w:ascii="Arial" w:hAnsi="Arial" w:cs="Arial"/>
            </w:rPr>
            <w:instrText xml:space="preserve"> TOC \o "1-3" \h \z \u </w:instrText>
          </w:r>
          <w:r w:rsidRPr="00F437CC">
            <w:rPr>
              <w:rFonts w:ascii="Arial" w:hAnsi="Arial" w:cs="Arial"/>
            </w:rPr>
            <w:fldChar w:fldCharType="separate"/>
          </w:r>
          <w:hyperlink w:anchor="_Toc181289435" w:history="1">
            <w:r w:rsidR="00CC064B" w:rsidRPr="00F437CC">
              <w:rPr>
                <w:rStyle w:val="Hyperlink"/>
                <w:rFonts w:ascii="Arial" w:hAnsi="Arial" w:cs="Arial"/>
                <w:noProof/>
              </w:rPr>
              <w:t>INTRODUCTION</w:t>
            </w:r>
            <w:r w:rsidR="00CC064B" w:rsidRPr="00F437CC">
              <w:rPr>
                <w:rFonts w:ascii="Arial" w:hAnsi="Arial" w:cs="Arial"/>
                <w:noProof/>
                <w:webHidden/>
              </w:rPr>
              <w:tab/>
            </w:r>
            <w:r w:rsidR="00CC064B" w:rsidRPr="00F437CC">
              <w:rPr>
                <w:rFonts w:ascii="Arial" w:hAnsi="Arial" w:cs="Arial"/>
                <w:noProof/>
                <w:webHidden/>
              </w:rPr>
              <w:fldChar w:fldCharType="begin"/>
            </w:r>
            <w:r w:rsidR="00CC064B" w:rsidRPr="00F437CC">
              <w:rPr>
                <w:rFonts w:ascii="Arial" w:hAnsi="Arial" w:cs="Arial"/>
                <w:noProof/>
                <w:webHidden/>
              </w:rPr>
              <w:instrText xml:space="preserve"> PAGEREF _Toc181289435 \h </w:instrText>
            </w:r>
            <w:r w:rsidR="00CC064B" w:rsidRPr="00F437CC">
              <w:rPr>
                <w:rFonts w:ascii="Arial" w:hAnsi="Arial" w:cs="Arial"/>
                <w:noProof/>
                <w:webHidden/>
              </w:rPr>
            </w:r>
            <w:r w:rsidR="00CC064B" w:rsidRPr="00F437CC">
              <w:rPr>
                <w:rFonts w:ascii="Arial" w:hAnsi="Arial" w:cs="Arial"/>
                <w:noProof/>
                <w:webHidden/>
              </w:rPr>
              <w:fldChar w:fldCharType="separate"/>
            </w:r>
            <w:r w:rsidR="00CC064B" w:rsidRPr="00F437CC">
              <w:rPr>
                <w:rFonts w:ascii="Arial" w:hAnsi="Arial" w:cs="Arial"/>
                <w:noProof/>
                <w:webHidden/>
              </w:rPr>
              <w:t>3</w:t>
            </w:r>
            <w:r w:rsidR="00CC064B" w:rsidRPr="00F437CC">
              <w:rPr>
                <w:rFonts w:ascii="Arial" w:hAnsi="Arial" w:cs="Arial"/>
                <w:noProof/>
                <w:webHidden/>
              </w:rPr>
              <w:fldChar w:fldCharType="end"/>
            </w:r>
          </w:hyperlink>
        </w:p>
        <w:p w14:paraId="1638B800" w14:textId="46EEBA4A" w:rsidR="00CC064B" w:rsidRPr="00F437CC" w:rsidRDefault="00BD593D">
          <w:pPr>
            <w:pStyle w:val="TOC2"/>
            <w:tabs>
              <w:tab w:val="right" w:leader="dot" w:pos="9350"/>
            </w:tabs>
            <w:rPr>
              <w:rFonts w:ascii="Arial" w:hAnsi="Arial" w:cs="Arial"/>
              <w:noProof/>
              <w:kern w:val="2"/>
              <w:sz w:val="24"/>
              <w:szCs w:val="24"/>
              <w14:ligatures w14:val="standardContextual"/>
            </w:rPr>
          </w:pPr>
          <w:hyperlink w:anchor="_Toc181289436" w:history="1">
            <w:r w:rsidR="00CC064B" w:rsidRPr="00F437CC">
              <w:rPr>
                <w:rStyle w:val="Hyperlink"/>
                <w:rFonts w:ascii="Arial" w:hAnsi="Arial" w:cs="Arial"/>
                <w:noProof/>
              </w:rPr>
              <w:t>Presentation</w:t>
            </w:r>
            <w:r w:rsidR="00CC064B" w:rsidRPr="00F437CC">
              <w:rPr>
                <w:rFonts w:ascii="Arial" w:hAnsi="Arial" w:cs="Arial"/>
                <w:noProof/>
                <w:webHidden/>
              </w:rPr>
              <w:tab/>
            </w:r>
            <w:r w:rsidR="00CC064B" w:rsidRPr="00F437CC">
              <w:rPr>
                <w:rFonts w:ascii="Arial" w:hAnsi="Arial" w:cs="Arial"/>
                <w:noProof/>
                <w:webHidden/>
              </w:rPr>
              <w:fldChar w:fldCharType="begin"/>
            </w:r>
            <w:r w:rsidR="00CC064B" w:rsidRPr="00F437CC">
              <w:rPr>
                <w:rFonts w:ascii="Arial" w:hAnsi="Arial" w:cs="Arial"/>
                <w:noProof/>
                <w:webHidden/>
              </w:rPr>
              <w:instrText xml:space="preserve"> PAGEREF _Toc181289436 \h </w:instrText>
            </w:r>
            <w:r w:rsidR="00CC064B" w:rsidRPr="00F437CC">
              <w:rPr>
                <w:rFonts w:ascii="Arial" w:hAnsi="Arial" w:cs="Arial"/>
                <w:noProof/>
                <w:webHidden/>
              </w:rPr>
            </w:r>
            <w:r w:rsidR="00CC064B" w:rsidRPr="00F437CC">
              <w:rPr>
                <w:rFonts w:ascii="Arial" w:hAnsi="Arial" w:cs="Arial"/>
                <w:noProof/>
                <w:webHidden/>
              </w:rPr>
              <w:fldChar w:fldCharType="separate"/>
            </w:r>
            <w:r w:rsidR="00CC064B" w:rsidRPr="00F437CC">
              <w:rPr>
                <w:rFonts w:ascii="Arial" w:hAnsi="Arial" w:cs="Arial"/>
                <w:noProof/>
                <w:webHidden/>
              </w:rPr>
              <w:t>3</w:t>
            </w:r>
            <w:r w:rsidR="00CC064B" w:rsidRPr="00F437CC">
              <w:rPr>
                <w:rFonts w:ascii="Arial" w:hAnsi="Arial" w:cs="Arial"/>
                <w:noProof/>
                <w:webHidden/>
              </w:rPr>
              <w:fldChar w:fldCharType="end"/>
            </w:r>
          </w:hyperlink>
        </w:p>
        <w:p w14:paraId="18F78ACE" w14:textId="5F0A144E" w:rsidR="00CC064B" w:rsidRPr="00F437CC" w:rsidRDefault="00BD593D">
          <w:pPr>
            <w:pStyle w:val="TOC1"/>
            <w:tabs>
              <w:tab w:val="right" w:leader="dot" w:pos="9350"/>
            </w:tabs>
            <w:rPr>
              <w:rFonts w:ascii="Arial" w:hAnsi="Arial" w:cs="Arial"/>
              <w:noProof/>
              <w:kern w:val="2"/>
              <w:sz w:val="24"/>
              <w:szCs w:val="24"/>
              <w14:ligatures w14:val="standardContextual"/>
            </w:rPr>
          </w:pPr>
          <w:hyperlink w:anchor="_Toc181289437" w:history="1">
            <w:r w:rsidR="00CC064B" w:rsidRPr="00F437CC">
              <w:rPr>
                <w:rStyle w:val="Hyperlink"/>
                <w:rFonts w:ascii="Arial" w:hAnsi="Arial" w:cs="Arial"/>
                <w:noProof/>
              </w:rPr>
              <w:t>CHAPTER 1. VIOLENCE AGAINST BOYS, GIRLS, AND ADOLESCENTS IN THE CONTEXT OF THE ARMED CONFLICT</w:t>
            </w:r>
            <w:r w:rsidR="00CC064B" w:rsidRPr="00F437CC">
              <w:rPr>
                <w:rFonts w:ascii="Arial" w:hAnsi="Arial" w:cs="Arial"/>
                <w:noProof/>
                <w:webHidden/>
              </w:rPr>
              <w:tab/>
            </w:r>
            <w:r w:rsidR="00CC064B" w:rsidRPr="00F437CC">
              <w:rPr>
                <w:rFonts w:ascii="Arial" w:hAnsi="Arial" w:cs="Arial"/>
                <w:noProof/>
                <w:webHidden/>
              </w:rPr>
              <w:fldChar w:fldCharType="begin"/>
            </w:r>
            <w:r w:rsidR="00CC064B" w:rsidRPr="00F437CC">
              <w:rPr>
                <w:rFonts w:ascii="Arial" w:hAnsi="Arial" w:cs="Arial"/>
                <w:noProof/>
                <w:webHidden/>
              </w:rPr>
              <w:instrText xml:space="preserve"> PAGEREF _Toc181289437 \h </w:instrText>
            </w:r>
            <w:r w:rsidR="00CC064B" w:rsidRPr="00F437CC">
              <w:rPr>
                <w:rFonts w:ascii="Arial" w:hAnsi="Arial" w:cs="Arial"/>
                <w:noProof/>
                <w:webHidden/>
              </w:rPr>
            </w:r>
            <w:r w:rsidR="00CC064B" w:rsidRPr="00F437CC">
              <w:rPr>
                <w:rFonts w:ascii="Arial" w:hAnsi="Arial" w:cs="Arial"/>
                <w:noProof/>
                <w:webHidden/>
              </w:rPr>
              <w:fldChar w:fldCharType="separate"/>
            </w:r>
            <w:r w:rsidR="00CC064B" w:rsidRPr="00F437CC">
              <w:rPr>
                <w:rFonts w:ascii="Arial" w:hAnsi="Arial" w:cs="Arial"/>
                <w:noProof/>
                <w:webHidden/>
              </w:rPr>
              <w:t>5</w:t>
            </w:r>
            <w:r w:rsidR="00CC064B" w:rsidRPr="00F437CC">
              <w:rPr>
                <w:rFonts w:ascii="Arial" w:hAnsi="Arial" w:cs="Arial"/>
                <w:noProof/>
                <w:webHidden/>
              </w:rPr>
              <w:fldChar w:fldCharType="end"/>
            </w:r>
          </w:hyperlink>
        </w:p>
        <w:p w14:paraId="6B94BA27" w14:textId="2FCC6E1C" w:rsidR="00CC064B" w:rsidRPr="00F437CC" w:rsidRDefault="00BD593D">
          <w:pPr>
            <w:pStyle w:val="TOC2"/>
            <w:tabs>
              <w:tab w:val="right" w:leader="dot" w:pos="9350"/>
            </w:tabs>
            <w:rPr>
              <w:rFonts w:ascii="Arial" w:hAnsi="Arial" w:cs="Arial"/>
              <w:noProof/>
              <w:kern w:val="2"/>
              <w:sz w:val="24"/>
              <w:szCs w:val="24"/>
              <w14:ligatures w14:val="standardContextual"/>
            </w:rPr>
          </w:pPr>
          <w:hyperlink w:anchor="_Toc181289438" w:history="1">
            <w:r w:rsidR="00CC064B" w:rsidRPr="00F437CC">
              <w:rPr>
                <w:rStyle w:val="Hyperlink"/>
                <w:rFonts w:ascii="Arial" w:hAnsi="Arial" w:cs="Arial"/>
                <w:noProof/>
              </w:rPr>
              <w:t>1.1. Overview</w:t>
            </w:r>
            <w:r w:rsidR="00CC064B" w:rsidRPr="00F437CC">
              <w:rPr>
                <w:rFonts w:ascii="Arial" w:hAnsi="Arial" w:cs="Arial"/>
                <w:noProof/>
                <w:webHidden/>
              </w:rPr>
              <w:tab/>
            </w:r>
            <w:r w:rsidR="00CC064B" w:rsidRPr="00F437CC">
              <w:rPr>
                <w:rFonts w:ascii="Arial" w:hAnsi="Arial" w:cs="Arial"/>
                <w:noProof/>
                <w:webHidden/>
              </w:rPr>
              <w:fldChar w:fldCharType="begin"/>
            </w:r>
            <w:r w:rsidR="00CC064B" w:rsidRPr="00F437CC">
              <w:rPr>
                <w:rFonts w:ascii="Arial" w:hAnsi="Arial" w:cs="Arial"/>
                <w:noProof/>
                <w:webHidden/>
              </w:rPr>
              <w:instrText xml:space="preserve"> PAGEREF _Toc181289438 \h </w:instrText>
            </w:r>
            <w:r w:rsidR="00CC064B" w:rsidRPr="00F437CC">
              <w:rPr>
                <w:rFonts w:ascii="Arial" w:hAnsi="Arial" w:cs="Arial"/>
                <w:noProof/>
                <w:webHidden/>
              </w:rPr>
            </w:r>
            <w:r w:rsidR="00CC064B" w:rsidRPr="00F437CC">
              <w:rPr>
                <w:rFonts w:ascii="Arial" w:hAnsi="Arial" w:cs="Arial"/>
                <w:noProof/>
                <w:webHidden/>
              </w:rPr>
              <w:fldChar w:fldCharType="separate"/>
            </w:r>
            <w:r w:rsidR="00CC064B" w:rsidRPr="00F437CC">
              <w:rPr>
                <w:rFonts w:ascii="Arial" w:hAnsi="Arial" w:cs="Arial"/>
                <w:noProof/>
                <w:webHidden/>
              </w:rPr>
              <w:t>5</w:t>
            </w:r>
            <w:r w:rsidR="00CC064B" w:rsidRPr="00F437CC">
              <w:rPr>
                <w:rFonts w:ascii="Arial" w:hAnsi="Arial" w:cs="Arial"/>
                <w:noProof/>
                <w:webHidden/>
              </w:rPr>
              <w:fldChar w:fldCharType="end"/>
            </w:r>
          </w:hyperlink>
        </w:p>
        <w:p w14:paraId="43B668A6" w14:textId="7498C5A1" w:rsidR="00CC064B" w:rsidRPr="00F437CC" w:rsidRDefault="00BD593D">
          <w:pPr>
            <w:pStyle w:val="TOC2"/>
            <w:tabs>
              <w:tab w:val="right" w:leader="dot" w:pos="9350"/>
            </w:tabs>
            <w:rPr>
              <w:rFonts w:ascii="Arial" w:hAnsi="Arial" w:cs="Arial"/>
              <w:noProof/>
              <w:kern w:val="2"/>
              <w:sz w:val="24"/>
              <w:szCs w:val="24"/>
              <w14:ligatures w14:val="standardContextual"/>
            </w:rPr>
          </w:pPr>
          <w:hyperlink w:anchor="_Toc181289439" w:history="1">
            <w:r w:rsidR="00CC064B" w:rsidRPr="00F437CC">
              <w:rPr>
                <w:rStyle w:val="Hyperlink"/>
                <w:rFonts w:ascii="Arial" w:hAnsi="Arial" w:cs="Arial"/>
                <w:noProof/>
              </w:rPr>
              <w:t>1.2. The Colombian State Fails to Adopt Effective Measures to Prevent the Recruitment of Boys, Girls, and Adolescents</w:t>
            </w:r>
            <w:r w:rsidR="00CC064B" w:rsidRPr="00F437CC">
              <w:rPr>
                <w:rFonts w:ascii="Arial" w:hAnsi="Arial" w:cs="Arial"/>
                <w:noProof/>
                <w:webHidden/>
              </w:rPr>
              <w:tab/>
            </w:r>
            <w:r w:rsidR="00CC064B" w:rsidRPr="00F437CC">
              <w:rPr>
                <w:rFonts w:ascii="Arial" w:hAnsi="Arial" w:cs="Arial"/>
                <w:noProof/>
                <w:webHidden/>
              </w:rPr>
              <w:fldChar w:fldCharType="begin"/>
            </w:r>
            <w:r w:rsidR="00CC064B" w:rsidRPr="00F437CC">
              <w:rPr>
                <w:rFonts w:ascii="Arial" w:hAnsi="Arial" w:cs="Arial"/>
                <w:noProof/>
                <w:webHidden/>
              </w:rPr>
              <w:instrText xml:space="preserve"> PAGEREF _Toc181289439 \h </w:instrText>
            </w:r>
            <w:r w:rsidR="00CC064B" w:rsidRPr="00F437CC">
              <w:rPr>
                <w:rFonts w:ascii="Arial" w:hAnsi="Arial" w:cs="Arial"/>
                <w:noProof/>
                <w:webHidden/>
              </w:rPr>
            </w:r>
            <w:r w:rsidR="00CC064B" w:rsidRPr="00F437CC">
              <w:rPr>
                <w:rFonts w:ascii="Arial" w:hAnsi="Arial" w:cs="Arial"/>
                <w:noProof/>
                <w:webHidden/>
              </w:rPr>
              <w:fldChar w:fldCharType="separate"/>
            </w:r>
            <w:r w:rsidR="00CC064B" w:rsidRPr="00F437CC">
              <w:rPr>
                <w:rFonts w:ascii="Arial" w:hAnsi="Arial" w:cs="Arial"/>
                <w:noProof/>
                <w:webHidden/>
              </w:rPr>
              <w:t>6</w:t>
            </w:r>
            <w:r w:rsidR="00CC064B" w:rsidRPr="00F437CC">
              <w:rPr>
                <w:rFonts w:ascii="Arial" w:hAnsi="Arial" w:cs="Arial"/>
                <w:noProof/>
                <w:webHidden/>
              </w:rPr>
              <w:fldChar w:fldCharType="end"/>
            </w:r>
          </w:hyperlink>
        </w:p>
        <w:p w14:paraId="47D97328" w14:textId="496B191B" w:rsidR="00CC064B" w:rsidRPr="00F437CC" w:rsidRDefault="00BD593D">
          <w:pPr>
            <w:pStyle w:val="TOC2"/>
            <w:tabs>
              <w:tab w:val="left" w:pos="960"/>
              <w:tab w:val="right" w:leader="dot" w:pos="9350"/>
            </w:tabs>
            <w:rPr>
              <w:rFonts w:ascii="Arial" w:hAnsi="Arial" w:cs="Arial"/>
              <w:noProof/>
              <w:kern w:val="2"/>
              <w:sz w:val="24"/>
              <w:szCs w:val="24"/>
              <w14:ligatures w14:val="standardContextual"/>
            </w:rPr>
          </w:pPr>
          <w:hyperlink w:anchor="_Toc181289440" w:history="1">
            <w:r w:rsidR="00CC064B" w:rsidRPr="00F437CC">
              <w:rPr>
                <w:rStyle w:val="Hyperlink"/>
                <w:rFonts w:ascii="Arial" w:hAnsi="Arial" w:cs="Arial"/>
                <w:noProof/>
              </w:rPr>
              <w:t>1.3.The State Attacked Recruited Boys and Girls Indiscriminately and Re-victimized them</w:t>
            </w:r>
            <w:r w:rsidR="00CC064B" w:rsidRPr="00F437CC">
              <w:rPr>
                <w:rFonts w:ascii="Arial" w:hAnsi="Arial" w:cs="Arial"/>
                <w:noProof/>
                <w:webHidden/>
              </w:rPr>
              <w:tab/>
            </w:r>
            <w:r w:rsidR="00CC064B" w:rsidRPr="00F437CC">
              <w:rPr>
                <w:rFonts w:ascii="Arial" w:hAnsi="Arial" w:cs="Arial"/>
                <w:noProof/>
                <w:webHidden/>
              </w:rPr>
              <w:fldChar w:fldCharType="begin"/>
            </w:r>
            <w:r w:rsidR="00CC064B" w:rsidRPr="00F437CC">
              <w:rPr>
                <w:rFonts w:ascii="Arial" w:hAnsi="Arial" w:cs="Arial"/>
                <w:noProof/>
                <w:webHidden/>
              </w:rPr>
              <w:instrText xml:space="preserve"> PAGEREF _Toc181289440 \h </w:instrText>
            </w:r>
            <w:r w:rsidR="00CC064B" w:rsidRPr="00F437CC">
              <w:rPr>
                <w:rFonts w:ascii="Arial" w:hAnsi="Arial" w:cs="Arial"/>
                <w:noProof/>
                <w:webHidden/>
              </w:rPr>
            </w:r>
            <w:r w:rsidR="00CC064B" w:rsidRPr="00F437CC">
              <w:rPr>
                <w:rFonts w:ascii="Arial" w:hAnsi="Arial" w:cs="Arial"/>
                <w:noProof/>
                <w:webHidden/>
              </w:rPr>
              <w:fldChar w:fldCharType="separate"/>
            </w:r>
            <w:r w:rsidR="00CC064B" w:rsidRPr="00F437CC">
              <w:rPr>
                <w:rFonts w:ascii="Arial" w:hAnsi="Arial" w:cs="Arial"/>
                <w:noProof/>
                <w:webHidden/>
              </w:rPr>
              <w:t>10</w:t>
            </w:r>
            <w:r w:rsidR="00CC064B" w:rsidRPr="00F437CC">
              <w:rPr>
                <w:rFonts w:ascii="Arial" w:hAnsi="Arial" w:cs="Arial"/>
                <w:noProof/>
                <w:webHidden/>
              </w:rPr>
              <w:fldChar w:fldCharType="end"/>
            </w:r>
          </w:hyperlink>
        </w:p>
        <w:p w14:paraId="7C23B0FA" w14:textId="71E477F8" w:rsidR="00CC064B" w:rsidRPr="00F437CC" w:rsidRDefault="00BD593D">
          <w:pPr>
            <w:pStyle w:val="TOC2"/>
            <w:tabs>
              <w:tab w:val="right" w:leader="dot" w:pos="9350"/>
            </w:tabs>
            <w:rPr>
              <w:rFonts w:ascii="Arial" w:hAnsi="Arial" w:cs="Arial"/>
              <w:noProof/>
              <w:kern w:val="2"/>
              <w:sz w:val="24"/>
              <w:szCs w:val="24"/>
              <w14:ligatures w14:val="standardContextual"/>
            </w:rPr>
          </w:pPr>
          <w:hyperlink w:anchor="_Toc181289441" w:history="1">
            <w:r w:rsidR="00CC064B" w:rsidRPr="00F437CC">
              <w:rPr>
                <w:rStyle w:val="Hyperlink"/>
                <w:rFonts w:ascii="Arial" w:hAnsi="Arial" w:cs="Arial"/>
                <w:noProof/>
              </w:rPr>
              <w:t>1.4. Transgenerational Suffering in the Armed Conflict</w:t>
            </w:r>
            <w:r w:rsidR="00CC064B" w:rsidRPr="00F437CC">
              <w:rPr>
                <w:rFonts w:ascii="Arial" w:hAnsi="Arial" w:cs="Arial"/>
                <w:noProof/>
                <w:webHidden/>
              </w:rPr>
              <w:tab/>
            </w:r>
            <w:r w:rsidR="00CC064B" w:rsidRPr="00F437CC">
              <w:rPr>
                <w:rFonts w:ascii="Arial" w:hAnsi="Arial" w:cs="Arial"/>
                <w:noProof/>
                <w:webHidden/>
              </w:rPr>
              <w:fldChar w:fldCharType="begin"/>
            </w:r>
            <w:r w:rsidR="00CC064B" w:rsidRPr="00F437CC">
              <w:rPr>
                <w:rFonts w:ascii="Arial" w:hAnsi="Arial" w:cs="Arial"/>
                <w:noProof/>
                <w:webHidden/>
              </w:rPr>
              <w:instrText xml:space="preserve"> PAGEREF _Toc181289441 \h </w:instrText>
            </w:r>
            <w:r w:rsidR="00CC064B" w:rsidRPr="00F437CC">
              <w:rPr>
                <w:rFonts w:ascii="Arial" w:hAnsi="Arial" w:cs="Arial"/>
                <w:noProof/>
                <w:webHidden/>
              </w:rPr>
            </w:r>
            <w:r w:rsidR="00CC064B" w:rsidRPr="00F437CC">
              <w:rPr>
                <w:rFonts w:ascii="Arial" w:hAnsi="Arial" w:cs="Arial"/>
                <w:noProof/>
                <w:webHidden/>
              </w:rPr>
              <w:fldChar w:fldCharType="separate"/>
            </w:r>
            <w:r w:rsidR="00CC064B" w:rsidRPr="00F437CC">
              <w:rPr>
                <w:rFonts w:ascii="Arial" w:hAnsi="Arial" w:cs="Arial"/>
                <w:noProof/>
                <w:webHidden/>
              </w:rPr>
              <w:t>12</w:t>
            </w:r>
            <w:r w:rsidR="00CC064B" w:rsidRPr="00F437CC">
              <w:rPr>
                <w:rFonts w:ascii="Arial" w:hAnsi="Arial" w:cs="Arial"/>
                <w:noProof/>
                <w:webHidden/>
              </w:rPr>
              <w:fldChar w:fldCharType="end"/>
            </w:r>
          </w:hyperlink>
        </w:p>
        <w:p w14:paraId="004952CC" w14:textId="5A4B31FB" w:rsidR="00CC064B" w:rsidRPr="00F437CC" w:rsidRDefault="00BD593D">
          <w:pPr>
            <w:pStyle w:val="TOC1"/>
            <w:tabs>
              <w:tab w:val="right" w:leader="dot" w:pos="9350"/>
            </w:tabs>
            <w:rPr>
              <w:rFonts w:ascii="Arial" w:hAnsi="Arial" w:cs="Arial"/>
              <w:noProof/>
              <w:kern w:val="2"/>
              <w:sz w:val="24"/>
              <w:szCs w:val="24"/>
              <w14:ligatures w14:val="standardContextual"/>
            </w:rPr>
          </w:pPr>
          <w:hyperlink w:anchor="_Toc181289442" w:history="1">
            <w:r w:rsidR="00CC064B" w:rsidRPr="00F437CC">
              <w:rPr>
                <w:rStyle w:val="Hyperlink"/>
                <w:rFonts w:ascii="Arial" w:hAnsi="Arial" w:cs="Arial"/>
                <w:noProof/>
              </w:rPr>
              <w:t>CHAPTER 2. VIOLENCE AGAINST BOYS AND GIRLS NOT NECESSARILY LINKED TO THE ARMED CONFLICT</w:t>
            </w:r>
            <w:r w:rsidR="00CC064B" w:rsidRPr="00F437CC">
              <w:rPr>
                <w:rFonts w:ascii="Arial" w:hAnsi="Arial" w:cs="Arial"/>
                <w:noProof/>
                <w:webHidden/>
              </w:rPr>
              <w:tab/>
            </w:r>
            <w:r w:rsidR="00CC064B" w:rsidRPr="00F437CC">
              <w:rPr>
                <w:rFonts w:ascii="Arial" w:hAnsi="Arial" w:cs="Arial"/>
                <w:noProof/>
                <w:webHidden/>
              </w:rPr>
              <w:fldChar w:fldCharType="begin"/>
            </w:r>
            <w:r w:rsidR="00CC064B" w:rsidRPr="00F437CC">
              <w:rPr>
                <w:rFonts w:ascii="Arial" w:hAnsi="Arial" w:cs="Arial"/>
                <w:noProof/>
                <w:webHidden/>
              </w:rPr>
              <w:instrText xml:space="preserve"> PAGEREF _Toc181289442 \h </w:instrText>
            </w:r>
            <w:r w:rsidR="00CC064B" w:rsidRPr="00F437CC">
              <w:rPr>
                <w:rFonts w:ascii="Arial" w:hAnsi="Arial" w:cs="Arial"/>
                <w:noProof/>
                <w:webHidden/>
              </w:rPr>
            </w:r>
            <w:r w:rsidR="00CC064B" w:rsidRPr="00F437CC">
              <w:rPr>
                <w:rFonts w:ascii="Arial" w:hAnsi="Arial" w:cs="Arial"/>
                <w:noProof/>
                <w:webHidden/>
              </w:rPr>
              <w:fldChar w:fldCharType="separate"/>
            </w:r>
            <w:r w:rsidR="00CC064B" w:rsidRPr="00F437CC">
              <w:rPr>
                <w:rFonts w:ascii="Arial" w:hAnsi="Arial" w:cs="Arial"/>
                <w:noProof/>
                <w:webHidden/>
              </w:rPr>
              <w:t>13</w:t>
            </w:r>
            <w:r w:rsidR="00CC064B" w:rsidRPr="00F437CC">
              <w:rPr>
                <w:rFonts w:ascii="Arial" w:hAnsi="Arial" w:cs="Arial"/>
                <w:noProof/>
                <w:webHidden/>
              </w:rPr>
              <w:fldChar w:fldCharType="end"/>
            </w:r>
          </w:hyperlink>
        </w:p>
        <w:p w14:paraId="17FA05D9" w14:textId="424F295F" w:rsidR="00CC064B" w:rsidRPr="00F437CC" w:rsidRDefault="00BD593D">
          <w:pPr>
            <w:pStyle w:val="TOC2"/>
            <w:tabs>
              <w:tab w:val="right" w:leader="dot" w:pos="9350"/>
            </w:tabs>
            <w:rPr>
              <w:rFonts w:ascii="Arial" w:hAnsi="Arial" w:cs="Arial"/>
              <w:noProof/>
              <w:kern w:val="2"/>
              <w:sz w:val="24"/>
              <w:szCs w:val="24"/>
              <w14:ligatures w14:val="standardContextual"/>
            </w:rPr>
          </w:pPr>
          <w:hyperlink w:anchor="_Toc181289443" w:history="1">
            <w:r w:rsidR="00CC064B" w:rsidRPr="00F437CC">
              <w:rPr>
                <w:rStyle w:val="Hyperlink"/>
                <w:rFonts w:ascii="Arial" w:hAnsi="Arial" w:cs="Arial"/>
                <w:noProof/>
              </w:rPr>
              <w:t>2.1.  Lack of Due Diligence in Investigating and Prosecuting Crimes Against Boys and Girls</w:t>
            </w:r>
            <w:r w:rsidR="00CC064B" w:rsidRPr="00F437CC">
              <w:rPr>
                <w:rFonts w:ascii="Arial" w:hAnsi="Arial" w:cs="Arial"/>
                <w:noProof/>
                <w:webHidden/>
              </w:rPr>
              <w:tab/>
            </w:r>
            <w:r w:rsidR="00CC064B" w:rsidRPr="00F437CC">
              <w:rPr>
                <w:rFonts w:ascii="Arial" w:hAnsi="Arial" w:cs="Arial"/>
                <w:noProof/>
                <w:webHidden/>
              </w:rPr>
              <w:fldChar w:fldCharType="begin"/>
            </w:r>
            <w:r w:rsidR="00CC064B" w:rsidRPr="00F437CC">
              <w:rPr>
                <w:rFonts w:ascii="Arial" w:hAnsi="Arial" w:cs="Arial"/>
                <w:noProof/>
                <w:webHidden/>
              </w:rPr>
              <w:instrText xml:space="preserve"> PAGEREF _Toc181289443 \h </w:instrText>
            </w:r>
            <w:r w:rsidR="00CC064B" w:rsidRPr="00F437CC">
              <w:rPr>
                <w:rFonts w:ascii="Arial" w:hAnsi="Arial" w:cs="Arial"/>
                <w:noProof/>
                <w:webHidden/>
              </w:rPr>
            </w:r>
            <w:r w:rsidR="00CC064B" w:rsidRPr="00F437CC">
              <w:rPr>
                <w:rFonts w:ascii="Arial" w:hAnsi="Arial" w:cs="Arial"/>
                <w:noProof/>
                <w:webHidden/>
              </w:rPr>
              <w:fldChar w:fldCharType="separate"/>
            </w:r>
            <w:r w:rsidR="00CC064B" w:rsidRPr="00F437CC">
              <w:rPr>
                <w:rFonts w:ascii="Arial" w:hAnsi="Arial" w:cs="Arial"/>
                <w:noProof/>
                <w:webHidden/>
              </w:rPr>
              <w:t>13</w:t>
            </w:r>
            <w:r w:rsidR="00CC064B" w:rsidRPr="00F437CC">
              <w:rPr>
                <w:rFonts w:ascii="Arial" w:hAnsi="Arial" w:cs="Arial"/>
                <w:noProof/>
                <w:webHidden/>
              </w:rPr>
              <w:fldChar w:fldCharType="end"/>
            </w:r>
          </w:hyperlink>
        </w:p>
        <w:p w14:paraId="6DBF0FFA" w14:textId="16ECBA4A" w:rsidR="00CC064B" w:rsidRPr="00F437CC" w:rsidRDefault="00BD593D">
          <w:pPr>
            <w:pStyle w:val="TOC2"/>
            <w:tabs>
              <w:tab w:val="right" w:leader="dot" w:pos="9350"/>
            </w:tabs>
            <w:rPr>
              <w:rFonts w:ascii="Arial" w:hAnsi="Arial" w:cs="Arial"/>
              <w:noProof/>
              <w:kern w:val="2"/>
              <w:sz w:val="24"/>
              <w:szCs w:val="24"/>
              <w14:ligatures w14:val="standardContextual"/>
            </w:rPr>
          </w:pPr>
          <w:hyperlink w:anchor="_Toc181289444" w:history="1">
            <w:r w:rsidR="00CC064B" w:rsidRPr="00F437CC">
              <w:rPr>
                <w:rStyle w:val="Hyperlink"/>
                <w:rFonts w:ascii="Arial" w:hAnsi="Arial" w:cs="Arial"/>
                <w:noProof/>
              </w:rPr>
              <w:t>2.2. Commercial Sexual Exploitation of Boys, Girls, and Adolescents  (ESCNNA)</w:t>
            </w:r>
            <w:r w:rsidR="00CC064B" w:rsidRPr="00F437CC">
              <w:rPr>
                <w:rFonts w:ascii="Arial" w:hAnsi="Arial" w:cs="Arial"/>
                <w:noProof/>
                <w:webHidden/>
              </w:rPr>
              <w:tab/>
            </w:r>
            <w:r w:rsidR="00CC064B" w:rsidRPr="00F437CC">
              <w:rPr>
                <w:rFonts w:ascii="Arial" w:hAnsi="Arial" w:cs="Arial"/>
                <w:noProof/>
                <w:webHidden/>
              </w:rPr>
              <w:fldChar w:fldCharType="begin"/>
            </w:r>
            <w:r w:rsidR="00CC064B" w:rsidRPr="00F437CC">
              <w:rPr>
                <w:rFonts w:ascii="Arial" w:hAnsi="Arial" w:cs="Arial"/>
                <w:noProof/>
                <w:webHidden/>
              </w:rPr>
              <w:instrText xml:space="preserve"> PAGEREF _Toc181289444 \h </w:instrText>
            </w:r>
            <w:r w:rsidR="00CC064B" w:rsidRPr="00F437CC">
              <w:rPr>
                <w:rFonts w:ascii="Arial" w:hAnsi="Arial" w:cs="Arial"/>
                <w:noProof/>
                <w:webHidden/>
              </w:rPr>
            </w:r>
            <w:r w:rsidR="00CC064B" w:rsidRPr="00F437CC">
              <w:rPr>
                <w:rFonts w:ascii="Arial" w:hAnsi="Arial" w:cs="Arial"/>
                <w:noProof/>
                <w:webHidden/>
              </w:rPr>
              <w:fldChar w:fldCharType="separate"/>
            </w:r>
            <w:r w:rsidR="00CC064B" w:rsidRPr="00F437CC">
              <w:rPr>
                <w:rFonts w:ascii="Arial" w:hAnsi="Arial" w:cs="Arial"/>
                <w:noProof/>
                <w:webHidden/>
              </w:rPr>
              <w:t>16</w:t>
            </w:r>
            <w:r w:rsidR="00CC064B" w:rsidRPr="00F437CC">
              <w:rPr>
                <w:rFonts w:ascii="Arial" w:hAnsi="Arial" w:cs="Arial"/>
                <w:noProof/>
                <w:webHidden/>
              </w:rPr>
              <w:fldChar w:fldCharType="end"/>
            </w:r>
          </w:hyperlink>
        </w:p>
        <w:p w14:paraId="55D4D03A" w14:textId="76AC90D2" w:rsidR="00CC064B" w:rsidRPr="00F437CC" w:rsidRDefault="00BD593D">
          <w:pPr>
            <w:pStyle w:val="TOC2"/>
            <w:tabs>
              <w:tab w:val="right" w:leader="dot" w:pos="9350"/>
            </w:tabs>
            <w:rPr>
              <w:rFonts w:ascii="Arial" w:hAnsi="Arial" w:cs="Arial"/>
              <w:noProof/>
              <w:kern w:val="2"/>
              <w:sz w:val="24"/>
              <w:szCs w:val="24"/>
              <w14:ligatures w14:val="standardContextual"/>
            </w:rPr>
          </w:pPr>
          <w:hyperlink w:anchor="_Toc181289445" w:history="1">
            <w:r w:rsidR="00CC064B" w:rsidRPr="00F437CC">
              <w:rPr>
                <w:rStyle w:val="Hyperlink"/>
                <w:rFonts w:ascii="Arial" w:hAnsi="Arial" w:cs="Arial"/>
                <w:noProof/>
              </w:rPr>
              <w:t>2.3. Arms Trafficking and Possession</w:t>
            </w:r>
            <w:r w:rsidR="00CC064B" w:rsidRPr="00F437CC">
              <w:rPr>
                <w:rFonts w:ascii="Arial" w:hAnsi="Arial" w:cs="Arial"/>
                <w:noProof/>
                <w:webHidden/>
              </w:rPr>
              <w:tab/>
            </w:r>
            <w:r w:rsidR="00CC064B" w:rsidRPr="00F437CC">
              <w:rPr>
                <w:rFonts w:ascii="Arial" w:hAnsi="Arial" w:cs="Arial"/>
                <w:noProof/>
                <w:webHidden/>
              </w:rPr>
              <w:fldChar w:fldCharType="begin"/>
            </w:r>
            <w:r w:rsidR="00CC064B" w:rsidRPr="00F437CC">
              <w:rPr>
                <w:rFonts w:ascii="Arial" w:hAnsi="Arial" w:cs="Arial"/>
                <w:noProof/>
                <w:webHidden/>
              </w:rPr>
              <w:instrText xml:space="preserve"> PAGEREF _Toc181289445 \h </w:instrText>
            </w:r>
            <w:r w:rsidR="00CC064B" w:rsidRPr="00F437CC">
              <w:rPr>
                <w:rFonts w:ascii="Arial" w:hAnsi="Arial" w:cs="Arial"/>
                <w:noProof/>
                <w:webHidden/>
              </w:rPr>
            </w:r>
            <w:r w:rsidR="00CC064B" w:rsidRPr="00F437CC">
              <w:rPr>
                <w:rFonts w:ascii="Arial" w:hAnsi="Arial" w:cs="Arial"/>
                <w:noProof/>
                <w:webHidden/>
              </w:rPr>
              <w:fldChar w:fldCharType="separate"/>
            </w:r>
            <w:r w:rsidR="00CC064B" w:rsidRPr="00F437CC">
              <w:rPr>
                <w:rFonts w:ascii="Arial" w:hAnsi="Arial" w:cs="Arial"/>
                <w:noProof/>
                <w:webHidden/>
              </w:rPr>
              <w:t>17</w:t>
            </w:r>
            <w:r w:rsidR="00CC064B" w:rsidRPr="00F437CC">
              <w:rPr>
                <w:rFonts w:ascii="Arial" w:hAnsi="Arial" w:cs="Arial"/>
                <w:noProof/>
                <w:webHidden/>
              </w:rPr>
              <w:fldChar w:fldCharType="end"/>
            </w:r>
          </w:hyperlink>
        </w:p>
        <w:p w14:paraId="60452E64" w14:textId="5E6D4B21" w:rsidR="00CC064B" w:rsidRPr="00F437CC" w:rsidRDefault="00BD593D">
          <w:pPr>
            <w:pStyle w:val="TOC2"/>
            <w:tabs>
              <w:tab w:val="right" w:leader="dot" w:pos="9350"/>
            </w:tabs>
            <w:rPr>
              <w:rFonts w:ascii="Arial" w:hAnsi="Arial" w:cs="Arial"/>
              <w:noProof/>
              <w:kern w:val="2"/>
              <w:sz w:val="24"/>
              <w:szCs w:val="24"/>
              <w14:ligatures w14:val="standardContextual"/>
            </w:rPr>
          </w:pPr>
          <w:hyperlink w:anchor="_Toc181289446" w:history="1">
            <w:r w:rsidR="00CC064B" w:rsidRPr="00F437CC">
              <w:rPr>
                <w:rStyle w:val="Hyperlink"/>
                <w:rFonts w:ascii="Arial" w:hAnsi="Arial" w:cs="Arial"/>
                <w:noProof/>
              </w:rPr>
              <w:t>2.4. Violence against Child Human Rights Defenders</w:t>
            </w:r>
            <w:r w:rsidR="00CC064B" w:rsidRPr="00F437CC">
              <w:rPr>
                <w:rFonts w:ascii="Arial" w:hAnsi="Arial" w:cs="Arial"/>
                <w:noProof/>
                <w:webHidden/>
              </w:rPr>
              <w:tab/>
            </w:r>
            <w:r w:rsidR="00CC064B" w:rsidRPr="00F437CC">
              <w:rPr>
                <w:rFonts w:ascii="Arial" w:hAnsi="Arial" w:cs="Arial"/>
                <w:noProof/>
                <w:webHidden/>
              </w:rPr>
              <w:fldChar w:fldCharType="begin"/>
            </w:r>
            <w:r w:rsidR="00CC064B" w:rsidRPr="00F437CC">
              <w:rPr>
                <w:rFonts w:ascii="Arial" w:hAnsi="Arial" w:cs="Arial"/>
                <w:noProof/>
                <w:webHidden/>
              </w:rPr>
              <w:instrText xml:space="preserve"> PAGEREF _Toc181289446 \h </w:instrText>
            </w:r>
            <w:r w:rsidR="00CC064B" w:rsidRPr="00F437CC">
              <w:rPr>
                <w:rFonts w:ascii="Arial" w:hAnsi="Arial" w:cs="Arial"/>
                <w:noProof/>
                <w:webHidden/>
              </w:rPr>
            </w:r>
            <w:r w:rsidR="00CC064B" w:rsidRPr="00F437CC">
              <w:rPr>
                <w:rFonts w:ascii="Arial" w:hAnsi="Arial" w:cs="Arial"/>
                <w:noProof/>
                <w:webHidden/>
              </w:rPr>
              <w:fldChar w:fldCharType="separate"/>
            </w:r>
            <w:r w:rsidR="00CC064B" w:rsidRPr="00F437CC">
              <w:rPr>
                <w:rFonts w:ascii="Arial" w:hAnsi="Arial" w:cs="Arial"/>
                <w:noProof/>
                <w:webHidden/>
              </w:rPr>
              <w:t>19</w:t>
            </w:r>
            <w:r w:rsidR="00CC064B" w:rsidRPr="00F437CC">
              <w:rPr>
                <w:rFonts w:ascii="Arial" w:hAnsi="Arial" w:cs="Arial"/>
                <w:noProof/>
                <w:webHidden/>
              </w:rPr>
              <w:fldChar w:fldCharType="end"/>
            </w:r>
          </w:hyperlink>
        </w:p>
        <w:p w14:paraId="59118CB1" w14:textId="29E6F7A7" w:rsidR="00CC064B" w:rsidRPr="00F437CC" w:rsidRDefault="00BD593D">
          <w:pPr>
            <w:pStyle w:val="TOC2"/>
            <w:tabs>
              <w:tab w:val="right" w:leader="dot" w:pos="9350"/>
            </w:tabs>
            <w:rPr>
              <w:rFonts w:ascii="Arial" w:hAnsi="Arial" w:cs="Arial"/>
              <w:noProof/>
              <w:kern w:val="2"/>
              <w:sz w:val="24"/>
              <w:szCs w:val="24"/>
              <w14:ligatures w14:val="standardContextual"/>
            </w:rPr>
          </w:pPr>
          <w:hyperlink w:anchor="_Toc181289447" w:history="1">
            <w:r w:rsidR="00CC064B" w:rsidRPr="00F437CC">
              <w:rPr>
                <w:rStyle w:val="Hyperlink"/>
                <w:rFonts w:ascii="Arial" w:hAnsi="Arial" w:cs="Arial"/>
                <w:noProof/>
              </w:rPr>
              <w:t>2.5.  Violence against Boys, Girls, and Adolescents due to Protest Activities</w:t>
            </w:r>
            <w:r w:rsidR="00CC064B" w:rsidRPr="00F437CC">
              <w:rPr>
                <w:rFonts w:ascii="Arial" w:hAnsi="Arial" w:cs="Arial"/>
                <w:noProof/>
                <w:webHidden/>
              </w:rPr>
              <w:tab/>
            </w:r>
            <w:r w:rsidR="00CC064B" w:rsidRPr="00F437CC">
              <w:rPr>
                <w:rFonts w:ascii="Arial" w:hAnsi="Arial" w:cs="Arial"/>
                <w:noProof/>
                <w:webHidden/>
              </w:rPr>
              <w:fldChar w:fldCharType="begin"/>
            </w:r>
            <w:r w:rsidR="00CC064B" w:rsidRPr="00F437CC">
              <w:rPr>
                <w:rFonts w:ascii="Arial" w:hAnsi="Arial" w:cs="Arial"/>
                <w:noProof/>
                <w:webHidden/>
              </w:rPr>
              <w:instrText xml:space="preserve"> PAGEREF _Toc181289447 \h </w:instrText>
            </w:r>
            <w:r w:rsidR="00CC064B" w:rsidRPr="00F437CC">
              <w:rPr>
                <w:rFonts w:ascii="Arial" w:hAnsi="Arial" w:cs="Arial"/>
                <w:noProof/>
                <w:webHidden/>
              </w:rPr>
            </w:r>
            <w:r w:rsidR="00CC064B" w:rsidRPr="00F437CC">
              <w:rPr>
                <w:rFonts w:ascii="Arial" w:hAnsi="Arial" w:cs="Arial"/>
                <w:noProof/>
                <w:webHidden/>
              </w:rPr>
              <w:fldChar w:fldCharType="separate"/>
            </w:r>
            <w:r w:rsidR="00CC064B" w:rsidRPr="00F437CC">
              <w:rPr>
                <w:rFonts w:ascii="Arial" w:hAnsi="Arial" w:cs="Arial"/>
                <w:noProof/>
                <w:webHidden/>
              </w:rPr>
              <w:t>21</w:t>
            </w:r>
            <w:r w:rsidR="00CC064B" w:rsidRPr="00F437CC">
              <w:rPr>
                <w:rFonts w:ascii="Arial" w:hAnsi="Arial" w:cs="Arial"/>
                <w:noProof/>
                <w:webHidden/>
              </w:rPr>
              <w:fldChar w:fldCharType="end"/>
            </w:r>
          </w:hyperlink>
        </w:p>
        <w:p w14:paraId="114F3E64" w14:textId="74422A73" w:rsidR="00CC064B" w:rsidRPr="00F437CC" w:rsidRDefault="00BD593D">
          <w:pPr>
            <w:pStyle w:val="TOC1"/>
            <w:tabs>
              <w:tab w:val="right" w:leader="dot" w:pos="9350"/>
            </w:tabs>
            <w:rPr>
              <w:rFonts w:ascii="Arial" w:hAnsi="Arial" w:cs="Arial"/>
              <w:noProof/>
              <w:kern w:val="2"/>
              <w:sz w:val="24"/>
              <w:szCs w:val="24"/>
              <w14:ligatures w14:val="standardContextual"/>
            </w:rPr>
          </w:pPr>
          <w:hyperlink w:anchor="_Toc181289448" w:history="1">
            <w:r w:rsidR="00CC064B" w:rsidRPr="00F437CC">
              <w:rPr>
                <w:rStyle w:val="Hyperlink"/>
                <w:rFonts w:ascii="Arial" w:hAnsi="Arial" w:cs="Arial"/>
                <w:noProof/>
              </w:rPr>
              <w:t>CHAPTER 3: ECONOMIC, SOCIAL, AND CULTURAL RIGHTS</w:t>
            </w:r>
            <w:r w:rsidR="00CC064B" w:rsidRPr="00F437CC">
              <w:rPr>
                <w:rFonts w:ascii="Arial" w:hAnsi="Arial" w:cs="Arial"/>
                <w:noProof/>
                <w:webHidden/>
              </w:rPr>
              <w:tab/>
            </w:r>
            <w:r w:rsidR="00CC064B" w:rsidRPr="00F437CC">
              <w:rPr>
                <w:rFonts w:ascii="Arial" w:hAnsi="Arial" w:cs="Arial"/>
                <w:noProof/>
                <w:webHidden/>
              </w:rPr>
              <w:fldChar w:fldCharType="begin"/>
            </w:r>
            <w:r w:rsidR="00CC064B" w:rsidRPr="00F437CC">
              <w:rPr>
                <w:rFonts w:ascii="Arial" w:hAnsi="Arial" w:cs="Arial"/>
                <w:noProof/>
                <w:webHidden/>
              </w:rPr>
              <w:instrText xml:space="preserve"> PAGEREF _Toc181289448 \h </w:instrText>
            </w:r>
            <w:r w:rsidR="00CC064B" w:rsidRPr="00F437CC">
              <w:rPr>
                <w:rFonts w:ascii="Arial" w:hAnsi="Arial" w:cs="Arial"/>
                <w:noProof/>
                <w:webHidden/>
              </w:rPr>
            </w:r>
            <w:r w:rsidR="00CC064B" w:rsidRPr="00F437CC">
              <w:rPr>
                <w:rFonts w:ascii="Arial" w:hAnsi="Arial" w:cs="Arial"/>
                <w:noProof/>
                <w:webHidden/>
              </w:rPr>
              <w:fldChar w:fldCharType="separate"/>
            </w:r>
            <w:r w:rsidR="00CC064B" w:rsidRPr="00F437CC">
              <w:rPr>
                <w:rFonts w:ascii="Arial" w:hAnsi="Arial" w:cs="Arial"/>
                <w:noProof/>
                <w:webHidden/>
              </w:rPr>
              <w:t>23</w:t>
            </w:r>
            <w:r w:rsidR="00CC064B" w:rsidRPr="00F437CC">
              <w:rPr>
                <w:rFonts w:ascii="Arial" w:hAnsi="Arial" w:cs="Arial"/>
                <w:noProof/>
                <w:webHidden/>
              </w:rPr>
              <w:fldChar w:fldCharType="end"/>
            </w:r>
          </w:hyperlink>
        </w:p>
        <w:p w14:paraId="28193EDF" w14:textId="4997CD5B" w:rsidR="00CC064B" w:rsidRPr="00F437CC" w:rsidRDefault="00BD593D">
          <w:pPr>
            <w:pStyle w:val="TOC2"/>
            <w:tabs>
              <w:tab w:val="right" w:leader="dot" w:pos="9350"/>
            </w:tabs>
            <w:rPr>
              <w:rFonts w:ascii="Arial" w:hAnsi="Arial" w:cs="Arial"/>
              <w:noProof/>
              <w:kern w:val="2"/>
              <w:sz w:val="24"/>
              <w:szCs w:val="24"/>
              <w14:ligatures w14:val="standardContextual"/>
            </w:rPr>
          </w:pPr>
          <w:hyperlink w:anchor="_Toc181289449" w:history="1">
            <w:r w:rsidR="00CC064B" w:rsidRPr="00F437CC">
              <w:rPr>
                <w:rStyle w:val="Hyperlink"/>
                <w:rFonts w:ascii="Arial" w:hAnsi="Arial" w:cs="Arial"/>
                <w:noProof/>
              </w:rPr>
              <w:t>3.1. The State does not Guarantee the Right to Adequate Food and Nutrition (HRAFN)</w:t>
            </w:r>
            <w:r w:rsidR="00CC064B" w:rsidRPr="00F437CC">
              <w:rPr>
                <w:rFonts w:ascii="Arial" w:hAnsi="Arial" w:cs="Arial"/>
                <w:noProof/>
                <w:webHidden/>
              </w:rPr>
              <w:tab/>
            </w:r>
            <w:r w:rsidR="00CC064B" w:rsidRPr="00F437CC">
              <w:rPr>
                <w:rFonts w:ascii="Arial" w:hAnsi="Arial" w:cs="Arial"/>
                <w:noProof/>
                <w:webHidden/>
              </w:rPr>
              <w:fldChar w:fldCharType="begin"/>
            </w:r>
            <w:r w:rsidR="00CC064B" w:rsidRPr="00F437CC">
              <w:rPr>
                <w:rFonts w:ascii="Arial" w:hAnsi="Arial" w:cs="Arial"/>
                <w:noProof/>
                <w:webHidden/>
              </w:rPr>
              <w:instrText xml:space="preserve"> PAGEREF _Toc181289449 \h </w:instrText>
            </w:r>
            <w:r w:rsidR="00CC064B" w:rsidRPr="00F437CC">
              <w:rPr>
                <w:rFonts w:ascii="Arial" w:hAnsi="Arial" w:cs="Arial"/>
                <w:noProof/>
                <w:webHidden/>
              </w:rPr>
            </w:r>
            <w:r w:rsidR="00CC064B" w:rsidRPr="00F437CC">
              <w:rPr>
                <w:rFonts w:ascii="Arial" w:hAnsi="Arial" w:cs="Arial"/>
                <w:noProof/>
                <w:webHidden/>
              </w:rPr>
              <w:fldChar w:fldCharType="separate"/>
            </w:r>
            <w:r w:rsidR="00CC064B" w:rsidRPr="00F437CC">
              <w:rPr>
                <w:rFonts w:ascii="Arial" w:hAnsi="Arial" w:cs="Arial"/>
                <w:noProof/>
                <w:webHidden/>
              </w:rPr>
              <w:t>24</w:t>
            </w:r>
            <w:r w:rsidR="00CC064B" w:rsidRPr="00F437CC">
              <w:rPr>
                <w:rFonts w:ascii="Arial" w:hAnsi="Arial" w:cs="Arial"/>
                <w:noProof/>
                <w:webHidden/>
              </w:rPr>
              <w:fldChar w:fldCharType="end"/>
            </w:r>
          </w:hyperlink>
        </w:p>
        <w:p w14:paraId="6B8DC1DB" w14:textId="5EC08D14" w:rsidR="00CC064B" w:rsidRPr="00F437CC" w:rsidRDefault="00BD593D">
          <w:pPr>
            <w:pStyle w:val="TOC3"/>
            <w:tabs>
              <w:tab w:val="right" w:leader="dot" w:pos="9350"/>
            </w:tabs>
            <w:rPr>
              <w:rFonts w:ascii="Arial" w:hAnsi="Arial" w:cs="Arial"/>
              <w:noProof/>
              <w:kern w:val="2"/>
              <w:sz w:val="24"/>
              <w:szCs w:val="24"/>
              <w14:ligatures w14:val="standardContextual"/>
            </w:rPr>
          </w:pPr>
          <w:hyperlink w:anchor="_Toc181289450" w:history="1">
            <w:r w:rsidR="00CC064B" w:rsidRPr="00F437CC">
              <w:rPr>
                <w:rStyle w:val="Hyperlink"/>
                <w:rFonts w:ascii="Arial" w:hAnsi="Arial" w:cs="Arial"/>
                <w:noProof/>
              </w:rPr>
              <w:t>3.1.1. The State Lacks a Periodic Monitoring System to Follow up on Food Security</w:t>
            </w:r>
            <w:r w:rsidR="00CC064B" w:rsidRPr="00F437CC">
              <w:rPr>
                <w:rFonts w:ascii="Arial" w:hAnsi="Arial" w:cs="Arial"/>
                <w:noProof/>
                <w:webHidden/>
              </w:rPr>
              <w:tab/>
            </w:r>
            <w:r w:rsidR="00CC064B" w:rsidRPr="00F437CC">
              <w:rPr>
                <w:rFonts w:ascii="Arial" w:hAnsi="Arial" w:cs="Arial"/>
                <w:noProof/>
                <w:webHidden/>
              </w:rPr>
              <w:fldChar w:fldCharType="begin"/>
            </w:r>
            <w:r w:rsidR="00CC064B" w:rsidRPr="00F437CC">
              <w:rPr>
                <w:rFonts w:ascii="Arial" w:hAnsi="Arial" w:cs="Arial"/>
                <w:noProof/>
                <w:webHidden/>
              </w:rPr>
              <w:instrText xml:space="preserve"> PAGEREF _Toc181289450 \h </w:instrText>
            </w:r>
            <w:r w:rsidR="00CC064B" w:rsidRPr="00F437CC">
              <w:rPr>
                <w:rFonts w:ascii="Arial" w:hAnsi="Arial" w:cs="Arial"/>
                <w:noProof/>
                <w:webHidden/>
              </w:rPr>
            </w:r>
            <w:r w:rsidR="00CC064B" w:rsidRPr="00F437CC">
              <w:rPr>
                <w:rFonts w:ascii="Arial" w:hAnsi="Arial" w:cs="Arial"/>
                <w:noProof/>
                <w:webHidden/>
              </w:rPr>
              <w:fldChar w:fldCharType="separate"/>
            </w:r>
            <w:r w:rsidR="00CC064B" w:rsidRPr="00F437CC">
              <w:rPr>
                <w:rFonts w:ascii="Arial" w:hAnsi="Arial" w:cs="Arial"/>
                <w:noProof/>
                <w:webHidden/>
              </w:rPr>
              <w:t>25</w:t>
            </w:r>
            <w:r w:rsidR="00CC064B" w:rsidRPr="00F437CC">
              <w:rPr>
                <w:rFonts w:ascii="Arial" w:hAnsi="Arial" w:cs="Arial"/>
                <w:noProof/>
                <w:webHidden/>
              </w:rPr>
              <w:fldChar w:fldCharType="end"/>
            </w:r>
          </w:hyperlink>
        </w:p>
        <w:p w14:paraId="3852EE63" w14:textId="65EF8F01" w:rsidR="00CC064B" w:rsidRPr="00F437CC" w:rsidRDefault="00BD593D">
          <w:pPr>
            <w:pStyle w:val="TOC3"/>
            <w:tabs>
              <w:tab w:val="right" w:leader="dot" w:pos="9350"/>
            </w:tabs>
            <w:rPr>
              <w:rFonts w:ascii="Arial" w:hAnsi="Arial" w:cs="Arial"/>
              <w:noProof/>
              <w:kern w:val="2"/>
              <w:sz w:val="24"/>
              <w:szCs w:val="24"/>
              <w14:ligatures w14:val="standardContextual"/>
            </w:rPr>
          </w:pPr>
          <w:hyperlink w:anchor="_Toc181289451" w:history="1">
            <w:r w:rsidR="00CC064B" w:rsidRPr="00F437CC">
              <w:rPr>
                <w:rStyle w:val="Hyperlink"/>
                <w:rFonts w:ascii="Arial" w:hAnsi="Arial" w:cs="Arial"/>
                <w:noProof/>
              </w:rPr>
              <w:t>3.1.2. Food Insecurity</w:t>
            </w:r>
            <w:r w:rsidR="00CC064B" w:rsidRPr="00F437CC">
              <w:rPr>
                <w:rFonts w:ascii="Arial" w:hAnsi="Arial" w:cs="Arial"/>
                <w:noProof/>
                <w:webHidden/>
              </w:rPr>
              <w:tab/>
            </w:r>
            <w:r w:rsidR="00CC064B" w:rsidRPr="00F437CC">
              <w:rPr>
                <w:rFonts w:ascii="Arial" w:hAnsi="Arial" w:cs="Arial"/>
                <w:noProof/>
                <w:webHidden/>
              </w:rPr>
              <w:fldChar w:fldCharType="begin"/>
            </w:r>
            <w:r w:rsidR="00CC064B" w:rsidRPr="00F437CC">
              <w:rPr>
                <w:rFonts w:ascii="Arial" w:hAnsi="Arial" w:cs="Arial"/>
                <w:noProof/>
                <w:webHidden/>
              </w:rPr>
              <w:instrText xml:space="preserve"> PAGEREF _Toc181289451 \h </w:instrText>
            </w:r>
            <w:r w:rsidR="00CC064B" w:rsidRPr="00F437CC">
              <w:rPr>
                <w:rFonts w:ascii="Arial" w:hAnsi="Arial" w:cs="Arial"/>
                <w:noProof/>
                <w:webHidden/>
              </w:rPr>
            </w:r>
            <w:r w:rsidR="00CC064B" w:rsidRPr="00F437CC">
              <w:rPr>
                <w:rFonts w:ascii="Arial" w:hAnsi="Arial" w:cs="Arial"/>
                <w:noProof/>
                <w:webHidden/>
              </w:rPr>
              <w:fldChar w:fldCharType="separate"/>
            </w:r>
            <w:r w:rsidR="00CC064B" w:rsidRPr="00F437CC">
              <w:rPr>
                <w:rFonts w:ascii="Arial" w:hAnsi="Arial" w:cs="Arial"/>
                <w:noProof/>
                <w:webHidden/>
              </w:rPr>
              <w:t>25</w:t>
            </w:r>
            <w:r w:rsidR="00CC064B" w:rsidRPr="00F437CC">
              <w:rPr>
                <w:rFonts w:ascii="Arial" w:hAnsi="Arial" w:cs="Arial"/>
                <w:noProof/>
                <w:webHidden/>
              </w:rPr>
              <w:fldChar w:fldCharType="end"/>
            </w:r>
          </w:hyperlink>
        </w:p>
        <w:p w14:paraId="60902128" w14:textId="41BA08CE" w:rsidR="00CC064B" w:rsidRPr="00F437CC" w:rsidRDefault="00BD593D">
          <w:pPr>
            <w:pStyle w:val="TOC3"/>
            <w:tabs>
              <w:tab w:val="right" w:leader="dot" w:pos="9350"/>
            </w:tabs>
            <w:rPr>
              <w:rFonts w:ascii="Arial" w:hAnsi="Arial" w:cs="Arial"/>
              <w:noProof/>
              <w:kern w:val="2"/>
              <w:sz w:val="24"/>
              <w:szCs w:val="24"/>
              <w14:ligatures w14:val="standardContextual"/>
            </w:rPr>
          </w:pPr>
          <w:hyperlink w:anchor="_Toc181289452" w:history="1">
            <w:r w:rsidR="00CC064B" w:rsidRPr="00F437CC">
              <w:rPr>
                <w:rStyle w:val="Hyperlink"/>
                <w:rFonts w:ascii="Arial" w:hAnsi="Arial" w:cs="Arial"/>
                <w:noProof/>
              </w:rPr>
              <w:t>3.1.3. Malnutrition</w:t>
            </w:r>
            <w:r w:rsidR="00CC064B" w:rsidRPr="00F437CC">
              <w:rPr>
                <w:rFonts w:ascii="Arial" w:hAnsi="Arial" w:cs="Arial"/>
                <w:noProof/>
                <w:webHidden/>
              </w:rPr>
              <w:tab/>
            </w:r>
            <w:r w:rsidR="00CC064B" w:rsidRPr="00F437CC">
              <w:rPr>
                <w:rFonts w:ascii="Arial" w:hAnsi="Arial" w:cs="Arial"/>
                <w:noProof/>
                <w:webHidden/>
              </w:rPr>
              <w:fldChar w:fldCharType="begin"/>
            </w:r>
            <w:r w:rsidR="00CC064B" w:rsidRPr="00F437CC">
              <w:rPr>
                <w:rFonts w:ascii="Arial" w:hAnsi="Arial" w:cs="Arial"/>
                <w:noProof/>
                <w:webHidden/>
              </w:rPr>
              <w:instrText xml:space="preserve"> PAGEREF _Toc181289452 \h </w:instrText>
            </w:r>
            <w:r w:rsidR="00CC064B" w:rsidRPr="00F437CC">
              <w:rPr>
                <w:rFonts w:ascii="Arial" w:hAnsi="Arial" w:cs="Arial"/>
                <w:noProof/>
                <w:webHidden/>
              </w:rPr>
            </w:r>
            <w:r w:rsidR="00CC064B" w:rsidRPr="00F437CC">
              <w:rPr>
                <w:rFonts w:ascii="Arial" w:hAnsi="Arial" w:cs="Arial"/>
                <w:noProof/>
                <w:webHidden/>
              </w:rPr>
              <w:fldChar w:fldCharType="separate"/>
            </w:r>
            <w:r w:rsidR="00CC064B" w:rsidRPr="00F437CC">
              <w:rPr>
                <w:rFonts w:ascii="Arial" w:hAnsi="Arial" w:cs="Arial"/>
                <w:noProof/>
                <w:webHidden/>
              </w:rPr>
              <w:t>27</w:t>
            </w:r>
            <w:r w:rsidR="00CC064B" w:rsidRPr="00F437CC">
              <w:rPr>
                <w:rFonts w:ascii="Arial" w:hAnsi="Arial" w:cs="Arial"/>
                <w:noProof/>
                <w:webHidden/>
              </w:rPr>
              <w:fldChar w:fldCharType="end"/>
            </w:r>
          </w:hyperlink>
        </w:p>
        <w:p w14:paraId="1454E987" w14:textId="324E184B" w:rsidR="00CC064B" w:rsidRPr="00F437CC" w:rsidRDefault="00BD593D">
          <w:pPr>
            <w:pStyle w:val="TOC3"/>
            <w:tabs>
              <w:tab w:val="right" w:leader="dot" w:pos="9350"/>
            </w:tabs>
            <w:rPr>
              <w:rFonts w:ascii="Arial" w:hAnsi="Arial" w:cs="Arial"/>
              <w:noProof/>
              <w:kern w:val="2"/>
              <w:sz w:val="24"/>
              <w:szCs w:val="24"/>
              <w14:ligatures w14:val="standardContextual"/>
            </w:rPr>
          </w:pPr>
          <w:hyperlink w:anchor="_Toc181289453" w:history="1">
            <w:r w:rsidR="00CC064B" w:rsidRPr="00F437CC">
              <w:rPr>
                <w:rStyle w:val="Hyperlink"/>
                <w:rFonts w:ascii="Arial" w:hAnsi="Arial" w:cs="Arial"/>
                <w:noProof/>
              </w:rPr>
              <w:t>3.1.4. Breastfeeding</w:t>
            </w:r>
            <w:r w:rsidR="00CC064B" w:rsidRPr="00F437CC">
              <w:rPr>
                <w:rFonts w:ascii="Arial" w:hAnsi="Arial" w:cs="Arial"/>
                <w:noProof/>
                <w:webHidden/>
              </w:rPr>
              <w:tab/>
            </w:r>
            <w:r w:rsidR="00CC064B" w:rsidRPr="00F437CC">
              <w:rPr>
                <w:rFonts w:ascii="Arial" w:hAnsi="Arial" w:cs="Arial"/>
                <w:noProof/>
                <w:webHidden/>
              </w:rPr>
              <w:fldChar w:fldCharType="begin"/>
            </w:r>
            <w:r w:rsidR="00CC064B" w:rsidRPr="00F437CC">
              <w:rPr>
                <w:rFonts w:ascii="Arial" w:hAnsi="Arial" w:cs="Arial"/>
                <w:noProof/>
                <w:webHidden/>
              </w:rPr>
              <w:instrText xml:space="preserve"> PAGEREF _Toc181289453 \h </w:instrText>
            </w:r>
            <w:r w:rsidR="00CC064B" w:rsidRPr="00F437CC">
              <w:rPr>
                <w:rFonts w:ascii="Arial" w:hAnsi="Arial" w:cs="Arial"/>
                <w:noProof/>
                <w:webHidden/>
              </w:rPr>
            </w:r>
            <w:r w:rsidR="00CC064B" w:rsidRPr="00F437CC">
              <w:rPr>
                <w:rFonts w:ascii="Arial" w:hAnsi="Arial" w:cs="Arial"/>
                <w:noProof/>
                <w:webHidden/>
              </w:rPr>
              <w:fldChar w:fldCharType="separate"/>
            </w:r>
            <w:r w:rsidR="00CC064B" w:rsidRPr="00F437CC">
              <w:rPr>
                <w:rFonts w:ascii="Arial" w:hAnsi="Arial" w:cs="Arial"/>
                <w:noProof/>
                <w:webHidden/>
              </w:rPr>
              <w:t>28</w:t>
            </w:r>
            <w:r w:rsidR="00CC064B" w:rsidRPr="00F437CC">
              <w:rPr>
                <w:rFonts w:ascii="Arial" w:hAnsi="Arial" w:cs="Arial"/>
                <w:noProof/>
                <w:webHidden/>
              </w:rPr>
              <w:fldChar w:fldCharType="end"/>
            </w:r>
          </w:hyperlink>
        </w:p>
        <w:p w14:paraId="188FAC66" w14:textId="3FA5A1D6" w:rsidR="00CC064B" w:rsidRPr="00F437CC" w:rsidRDefault="00BD593D">
          <w:pPr>
            <w:pStyle w:val="TOC2"/>
            <w:tabs>
              <w:tab w:val="right" w:leader="dot" w:pos="9350"/>
            </w:tabs>
            <w:rPr>
              <w:rFonts w:ascii="Arial" w:hAnsi="Arial" w:cs="Arial"/>
              <w:noProof/>
              <w:kern w:val="2"/>
              <w:sz w:val="24"/>
              <w:szCs w:val="24"/>
              <w14:ligatures w14:val="standardContextual"/>
            </w:rPr>
          </w:pPr>
          <w:hyperlink w:anchor="_Toc181289454" w:history="1">
            <w:r w:rsidR="00CC064B" w:rsidRPr="00F437CC">
              <w:rPr>
                <w:rStyle w:val="Hyperlink"/>
                <w:rFonts w:ascii="Arial" w:hAnsi="Arial" w:cs="Arial"/>
                <w:noProof/>
                <w:highlight w:val="white"/>
              </w:rPr>
              <w:t>3.2. Right to Education</w:t>
            </w:r>
            <w:r w:rsidR="00CC064B" w:rsidRPr="00F437CC">
              <w:rPr>
                <w:rFonts w:ascii="Arial" w:hAnsi="Arial" w:cs="Arial"/>
                <w:noProof/>
                <w:webHidden/>
              </w:rPr>
              <w:tab/>
            </w:r>
            <w:r w:rsidR="00CC064B" w:rsidRPr="00F437CC">
              <w:rPr>
                <w:rFonts w:ascii="Arial" w:hAnsi="Arial" w:cs="Arial"/>
                <w:noProof/>
                <w:webHidden/>
              </w:rPr>
              <w:fldChar w:fldCharType="begin"/>
            </w:r>
            <w:r w:rsidR="00CC064B" w:rsidRPr="00F437CC">
              <w:rPr>
                <w:rFonts w:ascii="Arial" w:hAnsi="Arial" w:cs="Arial"/>
                <w:noProof/>
                <w:webHidden/>
              </w:rPr>
              <w:instrText xml:space="preserve"> PAGEREF _Toc181289454 \h </w:instrText>
            </w:r>
            <w:r w:rsidR="00CC064B" w:rsidRPr="00F437CC">
              <w:rPr>
                <w:rFonts w:ascii="Arial" w:hAnsi="Arial" w:cs="Arial"/>
                <w:noProof/>
                <w:webHidden/>
              </w:rPr>
            </w:r>
            <w:r w:rsidR="00CC064B" w:rsidRPr="00F437CC">
              <w:rPr>
                <w:rFonts w:ascii="Arial" w:hAnsi="Arial" w:cs="Arial"/>
                <w:noProof/>
                <w:webHidden/>
              </w:rPr>
              <w:fldChar w:fldCharType="separate"/>
            </w:r>
            <w:r w:rsidR="00CC064B" w:rsidRPr="00F437CC">
              <w:rPr>
                <w:rFonts w:ascii="Arial" w:hAnsi="Arial" w:cs="Arial"/>
                <w:noProof/>
                <w:webHidden/>
              </w:rPr>
              <w:t>30</w:t>
            </w:r>
            <w:r w:rsidR="00CC064B" w:rsidRPr="00F437CC">
              <w:rPr>
                <w:rFonts w:ascii="Arial" w:hAnsi="Arial" w:cs="Arial"/>
                <w:noProof/>
                <w:webHidden/>
              </w:rPr>
              <w:fldChar w:fldCharType="end"/>
            </w:r>
          </w:hyperlink>
        </w:p>
        <w:p w14:paraId="5AD57C0D" w14:textId="6047AE5F" w:rsidR="00CC064B" w:rsidRPr="00F437CC" w:rsidRDefault="00BD593D">
          <w:pPr>
            <w:pStyle w:val="TOC3"/>
            <w:tabs>
              <w:tab w:val="right" w:leader="dot" w:pos="9350"/>
            </w:tabs>
            <w:rPr>
              <w:rFonts w:ascii="Arial" w:hAnsi="Arial" w:cs="Arial"/>
              <w:noProof/>
              <w:kern w:val="2"/>
              <w:sz w:val="24"/>
              <w:szCs w:val="24"/>
              <w14:ligatures w14:val="standardContextual"/>
            </w:rPr>
          </w:pPr>
          <w:hyperlink w:anchor="_Toc181289455" w:history="1">
            <w:r w:rsidR="00CC064B" w:rsidRPr="00F437CC">
              <w:rPr>
                <w:rStyle w:val="Hyperlink"/>
                <w:rFonts w:ascii="Arial" w:hAnsi="Arial" w:cs="Arial"/>
                <w:noProof/>
              </w:rPr>
              <w:t>3.2.1. General Comments on the Right to Education of Boys, Girls, and Adolescents</w:t>
            </w:r>
            <w:r w:rsidR="00CC064B" w:rsidRPr="00F437CC">
              <w:rPr>
                <w:rFonts w:ascii="Arial" w:hAnsi="Arial" w:cs="Arial"/>
                <w:noProof/>
                <w:webHidden/>
              </w:rPr>
              <w:tab/>
            </w:r>
            <w:r w:rsidR="00CC064B" w:rsidRPr="00F437CC">
              <w:rPr>
                <w:rFonts w:ascii="Arial" w:hAnsi="Arial" w:cs="Arial"/>
                <w:noProof/>
                <w:webHidden/>
              </w:rPr>
              <w:fldChar w:fldCharType="begin"/>
            </w:r>
            <w:r w:rsidR="00CC064B" w:rsidRPr="00F437CC">
              <w:rPr>
                <w:rFonts w:ascii="Arial" w:hAnsi="Arial" w:cs="Arial"/>
                <w:noProof/>
                <w:webHidden/>
              </w:rPr>
              <w:instrText xml:space="preserve"> PAGEREF _Toc181289455 \h </w:instrText>
            </w:r>
            <w:r w:rsidR="00CC064B" w:rsidRPr="00F437CC">
              <w:rPr>
                <w:rFonts w:ascii="Arial" w:hAnsi="Arial" w:cs="Arial"/>
                <w:noProof/>
                <w:webHidden/>
              </w:rPr>
            </w:r>
            <w:r w:rsidR="00CC064B" w:rsidRPr="00F437CC">
              <w:rPr>
                <w:rFonts w:ascii="Arial" w:hAnsi="Arial" w:cs="Arial"/>
                <w:noProof/>
                <w:webHidden/>
              </w:rPr>
              <w:fldChar w:fldCharType="separate"/>
            </w:r>
            <w:r w:rsidR="00CC064B" w:rsidRPr="00F437CC">
              <w:rPr>
                <w:rFonts w:ascii="Arial" w:hAnsi="Arial" w:cs="Arial"/>
                <w:noProof/>
                <w:webHidden/>
              </w:rPr>
              <w:t>31</w:t>
            </w:r>
            <w:r w:rsidR="00CC064B" w:rsidRPr="00F437CC">
              <w:rPr>
                <w:rFonts w:ascii="Arial" w:hAnsi="Arial" w:cs="Arial"/>
                <w:noProof/>
                <w:webHidden/>
              </w:rPr>
              <w:fldChar w:fldCharType="end"/>
            </w:r>
          </w:hyperlink>
        </w:p>
        <w:p w14:paraId="4B04E500" w14:textId="4B757616" w:rsidR="00CC064B" w:rsidRPr="00F437CC" w:rsidRDefault="00BD593D">
          <w:pPr>
            <w:pStyle w:val="TOC3"/>
            <w:tabs>
              <w:tab w:val="right" w:leader="dot" w:pos="9350"/>
            </w:tabs>
            <w:rPr>
              <w:rFonts w:ascii="Arial" w:hAnsi="Arial" w:cs="Arial"/>
              <w:noProof/>
              <w:kern w:val="2"/>
              <w:sz w:val="24"/>
              <w:szCs w:val="24"/>
              <w14:ligatures w14:val="standardContextual"/>
            </w:rPr>
          </w:pPr>
          <w:hyperlink w:anchor="_Toc181289456" w:history="1">
            <w:r w:rsidR="00CC064B" w:rsidRPr="00F437CC">
              <w:rPr>
                <w:rStyle w:val="Hyperlink"/>
                <w:rFonts w:ascii="Arial" w:hAnsi="Arial" w:cs="Arial"/>
                <w:noProof/>
              </w:rPr>
              <w:t>3.2.2. Lack of Capacity to Guarantee the Right to Education during Emergencies</w:t>
            </w:r>
            <w:r w:rsidR="00CC064B" w:rsidRPr="00F437CC">
              <w:rPr>
                <w:rFonts w:ascii="Arial" w:hAnsi="Arial" w:cs="Arial"/>
                <w:noProof/>
                <w:webHidden/>
              </w:rPr>
              <w:tab/>
            </w:r>
            <w:r w:rsidR="00CC064B" w:rsidRPr="00F437CC">
              <w:rPr>
                <w:rFonts w:ascii="Arial" w:hAnsi="Arial" w:cs="Arial"/>
                <w:noProof/>
                <w:webHidden/>
              </w:rPr>
              <w:fldChar w:fldCharType="begin"/>
            </w:r>
            <w:r w:rsidR="00CC064B" w:rsidRPr="00F437CC">
              <w:rPr>
                <w:rFonts w:ascii="Arial" w:hAnsi="Arial" w:cs="Arial"/>
                <w:noProof/>
                <w:webHidden/>
              </w:rPr>
              <w:instrText xml:space="preserve"> PAGEREF _Toc181289456 \h </w:instrText>
            </w:r>
            <w:r w:rsidR="00CC064B" w:rsidRPr="00F437CC">
              <w:rPr>
                <w:rFonts w:ascii="Arial" w:hAnsi="Arial" w:cs="Arial"/>
                <w:noProof/>
                <w:webHidden/>
              </w:rPr>
            </w:r>
            <w:r w:rsidR="00CC064B" w:rsidRPr="00F437CC">
              <w:rPr>
                <w:rFonts w:ascii="Arial" w:hAnsi="Arial" w:cs="Arial"/>
                <w:noProof/>
                <w:webHidden/>
              </w:rPr>
              <w:fldChar w:fldCharType="separate"/>
            </w:r>
            <w:r w:rsidR="00CC064B" w:rsidRPr="00F437CC">
              <w:rPr>
                <w:rFonts w:ascii="Arial" w:hAnsi="Arial" w:cs="Arial"/>
                <w:noProof/>
                <w:webHidden/>
              </w:rPr>
              <w:t>31</w:t>
            </w:r>
            <w:r w:rsidR="00CC064B" w:rsidRPr="00F437CC">
              <w:rPr>
                <w:rFonts w:ascii="Arial" w:hAnsi="Arial" w:cs="Arial"/>
                <w:noProof/>
                <w:webHidden/>
              </w:rPr>
              <w:fldChar w:fldCharType="end"/>
            </w:r>
          </w:hyperlink>
        </w:p>
        <w:p w14:paraId="15D20885" w14:textId="2CC329CC" w:rsidR="00CC064B" w:rsidRPr="00F437CC" w:rsidRDefault="00BD593D">
          <w:pPr>
            <w:pStyle w:val="TOC3"/>
            <w:tabs>
              <w:tab w:val="right" w:leader="dot" w:pos="9350"/>
            </w:tabs>
            <w:rPr>
              <w:rFonts w:ascii="Arial" w:hAnsi="Arial" w:cs="Arial"/>
              <w:noProof/>
              <w:kern w:val="2"/>
              <w:sz w:val="24"/>
              <w:szCs w:val="24"/>
              <w14:ligatures w14:val="standardContextual"/>
            </w:rPr>
          </w:pPr>
          <w:hyperlink w:anchor="_Toc181289457" w:history="1">
            <w:r w:rsidR="00CC064B" w:rsidRPr="00F437CC">
              <w:rPr>
                <w:rStyle w:val="Hyperlink"/>
                <w:rFonts w:ascii="Arial" w:hAnsi="Arial" w:cs="Arial"/>
                <w:noProof/>
              </w:rPr>
              <w:t>3.2.3. About the Education Gaps</w:t>
            </w:r>
            <w:r w:rsidR="00CC064B" w:rsidRPr="00F437CC">
              <w:rPr>
                <w:rFonts w:ascii="Arial" w:hAnsi="Arial" w:cs="Arial"/>
                <w:noProof/>
                <w:webHidden/>
              </w:rPr>
              <w:tab/>
            </w:r>
            <w:r w:rsidR="00CC064B" w:rsidRPr="00F437CC">
              <w:rPr>
                <w:rFonts w:ascii="Arial" w:hAnsi="Arial" w:cs="Arial"/>
                <w:noProof/>
                <w:webHidden/>
              </w:rPr>
              <w:fldChar w:fldCharType="begin"/>
            </w:r>
            <w:r w:rsidR="00CC064B" w:rsidRPr="00F437CC">
              <w:rPr>
                <w:rFonts w:ascii="Arial" w:hAnsi="Arial" w:cs="Arial"/>
                <w:noProof/>
                <w:webHidden/>
              </w:rPr>
              <w:instrText xml:space="preserve"> PAGEREF _Toc181289457 \h </w:instrText>
            </w:r>
            <w:r w:rsidR="00CC064B" w:rsidRPr="00F437CC">
              <w:rPr>
                <w:rFonts w:ascii="Arial" w:hAnsi="Arial" w:cs="Arial"/>
                <w:noProof/>
                <w:webHidden/>
              </w:rPr>
            </w:r>
            <w:r w:rsidR="00CC064B" w:rsidRPr="00F437CC">
              <w:rPr>
                <w:rFonts w:ascii="Arial" w:hAnsi="Arial" w:cs="Arial"/>
                <w:noProof/>
                <w:webHidden/>
              </w:rPr>
              <w:fldChar w:fldCharType="separate"/>
            </w:r>
            <w:r w:rsidR="00CC064B" w:rsidRPr="00F437CC">
              <w:rPr>
                <w:rFonts w:ascii="Arial" w:hAnsi="Arial" w:cs="Arial"/>
                <w:noProof/>
                <w:webHidden/>
              </w:rPr>
              <w:t>32</w:t>
            </w:r>
            <w:r w:rsidR="00CC064B" w:rsidRPr="00F437CC">
              <w:rPr>
                <w:rFonts w:ascii="Arial" w:hAnsi="Arial" w:cs="Arial"/>
                <w:noProof/>
                <w:webHidden/>
              </w:rPr>
              <w:fldChar w:fldCharType="end"/>
            </w:r>
          </w:hyperlink>
        </w:p>
        <w:p w14:paraId="359D8FCA" w14:textId="5D539D7C" w:rsidR="00CC064B" w:rsidRPr="00F437CC" w:rsidRDefault="00BD593D">
          <w:pPr>
            <w:pStyle w:val="TOC3"/>
            <w:tabs>
              <w:tab w:val="right" w:leader="dot" w:pos="9350"/>
            </w:tabs>
            <w:rPr>
              <w:rFonts w:ascii="Arial" w:hAnsi="Arial" w:cs="Arial"/>
              <w:noProof/>
              <w:kern w:val="2"/>
              <w:sz w:val="24"/>
              <w:szCs w:val="24"/>
              <w14:ligatures w14:val="standardContextual"/>
            </w:rPr>
          </w:pPr>
          <w:hyperlink w:anchor="_Toc181289458" w:history="1">
            <w:r w:rsidR="00CC064B" w:rsidRPr="00F437CC">
              <w:rPr>
                <w:rStyle w:val="Hyperlink"/>
                <w:rFonts w:ascii="Arial" w:hAnsi="Arial" w:cs="Arial"/>
                <w:noProof/>
              </w:rPr>
              <w:t>3.3. Situation in El Hatillo (Presentation of a Landmark Case)</w:t>
            </w:r>
            <w:r w:rsidR="00CC064B" w:rsidRPr="00F437CC">
              <w:rPr>
                <w:rFonts w:ascii="Arial" w:hAnsi="Arial" w:cs="Arial"/>
                <w:noProof/>
                <w:webHidden/>
              </w:rPr>
              <w:tab/>
            </w:r>
            <w:r w:rsidR="00CC064B" w:rsidRPr="00F437CC">
              <w:rPr>
                <w:rFonts w:ascii="Arial" w:hAnsi="Arial" w:cs="Arial"/>
                <w:noProof/>
                <w:webHidden/>
              </w:rPr>
              <w:fldChar w:fldCharType="begin"/>
            </w:r>
            <w:r w:rsidR="00CC064B" w:rsidRPr="00F437CC">
              <w:rPr>
                <w:rFonts w:ascii="Arial" w:hAnsi="Arial" w:cs="Arial"/>
                <w:noProof/>
                <w:webHidden/>
              </w:rPr>
              <w:instrText xml:space="preserve"> PAGEREF _Toc181289458 \h </w:instrText>
            </w:r>
            <w:r w:rsidR="00CC064B" w:rsidRPr="00F437CC">
              <w:rPr>
                <w:rFonts w:ascii="Arial" w:hAnsi="Arial" w:cs="Arial"/>
                <w:noProof/>
                <w:webHidden/>
              </w:rPr>
            </w:r>
            <w:r w:rsidR="00CC064B" w:rsidRPr="00F437CC">
              <w:rPr>
                <w:rFonts w:ascii="Arial" w:hAnsi="Arial" w:cs="Arial"/>
                <w:noProof/>
                <w:webHidden/>
              </w:rPr>
              <w:fldChar w:fldCharType="separate"/>
            </w:r>
            <w:r w:rsidR="00CC064B" w:rsidRPr="00F437CC">
              <w:rPr>
                <w:rFonts w:ascii="Arial" w:hAnsi="Arial" w:cs="Arial"/>
                <w:noProof/>
                <w:webHidden/>
              </w:rPr>
              <w:t>34</w:t>
            </w:r>
            <w:r w:rsidR="00CC064B" w:rsidRPr="00F437CC">
              <w:rPr>
                <w:rFonts w:ascii="Arial" w:hAnsi="Arial" w:cs="Arial"/>
                <w:noProof/>
                <w:webHidden/>
              </w:rPr>
              <w:fldChar w:fldCharType="end"/>
            </w:r>
          </w:hyperlink>
        </w:p>
        <w:p w14:paraId="78A1F812" w14:textId="04B10636" w:rsidR="00CC064B" w:rsidRPr="00F437CC" w:rsidRDefault="00BD593D">
          <w:pPr>
            <w:pStyle w:val="TOC3"/>
            <w:tabs>
              <w:tab w:val="right" w:leader="dot" w:pos="9350"/>
            </w:tabs>
            <w:rPr>
              <w:rFonts w:ascii="Arial" w:hAnsi="Arial" w:cs="Arial"/>
              <w:noProof/>
              <w:kern w:val="2"/>
              <w:sz w:val="24"/>
              <w:szCs w:val="24"/>
              <w14:ligatures w14:val="standardContextual"/>
            </w:rPr>
          </w:pPr>
          <w:hyperlink w:anchor="_Toc181289459" w:history="1">
            <w:r w:rsidR="00CC064B" w:rsidRPr="00F437CC">
              <w:rPr>
                <w:rStyle w:val="Hyperlink"/>
                <w:rFonts w:ascii="Arial" w:hAnsi="Arial" w:cs="Arial"/>
                <w:noProof/>
              </w:rPr>
              <w:t>3.3.1. Current Vulnerability Situation</w:t>
            </w:r>
            <w:r w:rsidR="00CC064B" w:rsidRPr="00F437CC">
              <w:rPr>
                <w:rFonts w:ascii="Arial" w:hAnsi="Arial" w:cs="Arial"/>
                <w:noProof/>
                <w:webHidden/>
              </w:rPr>
              <w:tab/>
            </w:r>
            <w:r w:rsidR="00CC064B" w:rsidRPr="00F437CC">
              <w:rPr>
                <w:rFonts w:ascii="Arial" w:hAnsi="Arial" w:cs="Arial"/>
                <w:noProof/>
                <w:webHidden/>
              </w:rPr>
              <w:fldChar w:fldCharType="begin"/>
            </w:r>
            <w:r w:rsidR="00CC064B" w:rsidRPr="00F437CC">
              <w:rPr>
                <w:rFonts w:ascii="Arial" w:hAnsi="Arial" w:cs="Arial"/>
                <w:noProof/>
                <w:webHidden/>
              </w:rPr>
              <w:instrText xml:space="preserve"> PAGEREF _Toc181289459 \h </w:instrText>
            </w:r>
            <w:r w:rsidR="00CC064B" w:rsidRPr="00F437CC">
              <w:rPr>
                <w:rFonts w:ascii="Arial" w:hAnsi="Arial" w:cs="Arial"/>
                <w:noProof/>
                <w:webHidden/>
              </w:rPr>
            </w:r>
            <w:r w:rsidR="00CC064B" w:rsidRPr="00F437CC">
              <w:rPr>
                <w:rFonts w:ascii="Arial" w:hAnsi="Arial" w:cs="Arial"/>
                <w:noProof/>
                <w:webHidden/>
              </w:rPr>
              <w:fldChar w:fldCharType="separate"/>
            </w:r>
            <w:r w:rsidR="00CC064B" w:rsidRPr="00F437CC">
              <w:rPr>
                <w:rFonts w:ascii="Arial" w:hAnsi="Arial" w:cs="Arial"/>
                <w:noProof/>
                <w:webHidden/>
              </w:rPr>
              <w:t>35</w:t>
            </w:r>
            <w:r w:rsidR="00CC064B" w:rsidRPr="00F437CC">
              <w:rPr>
                <w:rFonts w:ascii="Arial" w:hAnsi="Arial" w:cs="Arial"/>
                <w:noProof/>
                <w:webHidden/>
              </w:rPr>
              <w:fldChar w:fldCharType="end"/>
            </w:r>
          </w:hyperlink>
        </w:p>
        <w:p w14:paraId="78B6B383" w14:textId="402CF124" w:rsidR="00CC064B" w:rsidRPr="00F437CC" w:rsidRDefault="00BD593D">
          <w:pPr>
            <w:pStyle w:val="TOC2"/>
            <w:tabs>
              <w:tab w:val="right" w:leader="dot" w:pos="9350"/>
            </w:tabs>
            <w:rPr>
              <w:rFonts w:ascii="Arial" w:hAnsi="Arial" w:cs="Arial"/>
              <w:noProof/>
              <w:kern w:val="2"/>
              <w:sz w:val="24"/>
              <w:szCs w:val="24"/>
              <w14:ligatures w14:val="standardContextual"/>
            </w:rPr>
          </w:pPr>
          <w:hyperlink w:anchor="_Toc181289460" w:history="1">
            <w:r w:rsidR="00CC064B" w:rsidRPr="00F437CC">
              <w:rPr>
                <w:rStyle w:val="Hyperlink"/>
                <w:rFonts w:ascii="Arial" w:hAnsi="Arial" w:cs="Arial"/>
                <w:noProof/>
              </w:rPr>
              <w:t>Annexes:</w:t>
            </w:r>
            <w:r w:rsidR="00CC064B" w:rsidRPr="00F437CC">
              <w:rPr>
                <w:rFonts w:ascii="Arial" w:hAnsi="Arial" w:cs="Arial"/>
                <w:noProof/>
                <w:webHidden/>
              </w:rPr>
              <w:tab/>
            </w:r>
            <w:r w:rsidR="00CC064B" w:rsidRPr="00F437CC">
              <w:rPr>
                <w:rFonts w:ascii="Arial" w:hAnsi="Arial" w:cs="Arial"/>
                <w:noProof/>
                <w:webHidden/>
              </w:rPr>
              <w:fldChar w:fldCharType="begin"/>
            </w:r>
            <w:r w:rsidR="00CC064B" w:rsidRPr="00F437CC">
              <w:rPr>
                <w:rFonts w:ascii="Arial" w:hAnsi="Arial" w:cs="Arial"/>
                <w:noProof/>
                <w:webHidden/>
              </w:rPr>
              <w:instrText xml:space="preserve"> PAGEREF _Toc181289460 \h </w:instrText>
            </w:r>
            <w:r w:rsidR="00CC064B" w:rsidRPr="00F437CC">
              <w:rPr>
                <w:rFonts w:ascii="Arial" w:hAnsi="Arial" w:cs="Arial"/>
                <w:noProof/>
                <w:webHidden/>
              </w:rPr>
            </w:r>
            <w:r w:rsidR="00CC064B" w:rsidRPr="00F437CC">
              <w:rPr>
                <w:rFonts w:ascii="Arial" w:hAnsi="Arial" w:cs="Arial"/>
                <w:noProof/>
                <w:webHidden/>
              </w:rPr>
              <w:fldChar w:fldCharType="separate"/>
            </w:r>
            <w:r w:rsidR="00CC064B" w:rsidRPr="00F437CC">
              <w:rPr>
                <w:rFonts w:ascii="Arial" w:hAnsi="Arial" w:cs="Arial"/>
                <w:noProof/>
                <w:webHidden/>
              </w:rPr>
              <w:t>36</w:t>
            </w:r>
            <w:r w:rsidR="00CC064B" w:rsidRPr="00F437CC">
              <w:rPr>
                <w:rFonts w:ascii="Arial" w:hAnsi="Arial" w:cs="Arial"/>
                <w:noProof/>
                <w:webHidden/>
              </w:rPr>
              <w:fldChar w:fldCharType="end"/>
            </w:r>
          </w:hyperlink>
        </w:p>
        <w:p w14:paraId="64FA9EEC" w14:textId="141194DD" w:rsidR="00C76D00" w:rsidRPr="00F437CC" w:rsidRDefault="00C76D00">
          <w:pPr>
            <w:rPr>
              <w:lang w:val="en-US"/>
            </w:rPr>
          </w:pPr>
          <w:r w:rsidRPr="00F437CC">
            <w:rPr>
              <w:b/>
              <w:bCs/>
              <w:noProof/>
              <w:lang w:val="en-US"/>
            </w:rPr>
            <w:fldChar w:fldCharType="end"/>
          </w:r>
        </w:p>
      </w:sdtContent>
    </w:sdt>
    <w:p w14:paraId="01238C16" w14:textId="77777777" w:rsidR="00CC064B" w:rsidRPr="00F437CC" w:rsidRDefault="00CC064B" w:rsidP="00924EFA">
      <w:pPr>
        <w:pStyle w:val="Heading1"/>
        <w:rPr>
          <w:lang w:val="en-US"/>
        </w:rPr>
      </w:pPr>
      <w:bookmarkStart w:id="0" w:name="_Toc181285155"/>
    </w:p>
    <w:p w14:paraId="0000000C" w14:textId="4ECF48AA" w:rsidR="00C60456" w:rsidRPr="00F437CC" w:rsidRDefault="00A74445" w:rsidP="00924EFA">
      <w:pPr>
        <w:pStyle w:val="Heading1"/>
        <w:rPr>
          <w:lang w:val="en-US"/>
        </w:rPr>
      </w:pPr>
      <w:bookmarkStart w:id="1" w:name="_Toc181289435"/>
      <w:r w:rsidRPr="00F437CC">
        <w:rPr>
          <w:lang w:val="en-US"/>
        </w:rPr>
        <w:t>INTRODUC</w:t>
      </w:r>
      <w:r w:rsidR="00FD274C" w:rsidRPr="00F437CC">
        <w:rPr>
          <w:lang w:val="en-US"/>
        </w:rPr>
        <w:t>TIO</w:t>
      </w:r>
      <w:r w:rsidRPr="00F437CC">
        <w:rPr>
          <w:lang w:val="en-US"/>
        </w:rPr>
        <w:t>N</w:t>
      </w:r>
      <w:bookmarkEnd w:id="0"/>
      <w:bookmarkEnd w:id="1"/>
    </w:p>
    <w:p w14:paraId="0000000D" w14:textId="4AD15465" w:rsidR="00C60456" w:rsidRPr="00F437CC" w:rsidRDefault="000231F9" w:rsidP="00924EFA">
      <w:pPr>
        <w:pStyle w:val="Heading2"/>
        <w:rPr>
          <w:lang w:val="en-US"/>
        </w:rPr>
      </w:pPr>
      <w:bookmarkStart w:id="2" w:name="_Toc181285156"/>
      <w:bookmarkStart w:id="3" w:name="_Toc181289436"/>
      <w:r w:rsidRPr="00F437CC">
        <w:rPr>
          <w:lang w:val="en-US"/>
        </w:rPr>
        <w:t>Presenta</w:t>
      </w:r>
      <w:r w:rsidR="00FD274C" w:rsidRPr="00F437CC">
        <w:rPr>
          <w:lang w:val="en-US"/>
        </w:rPr>
        <w:t>tio</w:t>
      </w:r>
      <w:r w:rsidRPr="00F437CC">
        <w:rPr>
          <w:lang w:val="en-US"/>
        </w:rPr>
        <w:t>n</w:t>
      </w:r>
      <w:bookmarkEnd w:id="2"/>
      <w:bookmarkEnd w:id="3"/>
    </w:p>
    <w:p w14:paraId="5FC235FE" w14:textId="3587ED0F" w:rsidR="00FD274C" w:rsidRPr="00F437CC" w:rsidRDefault="00FD274C" w:rsidP="00FD274C">
      <w:pPr>
        <w:spacing w:after="200" w:line="360" w:lineRule="auto"/>
        <w:jc w:val="both"/>
        <w:rPr>
          <w:sz w:val="24"/>
          <w:szCs w:val="24"/>
          <w:lang w:val="en-US"/>
        </w:rPr>
      </w:pPr>
      <w:r w:rsidRPr="00F437CC">
        <w:rPr>
          <w:sz w:val="24"/>
          <w:szCs w:val="24"/>
          <w:lang w:val="en-US"/>
        </w:rPr>
        <w:t xml:space="preserve">This report is the result of the collaborative work </w:t>
      </w:r>
      <w:r w:rsidR="0074715B">
        <w:rPr>
          <w:sz w:val="24"/>
          <w:szCs w:val="24"/>
          <w:lang w:val="en-US"/>
        </w:rPr>
        <w:t xml:space="preserve">done </w:t>
      </w:r>
      <w:r w:rsidRPr="00F437CC">
        <w:rPr>
          <w:sz w:val="24"/>
          <w:szCs w:val="24"/>
          <w:lang w:val="en-US"/>
        </w:rPr>
        <w:t xml:space="preserve">by social organizations that, for years, have carried out processes related to the protection, enforceability, and advocacy for the rights the child (boys, girls, and adolescents – </w:t>
      </w:r>
      <w:r w:rsidRPr="00F437CC">
        <w:rPr>
          <w:i/>
          <w:iCs/>
          <w:sz w:val="24"/>
          <w:szCs w:val="24"/>
          <w:lang w:val="en-US"/>
        </w:rPr>
        <w:t>NNA according to its initials in Spanish</w:t>
      </w:r>
      <w:r w:rsidRPr="00F437CC">
        <w:rPr>
          <w:sz w:val="24"/>
          <w:szCs w:val="24"/>
          <w:lang w:val="en-US"/>
        </w:rPr>
        <w:t xml:space="preserve">) in various areas and territories across the country. The information is based on local, regional, and national investigative activities that include data collection, surveys, workshops with focus groups, case studies, among other methods that provide insight into the status of children's rights over the past seven years. Most of these data collection processes involved the participation of </w:t>
      </w:r>
      <w:r w:rsidR="00435A7F">
        <w:rPr>
          <w:sz w:val="24"/>
          <w:szCs w:val="24"/>
          <w:lang w:val="en-US"/>
        </w:rPr>
        <w:t>NNA</w:t>
      </w:r>
      <w:r w:rsidRPr="00F437CC">
        <w:rPr>
          <w:sz w:val="24"/>
          <w:szCs w:val="24"/>
          <w:lang w:val="en-US"/>
        </w:rPr>
        <w:t xml:space="preserve"> from different regions of the country.</w:t>
      </w:r>
    </w:p>
    <w:p w14:paraId="389E4D0E" w14:textId="1196C2F8" w:rsidR="00FD274C" w:rsidRPr="00F437CC" w:rsidRDefault="00FD274C" w:rsidP="00FD274C">
      <w:pPr>
        <w:spacing w:after="200" w:line="360" w:lineRule="auto"/>
        <w:jc w:val="both"/>
        <w:rPr>
          <w:sz w:val="24"/>
          <w:szCs w:val="24"/>
          <w:lang w:val="en-US"/>
        </w:rPr>
      </w:pPr>
      <w:r w:rsidRPr="00F437CC">
        <w:rPr>
          <w:sz w:val="24"/>
          <w:szCs w:val="24"/>
          <w:lang w:val="en-US"/>
        </w:rPr>
        <w:t>During the data collection process, the dialogues among stakeholders, and the drafting of this document, three main areas that frame the situations described in this alternative report were identified for analysis considering Colombia’s international obligations regarding the rights of</w:t>
      </w:r>
      <w:r w:rsidR="00435A7F">
        <w:rPr>
          <w:sz w:val="24"/>
          <w:szCs w:val="24"/>
          <w:lang w:val="en-US"/>
        </w:rPr>
        <w:t xml:space="preserve"> NNA</w:t>
      </w:r>
      <w:r w:rsidRPr="00F437CC">
        <w:rPr>
          <w:sz w:val="24"/>
          <w:szCs w:val="24"/>
          <w:lang w:val="en-US"/>
        </w:rPr>
        <w:t>.</w:t>
      </w:r>
    </w:p>
    <w:p w14:paraId="2BFEEEA0" w14:textId="77777777" w:rsidR="00FD274C" w:rsidRPr="00F437CC" w:rsidRDefault="00FD274C" w:rsidP="00FD274C">
      <w:pPr>
        <w:spacing w:after="200" w:line="360" w:lineRule="auto"/>
        <w:jc w:val="both"/>
        <w:rPr>
          <w:sz w:val="24"/>
          <w:szCs w:val="24"/>
          <w:lang w:val="en-US"/>
        </w:rPr>
      </w:pPr>
      <w:r w:rsidRPr="00F437CC">
        <w:rPr>
          <w:sz w:val="24"/>
          <w:szCs w:val="24"/>
          <w:lang w:val="en-US"/>
        </w:rPr>
        <w:t xml:space="preserve">The first area refers to the </w:t>
      </w:r>
      <w:r w:rsidRPr="00F437CC">
        <w:rPr>
          <w:b/>
          <w:bCs/>
          <w:sz w:val="24"/>
          <w:szCs w:val="24"/>
          <w:lang w:val="en-US"/>
        </w:rPr>
        <w:t>State’s inertia</w:t>
      </w:r>
      <w:r w:rsidRPr="00F437CC">
        <w:rPr>
          <w:sz w:val="24"/>
          <w:szCs w:val="24"/>
          <w:lang w:val="en-US"/>
        </w:rPr>
        <w:t xml:space="preserve"> in adopting measures for the protection of children's rights. This area reflects the State’s lack of action in addressing human rights issues. In this report, the term " State’s inertia " is used to contextualize the lack of child-centered measures adopted by the Colombian government for structural issues, including the failure to adopt effective measures to protect vulnerable children in situations of armed violence, and to address gaps in access to education, which affect rural and impoverished populations and others in a disproportionate manner.</w:t>
      </w:r>
    </w:p>
    <w:p w14:paraId="6E15301C" w14:textId="06093774" w:rsidR="00FD274C" w:rsidRPr="00F437CC" w:rsidRDefault="00FD274C" w:rsidP="00FD274C">
      <w:pPr>
        <w:spacing w:after="200" w:line="360" w:lineRule="auto"/>
        <w:jc w:val="both"/>
        <w:rPr>
          <w:sz w:val="24"/>
          <w:szCs w:val="24"/>
          <w:lang w:val="en-US"/>
        </w:rPr>
      </w:pPr>
      <w:r w:rsidRPr="00F437CC">
        <w:rPr>
          <w:sz w:val="24"/>
          <w:szCs w:val="24"/>
          <w:lang w:val="en-US"/>
        </w:rPr>
        <w:t xml:space="preserve">The second area is related to the </w:t>
      </w:r>
      <w:r w:rsidRPr="00F437CC">
        <w:rPr>
          <w:b/>
          <w:bCs/>
          <w:sz w:val="24"/>
          <w:szCs w:val="24"/>
          <w:lang w:val="en-US"/>
        </w:rPr>
        <w:t>State’s perpetration of violence</w:t>
      </w:r>
      <w:r w:rsidRPr="00F437CC">
        <w:rPr>
          <w:sz w:val="24"/>
          <w:szCs w:val="24"/>
          <w:lang w:val="en-US"/>
        </w:rPr>
        <w:t xml:space="preserve"> against </w:t>
      </w:r>
      <w:r w:rsidR="00435A7F">
        <w:rPr>
          <w:sz w:val="24"/>
          <w:szCs w:val="24"/>
          <w:lang w:val="en-US"/>
        </w:rPr>
        <w:t>NNA</w:t>
      </w:r>
      <w:r w:rsidRPr="00F437CC">
        <w:rPr>
          <w:sz w:val="24"/>
          <w:szCs w:val="24"/>
          <w:lang w:val="en-US"/>
        </w:rPr>
        <w:t xml:space="preserve">. This area highlights the fact that during the study period (2016-2024), the State, through its agents, engaged in various forms of violence against </w:t>
      </w:r>
      <w:r w:rsidR="00435A7F">
        <w:rPr>
          <w:sz w:val="24"/>
          <w:szCs w:val="24"/>
          <w:lang w:val="en-US"/>
        </w:rPr>
        <w:t>NNA</w:t>
      </w:r>
      <w:r w:rsidRPr="00F437CC">
        <w:rPr>
          <w:sz w:val="24"/>
          <w:szCs w:val="24"/>
          <w:lang w:val="en-US"/>
        </w:rPr>
        <w:t xml:space="preserve">, including, for instance, bombings within the armed conflict and arbitrary detentions, killings, torture, and other forms of aggression during social protests. </w:t>
      </w:r>
    </w:p>
    <w:p w14:paraId="3DE3A705" w14:textId="77777777" w:rsidR="00FD274C" w:rsidRPr="00F437CC" w:rsidRDefault="00FD274C" w:rsidP="00FD274C">
      <w:pPr>
        <w:spacing w:after="200" w:line="360" w:lineRule="auto"/>
        <w:jc w:val="both"/>
        <w:rPr>
          <w:sz w:val="24"/>
          <w:szCs w:val="24"/>
          <w:lang w:val="en-US"/>
        </w:rPr>
      </w:pPr>
      <w:r w:rsidRPr="00F437CC">
        <w:rPr>
          <w:sz w:val="24"/>
          <w:szCs w:val="24"/>
          <w:lang w:val="en-US"/>
        </w:rPr>
        <w:lastRenderedPageBreak/>
        <w:t xml:space="preserve">Finally, the third area is related to </w:t>
      </w:r>
      <w:r w:rsidRPr="00F437CC">
        <w:rPr>
          <w:b/>
          <w:bCs/>
          <w:sz w:val="24"/>
          <w:szCs w:val="24"/>
          <w:lang w:val="en-US"/>
        </w:rPr>
        <w:t>corporate capture</w:t>
      </w:r>
      <w:r w:rsidRPr="00F437CC">
        <w:rPr>
          <w:sz w:val="24"/>
          <w:szCs w:val="24"/>
          <w:lang w:val="en-US"/>
        </w:rPr>
        <w:t xml:space="preserve"> in public decision-making. This concept refers to the influence of powerful economic actors, such as corporations, on public decision-making. The report identifies cases of corporate capture in areas such as the regulation of harmful food products and the regulation of arms use and trafficking. </w:t>
      </w:r>
    </w:p>
    <w:p w14:paraId="00000013" w14:textId="417AF0A5" w:rsidR="00C60456" w:rsidRPr="00F437CC" w:rsidRDefault="00FD274C" w:rsidP="00FD274C">
      <w:pPr>
        <w:spacing w:after="200" w:line="360" w:lineRule="auto"/>
        <w:jc w:val="both"/>
        <w:rPr>
          <w:sz w:val="24"/>
          <w:szCs w:val="24"/>
          <w:lang w:val="en-US"/>
        </w:rPr>
      </w:pPr>
      <w:r w:rsidRPr="00F437CC">
        <w:rPr>
          <w:sz w:val="24"/>
          <w:szCs w:val="24"/>
          <w:lang w:val="en-US"/>
        </w:rPr>
        <w:t xml:space="preserve">The report is divided into three chapters. The first chapter addresses forms of violence experienced by </w:t>
      </w:r>
      <w:r w:rsidR="00435A7F">
        <w:rPr>
          <w:sz w:val="24"/>
          <w:szCs w:val="24"/>
          <w:lang w:val="en-US"/>
        </w:rPr>
        <w:t>NNA</w:t>
      </w:r>
      <w:r w:rsidRPr="00F437CC">
        <w:rPr>
          <w:sz w:val="24"/>
          <w:szCs w:val="24"/>
          <w:lang w:val="en-US"/>
        </w:rPr>
        <w:t xml:space="preserve"> within the context of the armed conflict following the signing of the peace agreements. These were perpetrated both by military agents and other actors, without enough protection by the State for children and adolescents. The second chapter discusses other forms of violence not necessarily tied to the armed conflict but that have either been perpetrated or neglected by the State. Lastly, the third chapter addresses violations of certain economic, social, and cultural rights, including a case study analysis.</w:t>
      </w:r>
    </w:p>
    <w:p w14:paraId="00000014" w14:textId="77777777" w:rsidR="00C60456" w:rsidRPr="00F437CC" w:rsidRDefault="00C60456">
      <w:pPr>
        <w:spacing w:after="200" w:line="360" w:lineRule="auto"/>
        <w:jc w:val="both"/>
        <w:rPr>
          <w:sz w:val="24"/>
          <w:szCs w:val="24"/>
          <w:lang w:val="en-US"/>
        </w:rPr>
      </w:pPr>
    </w:p>
    <w:p w14:paraId="00000015" w14:textId="77777777" w:rsidR="00C60456" w:rsidRPr="00F437CC" w:rsidRDefault="00C60456">
      <w:pPr>
        <w:spacing w:after="200" w:line="360" w:lineRule="auto"/>
        <w:jc w:val="both"/>
        <w:rPr>
          <w:sz w:val="24"/>
          <w:szCs w:val="24"/>
          <w:lang w:val="en-US"/>
        </w:rPr>
      </w:pPr>
    </w:p>
    <w:p w14:paraId="00000016" w14:textId="77777777" w:rsidR="00C60456" w:rsidRPr="00F437CC" w:rsidRDefault="00C60456">
      <w:pPr>
        <w:spacing w:after="200" w:line="360" w:lineRule="auto"/>
        <w:jc w:val="both"/>
        <w:rPr>
          <w:sz w:val="24"/>
          <w:szCs w:val="24"/>
          <w:lang w:val="en-US"/>
        </w:rPr>
      </w:pPr>
    </w:p>
    <w:p w14:paraId="00000017" w14:textId="77777777" w:rsidR="00C60456" w:rsidRPr="00F437CC" w:rsidRDefault="00C60456">
      <w:pPr>
        <w:spacing w:after="200" w:line="360" w:lineRule="auto"/>
        <w:jc w:val="both"/>
        <w:rPr>
          <w:sz w:val="24"/>
          <w:szCs w:val="24"/>
          <w:lang w:val="en-US"/>
        </w:rPr>
      </w:pPr>
    </w:p>
    <w:p w14:paraId="00000018" w14:textId="77777777" w:rsidR="00C60456" w:rsidRPr="00F437CC" w:rsidRDefault="00C60456">
      <w:pPr>
        <w:spacing w:after="200" w:line="360" w:lineRule="auto"/>
        <w:jc w:val="both"/>
        <w:rPr>
          <w:sz w:val="24"/>
          <w:szCs w:val="24"/>
          <w:lang w:val="en-US"/>
        </w:rPr>
      </w:pPr>
    </w:p>
    <w:p w14:paraId="00000019" w14:textId="77777777" w:rsidR="00C60456" w:rsidRPr="00F437CC" w:rsidRDefault="00C60456">
      <w:pPr>
        <w:spacing w:after="200" w:line="360" w:lineRule="auto"/>
        <w:jc w:val="both"/>
        <w:rPr>
          <w:sz w:val="24"/>
          <w:szCs w:val="24"/>
          <w:lang w:val="en-US"/>
        </w:rPr>
      </w:pPr>
    </w:p>
    <w:p w14:paraId="0000001A" w14:textId="77777777" w:rsidR="00C60456" w:rsidRPr="00F437CC" w:rsidRDefault="00C60456">
      <w:pPr>
        <w:spacing w:after="200" w:line="360" w:lineRule="auto"/>
        <w:jc w:val="both"/>
        <w:rPr>
          <w:sz w:val="24"/>
          <w:szCs w:val="24"/>
          <w:lang w:val="en-US"/>
        </w:rPr>
      </w:pPr>
    </w:p>
    <w:p w14:paraId="0000001B" w14:textId="77777777" w:rsidR="00C60456" w:rsidRPr="00F437CC" w:rsidRDefault="00C60456">
      <w:pPr>
        <w:spacing w:after="200" w:line="360" w:lineRule="auto"/>
        <w:jc w:val="both"/>
        <w:rPr>
          <w:sz w:val="24"/>
          <w:szCs w:val="24"/>
          <w:lang w:val="en-US"/>
        </w:rPr>
      </w:pPr>
    </w:p>
    <w:p w14:paraId="0000001E" w14:textId="77777777" w:rsidR="00C60456" w:rsidRPr="00F437CC" w:rsidRDefault="00C60456">
      <w:pPr>
        <w:spacing w:after="200" w:line="360" w:lineRule="auto"/>
        <w:jc w:val="both"/>
        <w:rPr>
          <w:sz w:val="24"/>
          <w:szCs w:val="24"/>
          <w:lang w:val="en-US"/>
        </w:rPr>
      </w:pPr>
    </w:p>
    <w:p w14:paraId="0000001F" w14:textId="2097A701" w:rsidR="00C60456" w:rsidRPr="00F437CC" w:rsidRDefault="00FD274C" w:rsidP="00924EFA">
      <w:pPr>
        <w:pStyle w:val="Heading1"/>
        <w:rPr>
          <w:lang w:val="en-US"/>
        </w:rPr>
      </w:pPr>
      <w:bookmarkStart w:id="4" w:name="_Toc181285157"/>
      <w:bookmarkStart w:id="5" w:name="_Toc181289437"/>
      <w:r w:rsidRPr="00FD274C">
        <w:rPr>
          <w:lang w:val="en-US"/>
        </w:rPr>
        <w:lastRenderedPageBreak/>
        <w:t xml:space="preserve">CHAPTER 1. VIOLENCE AGAINST BOYS, GIRLS, AND ADOLESCENTS IN THE CONTEXT OF </w:t>
      </w:r>
      <w:r w:rsidR="00CC064B" w:rsidRPr="00F437CC">
        <w:rPr>
          <w:lang w:val="en-US"/>
        </w:rPr>
        <w:t xml:space="preserve">THE </w:t>
      </w:r>
      <w:r w:rsidRPr="00FD274C">
        <w:rPr>
          <w:lang w:val="en-US"/>
        </w:rPr>
        <w:t>ARMED CONFLICT</w:t>
      </w:r>
      <w:bookmarkEnd w:id="4"/>
      <w:bookmarkEnd w:id="5"/>
    </w:p>
    <w:p w14:paraId="00000020" w14:textId="3222FC1F" w:rsidR="00C60456" w:rsidRPr="00F437CC" w:rsidRDefault="00A74445" w:rsidP="00924EFA">
      <w:pPr>
        <w:pStyle w:val="Heading2"/>
        <w:rPr>
          <w:lang w:val="en-US"/>
        </w:rPr>
      </w:pPr>
      <w:bookmarkStart w:id="6" w:name="_Toc181285158"/>
      <w:bookmarkStart w:id="7" w:name="_Toc181289438"/>
      <w:r w:rsidRPr="00F437CC">
        <w:rPr>
          <w:lang w:val="en-US"/>
        </w:rPr>
        <w:t xml:space="preserve">1.1. </w:t>
      </w:r>
      <w:r w:rsidR="00FD274C" w:rsidRPr="00F437CC">
        <w:rPr>
          <w:lang w:val="en-US"/>
        </w:rPr>
        <w:t>Overview</w:t>
      </w:r>
      <w:bookmarkEnd w:id="6"/>
      <w:bookmarkEnd w:id="7"/>
    </w:p>
    <w:p w14:paraId="00000021" w14:textId="3CFA66FA" w:rsidR="00C60456" w:rsidRPr="00F437CC" w:rsidRDefault="00FD274C">
      <w:pPr>
        <w:spacing w:after="200" w:line="360" w:lineRule="auto"/>
        <w:jc w:val="both"/>
        <w:rPr>
          <w:b/>
          <w:color w:val="0B5394"/>
          <w:sz w:val="24"/>
          <w:szCs w:val="24"/>
          <w:lang w:val="en-US"/>
        </w:rPr>
      </w:pPr>
      <w:r w:rsidRPr="00AF1661">
        <w:rPr>
          <w:sz w:val="24"/>
          <w:szCs w:val="24"/>
          <w:lang w:val="en-US"/>
        </w:rPr>
        <w:t>The period under review by the Committee on the Rights of the Child (2016-2024) coincides with the implementation of the peace agreements, which various international organizations have deemed insufficient during the previous administration</w:t>
      </w:r>
      <w:r w:rsidRPr="00F437CC">
        <w:rPr>
          <w:sz w:val="26"/>
          <w:szCs w:val="26"/>
          <w:vertAlign w:val="superscript"/>
          <w:lang w:val="en-US"/>
        </w:rPr>
        <w:footnoteReference w:id="1"/>
      </w:r>
      <w:r w:rsidR="000231F9" w:rsidRPr="00F437CC">
        <w:rPr>
          <w:sz w:val="24"/>
          <w:szCs w:val="24"/>
          <w:lang w:val="en-US"/>
        </w:rPr>
        <w:t>.</w:t>
      </w:r>
      <w:r w:rsidRPr="00F437CC">
        <w:rPr>
          <w:sz w:val="26"/>
          <w:szCs w:val="26"/>
          <w:vertAlign w:val="superscript"/>
          <w:lang w:val="en-US"/>
        </w:rPr>
        <w:t xml:space="preserve"> </w:t>
      </w:r>
    </w:p>
    <w:p w14:paraId="00000022" w14:textId="31B8E24C" w:rsidR="00C60456" w:rsidRPr="00F437CC" w:rsidRDefault="00FD274C">
      <w:pPr>
        <w:spacing w:after="200" w:line="360" w:lineRule="auto"/>
        <w:jc w:val="both"/>
        <w:rPr>
          <w:sz w:val="24"/>
          <w:szCs w:val="24"/>
          <w:lang w:val="en-US"/>
        </w:rPr>
      </w:pPr>
      <w:r w:rsidRPr="00F437CC">
        <w:rPr>
          <w:sz w:val="24"/>
          <w:szCs w:val="24"/>
          <w:lang w:val="en-US"/>
        </w:rPr>
        <w:t>Due to the ineffective implementation of the peace agreement signed in 2016 with the Revolutionary Armed Forces of Colombia (</w:t>
      </w:r>
      <w:r w:rsidRPr="00F437CC">
        <w:rPr>
          <w:i/>
          <w:iCs/>
          <w:sz w:val="24"/>
          <w:szCs w:val="24"/>
          <w:lang w:val="en-US"/>
        </w:rPr>
        <w:t>Fuerzas Armadas Revolucionarias de Colombia - FARC</w:t>
      </w:r>
      <w:r w:rsidRPr="00F437CC">
        <w:rPr>
          <w:sz w:val="24"/>
          <w:szCs w:val="24"/>
          <w:lang w:val="en-US"/>
        </w:rPr>
        <w:t>), the Office of the United Nations High Commissioner for Human Rights (OHCHR) has recognized that the armed conflict in the country has reconfigured, with severe consequences for human rights</w:t>
      </w:r>
      <w:r w:rsidR="00483CB2">
        <w:rPr>
          <w:sz w:val="24"/>
          <w:szCs w:val="24"/>
          <w:lang w:val="en-US"/>
        </w:rPr>
        <w:t>;</w:t>
      </w:r>
      <w:r w:rsidRPr="00F437CC">
        <w:rPr>
          <w:sz w:val="24"/>
          <w:szCs w:val="24"/>
          <w:vertAlign w:val="superscript"/>
          <w:lang w:val="en-US"/>
        </w:rPr>
        <w:footnoteReference w:id="2"/>
      </w:r>
      <w:r w:rsidRPr="00F437CC">
        <w:rPr>
          <w:sz w:val="24"/>
          <w:szCs w:val="24"/>
          <w:lang w:val="en-US"/>
        </w:rPr>
        <w:t xml:space="preserve"> and </w:t>
      </w:r>
      <w:r w:rsidR="00435A7F">
        <w:rPr>
          <w:sz w:val="24"/>
          <w:szCs w:val="24"/>
          <w:lang w:val="en-US"/>
        </w:rPr>
        <w:t>NNA</w:t>
      </w:r>
      <w:r w:rsidRPr="00F437CC">
        <w:rPr>
          <w:sz w:val="24"/>
          <w:szCs w:val="24"/>
          <w:lang w:val="en-US"/>
        </w:rPr>
        <w:t xml:space="preserve"> have been some of the groups most affected by the dynamics of the war.</w:t>
      </w:r>
      <w:r w:rsidRPr="00F437CC">
        <w:rPr>
          <w:sz w:val="24"/>
          <w:szCs w:val="24"/>
          <w:vertAlign w:val="superscript"/>
          <w:lang w:val="en-US"/>
        </w:rPr>
        <w:footnoteReference w:id="3"/>
      </w:r>
      <w:r w:rsidRPr="00F437CC">
        <w:rPr>
          <w:sz w:val="24"/>
          <w:szCs w:val="24"/>
          <w:lang w:val="en-US"/>
        </w:rPr>
        <w:t xml:space="preserve"> We recognize the current government’s stance on implementing the peace agreement; however, the situation is still concerning. Indeed, as reported by the United Nations Secretary General, despite the reduction in armed confrontations between the Government and other groups, FARC</w:t>
      </w:r>
      <w:r w:rsidR="001650D2" w:rsidRPr="00F437CC">
        <w:rPr>
          <w:sz w:val="24"/>
          <w:szCs w:val="24"/>
          <w:lang w:val="en-US"/>
        </w:rPr>
        <w:t xml:space="preserve"> dissidents, the National Liberation Army (ELN), and paramilitary groups have strengthened and expanded their presence in areas with limited state presence</w:t>
      </w:r>
      <w:r w:rsidRPr="00F437CC">
        <w:rPr>
          <w:sz w:val="24"/>
          <w:szCs w:val="24"/>
          <w:vertAlign w:val="superscript"/>
          <w:lang w:val="en-US"/>
        </w:rPr>
        <w:footnoteReference w:id="4"/>
      </w:r>
      <w:r w:rsidRPr="00F437CC">
        <w:rPr>
          <w:sz w:val="24"/>
          <w:szCs w:val="24"/>
          <w:lang w:val="en-US"/>
        </w:rPr>
        <w:t>.</w:t>
      </w:r>
    </w:p>
    <w:p w14:paraId="00000023" w14:textId="61A86F35" w:rsidR="00C60456" w:rsidRPr="00F437CC" w:rsidRDefault="001650D2">
      <w:pPr>
        <w:spacing w:after="200" w:line="360" w:lineRule="auto"/>
        <w:jc w:val="both"/>
        <w:rPr>
          <w:sz w:val="24"/>
          <w:szCs w:val="24"/>
          <w:lang w:val="en-US"/>
        </w:rPr>
      </w:pPr>
      <w:r w:rsidRPr="00F437CC">
        <w:rPr>
          <w:sz w:val="24"/>
          <w:szCs w:val="24"/>
          <w:lang w:val="en-US"/>
        </w:rPr>
        <w:t xml:space="preserve">In this context, there has been a recurrence of recruitment, bombings of the military forces targeting camps with the presence of </w:t>
      </w:r>
      <w:r w:rsidR="00435A7F">
        <w:rPr>
          <w:sz w:val="24"/>
          <w:szCs w:val="24"/>
          <w:lang w:val="en-US"/>
        </w:rPr>
        <w:t>NNA</w:t>
      </w:r>
      <w:r w:rsidRPr="00F437CC">
        <w:rPr>
          <w:sz w:val="24"/>
          <w:szCs w:val="24"/>
          <w:lang w:val="en-US"/>
        </w:rPr>
        <w:t xml:space="preserve">, civic-military actions, and an alarming </w:t>
      </w:r>
      <w:r w:rsidRPr="00F437CC">
        <w:rPr>
          <w:sz w:val="24"/>
          <w:szCs w:val="24"/>
          <w:lang w:val="en-US"/>
        </w:rPr>
        <w:lastRenderedPageBreak/>
        <w:t xml:space="preserve">increase in the killing of human rights advocates (including </w:t>
      </w:r>
      <w:r w:rsidR="00435A7F">
        <w:rPr>
          <w:sz w:val="24"/>
          <w:szCs w:val="24"/>
          <w:lang w:val="en-US"/>
        </w:rPr>
        <w:t>NNA</w:t>
      </w:r>
      <w:r w:rsidRPr="00F437CC">
        <w:rPr>
          <w:sz w:val="24"/>
          <w:szCs w:val="24"/>
          <w:lang w:val="en-US"/>
        </w:rPr>
        <w:t xml:space="preserve"> that advocate for the territory and the environment), among other issues.</w:t>
      </w:r>
      <w:r w:rsidRPr="00F437CC">
        <w:rPr>
          <w:sz w:val="24"/>
          <w:szCs w:val="24"/>
          <w:vertAlign w:val="superscript"/>
          <w:lang w:val="en-US"/>
        </w:rPr>
        <w:footnoteReference w:id="5"/>
      </w:r>
      <w:r w:rsidRPr="00F437CC">
        <w:rPr>
          <w:sz w:val="24"/>
          <w:szCs w:val="24"/>
          <w:lang w:val="en-US"/>
        </w:rPr>
        <w:t xml:space="preserve"> Despite the current </w:t>
      </w:r>
      <w:r w:rsidR="00483CB2">
        <w:rPr>
          <w:sz w:val="24"/>
          <w:szCs w:val="24"/>
          <w:lang w:val="en-US"/>
        </w:rPr>
        <w:t>administration’s</w:t>
      </w:r>
      <w:r w:rsidRPr="00F437CC">
        <w:rPr>
          <w:sz w:val="24"/>
          <w:szCs w:val="24"/>
          <w:lang w:val="en-US"/>
        </w:rPr>
        <w:t xml:space="preserve"> political will to implement the peace agreement, the United Nations mechanisms have called for this to become part of a comprehensive state policy at the national and local levels</w:t>
      </w:r>
      <w:r w:rsidRPr="00F437CC">
        <w:rPr>
          <w:sz w:val="24"/>
          <w:szCs w:val="24"/>
          <w:vertAlign w:val="superscript"/>
          <w:lang w:val="en-US"/>
        </w:rPr>
        <w:footnoteReference w:id="6"/>
      </w:r>
      <w:r w:rsidR="000231F9" w:rsidRPr="00F437CC">
        <w:rPr>
          <w:sz w:val="24"/>
          <w:szCs w:val="24"/>
          <w:lang w:val="en-US"/>
        </w:rPr>
        <w:t>.</w:t>
      </w:r>
    </w:p>
    <w:p w14:paraId="00000024" w14:textId="585D8F38" w:rsidR="00C60456" w:rsidRPr="00F437CC" w:rsidRDefault="00A74445" w:rsidP="00924EFA">
      <w:pPr>
        <w:pStyle w:val="Heading2"/>
        <w:rPr>
          <w:lang w:val="en-US"/>
        </w:rPr>
      </w:pPr>
      <w:bookmarkStart w:id="8" w:name="_Toc181289439"/>
      <w:bookmarkStart w:id="9" w:name="_Toc181285159"/>
      <w:r w:rsidRPr="00F437CC">
        <w:rPr>
          <w:lang w:val="en-US"/>
        </w:rPr>
        <w:t xml:space="preserve">1.2. </w:t>
      </w:r>
      <w:r w:rsidR="001650D2" w:rsidRPr="00F437CC">
        <w:rPr>
          <w:lang w:val="en-US"/>
        </w:rPr>
        <w:t>The Colombian State Fails to Adopt Effective Measures to Prevent the Recruitment of Boys, Girls, and Adolescents</w:t>
      </w:r>
      <w:bookmarkEnd w:id="8"/>
      <w:r w:rsidR="001650D2" w:rsidRPr="00F437CC">
        <w:rPr>
          <w:lang w:val="en-US"/>
        </w:rPr>
        <w:t xml:space="preserve"> </w:t>
      </w:r>
      <w:bookmarkEnd w:id="9"/>
    </w:p>
    <w:p w14:paraId="00000025" w14:textId="093A6996" w:rsidR="00C60456" w:rsidRPr="00F437CC" w:rsidRDefault="001650D2">
      <w:pPr>
        <w:spacing w:after="200" w:line="360" w:lineRule="auto"/>
        <w:jc w:val="both"/>
        <w:rPr>
          <w:sz w:val="24"/>
          <w:szCs w:val="24"/>
          <w:lang w:val="en-US"/>
        </w:rPr>
      </w:pPr>
      <w:r w:rsidRPr="00F437CC">
        <w:rPr>
          <w:sz w:val="24"/>
          <w:szCs w:val="24"/>
          <w:lang w:val="en-US"/>
        </w:rPr>
        <w:t xml:space="preserve">Under the Optional Protocol (Article 4.2), the Committee recommended that the State adopt sufficient measures to prevent the forced recruitment of </w:t>
      </w:r>
      <w:r w:rsidR="00435A7F">
        <w:rPr>
          <w:sz w:val="24"/>
          <w:szCs w:val="24"/>
          <w:lang w:val="en-US"/>
        </w:rPr>
        <w:t>NNA</w:t>
      </w:r>
      <w:r w:rsidRPr="00F437CC">
        <w:rPr>
          <w:sz w:val="24"/>
          <w:szCs w:val="24"/>
          <w:lang w:val="en-US"/>
        </w:rPr>
        <w:t>, including strengthening early warning systems, the work of the Intersectoral Commission,</w:t>
      </w:r>
      <w:r w:rsidRPr="00F437CC">
        <w:rPr>
          <w:sz w:val="24"/>
          <w:szCs w:val="24"/>
          <w:vertAlign w:val="superscript"/>
          <w:lang w:val="en-US"/>
        </w:rPr>
        <w:footnoteReference w:id="7"/>
      </w:r>
      <w:r w:rsidRPr="00F437CC">
        <w:rPr>
          <w:sz w:val="24"/>
          <w:szCs w:val="24"/>
          <w:lang w:val="en-US"/>
        </w:rPr>
        <w:t xml:space="preserve"> special protections for populations vulnerable to recruitment (such as indigenous and ethnic minorities)</w:t>
      </w:r>
      <w:r w:rsidRPr="00F437CC">
        <w:rPr>
          <w:sz w:val="24"/>
          <w:szCs w:val="24"/>
          <w:vertAlign w:val="superscript"/>
          <w:lang w:val="en-US"/>
        </w:rPr>
        <w:footnoteReference w:id="8"/>
      </w:r>
      <w:r w:rsidRPr="00F437CC">
        <w:rPr>
          <w:sz w:val="24"/>
          <w:szCs w:val="24"/>
          <w:lang w:val="en-US"/>
        </w:rPr>
        <w:t>, and the effectiveness of regulations related to the prevention of forced recruitment.</w:t>
      </w:r>
      <w:r w:rsidRPr="00F437CC">
        <w:rPr>
          <w:sz w:val="24"/>
          <w:szCs w:val="24"/>
          <w:vertAlign w:val="superscript"/>
          <w:lang w:val="en-US"/>
        </w:rPr>
        <w:footnoteReference w:id="9"/>
      </w:r>
      <w:r w:rsidRPr="00F437CC">
        <w:rPr>
          <w:sz w:val="24"/>
          <w:szCs w:val="24"/>
          <w:lang w:val="en-US"/>
        </w:rPr>
        <w:t xml:space="preserve"> In response, the Colombian government provided information in its national report on policies related to recruitment prevention, including the establishment of institutions, the adjustments made to Policy 3673 (2010) in 2018, and the Public Policy Framework for Children and Adolescents, as well as resources allocated for recruitment prevention in the national development plan.</w:t>
      </w:r>
      <w:r w:rsidRPr="00F437CC">
        <w:rPr>
          <w:sz w:val="24"/>
          <w:szCs w:val="24"/>
          <w:vertAlign w:val="superscript"/>
          <w:lang w:val="en-US"/>
        </w:rPr>
        <w:footnoteReference w:id="10"/>
      </w:r>
      <w:r w:rsidRPr="00F437CC">
        <w:rPr>
          <w:sz w:val="24"/>
          <w:szCs w:val="24"/>
          <w:lang w:val="en-US"/>
        </w:rPr>
        <w:t xml:space="preserve"> However, Colombia limited itself to presenting overall measures in its report without explaining their effectiveness concerning forced recruitment rates of </w:t>
      </w:r>
      <w:r w:rsidR="00435A7F">
        <w:rPr>
          <w:sz w:val="24"/>
          <w:szCs w:val="24"/>
          <w:lang w:val="en-US"/>
        </w:rPr>
        <w:t>NNA</w:t>
      </w:r>
      <w:r w:rsidRPr="00F437CC">
        <w:rPr>
          <w:sz w:val="24"/>
          <w:szCs w:val="24"/>
          <w:lang w:val="en-US"/>
        </w:rPr>
        <w:t xml:space="preserve">, the coordination among entities involved in public policy, and the efficacy of actions. For instance, the Office of the Ombudsman continues to issue hundreds of early warnings annually related to the risk of recruitment of </w:t>
      </w:r>
      <w:r w:rsidR="00435A7F">
        <w:rPr>
          <w:sz w:val="24"/>
          <w:szCs w:val="24"/>
          <w:lang w:val="en-US"/>
        </w:rPr>
        <w:t>NNA</w:t>
      </w:r>
      <w:r w:rsidRPr="00F437CC">
        <w:rPr>
          <w:sz w:val="24"/>
          <w:szCs w:val="24"/>
          <w:lang w:val="en-US"/>
        </w:rPr>
        <w:t>, reporting at least 184 cases in 2023.</w:t>
      </w:r>
      <w:r w:rsidRPr="00F437CC">
        <w:rPr>
          <w:sz w:val="24"/>
          <w:szCs w:val="24"/>
          <w:vertAlign w:val="superscript"/>
          <w:lang w:val="en-US"/>
        </w:rPr>
        <w:footnoteReference w:id="11"/>
      </w:r>
      <w:r w:rsidRPr="00F437CC">
        <w:rPr>
          <w:sz w:val="24"/>
          <w:szCs w:val="24"/>
          <w:lang w:val="en-US"/>
        </w:rPr>
        <w:t xml:space="preserve"> In this regard, the Organization of American States (OAS), </w:t>
      </w:r>
      <w:r w:rsidRPr="00F437CC">
        <w:rPr>
          <w:sz w:val="24"/>
          <w:szCs w:val="24"/>
          <w:lang w:val="en-US"/>
        </w:rPr>
        <w:lastRenderedPageBreak/>
        <w:t xml:space="preserve">through its Mission to Support the Peace Process in Colombia, has periodically reported on the ongoing recruitment of </w:t>
      </w:r>
      <w:r w:rsidR="00435A7F">
        <w:rPr>
          <w:sz w:val="24"/>
          <w:szCs w:val="24"/>
          <w:lang w:val="en-US"/>
        </w:rPr>
        <w:t>NNA</w:t>
      </w:r>
      <w:r w:rsidRPr="00F437CC">
        <w:rPr>
          <w:sz w:val="24"/>
          <w:szCs w:val="24"/>
          <w:lang w:val="en-US"/>
        </w:rPr>
        <w:t>, specifying the territories where this cases have occurred (department and/or municipality),</w:t>
      </w:r>
      <w:r w:rsidRPr="00F437CC">
        <w:rPr>
          <w:sz w:val="24"/>
          <w:szCs w:val="24"/>
          <w:vertAlign w:val="superscript"/>
          <w:lang w:val="en-US"/>
        </w:rPr>
        <w:footnoteReference w:id="12"/>
      </w:r>
      <w:r w:rsidRPr="00F437CC">
        <w:rPr>
          <w:sz w:val="24"/>
          <w:szCs w:val="24"/>
          <w:lang w:val="en-US"/>
        </w:rPr>
        <w:t xml:space="preserve"> </w:t>
      </w:r>
      <w:r w:rsidRPr="00483CB2">
        <w:rPr>
          <w:sz w:val="24"/>
          <w:szCs w:val="24"/>
          <w:lang w:val="en-US"/>
        </w:rPr>
        <w:t>which show the</w:t>
      </w:r>
      <w:r w:rsidRPr="00F437CC">
        <w:rPr>
          <w:sz w:val="24"/>
          <w:szCs w:val="24"/>
          <w:lang w:val="en-US"/>
        </w:rPr>
        <w:t xml:space="preserve"> increase over different periods.</w:t>
      </w:r>
      <w:r w:rsidRPr="00F437CC">
        <w:rPr>
          <w:sz w:val="24"/>
          <w:szCs w:val="24"/>
          <w:vertAlign w:val="superscript"/>
          <w:lang w:val="en-US"/>
        </w:rPr>
        <w:footnoteReference w:id="13"/>
      </w:r>
    </w:p>
    <w:p w14:paraId="26D82AA4" w14:textId="77777777" w:rsidR="001650D2" w:rsidRPr="00F437CC" w:rsidRDefault="001650D2" w:rsidP="001650D2">
      <w:pPr>
        <w:spacing w:after="200" w:line="360" w:lineRule="auto"/>
        <w:jc w:val="both"/>
        <w:rPr>
          <w:sz w:val="24"/>
          <w:szCs w:val="24"/>
          <w:lang w:val="en-US"/>
        </w:rPr>
      </w:pPr>
      <w:r w:rsidRPr="00F437CC">
        <w:rPr>
          <w:sz w:val="24"/>
          <w:szCs w:val="24"/>
          <w:lang w:val="en-US"/>
        </w:rPr>
        <w:t>The OAS has repeatedly expressed concern over the underreporting of cases, associated with fear of reprisals from armed groups</w:t>
      </w:r>
      <w:r w:rsidRPr="00F437CC">
        <w:rPr>
          <w:sz w:val="24"/>
          <w:szCs w:val="24"/>
          <w:vertAlign w:val="superscript"/>
          <w:lang w:val="en-US"/>
        </w:rPr>
        <w:footnoteReference w:id="14"/>
      </w:r>
      <w:r w:rsidRPr="00F437CC">
        <w:rPr>
          <w:sz w:val="40"/>
          <w:szCs w:val="40"/>
          <w:vertAlign w:val="superscript"/>
          <w:lang w:val="en-US"/>
        </w:rPr>
        <w:t xml:space="preserve"> </w:t>
      </w:r>
      <w:r w:rsidRPr="00F437CC">
        <w:rPr>
          <w:sz w:val="24"/>
          <w:szCs w:val="24"/>
          <w:lang w:val="en-US"/>
        </w:rPr>
        <w:t>and sexual violence against girls and adolescents, some of whom return to their families pregnant after being recruited.</w:t>
      </w:r>
      <w:r w:rsidRPr="00F437CC">
        <w:rPr>
          <w:sz w:val="24"/>
          <w:szCs w:val="24"/>
          <w:vertAlign w:val="superscript"/>
          <w:lang w:val="en-US"/>
        </w:rPr>
        <w:footnoteReference w:id="15"/>
      </w:r>
    </w:p>
    <w:p w14:paraId="00000027" w14:textId="46808EFD" w:rsidR="00C60456" w:rsidRPr="00F437CC" w:rsidRDefault="001650D2" w:rsidP="001650D2">
      <w:pPr>
        <w:spacing w:after="200" w:line="360" w:lineRule="auto"/>
        <w:jc w:val="both"/>
        <w:rPr>
          <w:sz w:val="40"/>
          <w:szCs w:val="40"/>
          <w:vertAlign w:val="superscript"/>
          <w:lang w:val="en-US"/>
        </w:rPr>
      </w:pPr>
      <w:r w:rsidRPr="00F437CC">
        <w:rPr>
          <w:sz w:val="24"/>
          <w:szCs w:val="24"/>
          <w:lang w:val="en-US"/>
        </w:rPr>
        <w:t xml:space="preserve">​​Unfortunately, due to the lack of </w:t>
      </w:r>
      <w:r w:rsidR="00483CB2">
        <w:rPr>
          <w:sz w:val="24"/>
          <w:szCs w:val="24"/>
          <w:lang w:val="en-US"/>
        </w:rPr>
        <w:t>S</w:t>
      </w:r>
      <w:r w:rsidRPr="00F437CC">
        <w:rPr>
          <w:sz w:val="24"/>
          <w:szCs w:val="24"/>
          <w:lang w:val="en-US"/>
        </w:rPr>
        <w:t xml:space="preserve">tate presence and opportunities, especially in rural areas affected by the armed conflict, the conditions are made favorable for recruiting </w:t>
      </w:r>
      <w:r w:rsidR="00435A7F">
        <w:rPr>
          <w:sz w:val="24"/>
          <w:szCs w:val="24"/>
          <w:lang w:val="en-US"/>
        </w:rPr>
        <w:t>NNA</w:t>
      </w:r>
      <w:r w:rsidRPr="00F437CC">
        <w:rPr>
          <w:sz w:val="24"/>
          <w:szCs w:val="24"/>
          <w:lang w:val="en-US"/>
        </w:rPr>
        <w:t xml:space="preserve"> into illegal armed groups</w:t>
      </w:r>
      <w:r w:rsidR="00483CB2">
        <w:rPr>
          <w:sz w:val="24"/>
          <w:szCs w:val="24"/>
          <w:lang w:val="en-US"/>
        </w:rPr>
        <w:t>; s</w:t>
      </w:r>
      <w:r w:rsidRPr="00F437CC">
        <w:rPr>
          <w:sz w:val="24"/>
          <w:szCs w:val="24"/>
          <w:lang w:val="en-US"/>
        </w:rPr>
        <w:t>ome think they will improve their socioeconomic conditions by joining these groups.</w:t>
      </w:r>
      <w:r w:rsidRPr="00F437CC">
        <w:rPr>
          <w:sz w:val="24"/>
          <w:szCs w:val="24"/>
          <w:vertAlign w:val="superscript"/>
          <w:lang w:val="en-US"/>
        </w:rPr>
        <w:footnoteReference w:id="16"/>
      </w:r>
      <w:r w:rsidRPr="00F437CC">
        <w:rPr>
          <w:sz w:val="24"/>
          <w:szCs w:val="24"/>
          <w:lang w:val="en-US"/>
        </w:rPr>
        <w:t xml:space="preserve"> This situation was exacerbated by the confinement measures imposed by the National Government to prevent the spread of Covid-19, given the risk of recruitment in vulnerable territories during the quarantine</w:t>
      </w:r>
      <w:r w:rsidRPr="00F437CC">
        <w:rPr>
          <w:sz w:val="24"/>
          <w:szCs w:val="24"/>
          <w:vertAlign w:val="superscript"/>
          <w:lang w:val="en-US"/>
        </w:rPr>
        <w:footnoteReference w:id="17"/>
      </w:r>
      <w:r w:rsidR="000231F9" w:rsidRPr="00F437CC">
        <w:rPr>
          <w:sz w:val="24"/>
          <w:szCs w:val="24"/>
          <w:lang w:val="en-US"/>
        </w:rPr>
        <w:t>.</w:t>
      </w:r>
    </w:p>
    <w:p w14:paraId="2BA8533E" w14:textId="0293F0F0" w:rsidR="0058047C" w:rsidRPr="00F437CC" w:rsidRDefault="0058047C" w:rsidP="0058047C">
      <w:pPr>
        <w:spacing w:before="240" w:line="360" w:lineRule="auto"/>
        <w:jc w:val="both"/>
        <w:rPr>
          <w:sz w:val="24"/>
          <w:szCs w:val="24"/>
          <w:lang w:val="en-US"/>
        </w:rPr>
      </w:pPr>
      <w:r w:rsidRPr="00F437CC">
        <w:rPr>
          <w:sz w:val="24"/>
          <w:szCs w:val="24"/>
          <w:lang w:val="en-US"/>
        </w:rPr>
        <w:t xml:space="preserve">The Office of the Ombudsman issued a report mapping the areas and causes of risk </w:t>
      </w:r>
      <w:r w:rsidR="00483CB2">
        <w:rPr>
          <w:sz w:val="24"/>
          <w:szCs w:val="24"/>
          <w:lang w:val="en-US"/>
        </w:rPr>
        <w:t>of</w:t>
      </w:r>
      <w:r w:rsidRPr="00F437CC">
        <w:rPr>
          <w:sz w:val="24"/>
          <w:szCs w:val="24"/>
          <w:lang w:val="en-US"/>
        </w:rPr>
        <w:t xml:space="preserve"> forced recruitment </w:t>
      </w:r>
      <w:r w:rsidR="00483CB2">
        <w:rPr>
          <w:sz w:val="24"/>
          <w:szCs w:val="24"/>
          <w:lang w:val="en-US"/>
        </w:rPr>
        <w:t xml:space="preserve">of </w:t>
      </w:r>
      <w:r w:rsidR="00435A7F">
        <w:rPr>
          <w:sz w:val="24"/>
          <w:szCs w:val="24"/>
          <w:lang w:val="en-US"/>
        </w:rPr>
        <w:t>NNA</w:t>
      </w:r>
      <w:r w:rsidRPr="00F437CC">
        <w:rPr>
          <w:sz w:val="24"/>
          <w:szCs w:val="24"/>
          <w:lang w:val="en-US"/>
        </w:rPr>
        <w:t xml:space="preserve">. The Ombudsman reported, among other findings, that at least </w:t>
      </w:r>
      <w:r w:rsidRPr="00F437CC">
        <w:rPr>
          <w:sz w:val="24"/>
          <w:szCs w:val="24"/>
          <w:lang w:val="en-US"/>
        </w:rPr>
        <w:lastRenderedPageBreak/>
        <w:t xml:space="preserve">46 early warnings were issued in 2020 regarding high recruitment risk in 188 municipalities. Additionally, the entity has frequently pointed out that </w:t>
      </w:r>
      <w:r w:rsidR="00435A7F">
        <w:rPr>
          <w:sz w:val="24"/>
          <w:szCs w:val="24"/>
          <w:lang w:val="en-US"/>
        </w:rPr>
        <w:t>NNA</w:t>
      </w:r>
      <w:r w:rsidRPr="00F437CC">
        <w:rPr>
          <w:sz w:val="24"/>
          <w:szCs w:val="24"/>
          <w:lang w:val="en-US"/>
        </w:rPr>
        <w:t xml:space="preserve"> are used as human shields by illegal armed groups. </w:t>
      </w:r>
    </w:p>
    <w:p w14:paraId="00000029" w14:textId="6FDA6CBB" w:rsidR="00C60456" w:rsidRPr="00F437CC" w:rsidRDefault="0058047C" w:rsidP="0058047C">
      <w:pPr>
        <w:spacing w:before="240" w:line="360" w:lineRule="auto"/>
        <w:jc w:val="both"/>
        <w:rPr>
          <w:sz w:val="24"/>
          <w:szCs w:val="24"/>
          <w:lang w:val="en-US"/>
        </w:rPr>
      </w:pPr>
      <w:r w:rsidRPr="00F437CC">
        <w:rPr>
          <w:sz w:val="24"/>
          <w:szCs w:val="24"/>
          <w:lang w:val="en-US"/>
        </w:rPr>
        <w:t xml:space="preserve">In 2022, the Office of the Ombudsman reported that 83% of early warnings have alerted on the risk of recruitment of </w:t>
      </w:r>
      <w:r w:rsidR="00880BA9">
        <w:rPr>
          <w:sz w:val="24"/>
          <w:szCs w:val="24"/>
          <w:lang w:val="en-US"/>
        </w:rPr>
        <w:t>NNA</w:t>
      </w:r>
      <w:r w:rsidRPr="00F437CC">
        <w:rPr>
          <w:sz w:val="24"/>
          <w:szCs w:val="24"/>
          <w:lang w:val="en-US"/>
        </w:rPr>
        <w:t xml:space="preserve"> in various regions of Colombia.</w:t>
      </w:r>
      <w:r w:rsidRPr="00F437CC">
        <w:rPr>
          <w:sz w:val="24"/>
          <w:szCs w:val="24"/>
          <w:vertAlign w:val="superscript"/>
          <w:lang w:val="en-US"/>
        </w:rPr>
        <w:footnoteReference w:id="18"/>
      </w:r>
      <w:r w:rsidRPr="00F437CC">
        <w:rPr>
          <w:sz w:val="24"/>
          <w:szCs w:val="24"/>
          <w:lang w:val="en-US"/>
        </w:rPr>
        <w:t xml:space="preserve"> Furthermore, the institution stated that the Venezuelan migrant population is at greater risk of recruitment, especially by paramilitary groups such as the Autodefensas Gaitanistas and other transnational criminal organizations. In its document, the Office of the Ombudsman indicated that while there was a recruitment prevention policy in place, it was necessary to adopt follow-up measures “based on the analysis of current issues, a description of different current situations, the magnitude of these causes, the contextual dimensions, and the effects caused by the problem.”</w:t>
      </w:r>
      <w:r w:rsidRPr="00F437CC">
        <w:rPr>
          <w:sz w:val="24"/>
          <w:szCs w:val="24"/>
          <w:vertAlign w:val="superscript"/>
          <w:lang w:val="en-US"/>
        </w:rPr>
        <w:footnoteReference w:id="19"/>
      </w:r>
      <w:r w:rsidRPr="00F437CC">
        <w:rPr>
          <w:sz w:val="24"/>
          <w:szCs w:val="24"/>
          <w:lang w:val="en-US"/>
        </w:rPr>
        <w:t xml:space="preserve"> To date, there is no information on measures taken to follow the Ombudsman’s recommendations. </w:t>
      </w:r>
    </w:p>
    <w:p w14:paraId="4110D0DB" w14:textId="2BBCEC2A" w:rsidR="0058047C" w:rsidRPr="00F437CC" w:rsidRDefault="0058047C" w:rsidP="0058047C">
      <w:pPr>
        <w:spacing w:before="240" w:after="200" w:line="360" w:lineRule="auto"/>
        <w:jc w:val="both"/>
        <w:rPr>
          <w:sz w:val="24"/>
          <w:szCs w:val="24"/>
          <w:lang w:val="en-US"/>
        </w:rPr>
      </w:pPr>
      <w:r w:rsidRPr="00F437CC">
        <w:rPr>
          <w:sz w:val="24"/>
          <w:szCs w:val="24"/>
          <w:lang w:val="en-US"/>
        </w:rPr>
        <w:t xml:space="preserve">In the same vein, the UN Secretary General has urged the government to ensure the proper allocation of budget for forced recruitment prevention programs and designate "institutions responsible for coordinating and implementing these programs to prevent further cases of recruitment and exploitation of </w:t>
      </w:r>
      <w:r w:rsidR="00435A7F">
        <w:rPr>
          <w:sz w:val="24"/>
          <w:szCs w:val="24"/>
          <w:lang w:val="en-US"/>
        </w:rPr>
        <w:t>NNA</w:t>
      </w:r>
      <w:r w:rsidRPr="00F437CC">
        <w:rPr>
          <w:sz w:val="24"/>
          <w:szCs w:val="24"/>
          <w:lang w:val="en-US"/>
        </w:rPr>
        <w:t>.”</w:t>
      </w:r>
      <w:r w:rsidRPr="00F437CC">
        <w:rPr>
          <w:sz w:val="24"/>
          <w:szCs w:val="24"/>
          <w:vertAlign w:val="superscript"/>
          <w:lang w:val="en-US"/>
        </w:rPr>
        <w:footnoteReference w:id="20"/>
      </w:r>
    </w:p>
    <w:p w14:paraId="0000002B" w14:textId="449FBBE3" w:rsidR="00C60456" w:rsidRPr="00F437CC" w:rsidRDefault="0058047C" w:rsidP="0058047C">
      <w:pPr>
        <w:spacing w:after="200" w:line="360" w:lineRule="auto"/>
        <w:jc w:val="both"/>
        <w:rPr>
          <w:sz w:val="20"/>
          <w:szCs w:val="20"/>
          <w:vertAlign w:val="superscript"/>
          <w:lang w:val="en-US"/>
        </w:rPr>
      </w:pPr>
      <w:r w:rsidRPr="00F437CC">
        <w:rPr>
          <w:sz w:val="24"/>
          <w:szCs w:val="24"/>
          <w:lang w:val="en-US"/>
        </w:rPr>
        <w:t>Even though the Organizations recognize the measures mentioned by the State in its report and those adopted by the current administration, they do not fully comply with the recommendations issued by the Committee and the Office of the Ombudsman regarding resource allocation, institutional strengthening, coordination mechanisms, among others.</w:t>
      </w:r>
      <w:r w:rsidRPr="00F437CC">
        <w:rPr>
          <w:sz w:val="24"/>
          <w:szCs w:val="24"/>
          <w:vertAlign w:val="superscript"/>
          <w:lang w:val="en-US"/>
        </w:rPr>
        <w:footnoteReference w:id="21"/>
      </w:r>
      <w:r w:rsidRPr="00F437CC">
        <w:rPr>
          <w:sz w:val="24"/>
          <w:szCs w:val="24"/>
          <w:lang w:val="en-US"/>
        </w:rPr>
        <w:t xml:space="preserve"> Regarding this point, this year, the Secretary General stated there was a 61% increase in incidents of violence against </w:t>
      </w:r>
      <w:r w:rsidR="00435A7F">
        <w:rPr>
          <w:sz w:val="24"/>
          <w:szCs w:val="24"/>
          <w:lang w:val="en-US"/>
        </w:rPr>
        <w:t>NNA</w:t>
      </w:r>
      <w:r w:rsidRPr="00F437CC">
        <w:rPr>
          <w:sz w:val="24"/>
          <w:szCs w:val="24"/>
          <w:lang w:val="en-US"/>
        </w:rPr>
        <w:t xml:space="preserve"> between 2021 and 2023, compared to the </w:t>
      </w:r>
      <w:r w:rsidRPr="00F437CC">
        <w:rPr>
          <w:sz w:val="24"/>
          <w:szCs w:val="24"/>
          <w:lang w:val="en-US"/>
        </w:rPr>
        <w:lastRenderedPageBreak/>
        <w:t>period from 2019 to 2021, including recruitment cases.</w:t>
      </w:r>
      <w:r w:rsidRPr="00F437CC">
        <w:rPr>
          <w:sz w:val="24"/>
          <w:szCs w:val="24"/>
          <w:vertAlign w:val="superscript"/>
          <w:lang w:val="en-US"/>
        </w:rPr>
        <w:footnoteReference w:id="22"/>
      </w:r>
      <w:r w:rsidRPr="00F437CC">
        <w:rPr>
          <w:sz w:val="24"/>
          <w:szCs w:val="24"/>
          <w:lang w:val="en-US"/>
        </w:rPr>
        <w:t xml:space="preserve"> In fact, recruitment has been the most widespread human rights violation, affecting at least 348 boys and girls over the past three years.</w:t>
      </w:r>
      <w:r w:rsidRPr="00F437CC">
        <w:rPr>
          <w:sz w:val="24"/>
          <w:szCs w:val="24"/>
          <w:vertAlign w:val="superscript"/>
          <w:lang w:val="en-US"/>
        </w:rPr>
        <w:footnoteReference w:id="23"/>
      </w:r>
      <w:r w:rsidRPr="00F437CC">
        <w:rPr>
          <w:sz w:val="24"/>
          <w:szCs w:val="24"/>
          <w:lang w:val="en-US"/>
        </w:rPr>
        <w:t xml:space="preserve"> Similarly, the Secretary expressed concern about the significant rise in cases of sexual violence against boys and girls, of which there is underreporting.</w:t>
      </w:r>
    </w:p>
    <w:p w14:paraId="0000002C" w14:textId="0D51735B" w:rsidR="00C60456" w:rsidRPr="00F437CC" w:rsidRDefault="00A74445">
      <w:pPr>
        <w:spacing w:after="200" w:line="360" w:lineRule="auto"/>
        <w:jc w:val="both"/>
        <w:rPr>
          <w:sz w:val="24"/>
          <w:szCs w:val="24"/>
          <w:u w:val="single"/>
          <w:lang w:val="en-US"/>
        </w:rPr>
      </w:pPr>
      <w:r w:rsidRPr="00F437CC">
        <w:rPr>
          <w:sz w:val="24"/>
          <w:szCs w:val="24"/>
          <w:u w:val="single"/>
          <w:lang w:val="en-US"/>
        </w:rPr>
        <w:t>Recom</w:t>
      </w:r>
      <w:r w:rsidR="00296F3B" w:rsidRPr="00F437CC">
        <w:rPr>
          <w:sz w:val="24"/>
          <w:szCs w:val="24"/>
          <w:u w:val="single"/>
          <w:lang w:val="en-US"/>
        </w:rPr>
        <w:t>m</w:t>
      </w:r>
      <w:r w:rsidRPr="00F437CC">
        <w:rPr>
          <w:sz w:val="24"/>
          <w:szCs w:val="24"/>
          <w:u w:val="single"/>
          <w:lang w:val="en-US"/>
        </w:rPr>
        <w:t>enda</w:t>
      </w:r>
      <w:r w:rsidR="00296F3B" w:rsidRPr="00F437CC">
        <w:rPr>
          <w:sz w:val="24"/>
          <w:szCs w:val="24"/>
          <w:u w:val="single"/>
          <w:lang w:val="en-US"/>
        </w:rPr>
        <w:t>t</w:t>
      </w:r>
      <w:r w:rsidRPr="00F437CC">
        <w:rPr>
          <w:sz w:val="24"/>
          <w:szCs w:val="24"/>
          <w:u w:val="single"/>
          <w:lang w:val="en-US"/>
        </w:rPr>
        <w:t>ions:</w:t>
      </w:r>
    </w:p>
    <w:p w14:paraId="0000002D" w14:textId="4F4AD33D" w:rsidR="00C60456" w:rsidRPr="00435A7F" w:rsidRDefault="0058047C" w:rsidP="00435A7F">
      <w:pPr>
        <w:pStyle w:val="ListParagraph"/>
        <w:numPr>
          <w:ilvl w:val="0"/>
          <w:numId w:val="4"/>
        </w:numPr>
        <w:spacing w:line="360" w:lineRule="auto"/>
        <w:ind w:left="851"/>
        <w:jc w:val="both"/>
        <w:rPr>
          <w:sz w:val="24"/>
          <w:szCs w:val="24"/>
          <w:lang w:val="en-US"/>
        </w:rPr>
      </w:pPr>
      <w:r w:rsidRPr="00435A7F">
        <w:rPr>
          <w:sz w:val="24"/>
          <w:szCs w:val="24"/>
          <w:lang w:val="en-US"/>
        </w:rPr>
        <w:t>To urge the State to do the following</w:t>
      </w:r>
      <w:r w:rsidR="00A74445" w:rsidRPr="00435A7F">
        <w:rPr>
          <w:sz w:val="24"/>
          <w:szCs w:val="24"/>
          <w:lang w:val="en-US"/>
        </w:rPr>
        <w:t xml:space="preserve">: </w:t>
      </w:r>
    </w:p>
    <w:p w14:paraId="0000002E" w14:textId="3CD11E14" w:rsidR="00C60456" w:rsidRPr="00F437CC" w:rsidRDefault="00296F3B" w:rsidP="00296F3B">
      <w:pPr>
        <w:spacing w:after="200" w:line="360" w:lineRule="auto"/>
        <w:ind w:left="720"/>
        <w:jc w:val="both"/>
        <w:rPr>
          <w:sz w:val="24"/>
          <w:szCs w:val="24"/>
          <w:lang w:val="en-US"/>
        </w:rPr>
      </w:pPr>
      <w:r w:rsidRPr="00F437CC">
        <w:rPr>
          <w:sz w:val="24"/>
          <w:szCs w:val="24"/>
          <w:lang w:val="en-US"/>
        </w:rPr>
        <w:t>1.1 To follow the recommendations issued by the Committee in its 2015 final observations concerning institutional efforts to prevent forced recruitment, particularly in rural conflict zones.</w:t>
      </w:r>
      <w:r w:rsidRPr="00F437CC">
        <w:rPr>
          <w:sz w:val="24"/>
          <w:szCs w:val="24"/>
          <w:vertAlign w:val="superscript"/>
          <w:lang w:val="en-US"/>
        </w:rPr>
        <w:footnoteReference w:id="24"/>
      </w:r>
      <w:r w:rsidRPr="00F437CC">
        <w:rPr>
          <w:sz w:val="24"/>
          <w:szCs w:val="24"/>
          <w:lang w:val="en-US"/>
        </w:rPr>
        <w:t xml:space="preserve"> These actions should address the structural causes of recruitment, including state neglection, limited military presence, and poverty conditions.</w:t>
      </w:r>
    </w:p>
    <w:p w14:paraId="0000002F" w14:textId="5DE510CC" w:rsidR="00C60456" w:rsidRPr="00F437CC" w:rsidRDefault="00A74445">
      <w:pPr>
        <w:spacing w:after="200" w:line="360" w:lineRule="auto"/>
        <w:ind w:left="720"/>
        <w:jc w:val="both"/>
        <w:rPr>
          <w:sz w:val="24"/>
          <w:szCs w:val="24"/>
          <w:lang w:val="en-US"/>
        </w:rPr>
      </w:pPr>
      <w:r w:rsidRPr="00F437CC">
        <w:rPr>
          <w:sz w:val="24"/>
          <w:szCs w:val="24"/>
          <w:lang w:val="en-US"/>
        </w:rPr>
        <w:t xml:space="preserve">1.2. </w:t>
      </w:r>
      <w:r w:rsidR="00296F3B" w:rsidRPr="00F437CC">
        <w:rPr>
          <w:sz w:val="24"/>
          <w:szCs w:val="24"/>
          <w:lang w:val="en-US"/>
        </w:rPr>
        <w:t xml:space="preserve">To follow the recommendations issued by the  Office of the Ombudsman in its report </w:t>
      </w:r>
      <w:r w:rsidR="00296F3B" w:rsidRPr="00F437CC">
        <w:rPr>
          <w:i/>
          <w:iCs/>
          <w:sz w:val="24"/>
          <w:szCs w:val="24"/>
          <w:lang w:val="en-US"/>
        </w:rPr>
        <w:t>Dynamics of Forced Recruitment of Boys, Girls, and Adolescents in Colombia</w:t>
      </w:r>
      <w:r w:rsidRPr="00F437CC">
        <w:rPr>
          <w:sz w:val="24"/>
          <w:szCs w:val="24"/>
          <w:vertAlign w:val="superscript"/>
          <w:lang w:val="en-US"/>
        </w:rPr>
        <w:footnoteReference w:id="25"/>
      </w:r>
      <w:r w:rsidR="00483CB2" w:rsidRPr="00483CB2">
        <w:rPr>
          <w:sz w:val="24"/>
          <w:szCs w:val="24"/>
          <w:lang w:val="en-US"/>
        </w:rPr>
        <w:t>,</w:t>
      </w:r>
      <w:r w:rsidRPr="00F437CC">
        <w:rPr>
          <w:sz w:val="24"/>
          <w:szCs w:val="24"/>
          <w:lang w:val="en-US"/>
        </w:rPr>
        <w:t xml:space="preserve"> </w:t>
      </w:r>
      <w:r w:rsidR="00296F3B" w:rsidRPr="00F437CC">
        <w:rPr>
          <w:sz w:val="24"/>
          <w:szCs w:val="24"/>
          <w:lang w:val="en-US"/>
        </w:rPr>
        <w:t>and those of the UN Secretary General on forced recruitment prevention</w:t>
      </w:r>
      <w:r w:rsidRPr="00F437CC">
        <w:rPr>
          <w:sz w:val="24"/>
          <w:szCs w:val="24"/>
          <w:lang w:val="en-US"/>
        </w:rPr>
        <w:t>.</w:t>
      </w:r>
      <w:r w:rsidRPr="00F437CC">
        <w:rPr>
          <w:sz w:val="24"/>
          <w:szCs w:val="24"/>
          <w:vertAlign w:val="superscript"/>
          <w:lang w:val="en-US"/>
        </w:rPr>
        <w:footnoteReference w:id="26"/>
      </w:r>
    </w:p>
    <w:p w14:paraId="050D5267" w14:textId="5CFFE8D6" w:rsidR="00296F3B" w:rsidRPr="00F437CC" w:rsidRDefault="00296F3B" w:rsidP="00296F3B">
      <w:pPr>
        <w:spacing w:after="200" w:line="360" w:lineRule="auto"/>
        <w:ind w:left="720"/>
        <w:jc w:val="both"/>
        <w:rPr>
          <w:sz w:val="24"/>
          <w:szCs w:val="24"/>
          <w:lang w:val="en-US"/>
        </w:rPr>
      </w:pPr>
      <w:r w:rsidRPr="00F437CC">
        <w:rPr>
          <w:sz w:val="24"/>
          <w:szCs w:val="24"/>
          <w:lang w:val="en-US"/>
        </w:rPr>
        <w:t>1.3. To allocate sufficient budget to cover all municipalities at risk of recruitment and not only those prioritized by current policies.</w:t>
      </w:r>
    </w:p>
    <w:p w14:paraId="6B1EEDF1" w14:textId="42D061F5" w:rsidR="00296F3B" w:rsidRPr="00F437CC" w:rsidRDefault="00296F3B" w:rsidP="00296F3B">
      <w:pPr>
        <w:spacing w:after="200" w:line="360" w:lineRule="auto"/>
        <w:ind w:left="720"/>
        <w:jc w:val="both"/>
        <w:rPr>
          <w:sz w:val="24"/>
          <w:szCs w:val="24"/>
          <w:lang w:val="en-US"/>
        </w:rPr>
      </w:pPr>
      <w:r w:rsidRPr="00F437CC">
        <w:rPr>
          <w:sz w:val="24"/>
          <w:szCs w:val="24"/>
          <w:lang w:val="en-US"/>
        </w:rPr>
        <w:t xml:space="preserve">1.4. To follow up and adopt effective measures in response to early warnings issued by the Office of the Ombudsman, especially those related to the risk of forced recruitment of </w:t>
      </w:r>
      <w:r w:rsidR="00435A7F">
        <w:rPr>
          <w:sz w:val="24"/>
          <w:szCs w:val="24"/>
          <w:lang w:val="en-US"/>
        </w:rPr>
        <w:t>NNA</w:t>
      </w:r>
      <w:r w:rsidRPr="00F437CC">
        <w:rPr>
          <w:sz w:val="24"/>
          <w:szCs w:val="24"/>
          <w:lang w:val="en-US"/>
        </w:rPr>
        <w:t>.</w:t>
      </w:r>
    </w:p>
    <w:p w14:paraId="1C9B1D0E" w14:textId="0D7E3C34" w:rsidR="00296F3B" w:rsidRPr="00F437CC" w:rsidRDefault="00296F3B" w:rsidP="00296F3B">
      <w:pPr>
        <w:spacing w:after="200" w:line="360" w:lineRule="auto"/>
        <w:ind w:left="720"/>
        <w:jc w:val="both"/>
        <w:rPr>
          <w:sz w:val="24"/>
          <w:szCs w:val="24"/>
          <w:lang w:val="en-US"/>
        </w:rPr>
      </w:pPr>
      <w:r w:rsidRPr="00F437CC">
        <w:rPr>
          <w:sz w:val="24"/>
          <w:szCs w:val="24"/>
          <w:lang w:val="en-US"/>
        </w:rPr>
        <w:lastRenderedPageBreak/>
        <w:t xml:space="preserve">1.5 </w:t>
      </w:r>
      <w:r w:rsidRPr="00F437CC">
        <w:rPr>
          <w:rFonts w:ascii="Times New Roman" w:eastAsia="Times New Roman" w:hAnsi="Times New Roman" w:cs="Times New Roman"/>
          <w:sz w:val="14"/>
          <w:szCs w:val="14"/>
          <w:lang w:val="en-US"/>
        </w:rPr>
        <w:t xml:space="preserve"> </w:t>
      </w:r>
      <w:r w:rsidRPr="00F437CC">
        <w:rPr>
          <w:sz w:val="24"/>
          <w:szCs w:val="24"/>
          <w:lang w:val="en-US"/>
        </w:rPr>
        <w:t xml:space="preserve">To comply with the agreements established in the Final Peace Agreement and the recommendations issued by the Truth Commission, particularly those concerning </w:t>
      </w:r>
      <w:r w:rsidR="002B1D2C">
        <w:rPr>
          <w:sz w:val="24"/>
          <w:szCs w:val="24"/>
          <w:lang w:val="en-US"/>
        </w:rPr>
        <w:t>NNA</w:t>
      </w:r>
      <w:r w:rsidRPr="00F437CC">
        <w:rPr>
          <w:sz w:val="24"/>
          <w:szCs w:val="24"/>
          <w:lang w:val="en-US"/>
        </w:rPr>
        <w:t>.</w:t>
      </w:r>
    </w:p>
    <w:p w14:paraId="05B66826" w14:textId="77777777" w:rsidR="00296F3B" w:rsidRPr="00F437CC" w:rsidRDefault="00296F3B" w:rsidP="00296F3B">
      <w:pPr>
        <w:spacing w:after="200" w:line="360" w:lineRule="auto"/>
        <w:ind w:left="720"/>
        <w:jc w:val="both"/>
        <w:rPr>
          <w:sz w:val="24"/>
          <w:szCs w:val="24"/>
          <w:lang w:val="en-US"/>
        </w:rPr>
      </w:pPr>
      <w:r w:rsidRPr="00F437CC">
        <w:rPr>
          <w:sz w:val="24"/>
          <w:szCs w:val="24"/>
          <w:lang w:val="en-US"/>
        </w:rPr>
        <w:t>1.6. 1.6. To continue efforts to reach a peace agreement with the ELN and ensure the participation of boys and girls in the design of a peace agreement.</w:t>
      </w:r>
    </w:p>
    <w:p w14:paraId="00000034" w14:textId="41C626E9" w:rsidR="00C60456" w:rsidRPr="00F437CC" w:rsidRDefault="00296F3B" w:rsidP="00296F3B">
      <w:pPr>
        <w:spacing w:after="200" w:line="360" w:lineRule="auto"/>
        <w:ind w:left="720"/>
        <w:jc w:val="both"/>
        <w:rPr>
          <w:sz w:val="24"/>
          <w:szCs w:val="24"/>
          <w:lang w:val="en-US"/>
        </w:rPr>
      </w:pPr>
      <w:r w:rsidRPr="00F437CC">
        <w:rPr>
          <w:sz w:val="24"/>
          <w:szCs w:val="24"/>
          <w:lang w:val="en-US"/>
        </w:rPr>
        <w:t xml:space="preserve">1.7. </w:t>
      </w:r>
      <w:r w:rsidRPr="00F437CC">
        <w:rPr>
          <w:lang w:val="en-US"/>
        </w:rPr>
        <w:t>To f</w:t>
      </w:r>
      <w:r w:rsidRPr="00F437CC">
        <w:rPr>
          <w:sz w:val="24"/>
          <w:szCs w:val="24"/>
          <w:lang w:val="en-US"/>
        </w:rPr>
        <w:t xml:space="preserve">ulfill the due diligence in investigating forced recruitment cases, including comprehensive reparations for victims and their families. </w:t>
      </w:r>
      <w:r w:rsidRPr="00F437CC">
        <w:rPr>
          <w:lang w:val="en-US"/>
        </w:rPr>
        <w:t>Moreover</w:t>
      </w:r>
      <w:r w:rsidRPr="00F437CC">
        <w:rPr>
          <w:sz w:val="24"/>
          <w:szCs w:val="24"/>
          <w:lang w:val="en-US"/>
        </w:rPr>
        <w:t>, these cases should be investigated with a gender perspective to identify incidents of sexual violence, especially against girls.</w:t>
      </w:r>
    </w:p>
    <w:p w14:paraId="00000035" w14:textId="2D6A968A" w:rsidR="00C60456" w:rsidRPr="00F437CC" w:rsidRDefault="00A74445" w:rsidP="00924EFA">
      <w:pPr>
        <w:pStyle w:val="Heading2"/>
        <w:rPr>
          <w:lang w:val="en-US"/>
        </w:rPr>
      </w:pPr>
      <w:bookmarkStart w:id="10" w:name="_Toc181285160"/>
      <w:bookmarkStart w:id="11" w:name="_Toc181289440"/>
      <w:r w:rsidRPr="00F437CC">
        <w:rPr>
          <w:lang w:val="en-US"/>
        </w:rPr>
        <w:t>1.</w:t>
      </w:r>
      <w:r w:rsidR="00924EFA" w:rsidRPr="00F437CC">
        <w:rPr>
          <w:lang w:val="en-US"/>
        </w:rPr>
        <w:t>3</w:t>
      </w:r>
      <w:r w:rsidRPr="00F437CC">
        <w:rPr>
          <w:lang w:val="en-US"/>
        </w:rPr>
        <w:t>.</w:t>
      </w:r>
      <w:r w:rsidRPr="00F437CC">
        <w:rPr>
          <w:lang w:val="en-US"/>
        </w:rPr>
        <w:tab/>
      </w:r>
      <w:r w:rsidR="00296F3B" w:rsidRPr="00F437CC">
        <w:rPr>
          <w:lang w:val="en-US"/>
        </w:rPr>
        <w:t>The State Attacked Recruited Boys and Girls Indiscriminately and Re-victimized them</w:t>
      </w:r>
      <w:bookmarkEnd w:id="10"/>
      <w:bookmarkEnd w:id="11"/>
    </w:p>
    <w:p w14:paraId="00000036" w14:textId="61CBEA51" w:rsidR="00C60456" w:rsidRPr="00F437CC" w:rsidRDefault="00296F3B">
      <w:pPr>
        <w:spacing w:after="200" w:line="360" w:lineRule="auto"/>
        <w:jc w:val="both"/>
        <w:rPr>
          <w:sz w:val="24"/>
          <w:szCs w:val="24"/>
          <w:lang w:val="en-US"/>
        </w:rPr>
      </w:pPr>
      <w:r w:rsidRPr="00F437CC">
        <w:rPr>
          <w:sz w:val="24"/>
          <w:szCs w:val="24"/>
          <w:lang w:val="en-US"/>
        </w:rPr>
        <w:t xml:space="preserve">In 2015, the Committee expressed concern over various human rights violations suffered by recruited </w:t>
      </w:r>
      <w:r w:rsidR="002B1D2C">
        <w:rPr>
          <w:sz w:val="24"/>
          <w:szCs w:val="24"/>
          <w:lang w:val="en-US"/>
        </w:rPr>
        <w:t>NNA</w:t>
      </w:r>
      <w:r w:rsidRPr="00F437CC">
        <w:rPr>
          <w:sz w:val="24"/>
          <w:szCs w:val="24"/>
          <w:lang w:val="en-US"/>
        </w:rPr>
        <w:t>, including their deprivation of the right to life by State agents within the context of the armed conflict</w:t>
      </w:r>
      <w:r w:rsidRPr="00F437CC">
        <w:rPr>
          <w:sz w:val="24"/>
          <w:szCs w:val="24"/>
          <w:vertAlign w:val="superscript"/>
          <w:lang w:val="en-US"/>
        </w:rPr>
        <w:footnoteReference w:id="27"/>
      </w:r>
      <w:r w:rsidR="000231F9" w:rsidRPr="00F437CC">
        <w:rPr>
          <w:sz w:val="24"/>
          <w:szCs w:val="24"/>
          <w:lang w:val="en-US"/>
        </w:rPr>
        <w:t>.</w:t>
      </w:r>
      <w:r w:rsidRPr="00F437CC">
        <w:rPr>
          <w:sz w:val="24"/>
          <w:szCs w:val="24"/>
          <w:lang w:val="en-US"/>
        </w:rPr>
        <w:t xml:space="preserve"> Accordingly, the Committee issued a series of recommendations suggesting that Colombia increase its efforts to prevent the killing of boys and girls within the armed conflict and bring those responsible to justice</w:t>
      </w:r>
      <w:r w:rsidRPr="00F437CC">
        <w:rPr>
          <w:sz w:val="24"/>
          <w:szCs w:val="24"/>
          <w:vertAlign w:val="superscript"/>
          <w:lang w:val="en-US"/>
        </w:rPr>
        <w:footnoteReference w:id="28"/>
      </w:r>
      <w:r w:rsidRPr="00F437CC">
        <w:rPr>
          <w:sz w:val="24"/>
          <w:szCs w:val="24"/>
          <w:lang w:val="en-US"/>
        </w:rPr>
        <w:t xml:space="preserve"> </w:t>
      </w:r>
      <w:r w:rsidR="000231F9" w:rsidRPr="00F437CC">
        <w:rPr>
          <w:sz w:val="24"/>
          <w:szCs w:val="24"/>
          <w:lang w:val="en-US"/>
        </w:rPr>
        <w:t>.</w:t>
      </w:r>
    </w:p>
    <w:p w14:paraId="00000037" w14:textId="79E6A101" w:rsidR="00C60456" w:rsidRPr="00F437CC" w:rsidRDefault="00296F3B">
      <w:pPr>
        <w:spacing w:after="200" w:line="360" w:lineRule="auto"/>
        <w:jc w:val="both"/>
        <w:rPr>
          <w:sz w:val="24"/>
          <w:szCs w:val="24"/>
          <w:lang w:val="en-US"/>
        </w:rPr>
      </w:pPr>
      <w:r w:rsidRPr="00F437CC">
        <w:rPr>
          <w:sz w:val="24"/>
          <w:szCs w:val="24"/>
          <w:lang w:val="en-US"/>
        </w:rPr>
        <w:t xml:space="preserve">In its report, Colombia omitted information about killings of boys and girls, specifically caused by armed actors in the context of the armed conflict. However, under previous administrations, particularly that of former President Iván Duque, it became evident that, as part of his military strategy against FARC dissidents, the National Army dropped air bombs on guerrilla camps that had </w:t>
      </w:r>
      <w:r w:rsidR="0074715B" w:rsidRPr="00F437CC">
        <w:rPr>
          <w:sz w:val="24"/>
          <w:szCs w:val="24"/>
          <w:lang w:val="en-US"/>
        </w:rPr>
        <w:t>recruited</w:t>
      </w:r>
      <w:r w:rsidRPr="00F437CC">
        <w:rPr>
          <w:sz w:val="24"/>
          <w:szCs w:val="24"/>
          <w:lang w:val="en-US"/>
        </w:rPr>
        <w:t xml:space="preserve"> boys and girls. According to information from the National Institute of Forensic Medicine, from 2018 to 2021, there were at least 36 air strikes on guerrilla camps, resulting in the deaths of at least 22 </w:t>
      </w:r>
      <w:r w:rsidR="002B1D2C">
        <w:rPr>
          <w:sz w:val="24"/>
          <w:szCs w:val="24"/>
          <w:lang w:val="en-US"/>
        </w:rPr>
        <w:t>NNA</w:t>
      </w:r>
      <w:r w:rsidRPr="00F437CC">
        <w:rPr>
          <w:sz w:val="24"/>
          <w:szCs w:val="24"/>
          <w:lang w:val="en-US"/>
        </w:rPr>
        <w:t xml:space="preserve">. One of the most alarming incidents was the bombing during Operation ‘Atai’ carried out in August 2019 in San Vicente del Caguán, Caquetá, where out of 20 people killed, 12 were </w:t>
      </w:r>
      <w:r w:rsidR="002B1D2C">
        <w:rPr>
          <w:sz w:val="24"/>
          <w:szCs w:val="24"/>
          <w:lang w:val="en-US"/>
        </w:rPr>
        <w:t>NNA</w:t>
      </w:r>
      <w:r w:rsidRPr="00F437CC">
        <w:rPr>
          <w:sz w:val="24"/>
          <w:szCs w:val="24"/>
          <w:vertAlign w:val="superscript"/>
          <w:lang w:val="en-US"/>
        </w:rPr>
        <w:footnoteReference w:id="29"/>
      </w:r>
      <w:r w:rsidR="000231F9" w:rsidRPr="00F437CC">
        <w:rPr>
          <w:sz w:val="24"/>
          <w:szCs w:val="24"/>
          <w:lang w:val="en-US"/>
        </w:rPr>
        <w:t>.</w:t>
      </w:r>
      <w:r w:rsidRPr="00F437CC">
        <w:rPr>
          <w:sz w:val="24"/>
          <w:szCs w:val="24"/>
          <w:lang w:val="en-US"/>
        </w:rPr>
        <w:t xml:space="preserve"> On </w:t>
      </w:r>
      <w:r w:rsidRPr="00F437CC">
        <w:rPr>
          <w:sz w:val="24"/>
          <w:szCs w:val="24"/>
          <w:lang w:val="en-US"/>
        </w:rPr>
        <w:lastRenderedPageBreak/>
        <w:t>February 22, 2022, another air strike took place in Arauca, in which out of 27 people killed, at least eight were boys and girls aged between 15 and 17. These incidents have not been investigated diligently, and no one has been brought to trial.</w:t>
      </w:r>
    </w:p>
    <w:p w14:paraId="00000038" w14:textId="0DE49580" w:rsidR="00C60456" w:rsidRPr="00F437CC" w:rsidRDefault="00296F3B">
      <w:pPr>
        <w:spacing w:after="200" w:line="360" w:lineRule="auto"/>
        <w:jc w:val="both"/>
        <w:rPr>
          <w:sz w:val="24"/>
          <w:szCs w:val="24"/>
          <w:lang w:val="en-US"/>
        </w:rPr>
      </w:pPr>
      <w:r w:rsidRPr="00F437CC">
        <w:rPr>
          <w:sz w:val="24"/>
          <w:szCs w:val="24"/>
          <w:lang w:val="en-US"/>
        </w:rPr>
        <w:t>We, the Organizations, believe that, according to the principles established in the Convention and its Optional Protocol, as well as those governing International Humanitarian Law, the best interests of the child must be considered in analyzing the principles of precaution and proportionality in military operations attacks. The State must adopt the least harmful measure to ensure that military operations do not cause more harm than the anticipated military advantage. Therefore, the State should adopt less harmful measures aimed at protecting the rights of recruited children, prioritizing their rescue over their killing. Additionally, recruited children should be mainly considered victims</w:t>
      </w:r>
      <w:r w:rsidRPr="00F437CC">
        <w:rPr>
          <w:sz w:val="24"/>
          <w:szCs w:val="24"/>
          <w:vertAlign w:val="superscript"/>
          <w:lang w:val="en-US"/>
        </w:rPr>
        <w:footnoteReference w:id="30"/>
      </w:r>
      <w:r w:rsidR="000231F9" w:rsidRPr="00F437CC">
        <w:rPr>
          <w:sz w:val="24"/>
          <w:szCs w:val="24"/>
          <w:lang w:val="en-US"/>
        </w:rPr>
        <w:t>.</w:t>
      </w:r>
      <w:r w:rsidRPr="00F437CC">
        <w:rPr>
          <w:sz w:val="24"/>
          <w:szCs w:val="24"/>
          <w:lang w:val="en-US"/>
        </w:rPr>
        <w:t xml:space="preserve"> </w:t>
      </w:r>
    </w:p>
    <w:p w14:paraId="22644C9B" w14:textId="53279FC7" w:rsidR="00296F3B" w:rsidRPr="00F437CC" w:rsidRDefault="00296F3B" w:rsidP="00296F3B">
      <w:pPr>
        <w:spacing w:line="360" w:lineRule="auto"/>
        <w:jc w:val="both"/>
        <w:rPr>
          <w:sz w:val="24"/>
          <w:szCs w:val="24"/>
          <w:lang w:val="en-US"/>
        </w:rPr>
      </w:pPr>
      <w:r w:rsidRPr="00F437CC">
        <w:rPr>
          <w:sz w:val="24"/>
          <w:szCs w:val="24"/>
          <w:lang w:val="en-US"/>
        </w:rPr>
        <w:t xml:space="preserve">Furthermore, there is criticism of the re-victimization by high-ranking State officials against recruited </w:t>
      </w:r>
      <w:r w:rsidR="002B1D2C">
        <w:rPr>
          <w:sz w:val="24"/>
          <w:szCs w:val="24"/>
          <w:lang w:val="en-US"/>
        </w:rPr>
        <w:t>NNA</w:t>
      </w:r>
      <w:r w:rsidRPr="00F437CC">
        <w:rPr>
          <w:sz w:val="24"/>
          <w:szCs w:val="24"/>
          <w:lang w:val="en-US"/>
        </w:rPr>
        <w:t>, for example, the term used by then-Defense Minister Diego Molano in 2021, referring to them as “war machines”</w:t>
      </w:r>
      <w:r w:rsidRPr="00F437CC">
        <w:rPr>
          <w:sz w:val="24"/>
          <w:szCs w:val="24"/>
          <w:vertAlign w:val="superscript"/>
          <w:lang w:val="en-US"/>
        </w:rPr>
        <w:footnoteReference w:id="31"/>
      </w:r>
      <w:r w:rsidR="000231F9" w:rsidRPr="00F437CC">
        <w:rPr>
          <w:sz w:val="24"/>
          <w:szCs w:val="24"/>
          <w:lang w:val="en-US"/>
        </w:rPr>
        <w:t>.</w:t>
      </w:r>
      <w:r w:rsidRPr="00F437CC">
        <w:rPr>
          <w:sz w:val="24"/>
          <w:szCs w:val="24"/>
          <w:lang w:val="en-US"/>
        </w:rPr>
        <w:t xml:space="preserve"> This action has not been properly sanctioned yet.</w:t>
      </w:r>
    </w:p>
    <w:p w14:paraId="7CDB934C" w14:textId="77777777" w:rsidR="00296F3B" w:rsidRPr="00F437CC" w:rsidRDefault="00296F3B" w:rsidP="00296F3B">
      <w:pPr>
        <w:spacing w:line="360" w:lineRule="auto"/>
        <w:jc w:val="both"/>
        <w:rPr>
          <w:sz w:val="10"/>
          <w:szCs w:val="10"/>
          <w:lang w:val="en-US"/>
        </w:rPr>
      </w:pPr>
    </w:p>
    <w:p w14:paraId="0000003B" w14:textId="64518FAC" w:rsidR="00C60456" w:rsidRPr="00F437CC" w:rsidRDefault="00296F3B" w:rsidP="00296F3B">
      <w:pPr>
        <w:spacing w:line="360" w:lineRule="auto"/>
        <w:jc w:val="both"/>
        <w:rPr>
          <w:sz w:val="24"/>
          <w:szCs w:val="24"/>
          <w:lang w:val="en-US"/>
        </w:rPr>
      </w:pPr>
      <w:r w:rsidRPr="00F437CC">
        <w:rPr>
          <w:sz w:val="24"/>
          <w:szCs w:val="24"/>
          <w:lang w:val="en-US"/>
        </w:rPr>
        <w:t xml:space="preserve">The Organizations recognize the shift in political and human rights position of President Gustavo </w:t>
      </w:r>
      <w:r w:rsidR="002B1D2C" w:rsidRPr="00F437CC">
        <w:rPr>
          <w:sz w:val="24"/>
          <w:szCs w:val="24"/>
          <w:lang w:val="en-US"/>
        </w:rPr>
        <w:t>Petro’s administration</w:t>
      </w:r>
      <w:r w:rsidRPr="00F437CC">
        <w:rPr>
          <w:sz w:val="24"/>
          <w:szCs w:val="24"/>
          <w:lang w:val="en-US"/>
        </w:rPr>
        <w:t xml:space="preserve">, as no air strikes have been recorded against camps with recruited </w:t>
      </w:r>
      <w:r w:rsidR="002B1D2C">
        <w:rPr>
          <w:sz w:val="24"/>
          <w:szCs w:val="24"/>
          <w:lang w:val="en-US"/>
        </w:rPr>
        <w:t>NNA</w:t>
      </w:r>
      <w:r w:rsidRPr="00F437CC">
        <w:rPr>
          <w:sz w:val="24"/>
          <w:szCs w:val="24"/>
          <w:lang w:val="en-US"/>
        </w:rPr>
        <w:t xml:space="preserve"> since he took office. Since then, there have been no records of casualties of </w:t>
      </w:r>
      <w:r w:rsidR="002B1D2C">
        <w:rPr>
          <w:sz w:val="24"/>
          <w:szCs w:val="24"/>
          <w:lang w:val="en-US"/>
        </w:rPr>
        <w:t>NNA</w:t>
      </w:r>
      <w:r w:rsidRPr="00F437CC">
        <w:rPr>
          <w:sz w:val="24"/>
          <w:szCs w:val="24"/>
          <w:lang w:val="en-US"/>
        </w:rPr>
        <w:t xml:space="preserve"> from these incidents. Nevertheless, to date, there are no initiatives to formalize a permanent prohibition of such attacks in the long term. </w:t>
      </w:r>
    </w:p>
    <w:p w14:paraId="0000003C" w14:textId="2EEF40F9" w:rsidR="00C60456" w:rsidRPr="00F437CC" w:rsidRDefault="00A74445">
      <w:pPr>
        <w:spacing w:before="200" w:after="200" w:line="360" w:lineRule="auto"/>
        <w:jc w:val="both"/>
        <w:rPr>
          <w:sz w:val="24"/>
          <w:szCs w:val="24"/>
          <w:u w:val="single"/>
          <w:lang w:val="en-US"/>
        </w:rPr>
      </w:pPr>
      <w:r w:rsidRPr="00F437CC">
        <w:rPr>
          <w:sz w:val="24"/>
          <w:szCs w:val="24"/>
          <w:u w:val="single"/>
          <w:lang w:val="en-US"/>
        </w:rPr>
        <w:t>Recom</w:t>
      </w:r>
      <w:r w:rsidR="00296F3B" w:rsidRPr="00F437CC">
        <w:rPr>
          <w:sz w:val="24"/>
          <w:szCs w:val="24"/>
          <w:u w:val="single"/>
          <w:lang w:val="en-US"/>
        </w:rPr>
        <w:t>m</w:t>
      </w:r>
      <w:r w:rsidRPr="00F437CC">
        <w:rPr>
          <w:sz w:val="24"/>
          <w:szCs w:val="24"/>
          <w:u w:val="single"/>
          <w:lang w:val="en-US"/>
        </w:rPr>
        <w:t>enda</w:t>
      </w:r>
      <w:r w:rsidR="00296F3B" w:rsidRPr="00F437CC">
        <w:rPr>
          <w:sz w:val="24"/>
          <w:szCs w:val="24"/>
          <w:u w:val="single"/>
          <w:lang w:val="en-US"/>
        </w:rPr>
        <w:t>t</w:t>
      </w:r>
      <w:r w:rsidRPr="00F437CC">
        <w:rPr>
          <w:sz w:val="24"/>
          <w:szCs w:val="24"/>
          <w:u w:val="single"/>
          <w:lang w:val="en-US"/>
        </w:rPr>
        <w:t>ions</w:t>
      </w:r>
    </w:p>
    <w:p w14:paraId="0000003D" w14:textId="0B8DAF54" w:rsidR="00C60456" w:rsidRPr="002B1D2C" w:rsidRDefault="0058047C" w:rsidP="002B1D2C">
      <w:pPr>
        <w:pStyle w:val="ListParagraph"/>
        <w:numPr>
          <w:ilvl w:val="0"/>
          <w:numId w:val="4"/>
        </w:numPr>
        <w:spacing w:before="200" w:after="200" w:line="360" w:lineRule="auto"/>
        <w:ind w:left="709"/>
        <w:jc w:val="both"/>
        <w:rPr>
          <w:sz w:val="24"/>
          <w:szCs w:val="24"/>
          <w:lang w:val="en-US"/>
        </w:rPr>
      </w:pPr>
      <w:r w:rsidRPr="002B1D2C">
        <w:rPr>
          <w:sz w:val="24"/>
          <w:szCs w:val="24"/>
          <w:u w:val="single"/>
          <w:lang w:val="en-US"/>
        </w:rPr>
        <w:t xml:space="preserve">To urge the State to do the following: </w:t>
      </w:r>
    </w:p>
    <w:p w14:paraId="59B0AA2F" w14:textId="52A3392A" w:rsidR="00296F3B" w:rsidRPr="00F437CC" w:rsidRDefault="00296F3B" w:rsidP="00296F3B">
      <w:pPr>
        <w:spacing w:line="360" w:lineRule="auto"/>
        <w:ind w:left="720"/>
        <w:jc w:val="both"/>
        <w:rPr>
          <w:sz w:val="24"/>
          <w:szCs w:val="24"/>
          <w:lang w:val="en-US"/>
        </w:rPr>
      </w:pPr>
      <w:r w:rsidRPr="00F437CC">
        <w:rPr>
          <w:sz w:val="24"/>
          <w:szCs w:val="24"/>
          <w:lang w:val="en-US"/>
        </w:rPr>
        <w:t>2.1. To adopt the necessary measures to investigate and punish public officials responsible for bombing camps with recruited boys and girls.</w:t>
      </w:r>
    </w:p>
    <w:p w14:paraId="697DB479" w14:textId="77777777" w:rsidR="00296F3B" w:rsidRPr="00F437CC" w:rsidRDefault="00296F3B" w:rsidP="00296F3B">
      <w:pPr>
        <w:spacing w:line="360" w:lineRule="auto"/>
        <w:ind w:left="720"/>
        <w:jc w:val="both"/>
        <w:rPr>
          <w:sz w:val="10"/>
          <w:szCs w:val="10"/>
          <w:lang w:val="en-US"/>
        </w:rPr>
      </w:pPr>
    </w:p>
    <w:p w14:paraId="0000003F" w14:textId="16817946" w:rsidR="00C60456" w:rsidRPr="00F437CC" w:rsidRDefault="00296F3B" w:rsidP="00296F3B">
      <w:pPr>
        <w:spacing w:line="360" w:lineRule="auto"/>
        <w:ind w:left="720"/>
        <w:jc w:val="both"/>
        <w:rPr>
          <w:sz w:val="24"/>
          <w:szCs w:val="24"/>
          <w:lang w:val="en-US"/>
        </w:rPr>
      </w:pPr>
      <w:r w:rsidRPr="00F437CC">
        <w:rPr>
          <w:sz w:val="24"/>
          <w:szCs w:val="24"/>
          <w:lang w:val="en-US"/>
        </w:rPr>
        <w:t>2.2. To enact legislative provisions to prohibit airstrikes as a first measure in camps where there is information about the potential presence of recruited boys and girls.</w:t>
      </w:r>
    </w:p>
    <w:p w14:paraId="00000040" w14:textId="77777777" w:rsidR="00C60456" w:rsidRPr="00F437CC" w:rsidRDefault="00C60456">
      <w:pPr>
        <w:spacing w:line="360" w:lineRule="auto"/>
        <w:ind w:left="720"/>
        <w:jc w:val="both"/>
        <w:rPr>
          <w:sz w:val="24"/>
          <w:szCs w:val="24"/>
          <w:lang w:val="en-US"/>
        </w:rPr>
      </w:pPr>
    </w:p>
    <w:p w14:paraId="00000041" w14:textId="6D6EF55E" w:rsidR="00C60456" w:rsidRPr="00F437CC" w:rsidRDefault="00A74445" w:rsidP="00924EFA">
      <w:pPr>
        <w:pStyle w:val="Heading2"/>
        <w:rPr>
          <w:lang w:val="en-US"/>
        </w:rPr>
      </w:pPr>
      <w:bookmarkStart w:id="12" w:name="_Toc181289441"/>
      <w:bookmarkStart w:id="13" w:name="_Toc181285161"/>
      <w:r w:rsidRPr="00F437CC">
        <w:rPr>
          <w:lang w:val="en-US"/>
        </w:rPr>
        <w:t>1.</w:t>
      </w:r>
      <w:r w:rsidR="00924EFA" w:rsidRPr="00F437CC">
        <w:rPr>
          <w:lang w:val="en-US"/>
        </w:rPr>
        <w:t>4</w:t>
      </w:r>
      <w:r w:rsidRPr="00F437CC">
        <w:rPr>
          <w:lang w:val="en-US"/>
        </w:rPr>
        <w:t xml:space="preserve">. </w:t>
      </w:r>
      <w:r w:rsidR="00296F3B" w:rsidRPr="00F437CC">
        <w:rPr>
          <w:lang w:val="en-US"/>
        </w:rPr>
        <w:t>Transgenerational Suffering in the Armed Conflict</w:t>
      </w:r>
      <w:bookmarkEnd w:id="12"/>
      <w:r w:rsidR="00296F3B" w:rsidRPr="00F437CC">
        <w:rPr>
          <w:lang w:val="en-US"/>
        </w:rPr>
        <w:t xml:space="preserve"> </w:t>
      </w:r>
      <w:bookmarkEnd w:id="13"/>
    </w:p>
    <w:p w14:paraId="00000042" w14:textId="0D37E11E" w:rsidR="00C60456" w:rsidRPr="00F437CC" w:rsidRDefault="00296F3B" w:rsidP="00296F3B">
      <w:pPr>
        <w:spacing w:before="240" w:line="360" w:lineRule="auto"/>
        <w:jc w:val="both"/>
        <w:rPr>
          <w:sz w:val="24"/>
          <w:szCs w:val="24"/>
          <w:lang w:val="en-US"/>
        </w:rPr>
      </w:pPr>
      <w:r w:rsidRPr="00F437CC">
        <w:rPr>
          <w:sz w:val="24"/>
          <w:szCs w:val="24"/>
          <w:lang w:val="en-US"/>
        </w:rPr>
        <w:t xml:space="preserve">Neither the Committee on the Rights of the Child (CRC) in its </w:t>
      </w:r>
      <w:r w:rsidR="003108F9">
        <w:rPr>
          <w:sz w:val="24"/>
          <w:szCs w:val="24"/>
          <w:lang w:val="en-US"/>
        </w:rPr>
        <w:t xml:space="preserve">final </w:t>
      </w:r>
      <w:r w:rsidRPr="00F437CC">
        <w:rPr>
          <w:sz w:val="24"/>
          <w:szCs w:val="24"/>
          <w:lang w:val="en-US"/>
        </w:rPr>
        <w:t>conclu</w:t>
      </w:r>
      <w:r w:rsidR="003108F9">
        <w:rPr>
          <w:sz w:val="24"/>
          <w:szCs w:val="24"/>
          <w:lang w:val="en-US"/>
        </w:rPr>
        <w:t>sions</w:t>
      </w:r>
      <w:r w:rsidR="009E1870">
        <w:rPr>
          <w:sz w:val="24"/>
          <w:szCs w:val="24"/>
          <w:lang w:val="en-US"/>
        </w:rPr>
        <w:t xml:space="preserve"> </w:t>
      </w:r>
      <w:r w:rsidRPr="00F437CC">
        <w:rPr>
          <w:sz w:val="24"/>
          <w:szCs w:val="24"/>
          <w:lang w:val="en-US"/>
        </w:rPr>
        <w:t xml:space="preserve">nor the State in its official report have addressed the importance of taking measures related to transgenerational impacts within the framework of the armed conflict. In August 2022, the Truth Commission (CEV) issued its report “If There’s Truth, There’s a Future”, which includes the chapter “Not a Lesser Evil” dedicated to the suffering of </w:t>
      </w:r>
      <w:r w:rsidR="00B763FA">
        <w:rPr>
          <w:sz w:val="24"/>
          <w:szCs w:val="24"/>
          <w:lang w:val="en-US"/>
        </w:rPr>
        <w:t>NNA</w:t>
      </w:r>
      <w:r w:rsidRPr="00F437CC">
        <w:rPr>
          <w:sz w:val="24"/>
          <w:szCs w:val="24"/>
          <w:lang w:val="en-US"/>
        </w:rPr>
        <w:t xml:space="preserve"> during the armed conflict. This chapter highlights the significant transgenerational impact endured in Colombia because of its history of armed conflict</w:t>
      </w:r>
      <w:r w:rsidRPr="00F437CC">
        <w:rPr>
          <w:sz w:val="24"/>
          <w:szCs w:val="24"/>
          <w:vertAlign w:val="superscript"/>
          <w:lang w:val="en-US"/>
        </w:rPr>
        <w:footnoteReference w:id="32"/>
      </w:r>
      <w:r w:rsidR="000231F9" w:rsidRPr="00F437CC">
        <w:rPr>
          <w:sz w:val="24"/>
          <w:szCs w:val="24"/>
          <w:lang w:val="en-US"/>
        </w:rPr>
        <w:t>.</w:t>
      </w:r>
      <w:r w:rsidRPr="00F437CC">
        <w:rPr>
          <w:sz w:val="24"/>
          <w:szCs w:val="24"/>
          <w:lang w:val="en-US"/>
        </w:rPr>
        <w:t xml:space="preserve"> The Organizations would like to draw the attention to address the emotional suffering linked to the war that children continue to endure. The Truth Commission identified that these harms are difficult to erase and that the impacts of the conflict affect not only the victims but also subsequent family </w:t>
      </w:r>
      <w:r w:rsidR="0074715B" w:rsidRPr="00F437CC">
        <w:rPr>
          <w:sz w:val="24"/>
          <w:szCs w:val="24"/>
          <w:lang w:val="en-US"/>
        </w:rPr>
        <w:t>generations.</w:t>
      </w:r>
    </w:p>
    <w:p w14:paraId="00000043" w14:textId="5649F2F2" w:rsidR="00C60456" w:rsidRPr="00F437CC" w:rsidRDefault="00296F3B">
      <w:pPr>
        <w:spacing w:before="240" w:line="360" w:lineRule="auto"/>
        <w:jc w:val="both"/>
        <w:rPr>
          <w:sz w:val="24"/>
          <w:szCs w:val="24"/>
          <w:lang w:val="en-US"/>
        </w:rPr>
      </w:pPr>
      <w:r w:rsidRPr="00F437CC">
        <w:rPr>
          <w:sz w:val="24"/>
          <w:szCs w:val="24"/>
          <w:lang w:val="en-US"/>
        </w:rPr>
        <w:t>In this sense, the transgenerational impact is exacerbated by impunity, the lack of communication and assimilation of the suffering endured, cultural and traditional ruptures, continued violence, and more</w:t>
      </w:r>
      <w:r w:rsidRPr="00F437CC">
        <w:rPr>
          <w:rFonts w:ascii="Times New Roman" w:eastAsia="Times New Roman" w:hAnsi="Times New Roman" w:cs="Times New Roman"/>
          <w:sz w:val="24"/>
          <w:szCs w:val="24"/>
          <w:vertAlign w:val="superscript"/>
          <w:lang w:val="en-US"/>
        </w:rPr>
        <w:footnoteReference w:id="33"/>
      </w:r>
      <w:r w:rsidRPr="00F437CC">
        <w:rPr>
          <w:sz w:val="24"/>
          <w:szCs w:val="24"/>
          <w:lang w:val="en-US"/>
        </w:rPr>
        <w:t>. According to the findings of the Truth Commission, these transgenerational impacts persist and affect boys and girls. Therefore, the Organizations consider it essential to disseminate the findings of the Commission and implement its recommendations, especially those related to psychosocial support for boys and girls who are direct victims of the war due to the experiences of their previous generations.</w:t>
      </w:r>
    </w:p>
    <w:p w14:paraId="00000044" w14:textId="2B165BE0" w:rsidR="00C60456" w:rsidRPr="00F437CC" w:rsidRDefault="00A74445">
      <w:pPr>
        <w:spacing w:before="240" w:line="360" w:lineRule="auto"/>
        <w:ind w:left="720"/>
        <w:jc w:val="both"/>
        <w:rPr>
          <w:sz w:val="24"/>
          <w:szCs w:val="24"/>
          <w:u w:val="single"/>
          <w:lang w:val="en-US"/>
        </w:rPr>
      </w:pPr>
      <w:r w:rsidRPr="00F437CC">
        <w:rPr>
          <w:sz w:val="24"/>
          <w:szCs w:val="24"/>
          <w:u w:val="single"/>
          <w:lang w:val="en-US"/>
        </w:rPr>
        <w:t>Recom</w:t>
      </w:r>
      <w:r w:rsidR="00296F3B" w:rsidRPr="00F437CC">
        <w:rPr>
          <w:sz w:val="24"/>
          <w:szCs w:val="24"/>
          <w:u w:val="single"/>
          <w:lang w:val="en-US"/>
        </w:rPr>
        <w:t>m</w:t>
      </w:r>
      <w:r w:rsidRPr="00F437CC">
        <w:rPr>
          <w:sz w:val="24"/>
          <w:szCs w:val="24"/>
          <w:u w:val="single"/>
          <w:lang w:val="en-US"/>
        </w:rPr>
        <w:t>enda</w:t>
      </w:r>
      <w:r w:rsidR="00296F3B" w:rsidRPr="00F437CC">
        <w:rPr>
          <w:sz w:val="24"/>
          <w:szCs w:val="24"/>
          <w:u w:val="single"/>
          <w:lang w:val="en-US"/>
        </w:rPr>
        <w:t>t</w:t>
      </w:r>
      <w:r w:rsidRPr="00F437CC">
        <w:rPr>
          <w:sz w:val="24"/>
          <w:szCs w:val="24"/>
          <w:u w:val="single"/>
          <w:lang w:val="en-US"/>
        </w:rPr>
        <w:t>ions:</w:t>
      </w:r>
    </w:p>
    <w:p w14:paraId="00000045" w14:textId="65447219" w:rsidR="00C60456" w:rsidRPr="00B763FA" w:rsidRDefault="0058047C" w:rsidP="00B763FA">
      <w:pPr>
        <w:pStyle w:val="ListParagraph"/>
        <w:numPr>
          <w:ilvl w:val="0"/>
          <w:numId w:val="4"/>
        </w:numPr>
        <w:spacing w:before="240" w:line="360" w:lineRule="auto"/>
        <w:ind w:left="709"/>
        <w:jc w:val="both"/>
        <w:rPr>
          <w:sz w:val="24"/>
          <w:szCs w:val="24"/>
          <w:lang w:val="en-US"/>
        </w:rPr>
      </w:pPr>
      <w:r w:rsidRPr="00B763FA">
        <w:rPr>
          <w:sz w:val="24"/>
          <w:szCs w:val="24"/>
          <w:u w:val="single"/>
          <w:lang w:val="en-US"/>
        </w:rPr>
        <w:lastRenderedPageBreak/>
        <w:t xml:space="preserve">To urge the State to do the following: </w:t>
      </w:r>
    </w:p>
    <w:p w14:paraId="00000046" w14:textId="38ECA792" w:rsidR="00C60456" w:rsidRPr="00F437CC" w:rsidRDefault="00A74445">
      <w:pPr>
        <w:spacing w:before="240" w:line="360" w:lineRule="auto"/>
        <w:ind w:left="720"/>
        <w:jc w:val="both"/>
        <w:rPr>
          <w:sz w:val="24"/>
          <w:szCs w:val="24"/>
          <w:lang w:val="en-US"/>
        </w:rPr>
      </w:pPr>
      <w:r w:rsidRPr="00F437CC">
        <w:rPr>
          <w:sz w:val="24"/>
          <w:szCs w:val="24"/>
          <w:lang w:val="en-US"/>
        </w:rPr>
        <w:t xml:space="preserve">3.1. </w:t>
      </w:r>
      <w:r w:rsidR="00296F3B" w:rsidRPr="00F437CC">
        <w:rPr>
          <w:sz w:val="24"/>
          <w:szCs w:val="24"/>
          <w:lang w:val="en-US"/>
        </w:rPr>
        <w:t xml:space="preserve">To </w:t>
      </w:r>
      <w:r w:rsidR="003108F9">
        <w:rPr>
          <w:sz w:val="24"/>
          <w:szCs w:val="24"/>
          <w:lang w:val="en-US"/>
        </w:rPr>
        <w:t xml:space="preserve">raise </w:t>
      </w:r>
      <w:r w:rsidR="00296F3B" w:rsidRPr="00F437CC">
        <w:rPr>
          <w:sz w:val="24"/>
          <w:szCs w:val="24"/>
          <w:lang w:val="en-US"/>
        </w:rPr>
        <w:t>awareness o</w:t>
      </w:r>
      <w:r w:rsidR="003108F9">
        <w:rPr>
          <w:sz w:val="24"/>
          <w:szCs w:val="24"/>
          <w:lang w:val="en-US"/>
        </w:rPr>
        <w:t>n</w:t>
      </w:r>
      <w:r w:rsidR="00296F3B" w:rsidRPr="00F437CC">
        <w:rPr>
          <w:sz w:val="24"/>
          <w:szCs w:val="24"/>
          <w:lang w:val="en-US"/>
        </w:rPr>
        <w:t xml:space="preserve"> the </w:t>
      </w:r>
      <w:r w:rsidR="003108F9" w:rsidRPr="00F437CC">
        <w:rPr>
          <w:sz w:val="24"/>
          <w:szCs w:val="24"/>
          <w:lang w:val="en-US"/>
        </w:rPr>
        <w:t xml:space="preserve">report </w:t>
      </w:r>
      <w:r w:rsidR="003108F9">
        <w:rPr>
          <w:sz w:val="24"/>
          <w:szCs w:val="24"/>
          <w:lang w:val="en-US"/>
        </w:rPr>
        <w:t xml:space="preserve">of the </w:t>
      </w:r>
      <w:r w:rsidR="00296F3B" w:rsidRPr="00F437CC">
        <w:rPr>
          <w:sz w:val="24"/>
          <w:szCs w:val="24"/>
          <w:lang w:val="en-US"/>
        </w:rPr>
        <w:t>Truth Commission, including boys and girls, and to adopt the recommendations issued by this transitional body, including those related to the transgenerational impact of the conflict</w:t>
      </w:r>
      <w:r w:rsidRPr="00F437CC">
        <w:rPr>
          <w:sz w:val="24"/>
          <w:szCs w:val="24"/>
          <w:lang w:val="en-US"/>
        </w:rPr>
        <w:t>.</w:t>
      </w:r>
    </w:p>
    <w:p w14:paraId="00000047" w14:textId="77777777" w:rsidR="00C60456" w:rsidRPr="00F437CC" w:rsidRDefault="00C60456">
      <w:pPr>
        <w:spacing w:line="360" w:lineRule="auto"/>
        <w:jc w:val="both"/>
        <w:rPr>
          <w:sz w:val="24"/>
          <w:szCs w:val="24"/>
          <w:lang w:val="en-US"/>
        </w:rPr>
      </w:pPr>
    </w:p>
    <w:p w14:paraId="00000048" w14:textId="1AF221B1" w:rsidR="00C60456" w:rsidRPr="00F437CC" w:rsidRDefault="00296F3B" w:rsidP="00924EFA">
      <w:pPr>
        <w:pStyle w:val="Heading1"/>
        <w:rPr>
          <w:lang w:val="en-US"/>
        </w:rPr>
      </w:pPr>
      <w:bookmarkStart w:id="14" w:name="_Toc181285162"/>
      <w:bookmarkStart w:id="15" w:name="_Toc181289442"/>
      <w:r w:rsidRPr="00296F3B">
        <w:rPr>
          <w:lang w:val="en-US"/>
        </w:rPr>
        <w:t>CHAPTER 2. VIOLENCE AGAINST BOYS AND GIRLS NOT NECESSARILY LINKED TO THE ARMED CONFLIC</w:t>
      </w:r>
      <w:bookmarkEnd w:id="14"/>
      <w:r w:rsidRPr="00F437CC">
        <w:rPr>
          <w:lang w:val="en-US"/>
        </w:rPr>
        <w:t>T</w:t>
      </w:r>
      <w:bookmarkEnd w:id="15"/>
    </w:p>
    <w:p w14:paraId="00000049" w14:textId="4B8519A4" w:rsidR="00C60456" w:rsidRPr="00F437CC" w:rsidRDefault="00A74445" w:rsidP="00924EFA">
      <w:pPr>
        <w:pStyle w:val="Heading2"/>
        <w:rPr>
          <w:lang w:val="en-US"/>
        </w:rPr>
      </w:pPr>
      <w:bookmarkStart w:id="16" w:name="_Toc181285163"/>
      <w:bookmarkStart w:id="17" w:name="_Toc181289443"/>
      <w:r w:rsidRPr="00F437CC">
        <w:rPr>
          <w:lang w:val="en-US"/>
        </w:rPr>
        <w:t xml:space="preserve">2.1.  </w:t>
      </w:r>
      <w:r w:rsidR="00296F3B" w:rsidRPr="00F437CC">
        <w:rPr>
          <w:lang w:val="en-US"/>
        </w:rPr>
        <w:t>Lack of Due Diligence in Investigating and Prosecuting Crimes Against Boys and Girls</w:t>
      </w:r>
      <w:bookmarkEnd w:id="16"/>
      <w:bookmarkEnd w:id="17"/>
    </w:p>
    <w:p w14:paraId="03A24A0A" w14:textId="704969A4" w:rsidR="009558E2" w:rsidRPr="00F437CC" w:rsidRDefault="00296F3B" w:rsidP="009558E2">
      <w:pPr>
        <w:spacing w:line="360" w:lineRule="auto"/>
        <w:jc w:val="both"/>
        <w:rPr>
          <w:sz w:val="24"/>
          <w:szCs w:val="24"/>
          <w:lang w:val="en-US"/>
        </w:rPr>
      </w:pPr>
      <w:r w:rsidRPr="00F437CC">
        <w:rPr>
          <w:sz w:val="24"/>
          <w:szCs w:val="24"/>
          <w:lang w:val="en-US"/>
        </w:rPr>
        <w:t xml:space="preserve">In 2015, </w:t>
      </w:r>
      <w:r w:rsidR="003108F9" w:rsidRPr="003108F9">
        <w:rPr>
          <w:sz w:val="24"/>
          <w:szCs w:val="24"/>
          <w:lang w:val="en-US"/>
        </w:rPr>
        <w:t xml:space="preserve">in several of </w:t>
      </w:r>
      <w:r w:rsidR="003108F9" w:rsidRPr="00F437CC">
        <w:rPr>
          <w:sz w:val="24"/>
          <w:szCs w:val="24"/>
          <w:lang w:val="en-US"/>
        </w:rPr>
        <w:t>the Committee</w:t>
      </w:r>
      <w:r w:rsidR="003108F9">
        <w:rPr>
          <w:sz w:val="24"/>
          <w:szCs w:val="24"/>
          <w:lang w:val="en-US"/>
        </w:rPr>
        <w:t>’s</w:t>
      </w:r>
      <w:r w:rsidR="003108F9" w:rsidRPr="003108F9">
        <w:rPr>
          <w:sz w:val="24"/>
          <w:szCs w:val="24"/>
          <w:lang w:val="en-US"/>
        </w:rPr>
        <w:t xml:space="preserve"> recommendations </w:t>
      </w:r>
      <w:r w:rsidR="003108F9">
        <w:rPr>
          <w:sz w:val="24"/>
          <w:szCs w:val="24"/>
          <w:lang w:val="en-US"/>
        </w:rPr>
        <w:t xml:space="preserve">, it </w:t>
      </w:r>
      <w:r w:rsidRPr="00F437CC">
        <w:rPr>
          <w:sz w:val="24"/>
          <w:szCs w:val="24"/>
          <w:lang w:val="en-US"/>
        </w:rPr>
        <w:t>emphasized to the State on the importance of investigating crimes committed against boys and girls</w:t>
      </w:r>
      <w:r w:rsidRPr="00F437CC">
        <w:rPr>
          <w:sz w:val="24"/>
          <w:szCs w:val="24"/>
          <w:vertAlign w:val="superscript"/>
          <w:lang w:val="en-US"/>
        </w:rPr>
        <w:footnoteReference w:id="34"/>
      </w:r>
      <w:r w:rsidR="000231F9" w:rsidRPr="00F437CC">
        <w:rPr>
          <w:sz w:val="24"/>
          <w:szCs w:val="24"/>
          <w:lang w:val="en-US"/>
        </w:rPr>
        <w:t>.</w:t>
      </w:r>
      <w:r w:rsidRPr="00F437CC">
        <w:rPr>
          <w:sz w:val="24"/>
          <w:szCs w:val="24"/>
          <w:lang w:val="en-US"/>
        </w:rPr>
        <w:t xml:space="preserve"> Colombia stated that mechanisms had been adopted to facilitate children’s access to justice</w:t>
      </w:r>
      <w:r w:rsidRPr="00F437CC">
        <w:rPr>
          <w:sz w:val="24"/>
          <w:szCs w:val="24"/>
          <w:vertAlign w:val="superscript"/>
          <w:lang w:val="en-US"/>
        </w:rPr>
        <w:footnoteReference w:id="35"/>
      </w:r>
      <w:r w:rsidR="009558E2" w:rsidRPr="00F437CC">
        <w:rPr>
          <w:sz w:val="24"/>
          <w:szCs w:val="24"/>
          <w:lang w:val="en-US"/>
        </w:rPr>
        <w:t>.</w:t>
      </w:r>
      <w:r w:rsidRPr="00F437CC">
        <w:rPr>
          <w:sz w:val="24"/>
          <w:szCs w:val="24"/>
          <w:lang w:val="en-US"/>
        </w:rPr>
        <w:t xml:space="preserve"> </w:t>
      </w:r>
      <w:r w:rsidR="009558E2" w:rsidRPr="00F437CC">
        <w:rPr>
          <w:sz w:val="24"/>
          <w:szCs w:val="24"/>
          <w:lang w:val="en-US"/>
        </w:rPr>
        <w:t>However, the effectiveness of these measures in sanctioning and prosecuting those responsible for these crimes has not been demonstrated yet.</w:t>
      </w:r>
    </w:p>
    <w:p w14:paraId="03FF0B5F" w14:textId="77777777" w:rsidR="009558E2" w:rsidRPr="00F437CC" w:rsidRDefault="009558E2" w:rsidP="009558E2">
      <w:pPr>
        <w:spacing w:line="360" w:lineRule="auto"/>
        <w:jc w:val="both"/>
        <w:rPr>
          <w:sz w:val="24"/>
          <w:szCs w:val="24"/>
          <w:lang w:val="en-US"/>
        </w:rPr>
      </w:pPr>
    </w:p>
    <w:p w14:paraId="6A63F5A7" w14:textId="11A55D33" w:rsidR="009558E2" w:rsidRPr="00F437CC" w:rsidRDefault="009558E2" w:rsidP="009558E2">
      <w:pPr>
        <w:spacing w:after="200" w:line="360" w:lineRule="auto"/>
        <w:jc w:val="both"/>
        <w:rPr>
          <w:sz w:val="24"/>
          <w:szCs w:val="24"/>
          <w:lang w:val="en-US"/>
        </w:rPr>
      </w:pPr>
      <w:r w:rsidRPr="00F437CC">
        <w:rPr>
          <w:sz w:val="24"/>
          <w:szCs w:val="24"/>
          <w:lang w:val="en-US"/>
        </w:rPr>
        <w:t xml:space="preserve">The Organizations are concerned about the impunity rates for complaints filed with the concerning alleged crimes of which </w:t>
      </w:r>
      <w:r w:rsidR="00B763FA">
        <w:rPr>
          <w:sz w:val="24"/>
          <w:szCs w:val="24"/>
          <w:lang w:val="en-US"/>
        </w:rPr>
        <w:t>NNA</w:t>
      </w:r>
      <w:r w:rsidRPr="00F437CC">
        <w:rPr>
          <w:sz w:val="24"/>
          <w:szCs w:val="24"/>
          <w:lang w:val="en-US"/>
        </w:rPr>
        <w:t xml:space="preserve"> are the victims. At the request of the Organizations, the Office provided information on the investigative stages of reported incidents where children and adolescents, and especially girls, are the primary victims. These cases include sexual crimes, custody-related crimes, illicit recruitment and use, and drug-related crimes, from January 1, 2015, until the end of the first half of 2021.</w:t>
      </w:r>
    </w:p>
    <w:p w14:paraId="17D40613" w14:textId="77777777" w:rsidR="009558E2" w:rsidRPr="00F437CC" w:rsidRDefault="009558E2" w:rsidP="009558E2">
      <w:pPr>
        <w:spacing w:after="200" w:line="360" w:lineRule="auto"/>
        <w:jc w:val="both"/>
        <w:rPr>
          <w:sz w:val="40"/>
          <w:szCs w:val="40"/>
          <w:highlight w:val="green"/>
          <w:vertAlign w:val="superscript"/>
          <w:lang w:val="en-US"/>
        </w:rPr>
      </w:pPr>
      <w:r w:rsidRPr="00F437CC">
        <w:rPr>
          <w:sz w:val="24"/>
          <w:szCs w:val="24"/>
          <w:lang w:val="en-US"/>
        </w:rPr>
        <w:t xml:space="preserve">Given these figures, it is alarming that most complaints are still in the preliminary investigation stage, meaning a criminal proceeding has not formally begun. At the inquiry stage, no suspects have been brought to trial. </w:t>
      </w:r>
    </w:p>
    <w:p w14:paraId="3BF9CACA" w14:textId="3F037EFE" w:rsidR="009558E2" w:rsidRPr="00F437CC" w:rsidRDefault="009558E2" w:rsidP="009558E2">
      <w:pPr>
        <w:spacing w:after="200" w:line="360" w:lineRule="auto"/>
        <w:jc w:val="both"/>
        <w:rPr>
          <w:rFonts w:ascii="Times New Roman" w:eastAsia="Times New Roman" w:hAnsi="Times New Roman" w:cs="Times New Roman"/>
          <w:sz w:val="24"/>
          <w:szCs w:val="24"/>
          <w:lang w:val="en-US"/>
        </w:rPr>
      </w:pPr>
      <w:r w:rsidRPr="00F437CC">
        <w:rPr>
          <w:sz w:val="24"/>
          <w:szCs w:val="24"/>
          <w:lang w:val="en-US"/>
        </w:rPr>
        <w:lastRenderedPageBreak/>
        <w:t xml:space="preserve">For instance, 99.43% of cases of family-related crimes are in the preliminary stage, with less than 1% in the sentencing phase; 88.4% of cases of drug-related crimes are in the inquiry stage, and only 4.1% are in the sentencing phase; and 91% of cases of trafficking-related crimes against </w:t>
      </w:r>
      <w:r w:rsidR="00B763FA">
        <w:rPr>
          <w:sz w:val="24"/>
          <w:szCs w:val="24"/>
          <w:lang w:val="en-US"/>
        </w:rPr>
        <w:t>NNA</w:t>
      </w:r>
      <w:r w:rsidRPr="00F437CC">
        <w:rPr>
          <w:sz w:val="24"/>
          <w:szCs w:val="24"/>
          <w:lang w:val="en-US"/>
        </w:rPr>
        <w:t xml:space="preserve"> are in the inquiry stage, with only 1% in the sentencing phase.</w:t>
      </w:r>
    </w:p>
    <w:p w14:paraId="0000004F" w14:textId="39FF775B" w:rsidR="00C60456" w:rsidRPr="00F437CC" w:rsidRDefault="009558E2" w:rsidP="009558E2">
      <w:pPr>
        <w:spacing w:line="360" w:lineRule="auto"/>
        <w:jc w:val="both"/>
        <w:rPr>
          <w:lang w:val="en-US"/>
        </w:rPr>
      </w:pPr>
      <w:r w:rsidRPr="00F437CC">
        <w:rPr>
          <w:sz w:val="24"/>
          <w:szCs w:val="24"/>
          <w:lang w:val="en-US"/>
        </w:rPr>
        <w:t xml:space="preserve">The Organizations highlight the recent legislative progresses approved by the national government regarding the non-applicability of statutes of limitations on sexual crimes where the victims are </w:t>
      </w:r>
      <w:r w:rsidR="00B763FA">
        <w:rPr>
          <w:sz w:val="24"/>
          <w:szCs w:val="24"/>
          <w:lang w:val="en-US"/>
        </w:rPr>
        <w:t>NNA</w:t>
      </w:r>
      <w:r w:rsidRPr="00F437CC">
        <w:rPr>
          <w:sz w:val="24"/>
          <w:szCs w:val="24"/>
          <w:vertAlign w:val="superscript"/>
          <w:lang w:val="en-US"/>
        </w:rPr>
        <w:footnoteReference w:id="36"/>
      </w:r>
      <w:r w:rsidR="000231F9" w:rsidRPr="00F437CC">
        <w:rPr>
          <w:sz w:val="24"/>
          <w:szCs w:val="24"/>
          <w:lang w:val="en-US"/>
        </w:rPr>
        <w:t>.</w:t>
      </w:r>
      <w:r w:rsidRPr="00F437CC">
        <w:rPr>
          <w:sz w:val="24"/>
          <w:szCs w:val="24"/>
          <w:lang w:val="en-US"/>
        </w:rPr>
        <w:t xml:space="preserve"> Despite this progress (a regional benchmark), the figures provided by the Office of the Attorney General show that sexual crimes against </w:t>
      </w:r>
      <w:r w:rsidR="00B763FA">
        <w:rPr>
          <w:sz w:val="24"/>
          <w:szCs w:val="24"/>
          <w:lang w:val="en-US"/>
        </w:rPr>
        <w:t>NNA</w:t>
      </w:r>
      <w:r w:rsidRPr="00F437CC">
        <w:rPr>
          <w:sz w:val="24"/>
          <w:szCs w:val="24"/>
          <w:lang w:val="en-US"/>
        </w:rPr>
        <w:t xml:space="preserve"> represent less than 1% of the total complaints and 0.01% of the cases archived by the Office. This means that while the non-applicability of statutes of limitations on sexual crimes against </w:t>
      </w:r>
      <w:r w:rsidR="00B763FA">
        <w:rPr>
          <w:sz w:val="24"/>
          <w:szCs w:val="24"/>
          <w:lang w:val="en-US"/>
        </w:rPr>
        <w:t>NNA</w:t>
      </w:r>
      <w:r w:rsidRPr="00F437CC">
        <w:rPr>
          <w:sz w:val="24"/>
          <w:szCs w:val="24"/>
          <w:lang w:val="en-US"/>
        </w:rPr>
        <w:t xml:space="preserve"> is an important element to ensure investigation regardless of the passage of time, and thereby prevent such incidents, the overall impunity problem for crimes against children is not solved by these measures. In fact, only 4.9% of complaints of sexual crimes against </w:t>
      </w:r>
      <w:r w:rsidR="00B763FA">
        <w:rPr>
          <w:sz w:val="24"/>
          <w:szCs w:val="24"/>
          <w:lang w:val="en-US"/>
        </w:rPr>
        <w:t>NNA</w:t>
      </w:r>
      <w:r w:rsidRPr="00F437CC">
        <w:rPr>
          <w:sz w:val="24"/>
          <w:szCs w:val="24"/>
          <w:lang w:val="en-US"/>
        </w:rPr>
        <w:t xml:space="preserve"> have resulted in convictions, while 83% are still in the preliminary stage. It is worth noting that from 2015 to 2020, the primary victims of these forms of violence were girls and adolescent females, accounting to 68%. </w:t>
      </w:r>
    </w:p>
    <w:p w14:paraId="07C94DF7" w14:textId="77777777" w:rsidR="00CC064B" w:rsidRPr="00F437CC" w:rsidRDefault="00CC064B">
      <w:pPr>
        <w:spacing w:after="200" w:line="360" w:lineRule="auto"/>
        <w:jc w:val="both"/>
        <w:rPr>
          <w:sz w:val="10"/>
          <w:szCs w:val="10"/>
          <w:lang w:val="en-US"/>
        </w:rPr>
      </w:pPr>
    </w:p>
    <w:p w14:paraId="00000050" w14:textId="77706384" w:rsidR="00C60456" w:rsidRPr="00F437CC" w:rsidRDefault="009558E2">
      <w:pPr>
        <w:spacing w:after="200" w:line="360" w:lineRule="auto"/>
        <w:jc w:val="both"/>
        <w:rPr>
          <w:sz w:val="24"/>
          <w:szCs w:val="24"/>
          <w:lang w:val="en-US"/>
        </w:rPr>
      </w:pPr>
      <w:r w:rsidRPr="00F437CC">
        <w:rPr>
          <w:sz w:val="24"/>
          <w:szCs w:val="24"/>
          <w:lang w:val="en-US"/>
        </w:rPr>
        <w:t xml:space="preserve">The situations described </w:t>
      </w:r>
      <w:r w:rsidR="003108F9">
        <w:rPr>
          <w:sz w:val="24"/>
          <w:szCs w:val="24"/>
          <w:lang w:val="en-US"/>
        </w:rPr>
        <w:t>above show</w:t>
      </w:r>
      <w:r w:rsidRPr="00F437CC">
        <w:rPr>
          <w:sz w:val="24"/>
          <w:szCs w:val="24"/>
          <w:lang w:val="en-US"/>
        </w:rPr>
        <w:t xml:space="preserve"> the lack of capacity of the Office of the Attorney General to pursue criminal investigations of crimes against </w:t>
      </w:r>
      <w:r w:rsidR="00B763FA">
        <w:rPr>
          <w:sz w:val="24"/>
          <w:szCs w:val="24"/>
          <w:lang w:val="en-US"/>
        </w:rPr>
        <w:t>NNA</w:t>
      </w:r>
      <w:r w:rsidRPr="00F437CC">
        <w:rPr>
          <w:sz w:val="24"/>
          <w:szCs w:val="24"/>
          <w:lang w:val="en-US"/>
        </w:rPr>
        <w:t xml:space="preserve"> in a diligent </w:t>
      </w:r>
      <w:r w:rsidR="00B763FA" w:rsidRPr="00F437CC">
        <w:rPr>
          <w:sz w:val="24"/>
          <w:szCs w:val="24"/>
          <w:lang w:val="en-US"/>
        </w:rPr>
        <w:t>manner. Therefore</w:t>
      </w:r>
      <w:r w:rsidRPr="00F437CC">
        <w:rPr>
          <w:sz w:val="24"/>
          <w:szCs w:val="24"/>
          <w:lang w:val="en-US"/>
        </w:rPr>
        <w:t>, it is recommended that the Colombian State implement the necessary measures to achieve effectiveness in the backlog of investigations that the prosecuting body is conducting, many of which have not even moved beyond the initial inquiry stage. For example, the State should implement the UN’s guidelines on the role of prosecutors</w:t>
      </w:r>
      <w:r w:rsidRPr="00F437CC">
        <w:rPr>
          <w:sz w:val="24"/>
          <w:szCs w:val="24"/>
          <w:vertAlign w:val="superscript"/>
          <w:lang w:val="en-US"/>
        </w:rPr>
        <w:footnoteReference w:id="37"/>
      </w:r>
      <w:r w:rsidR="000231F9" w:rsidRPr="00F437CC">
        <w:rPr>
          <w:sz w:val="24"/>
          <w:szCs w:val="24"/>
          <w:lang w:val="en-US"/>
        </w:rPr>
        <w:t>,</w:t>
      </w:r>
      <w:r w:rsidRPr="00F437CC">
        <w:rPr>
          <w:sz w:val="24"/>
          <w:szCs w:val="24"/>
          <w:lang w:val="en-US"/>
        </w:rPr>
        <w:t xml:space="preserve"> which establish that States must ensure that officials have all necessary resources and means to carry out their investigative functions; prevent external incidents such as </w:t>
      </w:r>
      <w:r w:rsidRPr="00F437CC">
        <w:rPr>
          <w:sz w:val="24"/>
          <w:szCs w:val="24"/>
          <w:lang w:val="en-US"/>
        </w:rPr>
        <w:lastRenderedPageBreak/>
        <w:t>intimidation or harassment, and ensure appropriate working conditions, as well as provide training and objective selection criteria to achieve results with “impartiality, firmness, and promptness, to respect and protect human dignity, and defend human rights</w:t>
      </w:r>
      <w:r w:rsidR="000231F9" w:rsidRPr="00F437CC">
        <w:rPr>
          <w:sz w:val="24"/>
          <w:szCs w:val="24"/>
          <w:lang w:val="en-US"/>
        </w:rPr>
        <w:t>”</w:t>
      </w:r>
      <w:r w:rsidRPr="00F437CC">
        <w:rPr>
          <w:sz w:val="24"/>
          <w:szCs w:val="24"/>
          <w:vertAlign w:val="superscript"/>
          <w:lang w:val="en-US"/>
        </w:rPr>
        <w:footnoteReference w:id="38"/>
      </w:r>
      <w:r w:rsidR="000231F9" w:rsidRPr="00F437CC">
        <w:rPr>
          <w:sz w:val="24"/>
          <w:szCs w:val="24"/>
          <w:lang w:val="en-US"/>
        </w:rPr>
        <w:t>.</w:t>
      </w:r>
    </w:p>
    <w:p w14:paraId="00000051" w14:textId="48CB0708" w:rsidR="00C60456" w:rsidRPr="00F437CC" w:rsidRDefault="00A74445">
      <w:pPr>
        <w:spacing w:after="200" w:line="360" w:lineRule="auto"/>
        <w:jc w:val="both"/>
        <w:rPr>
          <w:sz w:val="24"/>
          <w:szCs w:val="24"/>
          <w:u w:val="single"/>
          <w:lang w:val="en-US"/>
        </w:rPr>
      </w:pPr>
      <w:r w:rsidRPr="00F437CC">
        <w:rPr>
          <w:sz w:val="24"/>
          <w:szCs w:val="24"/>
          <w:u w:val="single"/>
          <w:lang w:val="en-US"/>
        </w:rPr>
        <w:t>Recom</w:t>
      </w:r>
      <w:r w:rsidR="009558E2" w:rsidRPr="00F437CC">
        <w:rPr>
          <w:sz w:val="24"/>
          <w:szCs w:val="24"/>
          <w:u w:val="single"/>
          <w:lang w:val="en-US"/>
        </w:rPr>
        <w:t>m</w:t>
      </w:r>
      <w:r w:rsidRPr="00F437CC">
        <w:rPr>
          <w:sz w:val="24"/>
          <w:szCs w:val="24"/>
          <w:u w:val="single"/>
          <w:lang w:val="en-US"/>
        </w:rPr>
        <w:t>enda</w:t>
      </w:r>
      <w:r w:rsidR="009558E2" w:rsidRPr="00F437CC">
        <w:rPr>
          <w:sz w:val="24"/>
          <w:szCs w:val="24"/>
          <w:u w:val="single"/>
          <w:lang w:val="en-US"/>
        </w:rPr>
        <w:t>t</w:t>
      </w:r>
      <w:r w:rsidRPr="00F437CC">
        <w:rPr>
          <w:sz w:val="24"/>
          <w:szCs w:val="24"/>
          <w:u w:val="single"/>
          <w:lang w:val="en-US"/>
        </w:rPr>
        <w:t>ions:</w:t>
      </w:r>
    </w:p>
    <w:p w14:paraId="00000052" w14:textId="4A1ACE10" w:rsidR="00C60456" w:rsidRPr="00B763FA" w:rsidRDefault="0058047C" w:rsidP="00B763FA">
      <w:pPr>
        <w:pStyle w:val="ListParagraph"/>
        <w:numPr>
          <w:ilvl w:val="0"/>
          <w:numId w:val="4"/>
        </w:numPr>
        <w:spacing w:after="200" w:line="360" w:lineRule="auto"/>
        <w:ind w:left="709"/>
        <w:jc w:val="both"/>
        <w:rPr>
          <w:sz w:val="24"/>
          <w:szCs w:val="24"/>
          <w:lang w:val="en-US"/>
        </w:rPr>
      </w:pPr>
      <w:r w:rsidRPr="00B763FA">
        <w:rPr>
          <w:sz w:val="24"/>
          <w:szCs w:val="24"/>
          <w:u w:val="single"/>
          <w:lang w:val="en-US"/>
        </w:rPr>
        <w:t xml:space="preserve">To urge the State to do the following: </w:t>
      </w:r>
    </w:p>
    <w:p w14:paraId="59D40942" w14:textId="54E8BBC1" w:rsidR="009558E2" w:rsidRPr="00F437CC" w:rsidRDefault="009558E2" w:rsidP="009558E2">
      <w:pPr>
        <w:spacing w:after="200" w:line="360" w:lineRule="auto"/>
        <w:ind w:left="720"/>
        <w:jc w:val="both"/>
        <w:rPr>
          <w:sz w:val="24"/>
          <w:szCs w:val="24"/>
          <w:lang w:val="en-US"/>
        </w:rPr>
      </w:pPr>
      <w:r w:rsidRPr="00F437CC">
        <w:rPr>
          <w:sz w:val="24"/>
          <w:szCs w:val="24"/>
          <w:lang w:val="en-US"/>
        </w:rPr>
        <w:t xml:space="preserve">4.1. To adopt measures to ensure the effectiveness of criminal investigations regarding crimes committed against </w:t>
      </w:r>
      <w:r w:rsidR="00B763FA">
        <w:rPr>
          <w:sz w:val="24"/>
          <w:szCs w:val="24"/>
          <w:lang w:val="en-US"/>
        </w:rPr>
        <w:t>NNA</w:t>
      </w:r>
      <w:r w:rsidRPr="00F437CC">
        <w:rPr>
          <w:sz w:val="24"/>
          <w:szCs w:val="24"/>
          <w:lang w:val="en-US"/>
        </w:rPr>
        <w:t>, including sufficient resources allocated to the Office of the Attorney General and to prioritize the investigation of said crimes.</w:t>
      </w:r>
    </w:p>
    <w:p w14:paraId="00000054" w14:textId="748B3FF7" w:rsidR="00C60456" w:rsidRPr="00F437CC" w:rsidRDefault="009558E2" w:rsidP="009558E2">
      <w:pPr>
        <w:spacing w:after="200" w:line="360" w:lineRule="auto"/>
        <w:ind w:left="720"/>
        <w:jc w:val="both"/>
        <w:rPr>
          <w:sz w:val="24"/>
          <w:szCs w:val="24"/>
          <w:lang w:val="en-US"/>
        </w:rPr>
      </w:pPr>
      <w:r w:rsidRPr="00F437CC">
        <w:rPr>
          <w:sz w:val="24"/>
          <w:szCs w:val="24"/>
          <w:lang w:val="en-US"/>
        </w:rPr>
        <w:t xml:space="preserve">4.2. To adopt measures to ensure the access to justice for </w:t>
      </w:r>
      <w:r w:rsidR="00B763FA">
        <w:rPr>
          <w:sz w:val="24"/>
          <w:szCs w:val="24"/>
          <w:lang w:val="en-US"/>
        </w:rPr>
        <w:t>NNA</w:t>
      </w:r>
      <w:r w:rsidRPr="00F437CC">
        <w:rPr>
          <w:sz w:val="24"/>
          <w:szCs w:val="24"/>
          <w:lang w:val="en-US"/>
        </w:rPr>
        <w:t xml:space="preserve"> who are victims of sexual violence, with a gender-sensitive approach, especially in emergency contexts where the existing access to justice routes are limited.</w:t>
      </w:r>
    </w:p>
    <w:p w14:paraId="00000055" w14:textId="256419AE" w:rsidR="00C60456" w:rsidRPr="00F437CC" w:rsidRDefault="00A74445" w:rsidP="00924EFA">
      <w:pPr>
        <w:pStyle w:val="Heading2"/>
        <w:rPr>
          <w:lang w:val="en-US"/>
        </w:rPr>
      </w:pPr>
      <w:bookmarkStart w:id="18" w:name="_Toc181285164"/>
      <w:bookmarkStart w:id="19" w:name="_Toc181289444"/>
      <w:r w:rsidRPr="00F437CC">
        <w:rPr>
          <w:lang w:val="en-US"/>
        </w:rPr>
        <w:t xml:space="preserve">2.2. </w:t>
      </w:r>
      <w:bookmarkEnd w:id="18"/>
      <w:r w:rsidR="009558E2" w:rsidRPr="00F437CC">
        <w:rPr>
          <w:lang w:val="en-US"/>
        </w:rPr>
        <w:t>Commercial Sexual Exploitation of Boys, Girls, and Adolescents  (ESCNNA)</w:t>
      </w:r>
      <w:bookmarkEnd w:id="19"/>
    </w:p>
    <w:p w14:paraId="00000056" w14:textId="057B6C01" w:rsidR="00C60456" w:rsidRPr="00F437CC" w:rsidRDefault="009558E2">
      <w:pPr>
        <w:spacing w:after="200" w:line="360" w:lineRule="auto"/>
        <w:jc w:val="both"/>
        <w:rPr>
          <w:sz w:val="24"/>
          <w:szCs w:val="24"/>
          <w:lang w:val="en-US"/>
        </w:rPr>
      </w:pPr>
      <w:r w:rsidRPr="00F437CC">
        <w:rPr>
          <w:sz w:val="24"/>
          <w:szCs w:val="24"/>
          <w:lang w:val="en-US"/>
        </w:rPr>
        <w:t>The Organizations express concern about the rates of commercial sexual exploitation of boys, girls, and adolescents (ESCNNA), with higher prevalence among girls in the whole national territory. This issue is evident in the city of Medellín, where, despite the lack of coordination among authorities to record cases, an average of 263 cases are reported annually. The most frequently related crimes include: the production of child sexual abuse material (exploitation material of boys and girls), the use or facilitation of communication media to offer sexual activities with</w:t>
      </w:r>
      <w:r w:rsidR="003108F9">
        <w:rPr>
          <w:sz w:val="24"/>
          <w:szCs w:val="24"/>
          <w:lang w:val="en-US"/>
        </w:rPr>
        <w:t xml:space="preserve"> </w:t>
      </w:r>
      <w:r w:rsidR="00B763FA">
        <w:rPr>
          <w:sz w:val="24"/>
          <w:szCs w:val="24"/>
          <w:lang w:val="en-US"/>
        </w:rPr>
        <w:t>NNA</w:t>
      </w:r>
      <w:r w:rsidRPr="00F437CC">
        <w:rPr>
          <w:sz w:val="24"/>
          <w:szCs w:val="24"/>
          <w:lang w:val="en-US"/>
        </w:rPr>
        <w:t>, introduction to prostitution, procuring of minors, and human trafficking</w:t>
      </w:r>
      <w:r w:rsidR="000231F9" w:rsidRPr="00F437CC">
        <w:rPr>
          <w:rStyle w:val="FootnoteReference"/>
          <w:sz w:val="24"/>
          <w:szCs w:val="24"/>
          <w:lang w:val="en-US"/>
        </w:rPr>
        <w:footnoteReference w:id="39"/>
      </w:r>
      <w:r w:rsidR="000231F9" w:rsidRPr="00F437CC">
        <w:rPr>
          <w:sz w:val="24"/>
          <w:szCs w:val="24"/>
          <w:lang w:val="en-US"/>
        </w:rPr>
        <w:t>.</w:t>
      </w:r>
    </w:p>
    <w:p w14:paraId="00000057" w14:textId="237268F1" w:rsidR="00C60456" w:rsidRPr="00F437CC" w:rsidRDefault="00721368">
      <w:pPr>
        <w:spacing w:after="200" w:line="360" w:lineRule="auto"/>
        <w:jc w:val="both"/>
        <w:rPr>
          <w:sz w:val="24"/>
          <w:szCs w:val="24"/>
          <w:lang w:val="en-US"/>
        </w:rPr>
      </w:pPr>
      <w:r w:rsidRPr="00116DD3">
        <w:rPr>
          <w:sz w:val="24"/>
          <w:szCs w:val="24"/>
          <w:lang w:val="en-US"/>
        </w:rPr>
        <w:t xml:space="preserve">According to data from the Office of the Attorney General, 3,014 cases related to the commercial sexual exploitation of </w:t>
      </w:r>
      <w:r w:rsidR="00B763FA">
        <w:rPr>
          <w:sz w:val="24"/>
          <w:szCs w:val="24"/>
          <w:lang w:val="en-US"/>
        </w:rPr>
        <w:t>NNA</w:t>
      </w:r>
      <w:r w:rsidRPr="00116DD3">
        <w:rPr>
          <w:sz w:val="24"/>
          <w:szCs w:val="24"/>
          <w:lang w:val="en-US"/>
        </w:rPr>
        <w:t xml:space="preserve"> were filed in Medellín between 2010 and 2022, of which approximately 90% are still in the preliminary investigation stage, while less than </w:t>
      </w:r>
      <w:r w:rsidRPr="00116DD3">
        <w:rPr>
          <w:sz w:val="24"/>
          <w:szCs w:val="24"/>
          <w:lang w:val="en-US"/>
        </w:rPr>
        <w:lastRenderedPageBreak/>
        <w:t>5% are in sentencing or trial stages. This shows  a lack of due diligence to address the situation</w:t>
      </w:r>
      <w:r w:rsidR="000231F9" w:rsidRPr="00F437CC">
        <w:rPr>
          <w:rStyle w:val="FootnoteReference"/>
          <w:sz w:val="24"/>
          <w:szCs w:val="24"/>
          <w:lang w:val="en-US"/>
        </w:rPr>
        <w:footnoteReference w:id="40"/>
      </w:r>
      <w:r w:rsidRPr="00F437CC">
        <w:rPr>
          <w:sz w:val="24"/>
          <w:szCs w:val="24"/>
          <w:lang w:val="en-US"/>
        </w:rPr>
        <w:t>.</w:t>
      </w:r>
    </w:p>
    <w:p w14:paraId="00000058" w14:textId="04528DC2" w:rsidR="00C60456" w:rsidRPr="00F437CC" w:rsidRDefault="00721368">
      <w:pPr>
        <w:spacing w:after="200" w:line="360" w:lineRule="auto"/>
        <w:jc w:val="both"/>
        <w:rPr>
          <w:sz w:val="24"/>
          <w:szCs w:val="24"/>
          <w:lang w:val="en-US"/>
        </w:rPr>
      </w:pPr>
      <w:r w:rsidRPr="00F437CC">
        <w:rPr>
          <w:sz w:val="24"/>
          <w:szCs w:val="24"/>
          <w:lang w:val="en-US"/>
        </w:rPr>
        <w:t>Even though specific measures have been implemented at the national and municipal levels, including the public policy line for ESCNNA prevention</w:t>
      </w:r>
      <w:r w:rsidRPr="00F437CC">
        <w:rPr>
          <w:sz w:val="24"/>
          <w:szCs w:val="24"/>
          <w:vertAlign w:val="superscript"/>
          <w:lang w:val="en-US"/>
        </w:rPr>
        <w:footnoteReference w:id="41"/>
      </w:r>
      <w:r w:rsidRPr="00F437CC">
        <w:rPr>
          <w:sz w:val="24"/>
          <w:szCs w:val="24"/>
          <w:lang w:val="en-US"/>
        </w:rPr>
        <w:t xml:space="preserve">, cases of sexual exploitation of </w:t>
      </w:r>
      <w:r w:rsidR="00B763FA">
        <w:rPr>
          <w:sz w:val="24"/>
          <w:szCs w:val="24"/>
          <w:lang w:val="en-US"/>
        </w:rPr>
        <w:t>NNA</w:t>
      </w:r>
      <w:r w:rsidRPr="00F437CC">
        <w:rPr>
          <w:sz w:val="24"/>
          <w:szCs w:val="24"/>
          <w:lang w:val="en-US"/>
        </w:rPr>
        <w:t xml:space="preserve"> continue to occur nationwide, particularly in Medellín. One of the main failures has been the low reporting rate in areas with higher inequality, the ineffective activation of response routes, and the limited response to this situation through websites or social media.</w:t>
      </w:r>
    </w:p>
    <w:p w14:paraId="00000059" w14:textId="6616D92B" w:rsidR="00C60456" w:rsidRPr="00F437CC" w:rsidRDefault="00A74445">
      <w:pPr>
        <w:spacing w:after="200" w:line="360" w:lineRule="auto"/>
        <w:jc w:val="both"/>
        <w:rPr>
          <w:sz w:val="24"/>
          <w:szCs w:val="24"/>
          <w:u w:val="single"/>
          <w:lang w:val="en-US"/>
        </w:rPr>
      </w:pPr>
      <w:r w:rsidRPr="00F437CC">
        <w:rPr>
          <w:sz w:val="24"/>
          <w:szCs w:val="24"/>
          <w:u w:val="single"/>
          <w:lang w:val="en-US"/>
        </w:rPr>
        <w:t>Recom</w:t>
      </w:r>
      <w:r w:rsidR="00721368" w:rsidRPr="00F437CC">
        <w:rPr>
          <w:sz w:val="24"/>
          <w:szCs w:val="24"/>
          <w:u w:val="single"/>
          <w:lang w:val="en-US"/>
        </w:rPr>
        <w:t>m</w:t>
      </w:r>
      <w:r w:rsidRPr="00F437CC">
        <w:rPr>
          <w:sz w:val="24"/>
          <w:szCs w:val="24"/>
          <w:u w:val="single"/>
          <w:lang w:val="en-US"/>
        </w:rPr>
        <w:t>enda</w:t>
      </w:r>
      <w:r w:rsidR="00721368" w:rsidRPr="00F437CC">
        <w:rPr>
          <w:sz w:val="24"/>
          <w:szCs w:val="24"/>
          <w:u w:val="single"/>
          <w:lang w:val="en-US"/>
        </w:rPr>
        <w:t>t</w:t>
      </w:r>
      <w:r w:rsidRPr="00F437CC">
        <w:rPr>
          <w:sz w:val="24"/>
          <w:szCs w:val="24"/>
          <w:u w:val="single"/>
          <w:lang w:val="en-US"/>
        </w:rPr>
        <w:t>ions:</w:t>
      </w:r>
    </w:p>
    <w:p w14:paraId="0000005A" w14:textId="3DD0773C" w:rsidR="00C60456" w:rsidRPr="00B763FA" w:rsidRDefault="0058047C" w:rsidP="00B763FA">
      <w:pPr>
        <w:pStyle w:val="ListParagraph"/>
        <w:numPr>
          <w:ilvl w:val="0"/>
          <w:numId w:val="4"/>
        </w:numPr>
        <w:spacing w:after="200" w:line="360" w:lineRule="auto"/>
        <w:ind w:left="709"/>
        <w:jc w:val="both"/>
        <w:rPr>
          <w:sz w:val="24"/>
          <w:szCs w:val="24"/>
          <w:lang w:val="en-US"/>
        </w:rPr>
      </w:pPr>
      <w:r w:rsidRPr="00B763FA">
        <w:rPr>
          <w:sz w:val="24"/>
          <w:szCs w:val="24"/>
          <w:u w:val="single"/>
          <w:lang w:val="en-US"/>
        </w:rPr>
        <w:t>To urge the State to do the following:</w:t>
      </w:r>
    </w:p>
    <w:p w14:paraId="61F4434C" w14:textId="5BD30D0F" w:rsidR="00721368" w:rsidRPr="00F437CC" w:rsidRDefault="00721368" w:rsidP="00721368">
      <w:pPr>
        <w:spacing w:after="200" w:line="360" w:lineRule="auto"/>
        <w:ind w:left="720"/>
        <w:jc w:val="both"/>
        <w:rPr>
          <w:sz w:val="24"/>
          <w:szCs w:val="24"/>
          <w:lang w:val="en-US"/>
        </w:rPr>
      </w:pPr>
      <w:r w:rsidRPr="00F437CC">
        <w:rPr>
          <w:sz w:val="24"/>
          <w:szCs w:val="24"/>
          <w:lang w:val="en-US"/>
        </w:rPr>
        <w:t xml:space="preserve">5.1. To ensure the provision of information on promotion, prevention, and response routes in cases of sexual exploitation of </w:t>
      </w:r>
      <w:r w:rsidR="00B763FA">
        <w:rPr>
          <w:sz w:val="24"/>
          <w:szCs w:val="24"/>
          <w:lang w:val="en-US"/>
        </w:rPr>
        <w:t>NNA</w:t>
      </w:r>
      <w:r w:rsidRPr="00F437CC">
        <w:rPr>
          <w:sz w:val="24"/>
          <w:szCs w:val="24"/>
          <w:lang w:val="en-US"/>
        </w:rPr>
        <w:t>.</w:t>
      </w:r>
    </w:p>
    <w:p w14:paraId="72C695B8" w14:textId="7A7649A9" w:rsidR="00721368" w:rsidRPr="00F437CC" w:rsidRDefault="00721368" w:rsidP="00721368">
      <w:pPr>
        <w:spacing w:after="200" w:line="360" w:lineRule="auto"/>
        <w:ind w:left="720"/>
        <w:jc w:val="both"/>
        <w:rPr>
          <w:sz w:val="24"/>
          <w:szCs w:val="24"/>
          <w:lang w:val="en-US"/>
        </w:rPr>
      </w:pPr>
      <w:r w:rsidRPr="00F437CC">
        <w:rPr>
          <w:sz w:val="24"/>
          <w:szCs w:val="24"/>
          <w:lang w:val="en-US"/>
        </w:rPr>
        <w:t xml:space="preserve">5.2. To adopt preventive measures and intensify efforts to reduce rates of sexual exploitation of </w:t>
      </w:r>
      <w:r w:rsidR="00B763FA">
        <w:rPr>
          <w:sz w:val="24"/>
          <w:szCs w:val="24"/>
          <w:lang w:val="en-US"/>
        </w:rPr>
        <w:t>NNA</w:t>
      </w:r>
      <w:r w:rsidRPr="00F437CC">
        <w:rPr>
          <w:sz w:val="24"/>
          <w:szCs w:val="24"/>
          <w:lang w:val="en-US"/>
        </w:rPr>
        <w:t>.</w:t>
      </w:r>
    </w:p>
    <w:p w14:paraId="0000005D" w14:textId="1E4C66E2" w:rsidR="00C60456" w:rsidRPr="00F437CC" w:rsidRDefault="00721368" w:rsidP="00721368">
      <w:pPr>
        <w:spacing w:after="200" w:line="360" w:lineRule="auto"/>
        <w:ind w:left="720"/>
        <w:jc w:val="both"/>
        <w:rPr>
          <w:sz w:val="24"/>
          <w:szCs w:val="24"/>
          <w:lang w:val="en-US"/>
        </w:rPr>
      </w:pPr>
      <w:r w:rsidRPr="00F437CC">
        <w:rPr>
          <w:sz w:val="24"/>
          <w:szCs w:val="24"/>
          <w:lang w:val="en-US"/>
        </w:rPr>
        <w:t xml:space="preserve">5.3. To diligently pursue investigations into sexual exploitation cases involving </w:t>
      </w:r>
      <w:r w:rsidR="00B763FA">
        <w:rPr>
          <w:sz w:val="24"/>
          <w:szCs w:val="24"/>
          <w:lang w:val="en-US"/>
        </w:rPr>
        <w:t>NNA</w:t>
      </w:r>
      <w:r w:rsidRPr="00F437CC">
        <w:rPr>
          <w:sz w:val="24"/>
          <w:szCs w:val="24"/>
          <w:lang w:val="en-US"/>
        </w:rPr>
        <w:t xml:space="preserve"> to close the gap between reported cases and convictions.</w:t>
      </w:r>
    </w:p>
    <w:p w14:paraId="0000005E" w14:textId="2C81EA26" w:rsidR="00C60456" w:rsidRPr="00F437CC" w:rsidRDefault="00A74445" w:rsidP="00924EFA">
      <w:pPr>
        <w:pStyle w:val="Heading2"/>
        <w:rPr>
          <w:lang w:val="en-US"/>
        </w:rPr>
      </w:pPr>
      <w:bookmarkStart w:id="20" w:name="_Toc181285165"/>
      <w:bookmarkStart w:id="21" w:name="_Toc181289445"/>
      <w:r w:rsidRPr="00F437CC">
        <w:rPr>
          <w:lang w:val="en-US"/>
        </w:rPr>
        <w:t xml:space="preserve">2.3. </w:t>
      </w:r>
      <w:bookmarkEnd w:id="20"/>
      <w:r w:rsidR="00721368" w:rsidRPr="00F437CC">
        <w:rPr>
          <w:lang w:val="en-US"/>
        </w:rPr>
        <w:t>Arms Trafficking and Possession</w:t>
      </w:r>
      <w:bookmarkEnd w:id="21"/>
    </w:p>
    <w:p w14:paraId="0C1C2533" w14:textId="03ED663A" w:rsidR="00721368" w:rsidRPr="00F437CC" w:rsidRDefault="00721368" w:rsidP="00721368">
      <w:pPr>
        <w:spacing w:after="200" w:line="360" w:lineRule="auto"/>
        <w:jc w:val="both"/>
        <w:rPr>
          <w:sz w:val="24"/>
          <w:szCs w:val="24"/>
          <w:lang w:val="en-US"/>
        </w:rPr>
      </w:pPr>
      <w:r w:rsidRPr="00F437CC">
        <w:rPr>
          <w:sz w:val="24"/>
          <w:szCs w:val="24"/>
          <w:lang w:val="en-US"/>
        </w:rPr>
        <w:t xml:space="preserve">Neither the Committee on the Rights of the Child (CRC) in its 2015 final </w:t>
      </w:r>
      <w:r w:rsidR="003108F9">
        <w:rPr>
          <w:sz w:val="24"/>
          <w:szCs w:val="24"/>
          <w:lang w:val="en-US"/>
        </w:rPr>
        <w:t>conclus</w:t>
      </w:r>
      <w:r w:rsidRPr="00F437CC">
        <w:rPr>
          <w:sz w:val="24"/>
          <w:szCs w:val="24"/>
          <w:lang w:val="en-US"/>
        </w:rPr>
        <w:t xml:space="preserve">ions nor the State’s report addresses the issue of arms trafficking and possession and how it impacts children’s rights in the country.Therefore, we request the Committee to pay special attention to this issue, which reflects the lack of effective regulation and the corporate capture, affecting the interests of </w:t>
      </w:r>
      <w:r w:rsidR="00B763FA">
        <w:rPr>
          <w:sz w:val="24"/>
          <w:szCs w:val="24"/>
          <w:lang w:val="en-US"/>
        </w:rPr>
        <w:t>NNA</w:t>
      </w:r>
      <w:r w:rsidRPr="00F437CC">
        <w:rPr>
          <w:sz w:val="24"/>
          <w:szCs w:val="24"/>
          <w:lang w:val="en-US"/>
        </w:rPr>
        <w:t xml:space="preserve"> in Colombia. </w:t>
      </w:r>
    </w:p>
    <w:p w14:paraId="00000060" w14:textId="0EAE772C" w:rsidR="00C60456" w:rsidRPr="00F437CC" w:rsidRDefault="00721368" w:rsidP="00721368">
      <w:pPr>
        <w:spacing w:after="200" w:line="360" w:lineRule="auto"/>
        <w:jc w:val="both"/>
        <w:rPr>
          <w:sz w:val="24"/>
          <w:szCs w:val="24"/>
          <w:lang w:val="en-US"/>
        </w:rPr>
      </w:pPr>
      <w:r w:rsidRPr="00F437CC">
        <w:rPr>
          <w:sz w:val="24"/>
          <w:szCs w:val="24"/>
          <w:lang w:val="en-US"/>
        </w:rPr>
        <w:lastRenderedPageBreak/>
        <w:t>In compliance with Goal 16.4 of the 2030 Agenda, the UNODC conducted a global study that shows the relationship between illicit trafficking of firearms and ammunition and homicide rates worldwide.</w:t>
      </w:r>
      <w:r w:rsidRPr="00F437CC">
        <w:rPr>
          <w:sz w:val="24"/>
          <w:szCs w:val="24"/>
          <w:vertAlign w:val="superscript"/>
          <w:lang w:val="en-US"/>
        </w:rPr>
        <w:footnoteReference w:id="42"/>
      </w:r>
      <w:r w:rsidRPr="00F437CC">
        <w:rPr>
          <w:sz w:val="24"/>
          <w:szCs w:val="24"/>
          <w:vertAlign w:val="superscript"/>
          <w:lang w:val="en-US"/>
        </w:rPr>
        <w:t xml:space="preserve"> </w:t>
      </w:r>
      <w:r w:rsidRPr="00F437CC">
        <w:rPr>
          <w:sz w:val="24"/>
          <w:szCs w:val="24"/>
          <w:lang w:val="en-US"/>
        </w:rPr>
        <w:t>According to data provided by the 2017 Small Arms Survey</w:t>
      </w:r>
      <w:r w:rsidRPr="00F437CC">
        <w:rPr>
          <w:sz w:val="24"/>
          <w:szCs w:val="24"/>
          <w:vertAlign w:val="superscript"/>
          <w:lang w:val="en-US"/>
        </w:rPr>
        <w:footnoteReference w:id="43"/>
      </w:r>
      <w:r w:rsidR="000231F9" w:rsidRPr="00F437CC">
        <w:rPr>
          <w:sz w:val="24"/>
          <w:szCs w:val="24"/>
          <w:lang w:val="en-US"/>
        </w:rPr>
        <w:t xml:space="preserve"> </w:t>
      </w:r>
      <w:r w:rsidRPr="00F437CC">
        <w:rPr>
          <w:sz w:val="24"/>
          <w:szCs w:val="24"/>
          <w:lang w:val="en-US"/>
        </w:rPr>
        <w:t xml:space="preserve">(the most recent figure), there were 4,971,000 firearms in civilian hands in Colombia in 2017, of which 86% (4,264,790) were illegal, and 14% (706,210) were legal. As for weapons held by state agencies, it was estimated that they held 283,000, and the Armed Forces held 350,689 firearms. </w:t>
      </w:r>
    </w:p>
    <w:p w14:paraId="00000061" w14:textId="367A0BAA" w:rsidR="00C60456" w:rsidRPr="00F437CC" w:rsidRDefault="00721368">
      <w:pPr>
        <w:spacing w:after="200" w:line="360" w:lineRule="auto"/>
        <w:jc w:val="both"/>
        <w:rPr>
          <w:sz w:val="24"/>
          <w:szCs w:val="24"/>
          <w:lang w:val="en-US"/>
        </w:rPr>
      </w:pPr>
      <w:r w:rsidRPr="00F437CC">
        <w:rPr>
          <w:sz w:val="24"/>
          <w:szCs w:val="24"/>
          <w:lang w:val="en-US"/>
        </w:rPr>
        <w:t>According to data reported by DIJIN, 165,463 firearms were seized between 2015 and 2022. According to the same source, 8,982 adolescents were detained under Article 365 “Manufacturing, trafficking, carrying, possession of firearms, accessories, parts, or ammunition” during the same period.</w:t>
      </w:r>
    </w:p>
    <w:p w14:paraId="00000062" w14:textId="2D35A02D" w:rsidR="00C60456" w:rsidRPr="00F437CC" w:rsidRDefault="00721368">
      <w:pPr>
        <w:spacing w:after="200" w:line="360" w:lineRule="auto"/>
        <w:jc w:val="both"/>
        <w:rPr>
          <w:sz w:val="24"/>
          <w:szCs w:val="24"/>
          <w:lang w:val="en-US"/>
        </w:rPr>
      </w:pPr>
      <w:r w:rsidRPr="00F437CC">
        <w:rPr>
          <w:sz w:val="24"/>
          <w:szCs w:val="24"/>
          <w:lang w:val="en-US"/>
        </w:rPr>
        <w:t>In 2019, the Regional Court of Kiel sentenced three executives of the German company SIG Sauer to suspended sentences and heavy fines for the illegal export of 38,000 guns from Germany to Colombia through the U.S.</w:t>
      </w:r>
      <w:r w:rsidRPr="00F437CC">
        <w:rPr>
          <w:sz w:val="24"/>
          <w:szCs w:val="24"/>
          <w:vertAlign w:val="superscript"/>
          <w:lang w:val="en-US"/>
        </w:rPr>
        <w:footnoteReference w:id="44"/>
      </w:r>
      <w:r w:rsidRPr="00F437CC">
        <w:rPr>
          <w:sz w:val="24"/>
          <w:szCs w:val="24"/>
          <w:lang w:val="en-US"/>
        </w:rPr>
        <w:t xml:space="preserve">, </w:t>
      </w:r>
      <w:r w:rsidRPr="00116DD3">
        <w:rPr>
          <w:sz w:val="24"/>
          <w:szCs w:val="24"/>
          <w:lang w:val="en-US"/>
        </w:rPr>
        <w:t xml:space="preserve">such sentences are final. </w:t>
      </w:r>
      <w:r w:rsidRPr="00F437CC">
        <w:rPr>
          <w:sz w:val="24"/>
          <w:szCs w:val="24"/>
          <w:lang w:val="en-US"/>
        </w:rPr>
        <w:t xml:space="preserve">In addition, the Regional Court ordered SIG Sauer to reimburse a revenue worth 11 million euros, to which the company appealed a legal issue before the Federal Court of Justice in Karlsruhe. This sentence was confirmed in July 2021. The way large companies exploit legal loopholes for the control of arms trafficking and commercialization affects thousands of </w:t>
      </w:r>
      <w:r w:rsidR="00B763FA">
        <w:rPr>
          <w:sz w:val="24"/>
          <w:szCs w:val="24"/>
          <w:lang w:val="en-US"/>
        </w:rPr>
        <w:t>NNA</w:t>
      </w:r>
      <w:r w:rsidRPr="00F437CC">
        <w:rPr>
          <w:sz w:val="24"/>
          <w:szCs w:val="24"/>
          <w:lang w:val="en-US"/>
        </w:rPr>
        <w:t xml:space="preserve"> who end up carrying weapons or are killed by them. During the 2021 National Strike, four minors were killed with firearms, one of which was a Sig Sauer brand gun</w:t>
      </w:r>
      <w:r w:rsidRPr="00F437CC">
        <w:rPr>
          <w:sz w:val="24"/>
          <w:szCs w:val="24"/>
          <w:vertAlign w:val="superscript"/>
          <w:lang w:val="en-US"/>
        </w:rPr>
        <w:footnoteReference w:id="45"/>
      </w:r>
      <w:r w:rsidR="000231F9" w:rsidRPr="00F437CC">
        <w:rPr>
          <w:sz w:val="24"/>
          <w:szCs w:val="24"/>
          <w:lang w:val="en-US"/>
        </w:rPr>
        <w:t>.</w:t>
      </w:r>
    </w:p>
    <w:p w14:paraId="273FA2A0" w14:textId="1A916E4A" w:rsidR="00721368" w:rsidRPr="00F437CC" w:rsidRDefault="00721368" w:rsidP="00721368">
      <w:pPr>
        <w:spacing w:after="200" w:line="360" w:lineRule="auto"/>
        <w:jc w:val="both"/>
        <w:rPr>
          <w:sz w:val="24"/>
          <w:szCs w:val="24"/>
          <w:lang w:val="en-US"/>
        </w:rPr>
      </w:pPr>
      <w:r w:rsidRPr="00F437CC">
        <w:rPr>
          <w:sz w:val="24"/>
          <w:szCs w:val="24"/>
          <w:lang w:val="en-US"/>
        </w:rPr>
        <w:t xml:space="preserve">For this study, we have highlighted two main situations that boys and girls must face </w:t>
      </w:r>
      <w:r w:rsidR="0074715B" w:rsidRPr="00F437CC">
        <w:rPr>
          <w:sz w:val="24"/>
          <w:szCs w:val="24"/>
          <w:lang w:val="en-US"/>
        </w:rPr>
        <w:t>because of</w:t>
      </w:r>
      <w:r w:rsidRPr="00F437CC">
        <w:rPr>
          <w:sz w:val="24"/>
          <w:szCs w:val="24"/>
          <w:lang w:val="en-US"/>
        </w:rPr>
        <w:t xml:space="preserve"> the violent environment or access to weapons in various regions of Colombia: homicides and the involvement of </w:t>
      </w:r>
      <w:r w:rsidR="00B763FA">
        <w:rPr>
          <w:sz w:val="24"/>
          <w:szCs w:val="24"/>
          <w:lang w:val="en-US"/>
        </w:rPr>
        <w:t>NNA</w:t>
      </w:r>
      <w:r w:rsidRPr="00F437CC">
        <w:rPr>
          <w:sz w:val="24"/>
          <w:szCs w:val="24"/>
          <w:lang w:val="en-US"/>
        </w:rPr>
        <w:t xml:space="preserve"> in criminal activities. </w:t>
      </w:r>
    </w:p>
    <w:p w14:paraId="00000064" w14:textId="4F4EA99E" w:rsidR="00C60456" w:rsidRPr="00F437CC" w:rsidRDefault="00721368" w:rsidP="00721368">
      <w:pPr>
        <w:spacing w:after="200" w:line="360" w:lineRule="auto"/>
        <w:jc w:val="both"/>
        <w:rPr>
          <w:sz w:val="24"/>
          <w:szCs w:val="24"/>
          <w:vertAlign w:val="superscript"/>
          <w:lang w:val="en-US"/>
        </w:rPr>
      </w:pPr>
      <w:r w:rsidRPr="00F437CC">
        <w:rPr>
          <w:sz w:val="24"/>
          <w:szCs w:val="24"/>
          <w:lang w:val="en-US"/>
        </w:rPr>
        <w:lastRenderedPageBreak/>
        <w:t>Firstly, in 2022, there were 13,939 homicide cases in Colombia, and the homicide rate per 100,000 inhabitants was the third highest in the last decade. “This increase exceeded the national WDG target for 2022, which was 23.2, with the reported homicide rate being 26.97. The analysis of causal mechanisms showed that firearms were the most used instrument to carry out homicides”</w:t>
      </w:r>
      <w:r w:rsidRPr="00F437CC">
        <w:rPr>
          <w:sz w:val="24"/>
          <w:szCs w:val="24"/>
          <w:vertAlign w:val="superscript"/>
          <w:lang w:val="en-US"/>
        </w:rPr>
        <w:footnoteReference w:id="46"/>
      </w:r>
      <w:r w:rsidR="000231F9" w:rsidRPr="00F437CC">
        <w:rPr>
          <w:sz w:val="24"/>
          <w:szCs w:val="24"/>
          <w:lang w:val="en-US"/>
        </w:rPr>
        <w:t>.</w:t>
      </w:r>
    </w:p>
    <w:p w14:paraId="00000065" w14:textId="45BD1159" w:rsidR="00C60456" w:rsidRPr="00F437CC" w:rsidRDefault="00721368">
      <w:pPr>
        <w:spacing w:after="200" w:line="360" w:lineRule="auto"/>
        <w:jc w:val="both"/>
        <w:rPr>
          <w:sz w:val="24"/>
          <w:szCs w:val="24"/>
          <w:lang w:val="en-US"/>
        </w:rPr>
      </w:pPr>
      <w:r w:rsidRPr="00F437CC">
        <w:rPr>
          <w:sz w:val="24"/>
          <w:szCs w:val="24"/>
          <w:lang w:val="en-US"/>
        </w:rPr>
        <w:t xml:space="preserve">According to data from DIJIN-National Police, homicides committed against minors and adolescents from 2020 to April 13, 2024, totaled 1,650 cases; meanwhile, 1,053 adolescents and two minors (1,055 in total) were detained for the </w:t>
      </w:r>
      <w:r w:rsidR="00EE5628">
        <w:rPr>
          <w:sz w:val="24"/>
          <w:szCs w:val="24"/>
          <w:lang w:val="en-US"/>
        </w:rPr>
        <w:t>alleged</w:t>
      </w:r>
      <w:r w:rsidRPr="00F437CC">
        <w:rPr>
          <w:sz w:val="24"/>
          <w:szCs w:val="24"/>
          <w:lang w:val="en-US"/>
        </w:rPr>
        <w:t xml:space="preserve"> crime of homicide during the same period.  </w:t>
      </w:r>
    </w:p>
    <w:p w14:paraId="331F9E8B" w14:textId="77777777" w:rsidR="00721368" w:rsidRPr="00F437CC" w:rsidRDefault="00721368">
      <w:pPr>
        <w:spacing w:after="200" w:line="360" w:lineRule="auto"/>
        <w:jc w:val="both"/>
        <w:rPr>
          <w:sz w:val="24"/>
          <w:szCs w:val="24"/>
          <w:lang w:val="en-US"/>
        </w:rPr>
      </w:pPr>
    </w:p>
    <w:p w14:paraId="00000066" w14:textId="15EF44A5" w:rsidR="00C60456" w:rsidRPr="00F437CC" w:rsidRDefault="00721368">
      <w:pPr>
        <w:spacing w:after="200" w:line="360" w:lineRule="auto"/>
        <w:jc w:val="both"/>
        <w:rPr>
          <w:sz w:val="24"/>
          <w:szCs w:val="24"/>
          <w:lang w:val="en-US"/>
        </w:rPr>
      </w:pPr>
      <w:r w:rsidRPr="00FB3D1E">
        <w:rPr>
          <w:sz w:val="24"/>
          <w:szCs w:val="24"/>
          <w:lang w:val="en-US"/>
        </w:rPr>
        <w:t>Secondly, according to figures reported by the  Office of the Ombudsman, as of July 2021, 7,754 adolescents and youngsters committed a crime and are linked to</w:t>
      </w:r>
      <w:r w:rsidRPr="00F437CC">
        <w:rPr>
          <w:sz w:val="24"/>
          <w:szCs w:val="24"/>
          <w:lang w:val="en-US"/>
        </w:rPr>
        <w:t xml:space="preserve"> the Adolescent Criminal Responsibility System (SRPA</w:t>
      </w:r>
      <w:r w:rsidR="00EE5628">
        <w:rPr>
          <w:sz w:val="24"/>
          <w:szCs w:val="24"/>
          <w:lang w:val="en-US"/>
        </w:rPr>
        <w:t>)</w:t>
      </w:r>
      <w:r w:rsidRPr="00F437CC">
        <w:rPr>
          <w:sz w:val="24"/>
          <w:szCs w:val="24"/>
          <w:lang w:val="en-US"/>
        </w:rPr>
        <w:t>. In the modality of deprivation of liberty, 90% are men and 10% are women. The most common offenses are drug trafficking, manufacturing or possession of narcotics, theft, domestic violence, personal injuries, and manufacturing, trafficking, carrying, possession of firearms, accessories, parts, and ammunition.</w:t>
      </w:r>
    </w:p>
    <w:p w14:paraId="00000067" w14:textId="76F24336" w:rsidR="00C60456" w:rsidRPr="00F437CC" w:rsidRDefault="00A74445">
      <w:pPr>
        <w:spacing w:after="200" w:line="360" w:lineRule="auto"/>
        <w:jc w:val="both"/>
        <w:rPr>
          <w:sz w:val="24"/>
          <w:szCs w:val="24"/>
          <w:highlight w:val="white"/>
          <w:u w:val="single"/>
          <w:lang w:val="en-US"/>
        </w:rPr>
      </w:pPr>
      <w:r w:rsidRPr="00F437CC">
        <w:rPr>
          <w:sz w:val="24"/>
          <w:szCs w:val="24"/>
          <w:highlight w:val="white"/>
          <w:u w:val="single"/>
          <w:lang w:val="en-US"/>
        </w:rPr>
        <w:t>Reco</w:t>
      </w:r>
      <w:r w:rsidR="00721368" w:rsidRPr="00F437CC">
        <w:rPr>
          <w:sz w:val="24"/>
          <w:szCs w:val="24"/>
          <w:highlight w:val="white"/>
          <w:u w:val="single"/>
          <w:lang w:val="en-US"/>
        </w:rPr>
        <w:t>m</w:t>
      </w:r>
      <w:r w:rsidRPr="00F437CC">
        <w:rPr>
          <w:sz w:val="24"/>
          <w:szCs w:val="24"/>
          <w:highlight w:val="white"/>
          <w:u w:val="single"/>
          <w:lang w:val="en-US"/>
        </w:rPr>
        <w:t>menda</w:t>
      </w:r>
      <w:r w:rsidR="00721368" w:rsidRPr="00F437CC">
        <w:rPr>
          <w:sz w:val="24"/>
          <w:szCs w:val="24"/>
          <w:highlight w:val="white"/>
          <w:u w:val="single"/>
          <w:lang w:val="en-US"/>
        </w:rPr>
        <w:t>t</w:t>
      </w:r>
      <w:r w:rsidRPr="00F437CC">
        <w:rPr>
          <w:sz w:val="24"/>
          <w:szCs w:val="24"/>
          <w:highlight w:val="white"/>
          <w:u w:val="single"/>
          <w:lang w:val="en-US"/>
        </w:rPr>
        <w:t>ions</w:t>
      </w:r>
    </w:p>
    <w:p w14:paraId="00000068" w14:textId="783AB93A" w:rsidR="00C60456" w:rsidRPr="00B763FA" w:rsidRDefault="0058047C" w:rsidP="00B763FA">
      <w:pPr>
        <w:pStyle w:val="ListParagraph"/>
        <w:numPr>
          <w:ilvl w:val="0"/>
          <w:numId w:val="4"/>
        </w:numPr>
        <w:spacing w:after="200" w:line="360" w:lineRule="auto"/>
        <w:ind w:left="709"/>
        <w:jc w:val="both"/>
        <w:rPr>
          <w:sz w:val="24"/>
          <w:szCs w:val="24"/>
          <w:lang w:val="en-US"/>
        </w:rPr>
      </w:pPr>
      <w:r w:rsidRPr="00B763FA">
        <w:rPr>
          <w:sz w:val="24"/>
          <w:szCs w:val="24"/>
          <w:highlight w:val="white"/>
          <w:u w:val="single"/>
          <w:lang w:val="en-US"/>
        </w:rPr>
        <w:t>To urge the State to do the following:</w:t>
      </w:r>
    </w:p>
    <w:p w14:paraId="00000069" w14:textId="0BE815A4" w:rsidR="00C60456" w:rsidRPr="00F437CC" w:rsidRDefault="00A74445">
      <w:pPr>
        <w:spacing w:line="360" w:lineRule="auto"/>
        <w:ind w:left="720"/>
        <w:jc w:val="both"/>
        <w:rPr>
          <w:sz w:val="24"/>
          <w:szCs w:val="24"/>
          <w:lang w:val="en-US"/>
        </w:rPr>
      </w:pPr>
      <w:r w:rsidRPr="00F437CC">
        <w:rPr>
          <w:sz w:val="24"/>
          <w:szCs w:val="24"/>
          <w:highlight w:val="white"/>
          <w:lang w:val="en-US"/>
        </w:rPr>
        <w:t xml:space="preserve">6.1. </w:t>
      </w:r>
      <w:r w:rsidR="00925E11" w:rsidRPr="00F437CC">
        <w:rPr>
          <w:sz w:val="24"/>
          <w:szCs w:val="24"/>
          <w:highlight w:val="white"/>
          <w:lang w:val="en-US"/>
        </w:rPr>
        <w:t xml:space="preserve"> To guarantee the participation of </w:t>
      </w:r>
      <w:r w:rsidR="00B763FA">
        <w:rPr>
          <w:sz w:val="24"/>
          <w:szCs w:val="24"/>
          <w:highlight w:val="white"/>
          <w:lang w:val="en-US"/>
        </w:rPr>
        <w:t>NNA</w:t>
      </w:r>
      <w:r w:rsidR="00925E11" w:rsidRPr="00F437CC">
        <w:rPr>
          <w:sz w:val="24"/>
          <w:szCs w:val="24"/>
          <w:highlight w:val="white"/>
          <w:lang w:val="en-US"/>
        </w:rPr>
        <w:t xml:space="preserve"> in the discussion at the Congress of the Republic on the illicit trafficking of firearms and ammunition, as well as that of communities and civil society at large</w:t>
      </w:r>
      <w:r w:rsidRPr="00F437CC">
        <w:rPr>
          <w:sz w:val="24"/>
          <w:szCs w:val="24"/>
          <w:lang w:val="en-US"/>
        </w:rPr>
        <w:t>.</w:t>
      </w:r>
    </w:p>
    <w:p w14:paraId="0000006A" w14:textId="38FAA679" w:rsidR="00C60456" w:rsidRPr="00F437CC" w:rsidRDefault="00A74445">
      <w:pPr>
        <w:spacing w:after="240" w:line="360" w:lineRule="auto"/>
        <w:ind w:left="720"/>
        <w:jc w:val="both"/>
        <w:rPr>
          <w:sz w:val="24"/>
          <w:szCs w:val="24"/>
          <w:lang w:val="en-US"/>
        </w:rPr>
      </w:pPr>
      <w:r w:rsidRPr="00F437CC">
        <w:rPr>
          <w:sz w:val="24"/>
          <w:szCs w:val="24"/>
          <w:lang w:val="en-US"/>
        </w:rPr>
        <w:t xml:space="preserve">6.2. </w:t>
      </w:r>
      <w:r w:rsidRPr="00F437CC">
        <w:rPr>
          <w:rFonts w:ascii="Times New Roman" w:eastAsia="Times New Roman" w:hAnsi="Times New Roman" w:cs="Times New Roman"/>
          <w:sz w:val="14"/>
          <w:szCs w:val="14"/>
          <w:lang w:val="en-US"/>
        </w:rPr>
        <w:t xml:space="preserve"> </w:t>
      </w:r>
      <w:r w:rsidRPr="00F437CC">
        <w:rPr>
          <w:sz w:val="24"/>
          <w:szCs w:val="24"/>
          <w:lang w:val="en-US"/>
        </w:rPr>
        <w:t xml:space="preserve"> </w:t>
      </w:r>
      <w:r w:rsidR="00925E11" w:rsidRPr="00F437CC">
        <w:rPr>
          <w:sz w:val="24"/>
          <w:szCs w:val="24"/>
          <w:lang w:val="en-US"/>
        </w:rPr>
        <w:t xml:space="preserve">To submit the ratification instrument of the Protocol and the Arms Trade Treaty as soon as possible to rigorously implement the mechanisms therein </w:t>
      </w:r>
      <w:r w:rsidR="0074715B" w:rsidRPr="00F437CC">
        <w:rPr>
          <w:sz w:val="24"/>
          <w:szCs w:val="24"/>
          <w:lang w:val="en-US"/>
        </w:rPr>
        <w:t>to</w:t>
      </w:r>
      <w:r w:rsidR="00925E11" w:rsidRPr="00F437CC">
        <w:rPr>
          <w:sz w:val="24"/>
          <w:szCs w:val="24"/>
          <w:lang w:val="en-US"/>
        </w:rPr>
        <w:t xml:space="preserve"> combat the illicit trafficking of small and light arms</w:t>
      </w:r>
      <w:r w:rsidRPr="00F437CC">
        <w:rPr>
          <w:sz w:val="24"/>
          <w:szCs w:val="24"/>
          <w:lang w:val="en-US"/>
        </w:rPr>
        <w:t>.</w:t>
      </w:r>
    </w:p>
    <w:p w14:paraId="0000006B" w14:textId="63794CC0" w:rsidR="00C60456" w:rsidRPr="00B763FA" w:rsidRDefault="00925E11" w:rsidP="00B763FA">
      <w:pPr>
        <w:pStyle w:val="ListParagraph"/>
        <w:numPr>
          <w:ilvl w:val="0"/>
          <w:numId w:val="4"/>
        </w:numPr>
        <w:spacing w:after="240" w:line="360" w:lineRule="auto"/>
        <w:ind w:left="709"/>
        <w:jc w:val="both"/>
        <w:rPr>
          <w:sz w:val="24"/>
          <w:szCs w:val="24"/>
          <w:lang w:val="en-US"/>
        </w:rPr>
      </w:pPr>
      <w:r w:rsidRPr="00B763FA">
        <w:rPr>
          <w:sz w:val="24"/>
          <w:szCs w:val="24"/>
          <w:lang w:val="en-US"/>
        </w:rPr>
        <w:t xml:space="preserve">The Committee is advised that, for implementing the Second Optional Protocol on </w:t>
      </w:r>
      <w:r w:rsidR="009F579B">
        <w:rPr>
          <w:sz w:val="24"/>
          <w:szCs w:val="24"/>
          <w:lang w:val="en-US"/>
        </w:rPr>
        <w:t>NNA</w:t>
      </w:r>
      <w:r w:rsidRPr="00B763FA">
        <w:rPr>
          <w:sz w:val="24"/>
          <w:szCs w:val="24"/>
          <w:lang w:val="en-US"/>
        </w:rPr>
        <w:t xml:space="preserve">, and Armed Conflict, it is fundamental to include the impact of firearms on the </w:t>
      </w:r>
      <w:r w:rsidRPr="00B763FA">
        <w:rPr>
          <w:sz w:val="24"/>
          <w:szCs w:val="24"/>
          <w:lang w:val="en-US"/>
        </w:rPr>
        <w:lastRenderedPageBreak/>
        <w:t xml:space="preserve">lives of </w:t>
      </w:r>
      <w:r w:rsidR="009F579B">
        <w:rPr>
          <w:sz w:val="24"/>
          <w:szCs w:val="24"/>
          <w:lang w:val="en-US"/>
        </w:rPr>
        <w:t>NNA</w:t>
      </w:r>
      <w:r w:rsidRPr="00B763FA">
        <w:rPr>
          <w:sz w:val="24"/>
          <w:szCs w:val="24"/>
          <w:lang w:val="en-US"/>
        </w:rPr>
        <w:t xml:space="preserve"> in monitoring mechanisms, considering their environments of association, permanence, and departure from groups.</w:t>
      </w:r>
    </w:p>
    <w:p w14:paraId="0000006C" w14:textId="0EE7E725" w:rsidR="00C60456" w:rsidRPr="00F437CC" w:rsidRDefault="00A74445" w:rsidP="00924EFA">
      <w:pPr>
        <w:pStyle w:val="Heading2"/>
        <w:rPr>
          <w:lang w:val="en-US"/>
        </w:rPr>
      </w:pPr>
      <w:bookmarkStart w:id="22" w:name="_Toc181289446"/>
      <w:bookmarkStart w:id="23" w:name="_Toc181285166"/>
      <w:r w:rsidRPr="00F437CC">
        <w:rPr>
          <w:lang w:val="en-US"/>
        </w:rPr>
        <w:t>2.</w:t>
      </w:r>
      <w:r w:rsidR="00924EFA" w:rsidRPr="00F437CC">
        <w:rPr>
          <w:lang w:val="en-US"/>
        </w:rPr>
        <w:t>4</w:t>
      </w:r>
      <w:r w:rsidRPr="00F437CC">
        <w:rPr>
          <w:lang w:val="en-US"/>
        </w:rPr>
        <w:t xml:space="preserve">. </w:t>
      </w:r>
      <w:r w:rsidR="00721368" w:rsidRPr="00F437CC">
        <w:rPr>
          <w:lang w:val="en-US"/>
        </w:rPr>
        <w:t>Violence against Child Human Rights Defenders</w:t>
      </w:r>
      <w:bookmarkEnd w:id="22"/>
      <w:r w:rsidR="00721368" w:rsidRPr="00F437CC">
        <w:rPr>
          <w:lang w:val="en-US"/>
        </w:rPr>
        <w:t xml:space="preserve"> </w:t>
      </w:r>
      <w:bookmarkEnd w:id="23"/>
    </w:p>
    <w:p w14:paraId="0000006D" w14:textId="6670C579" w:rsidR="00C60456" w:rsidRPr="00F437CC" w:rsidRDefault="00721368">
      <w:pPr>
        <w:spacing w:after="200" w:line="360" w:lineRule="auto"/>
        <w:jc w:val="both"/>
        <w:rPr>
          <w:sz w:val="24"/>
          <w:szCs w:val="24"/>
          <w:lang w:val="en-US"/>
        </w:rPr>
      </w:pPr>
      <w:r w:rsidRPr="00F437CC">
        <w:rPr>
          <w:sz w:val="24"/>
          <w:szCs w:val="24"/>
          <w:lang w:val="en-US"/>
        </w:rPr>
        <w:t xml:space="preserve">In 2015, the Committee on the Rights of the Child (CRC) expressed concern over the high level of violence against human rights defenders, as violence against them would indirectly affect </w:t>
      </w:r>
      <w:r w:rsidR="009F579B">
        <w:rPr>
          <w:sz w:val="24"/>
          <w:szCs w:val="24"/>
          <w:lang w:val="en-US"/>
        </w:rPr>
        <w:t>NNA</w:t>
      </w:r>
      <w:r w:rsidRPr="00F437CC">
        <w:rPr>
          <w:sz w:val="24"/>
          <w:szCs w:val="24"/>
          <w:lang w:val="en-US"/>
        </w:rPr>
        <w:t xml:space="preserve"> by means of threats against their children or violence against those who defend the rights of the child</w:t>
      </w:r>
      <w:r w:rsidRPr="00F437CC">
        <w:rPr>
          <w:sz w:val="24"/>
          <w:szCs w:val="24"/>
          <w:vertAlign w:val="superscript"/>
          <w:lang w:val="en-US"/>
        </w:rPr>
        <w:footnoteReference w:id="47"/>
      </w:r>
      <w:r w:rsidR="000231F9" w:rsidRPr="00F437CC">
        <w:rPr>
          <w:sz w:val="24"/>
          <w:szCs w:val="24"/>
          <w:lang w:val="en-US"/>
        </w:rPr>
        <w:t>.</w:t>
      </w:r>
      <w:r w:rsidRPr="00F437CC">
        <w:rPr>
          <w:sz w:val="24"/>
          <w:szCs w:val="24"/>
          <w:lang w:val="en-US"/>
        </w:rPr>
        <w:t xml:space="preserve"> However, the Organizations see this as an opportunity to recognize the role and vulnerability of Child Human Rights Defenders (CHRD) and to adopt measures for their protection by Colombia.</w:t>
      </w:r>
    </w:p>
    <w:p w14:paraId="60FE9B89" w14:textId="1AAA130D" w:rsidR="00BB3AEE" w:rsidRPr="00BB3AEE" w:rsidRDefault="00BB3AEE" w:rsidP="00BB3AEE">
      <w:pPr>
        <w:spacing w:before="200" w:after="200" w:line="360" w:lineRule="auto"/>
        <w:jc w:val="both"/>
        <w:rPr>
          <w:sz w:val="24"/>
          <w:szCs w:val="24"/>
          <w:lang w:val="en-US"/>
        </w:rPr>
      </w:pPr>
      <w:r w:rsidRPr="00BB3AEE">
        <w:rPr>
          <w:sz w:val="24"/>
          <w:szCs w:val="24"/>
          <w:lang w:val="en-US"/>
        </w:rPr>
        <w:t xml:space="preserve">The </w:t>
      </w:r>
      <w:r w:rsidR="00EE5628">
        <w:rPr>
          <w:sz w:val="24"/>
          <w:szCs w:val="24"/>
          <w:lang w:val="en-US"/>
        </w:rPr>
        <w:t xml:space="preserve">main </w:t>
      </w:r>
      <w:r w:rsidRPr="00BB3AEE">
        <w:rPr>
          <w:sz w:val="24"/>
          <w:szCs w:val="24"/>
          <w:lang w:val="en-US"/>
        </w:rPr>
        <w:t>concern lies in the difficulties they face in exercising social leadership due to three risk factors: first, disputed areas among armed actors; second, complex environmental contexts, such as mining; and finally, stigmatization and violence by the police in social protests.</w:t>
      </w:r>
    </w:p>
    <w:p w14:paraId="0477B607" w14:textId="02E63887" w:rsidR="00CC064B" w:rsidRPr="00F437CC" w:rsidRDefault="00BB3AEE" w:rsidP="00865848">
      <w:pPr>
        <w:spacing w:before="200" w:after="200" w:line="360" w:lineRule="auto"/>
        <w:jc w:val="both"/>
        <w:rPr>
          <w:sz w:val="24"/>
          <w:szCs w:val="24"/>
          <w:lang w:val="en-US"/>
        </w:rPr>
      </w:pPr>
      <w:r w:rsidRPr="00F437CC">
        <w:rPr>
          <w:sz w:val="24"/>
          <w:szCs w:val="24"/>
          <w:lang w:val="en-US"/>
        </w:rPr>
        <w:t>Child human rights defenders have been subject to threats, violence, and killings. For instance, in January 2021, death threats were made public against an 11-year-old environmental defender (See Annex 1).</w:t>
      </w:r>
      <w:r w:rsidRPr="00F437CC">
        <w:rPr>
          <w:sz w:val="24"/>
          <w:szCs w:val="24"/>
          <w:vertAlign w:val="superscript"/>
          <w:lang w:val="en-US"/>
        </w:rPr>
        <w:footnoteReference w:id="48"/>
      </w:r>
      <w:r w:rsidRPr="00F437CC">
        <w:rPr>
          <w:sz w:val="24"/>
          <w:szCs w:val="24"/>
          <w:lang w:val="en-US"/>
        </w:rPr>
        <w:t xml:space="preserve"> To date, there is no knowledge of the progress in the investigations of these serious incidents. Additionally, in January 2022, a tragic shooting resulted in the death of a 14-year-old environmental defender in the department </w:t>
      </w:r>
      <w:r w:rsidR="00CC064B" w:rsidRPr="00F437CC">
        <w:rPr>
          <w:sz w:val="24"/>
          <w:szCs w:val="24"/>
          <w:lang w:val="en-US"/>
        </w:rPr>
        <w:t>of Cauca (See Annex 1)</w:t>
      </w:r>
      <w:r w:rsidR="00CC064B" w:rsidRPr="00F437CC">
        <w:rPr>
          <w:sz w:val="24"/>
          <w:szCs w:val="24"/>
          <w:vertAlign w:val="superscript"/>
          <w:lang w:val="en-US"/>
        </w:rPr>
        <w:footnoteReference w:id="49"/>
      </w:r>
      <w:r w:rsidR="00CC064B" w:rsidRPr="00F437CC">
        <w:rPr>
          <w:sz w:val="24"/>
          <w:szCs w:val="24"/>
          <w:lang w:val="en-US"/>
        </w:rPr>
        <w:t>.</w:t>
      </w:r>
    </w:p>
    <w:p w14:paraId="56CC8B79" w14:textId="65A84BFA" w:rsidR="00865848" w:rsidRPr="00865848" w:rsidRDefault="00865848" w:rsidP="00865848">
      <w:pPr>
        <w:spacing w:before="200" w:after="200" w:line="360" w:lineRule="auto"/>
        <w:jc w:val="both"/>
        <w:rPr>
          <w:sz w:val="24"/>
          <w:szCs w:val="24"/>
          <w:lang w:val="en-US"/>
        </w:rPr>
      </w:pPr>
      <w:r w:rsidRPr="00F437CC">
        <w:rPr>
          <w:sz w:val="24"/>
          <w:szCs w:val="24"/>
          <w:lang w:val="en-US"/>
        </w:rPr>
        <w:t xml:space="preserve">Moreover, the protection routes established by the National Protection Unit have proven ineffective in practice. Some of the issues observed include disconnection between protection, investigation, and justice processes, resulting in impunity for violence and </w:t>
      </w:r>
      <w:r w:rsidRPr="00F437CC">
        <w:rPr>
          <w:sz w:val="24"/>
          <w:szCs w:val="24"/>
          <w:lang w:val="en-US"/>
        </w:rPr>
        <w:lastRenderedPageBreak/>
        <w:t>asymmetries in the justice system, a protection model that does not address root causes nor recognize new risk factors or threats, a program that does not dialogue with those under protection to determine suitable measures according to their risks and characteristics, among others.</w:t>
      </w:r>
    </w:p>
    <w:p w14:paraId="00000071" w14:textId="1BE86C59" w:rsidR="00C60456" w:rsidRPr="00F437CC" w:rsidRDefault="00865848" w:rsidP="00865848">
      <w:pPr>
        <w:spacing w:before="200" w:after="200" w:line="360" w:lineRule="auto"/>
        <w:jc w:val="both"/>
        <w:rPr>
          <w:sz w:val="24"/>
          <w:szCs w:val="24"/>
          <w:lang w:val="en-US"/>
        </w:rPr>
      </w:pPr>
      <w:r w:rsidRPr="00865848">
        <w:rPr>
          <w:sz w:val="24"/>
          <w:szCs w:val="24"/>
          <w:lang w:val="en-US"/>
        </w:rPr>
        <w:t>An additional risk for child human rights defenders is the lack of recognition of their status as social actors and their role as defenders by the State and society in general. Children are not acknowledged as potential human rights defenders, which makes their activities invisible, affecting their right to participate and increasing their risk of being victimized. This leads to another consequence, which is that the current institutional protection measures lack a child-focused approach (See Annex 1</w:t>
      </w:r>
      <w:r w:rsidRPr="00F437CC">
        <w:rPr>
          <w:sz w:val="24"/>
          <w:szCs w:val="24"/>
          <w:lang w:val="en-US"/>
        </w:rPr>
        <w:t>)</w:t>
      </w:r>
      <w:r w:rsidRPr="00F437CC">
        <w:rPr>
          <w:sz w:val="24"/>
          <w:szCs w:val="24"/>
          <w:vertAlign w:val="superscript"/>
          <w:lang w:val="en-US"/>
        </w:rPr>
        <w:footnoteReference w:id="50"/>
      </w:r>
      <w:r w:rsidR="000231F9" w:rsidRPr="00F437CC">
        <w:rPr>
          <w:sz w:val="24"/>
          <w:szCs w:val="24"/>
          <w:lang w:val="en-US"/>
        </w:rPr>
        <w:t>.</w:t>
      </w:r>
    </w:p>
    <w:p w14:paraId="00000072" w14:textId="33CA3D43" w:rsidR="00C60456" w:rsidRPr="00F437CC" w:rsidRDefault="00865848">
      <w:pPr>
        <w:spacing w:before="240" w:after="240" w:line="360" w:lineRule="auto"/>
        <w:jc w:val="both"/>
        <w:rPr>
          <w:sz w:val="24"/>
          <w:szCs w:val="24"/>
          <w:lang w:val="en-US"/>
        </w:rPr>
      </w:pPr>
      <w:r w:rsidRPr="00865848">
        <w:rPr>
          <w:sz w:val="24"/>
          <w:szCs w:val="24"/>
          <w:lang w:val="en-US"/>
        </w:rPr>
        <w:t>Furthermore, there is stigmatization against child human rights defenders, including those advocating for environmental protection. This stigmatization can also come in the form of threats and accusations of belonging to illegal groups. In one specific case, the stigmatization of environmental defense work came from a mining company (Cerrejón) in La Guajira, alleging personal interests among young environmental advocates (See Annex 1</w:t>
      </w:r>
      <w:r w:rsidRPr="00F437CC">
        <w:rPr>
          <w:sz w:val="24"/>
          <w:szCs w:val="24"/>
          <w:lang w:val="en-US"/>
        </w:rPr>
        <w:t>)</w:t>
      </w:r>
      <w:r w:rsidRPr="00F437CC">
        <w:rPr>
          <w:sz w:val="24"/>
          <w:szCs w:val="24"/>
          <w:vertAlign w:val="superscript"/>
          <w:lang w:val="en-US"/>
        </w:rPr>
        <w:footnoteReference w:id="51"/>
      </w:r>
      <w:r w:rsidR="000231F9" w:rsidRPr="00F437CC">
        <w:rPr>
          <w:sz w:val="24"/>
          <w:szCs w:val="24"/>
          <w:lang w:val="en-US"/>
        </w:rPr>
        <w:t>.</w:t>
      </w:r>
      <w:r w:rsidRPr="00F437CC">
        <w:rPr>
          <w:sz w:val="24"/>
          <w:szCs w:val="24"/>
          <w:lang w:val="en-US"/>
        </w:rPr>
        <w:t xml:space="preserve"> </w:t>
      </w:r>
    </w:p>
    <w:p w14:paraId="00000073" w14:textId="35EED17A" w:rsidR="00C60456" w:rsidRPr="00F437CC" w:rsidRDefault="0074715B">
      <w:pPr>
        <w:spacing w:before="240" w:after="240" w:line="360" w:lineRule="auto"/>
        <w:ind w:left="720"/>
        <w:jc w:val="both"/>
        <w:rPr>
          <w:sz w:val="24"/>
          <w:szCs w:val="24"/>
          <w:u w:val="single"/>
          <w:lang w:val="en-US"/>
        </w:rPr>
      </w:pPr>
      <w:r w:rsidRPr="00F437CC">
        <w:rPr>
          <w:sz w:val="24"/>
          <w:szCs w:val="24"/>
          <w:u w:val="single"/>
          <w:lang w:val="en-US"/>
        </w:rPr>
        <w:t>Recommendations</w:t>
      </w:r>
    </w:p>
    <w:p w14:paraId="00000074" w14:textId="59FAF298" w:rsidR="00C60456" w:rsidRPr="00880BA9" w:rsidRDefault="0058047C" w:rsidP="00880BA9">
      <w:pPr>
        <w:pStyle w:val="ListParagraph"/>
        <w:numPr>
          <w:ilvl w:val="0"/>
          <w:numId w:val="4"/>
        </w:numPr>
        <w:spacing w:before="240" w:after="240" w:line="360" w:lineRule="auto"/>
        <w:ind w:left="709"/>
        <w:jc w:val="both"/>
        <w:rPr>
          <w:sz w:val="24"/>
          <w:szCs w:val="24"/>
          <w:u w:val="single"/>
          <w:lang w:val="en-US"/>
        </w:rPr>
      </w:pPr>
      <w:r w:rsidRPr="00880BA9">
        <w:rPr>
          <w:sz w:val="24"/>
          <w:szCs w:val="24"/>
          <w:u w:val="single"/>
          <w:lang w:val="en-US"/>
        </w:rPr>
        <w:t>To urge the State to do the following</w:t>
      </w:r>
      <w:r w:rsidR="00A74445" w:rsidRPr="00880BA9">
        <w:rPr>
          <w:sz w:val="24"/>
          <w:szCs w:val="24"/>
          <w:u w:val="single"/>
          <w:lang w:val="en-US"/>
        </w:rPr>
        <w:t>:</w:t>
      </w:r>
    </w:p>
    <w:p w14:paraId="2FAC9738" w14:textId="2F86BE85" w:rsidR="00865848" w:rsidRPr="00865848" w:rsidRDefault="00A74445" w:rsidP="00EE5628">
      <w:pPr>
        <w:spacing w:before="240" w:after="200" w:line="360" w:lineRule="auto"/>
        <w:ind w:left="720"/>
        <w:jc w:val="both"/>
        <w:rPr>
          <w:sz w:val="24"/>
          <w:szCs w:val="24"/>
          <w:lang w:val="en-US"/>
        </w:rPr>
      </w:pPr>
      <w:r w:rsidRPr="00F437CC">
        <w:rPr>
          <w:sz w:val="24"/>
          <w:szCs w:val="24"/>
          <w:lang w:val="en-US"/>
        </w:rPr>
        <w:t>8.</w:t>
      </w:r>
      <w:r w:rsidR="00865848" w:rsidRPr="00F437CC">
        <w:rPr>
          <w:sz w:val="24"/>
          <w:szCs w:val="24"/>
          <w:lang w:val="en-US"/>
        </w:rPr>
        <w:t>1. To promote the recognition of the work of child human rights defenders.</w:t>
      </w:r>
    </w:p>
    <w:p w14:paraId="1A2866D4" w14:textId="6F49CE9C" w:rsidR="00865848" w:rsidRPr="00865848" w:rsidRDefault="00865848" w:rsidP="00865848">
      <w:pPr>
        <w:spacing w:before="240" w:after="200" w:line="360" w:lineRule="auto"/>
        <w:ind w:left="720"/>
        <w:jc w:val="both"/>
        <w:rPr>
          <w:sz w:val="24"/>
          <w:szCs w:val="24"/>
          <w:lang w:val="en-US"/>
        </w:rPr>
      </w:pPr>
      <w:r w:rsidRPr="00865848">
        <w:rPr>
          <w:sz w:val="24"/>
          <w:szCs w:val="24"/>
          <w:lang w:val="en-US"/>
        </w:rPr>
        <w:t>8.2. To extend differentiated approaches in risk analyses and protection measures for child defenders.</w:t>
      </w:r>
    </w:p>
    <w:p w14:paraId="0DFA6078" w14:textId="76AC0CED" w:rsidR="00865848" w:rsidRPr="00865848" w:rsidRDefault="00865848" w:rsidP="00865848">
      <w:pPr>
        <w:spacing w:before="240" w:after="200" w:line="360" w:lineRule="auto"/>
        <w:ind w:left="720"/>
        <w:jc w:val="both"/>
        <w:rPr>
          <w:sz w:val="24"/>
          <w:szCs w:val="24"/>
          <w:lang w:val="en-US"/>
        </w:rPr>
      </w:pPr>
      <w:r w:rsidRPr="00865848">
        <w:rPr>
          <w:sz w:val="24"/>
          <w:szCs w:val="24"/>
          <w:lang w:val="en-US"/>
        </w:rPr>
        <w:t xml:space="preserve">8.3. To guarantee that territorial entities receive support from the national government, including support from the National Family Welfare System for the </w:t>
      </w:r>
      <w:r w:rsidRPr="00865848">
        <w:rPr>
          <w:sz w:val="24"/>
          <w:szCs w:val="24"/>
          <w:lang w:val="en-US"/>
        </w:rPr>
        <w:lastRenderedPageBreak/>
        <w:t>formulation of a Comprehensive Prevention and Protection Plan that includes the work of child defenders in its risk analyses and scenarios, in the definition of its measures and assessment of goals.</w:t>
      </w:r>
    </w:p>
    <w:p w14:paraId="79112FC3" w14:textId="4178E8FE" w:rsidR="00865848" w:rsidRPr="00865848" w:rsidRDefault="00865848" w:rsidP="00865848">
      <w:pPr>
        <w:spacing w:before="240" w:after="200" w:line="360" w:lineRule="auto"/>
        <w:ind w:left="720"/>
        <w:jc w:val="both"/>
        <w:rPr>
          <w:sz w:val="24"/>
          <w:szCs w:val="24"/>
          <w:lang w:val="en-US"/>
        </w:rPr>
      </w:pPr>
      <w:r w:rsidRPr="00865848">
        <w:rPr>
          <w:sz w:val="24"/>
          <w:szCs w:val="24"/>
          <w:lang w:val="en-US"/>
        </w:rPr>
        <w:t>8.4. To investigate reports of violence against child defenders and their families promptly and effectively.</w:t>
      </w:r>
    </w:p>
    <w:p w14:paraId="00000079" w14:textId="38ADD497" w:rsidR="00C60456" w:rsidRPr="00F437CC" w:rsidRDefault="00865848" w:rsidP="00865848">
      <w:pPr>
        <w:spacing w:before="240" w:after="200" w:line="360" w:lineRule="auto"/>
        <w:ind w:left="720"/>
        <w:jc w:val="both"/>
        <w:rPr>
          <w:sz w:val="24"/>
          <w:szCs w:val="24"/>
          <w:lang w:val="en-US"/>
        </w:rPr>
      </w:pPr>
      <w:r w:rsidRPr="00865848">
        <w:rPr>
          <w:sz w:val="24"/>
          <w:szCs w:val="24"/>
          <w:lang w:val="en-US"/>
        </w:rPr>
        <w:t>8.5. To adopt effective measures to prevent the stigmatization of child defenders, including raising awareness of their role and conducting joint recognition efforts with different actors</w:t>
      </w:r>
      <w:r w:rsidRPr="00F437CC">
        <w:rPr>
          <w:sz w:val="24"/>
          <w:szCs w:val="24"/>
          <w:lang w:val="en-US"/>
        </w:rPr>
        <w:t>.</w:t>
      </w:r>
    </w:p>
    <w:p w14:paraId="0000007A" w14:textId="1901D70D" w:rsidR="00C60456" w:rsidRPr="00F437CC" w:rsidRDefault="00A74445" w:rsidP="00924EFA">
      <w:pPr>
        <w:pStyle w:val="Heading2"/>
        <w:rPr>
          <w:lang w:val="en-US"/>
        </w:rPr>
      </w:pPr>
      <w:bookmarkStart w:id="24" w:name="_Toc181289447"/>
      <w:bookmarkStart w:id="25" w:name="_Toc181285167"/>
      <w:r w:rsidRPr="00F437CC">
        <w:rPr>
          <w:lang w:val="en-US"/>
        </w:rPr>
        <w:t>2.</w:t>
      </w:r>
      <w:r w:rsidR="00924EFA" w:rsidRPr="00F437CC">
        <w:rPr>
          <w:lang w:val="en-US"/>
        </w:rPr>
        <w:t>5</w:t>
      </w:r>
      <w:r w:rsidRPr="00F437CC">
        <w:rPr>
          <w:lang w:val="en-US"/>
        </w:rPr>
        <w:t xml:space="preserve">.  </w:t>
      </w:r>
      <w:r w:rsidR="00865848" w:rsidRPr="00F437CC">
        <w:rPr>
          <w:lang w:val="en-US"/>
        </w:rPr>
        <w:t>Violence against Boys, Girls, and Adolescents due to Protest Activities</w:t>
      </w:r>
      <w:bookmarkEnd w:id="24"/>
      <w:r w:rsidR="00865848" w:rsidRPr="00F437CC">
        <w:rPr>
          <w:lang w:val="en-US"/>
        </w:rPr>
        <w:t xml:space="preserve"> </w:t>
      </w:r>
      <w:bookmarkEnd w:id="25"/>
    </w:p>
    <w:p w14:paraId="0000007B" w14:textId="6202E76F" w:rsidR="00C60456" w:rsidRPr="00F437CC" w:rsidRDefault="00865848">
      <w:pPr>
        <w:spacing w:line="360" w:lineRule="auto"/>
        <w:jc w:val="both"/>
        <w:rPr>
          <w:sz w:val="24"/>
          <w:szCs w:val="24"/>
          <w:lang w:val="en-US"/>
        </w:rPr>
      </w:pPr>
      <w:r w:rsidRPr="00F437CC">
        <w:rPr>
          <w:sz w:val="24"/>
          <w:szCs w:val="24"/>
          <w:lang w:val="en-US"/>
        </w:rPr>
        <w:t xml:space="preserve">Neither the CRC nor the State mention in the </w:t>
      </w:r>
      <w:r w:rsidR="00EE5628">
        <w:rPr>
          <w:sz w:val="24"/>
          <w:szCs w:val="24"/>
          <w:lang w:val="en-US"/>
        </w:rPr>
        <w:t xml:space="preserve">final conclusions </w:t>
      </w:r>
      <w:r w:rsidRPr="00F437CC">
        <w:rPr>
          <w:sz w:val="24"/>
          <w:szCs w:val="24"/>
          <w:lang w:val="en-US"/>
        </w:rPr>
        <w:t>the protection of children in contexts of protest. However, after reviewing the situation of other countries with violence in social protests, such as Chile</w:t>
      </w:r>
      <w:r w:rsidRPr="00F437CC">
        <w:rPr>
          <w:sz w:val="24"/>
          <w:szCs w:val="24"/>
          <w:vertAlign w:val="superscript"/>
          <w:lang w:val="en-US"/>
        </w:rPr>
        <w:footnoteReference w:id="52"/>
      </w:r>
      <w:r w:rsidRPr="00F437CC">
        <w:rPr>
          <w:sz w:val="24"/>
          <w:szCs w:val="24"/>
          <w:lang w:val="en-US"/>
        </w:rPr>
        <w:t xml:space="preserve"> and Cuba</w:t>
      </w:r>
      <w:r w:rsidRPr="00F437CC">
        <w:rPr>
          <w:sz w:val="24"/>
          <w:szCs w:val="24"/>
          <w:vertAlign w:val="superscript"/>
          <w:lang w:val="en-US"/>
        </w:rPr>
        <w:footnoteReference w:id="53"/>
      </w:r>
      <w:r w:rsidRPr="00F437CC">
        <w:rPr>
          <w:sz w:val="24"/>
          <w:szCs w:val="24"/>
          <w:lang w:val="en-US"/>
        </w:rPr>
        <w:t xml:space="preserve">, the Committee has expressed concern about the disproportionate violence by the police against protesters, particularly boys and girls. </w:t>
      </w:r>
    </w:p>
    <w:p w14:paraId="2CA4050A" w14:textId="6C960349" w:rsidR="00865848" w:rsidRPr="00F437CC" w:rsidRDefault="00865848" w:rsidP="00865848">
      <w:pPr>
        <w:spacing w:before="200" w:line="360" w:lineRule="auto"/>
        <w:jc w:val="both"/>
        <w:rPr>
          <w:sz w:val="24"/>
          <w:szCs w:val="24"/>
          <w:lang w:val="en-US"/>
        </w:rPr>
      </w:pPr>
      <w:r w:rsidRPr="00F437CC">
        <w:rPr>
          <w:sz w:val="24"/>
          <w:szCs w:val="24"/>
          <w:lang w:val="en-US"/>
        </w:rPr>
        <w:t>During Colombia's social protests in September 2019 and April 28, 2021, State violence, particularly from the Mobile Anti-Riot Squad (ESMAD) of the police, became evident. Documented incidents include killings, mutilations, physical assaults, sexual violence, arbitrary detentions, stigmatization, and criminalization, among others. These serious incidents were reported by international human rights organizations, the United Nations</w:t>
      </w:r>
      <w:r w:rsidRPr="00F437CC">
        <w:rPr>
          <w:sz w:val="24"/>
          <w:szCs w:val="24"/>
          <w:vertAlign w:val="superscript"/>
          <w:lang w:val="en-US"/>
        </w:rPr>
        <w:footnoteReference w:id="54"/>
      </w:r>
      <w:r w:rsidR="000231F9" w:rsidRPr="00F437CC">
        <w:rPr>
          <w:sz w:val="24"/>
          <w:szCs w:val="24"/>
          <w:lang w:val="en-US"/>
        </w:rPr>
        <w:t>,</w:t>
      </w:r>
      <w:r w:rsidRPr="00F437CC">
        <w:rPr>
          <w:sz w:val="24"/>
          <w:szCs w:val="24"/>
          <w:lang w:val="en-US"/>
        </w:rPr>
        <w:t xml:space="preserve"> and the Inter-American Commission on Human Rights</w:t>
      </w:r>
      <w:r w:rsidRPr="00F437CC">
        <w:rPr>
          <w:sz w:val="24"/>
          <w:szCs w:val="24"/>
          <w:vertAlign w:val="superscript"/>
          <w:lang w:val="en-US"/>
        </w:rPr>
        <w:t xml:space="preserve"> </w:t>
      </w:r>
      <w:r w:rsidRPr="00F437CC">
        <w:rPr>
          <w:sz w:val="24"/>
          <w:szCs w:val="24"/>
          <w:vertAlign w:val="superscript"/>
          <w:lang w:val="en-US"/>
        </w:rPr>
        <w:footnoteReference w:id="55"/>
      </w:r>
      <w:r w:rsidR="000231F9" w:rsidRPr="00F437CC">
        <w:rPr>
          <w:sz w:val="24"/>
          <w:szCs w:val="24"/>
          <w:lang w:val="en-US"/>
        </w:rPr>
        <w:t>.</w:t>
      </w:r>
      <w:r w:rsidRPr="00F437CC">
        <w:rPr>
          <w:sz w:val="24"/>
          <w:szCs w:val="24"/>
          <w:lang w:val="en-US"/>
        </w:rPr>
        <w:t xml:space="preserve"> Additionally, </w:t>
      </w:r>
      <w:r w:rsidR="005D6FCC">
        <w:rPr>
          <w:sz w:val="24"/>
          <w:szCs w:val="24"/>
          <w:lang w:val="en-US"/>
        </w:rPr>
        <w:t xml:space="preserve">there were reported </w:t>
      </w:r>
      <w:r w:rsidRPr="00F437CC">
        <w:rPr>
          <w:sz w:val="24"/>
          <w:szCs w:val="24"/>
          <w:lang w:val="en-US"/>
        </w:rPr>
        <w:t>cases</w:t>
      </w:r>
      <w:r w:rsidR="005D6FCC">
        <w:rPr>
          <w:sz w:val="24"/>
          <w:szCs w:val="24"/>
          <w:lang w:val="en-US"/>
        </w:rPr>
        <w:t xml:space="preserve"> </w:t>
      </w:r>
      <w:r w:rsidRPr="00F437CC">
        <w:rPr>
          <w:sz w:val="24"/>
          <w:szCs w:val="24"/>
          <w:lang w:val="en-US"/>
        </w:rPr>
        <w:t>of</w:t>
      </w:r>
      <w:r w:rsidR="005D6FCC">
        <w:rPr>
          <w:sz w:val="24"/>
          <w:szCs w:val="24"/>
          <w:lang w:val="en-US"/>
        </w:rPr>
        <w:t xml:space="preserve"> use of</w:t>
      </w:r>
      <w:r w:rsidRPr="00F437CC">
        <w:rPr>
          <w:sz w:val="24"/>
          <w:szCs w:val="24"/>
          <w:lang w:val="en-US"/>
        </w:rPr>
        <w:t xml:space="preserve"> firearms by civilians without</w:t>
      </w:r>
      <w:r w:rsidR="005D6FCC">
        <w:rPr>
          <w:sz w:val="24"/>
          <w:szCs w:val="24"/>
          <w:lang w:val="en-US"/>
        </w:rPr>
        <w:t xml:space="preserve"> any</w:t>
      </w:r>
      <w:r w:rsidRPr="00F437CC">
        <w:rPr>
          <w:sz w:val="24"/>
          <w:szCs w:val="24"/>
          <w:lang w:val="en-US"/>
        </w:rPr>
        <w:t xml:space="preserve"> police intervention to prevent it.</w:t>
      </w:r>
    </w:p>
    <w:p w14:paraId="0000007D" w14:textId="32B84E66" w:rsidR="00C60456" w:rsidRPr="00F437CC" w:rsidRDefault="00865848" w:rsidP="00865848">
      <w:pPr>
        <w:spacing w:before="200" w:line="360" w:lineRule="auto"/>
        <w:jc w:val="both"/>
        <w:rPr>
          <w:sz w:val="24"/>
          <w:szCs w:val="24"/>
          <w:lang w:val="en-US"/>
        </w:rPr>
      </w:pPr>
      <w:r w:rsidRPr="00F437CC">
        <w:rPr>
          <w:sz w:val="24"/>
          <w:szCs w:val="24"/>
          <w:lang w:val="en-US"/>
        </w:rPr>
        <w:lastRenderedPageBreak/>
        <w:t xml:space="preserve">One particularly troubling aspect, which was not recorded with a differential approach, was the violence applied by ESMAD in 2021 against </w:t>
      </w:r>
      <w:r w:rsidR="00880BA9">
        <w:rPr>
          <w:sz w:val="24"/>
          <w:szCs w:val="24"/>
          <w:lang w:val="en-US"/>
        </w:rPr>
        <w:t>NNA</w:t>
      </w:r>
      <w:r w:rsidRPr="00F437CC">
        <w:rPr>
          <w:sz w:val="24"/>
          <w:szCs w:val="24"/>
          <w:lang w:val="en-US"/>
        </w:rPr>
        <w:t>:</w:t>
      </w:r>
    </w:p>
    <w:p w14:paraId="369B6D0F" w14:textId="06677D1D" w:rsidR="000231F9" w:rsidRPr="00F437CC" w:rsidRDefault="00A74445" w:rsidP="000231F9">
      <w:pPr>
        <w:spacing w:after="200" w:line="360" w:lineRule="auto"/>
        <w:ind w:left="720"/>
        <w:jc w:val="both"/>
        <w:rPr>
          <w:sz w:val="24"/>
          <w:szCs w:val="24"/>
          <w:lang w:val="en-US"/>
        </w:rPr>
      </w:pPr>
      <w:r w:rsidRPr="00F437CC">
        <w:rPr>
          <w:sz w:val="24"/>
          <w:szCs w:val="24"/>
          <w:lang w:val="en-US"/>
        </w:rPr>
        <w:t>“</w:t>
      </w:r>
      <w:r w:rsidR="00865848" w:rsidRPr="00F437CC">
        <w:rPr>
          <w:sz w:val="24"/>
          <w:szCs w:val="24"/>
          <w:lang w:val="en-US"/>
        </w:rPr>
        <w:t xml:space="preserve">(...) Of the 86 documented killings, 4.65% were committed against </w:t>
      </w:r>
      <w:r w:rsidR="00880BA9">
        <w:rPr>
          <w:sz w:val="24"/>
          <w:szCs w:val="24"/>
          <w:lang w:val="en-US"/>
        </w:rPr>
        <w:t>NNA</w:t>
      </w:r>
      <w:r w:rsidR="00865848" w:rsidRPr="00F437CC">
        <w:rPr>
          <w:sz w:val="24"/>
          <w:szCs w:val="24"/>
          <w:lang w:val="en-US"/>
        </w:rPr>
        <w:t xml:space="preserve">; of the 3,473 people detained as of August in the protests, 216 (6.21%) were </w:t>
      </w:r>
      <w:r w:rsidR="00880BA9">
        <w:rPr>
          <w:sz w:val="24"/>
          <w:szCs w:val="24"/>
          <w:lang w:val="en-US"/>
        </w:rPr>
        <w:t>NNA</w:t>
      </w:r>
      <w:r w:rsidR="00865848" w:rsidRPr="00F437CC">
        <w:rPr>
          <w:sz w:val="24"/>
          <w:szCs w:val="24"/>
          <w:lang w:val="en-US"/>
        </w:rPr>
        <w:t xml:space="preserve">; of the 77 reported cases of sexual violence, 3.89% were committed against </w:t>
      </w:r>
      <w:r w:rsidR="00880BA9">
        <w:rPr>
          <w:sz w:val="24"/>
          <w:szCs w:val="24"/>
          <w:lang w:val="en-US"/>
        </w:rPr>
        <w:t>NNA</w:t>
      </w:r>
      <w:r w:rsidR="00865848" w:rsidRPr="00F437CC">
        <w:rPr>
          <w:sz w:val="24"/>
          <w:szCs w:val="24"/>
          <w:lang w:val="en-US"/>
        </w:rPr>
        <w:t xml:space="preserve">. These figures show that abuses against this population are not rare, but rather frequent and aggravated, violating both national and international norms regarding the use of force by the Police. Additionally, of the 1,632 reports of police abuse and violence during the protests, 9.37% involve indiscriminate violence against the population, which included </w:t>
      </w:r>
      <w:r w:rsidR="00880BA9">
        <w:rPr>
          <w:sz w:val="24"/>
          <w:szCs w:val="24"/>
          <w:lang w:val="en-US"/>
        </w:rPr>
        <w:t>NNA</w:t>
      </w:r>
      <w:r w:rsidR="00865848" w:rsidRPr="00F437CC">
        <w:rPr>
          <w:sz w:val="24"/>
          <w:szCs w:val="24"/>
          <w:lang w:val="en-US"/>
        </w:rPr>
        <w:t xml:space="preserve"> among the </w:t>
      </w:r>
      <w:r w:rsidR="0074715B" w:rsidRPr="00F437CC">
        <w:rPr>
          <w:sz w:val="24"/>
          <w:szCs w:val="24"/>
          <w:lang w:val="en-US"/>
        </w:rPr>
        <w:t>victims, without</w:t>
      </w:r>
      <w:r w:rsidR="00865848" w:rsidRPr="00F437CC">
        <w:rPr>
          <w:sz w:val="24"/>
          <w:szCs w:val="24"/>
          <w:lang w:val="en-US"/>
        </w:rPr>
        <w:t xml:space="preserve"> individualizing</w:t>
      </w:r>
      <w:r w:rsidRPr="00F437CC">
        <w:rPr>
          <w:sz w:val="24"/>
          <w:szCs w:val="24"/>
          <w:lang w:val="en-US"/>
        </w:rPr>
        <w:t>”</w:t>
      </w:r>
      <w:r w:rsidRPr="00F437CC">
        <w:rPr>
          <w:sz w:val="24"/>
          <w:szCs w:val="24"/>
          <w:vertAlign w:val="superscript"/>
          <w:lang w:val="en-US"/>
        </w:rPr>
        <w:footnoteReference w:id="56"/>
      </w:r>
      <w:r w:rsidR="000231F9" w:rsidRPr="00F437CC">
        <w:rPr>
          <w:sz w:val="24"/>
          <w:szCs w:val="24"/>
          <w:lang w:val="en-US"/>
        </w:rPr>
        <w:t>.</w:t>
      </w:r>
    </w:p>
    <w:p w14:paraId="1013C581" w14:textId="5878E2C0" w:rsidR="00865848" w:rsidRPr="00865848" w:rsidRDefault="00865848" w:rsidP="00865848">
      <w:pPr>
        <w:spacing w:after="200" w:line="360" w:lineRule="auto"/>
        <w:jc w:val="both"/>
        <w:rPr>
          <w:sz w:val="24"/>
          <w:szCs w:val="24"/>
          <w:lang w:val="en-US"/>
        </w:rPr>
      </w:pPr>
      <w:r w:rsidRPr="00F437CC">
        <w:rPr>
          <w:sz w:val="24"/>
          <w:szCs w:val="24"/>
          <w:lang w:val="en-US"/>
        </w:rPr>
        <w:t>Despite this situation, the public discourse did not mention the involvement of boys and girls in the protests, which has serious consequences, such as a lack of comprehensive protection measures and failure to apply the best interests of boys and girls when the police use force against protesters and bystanders.</w:t>
      </w:r>
    </w:p>
    <w:p w14:paraId="00000080" w14:textId="2A802256" w:rsidR="00C60456" w:rsidRPr="00F437CC" w:rsidRDefault="00865848" w:rsidP="00865848">
      <w:pPr>
        <w:spacing w:after="200" w:line="360" w:lineRule="auto"/>
        <w:jc w:val="both"/>
        <w:rPr>
          <w:sz w:val="24"/>
          <w:szCs w:val="24"/>
          <w:lang w:val="en-US"/>
        </w:rPr>
      </w:pPr>
      <w:r w:rsidRPr="00F437CC">
        <w:rPr>
          <w:sz w:val="24"/>
          <w:szCs w:val="24"/>
          <w:lang w:val="en-US"/>
        </w:rPr>
        <w:t>Although these incidents did not occur under the current administration, there is a need for clear institutional instructions to protect and guarantee the rights of the children involved in social protests, applying the principle of the best interests of children and adolescents before any suggest</w:t>
      </w:r>
      <w:r w:rsidR="005D6FCC">
        <w:rPr>
          <w:sz w:val="24"/>
          <w:szCs w:val="24"/>
          <w:lang w:val="en-US"/>
        </w:rPr>
        <w:t>ed</w:t>
      </w:r>
      <w:r w:rsidRPr="00F437CC">
        <w:rPr>
          <w:sz w:val="24"/>
          <w:szCs w:val="24"/>
          <w:lang w:val="en-US"/>
        </w:rPr>
        <w:t xml:space="preserve"> force by the police. </w:t>
      </w:r>
    </w:p>
    <w:p w14:paraId="00000081" w14:textId="3CAE1531" w:rsidR="00C60456" w:rsidRPr="00F437CC" w:rsidRDefault="00A74445">
      <w:pPr>
        <w:spacing w:line="360" w:lineRule="auto"/>
        <w:ind w:left="720"/>
        <w:jc w:val="both"/>
        <w:rPr>
          <w:rFonts w:ascii="Times New Roman" w:eastAsia="Times New Roman" w:hAnsi="Times New Roman" w:cs="Times New Roman"/>
          <w:sz w:val="24"/>
          <w:szCs w:val="24"/>
          <w:lang w:val="en-US"/>
        </w:rPr>
      </w:pPr>
      <w:r w:rsidRPr="00F437CC">
        <w:rPr>
          <w:sz w:val="24"/>
          <w:szCs w:val="24"/>
          <w:u w:val="single"/>
          <w:lang w:val="en-US"/>
        </w:rPr>
        <w:t>Reco</w:t>
      </w:r>
      <w:r w:rsidR="00865848" w:rsidRPr="00F437CC">
        <w:rPr>
          <w:sz w:val="24"/>
          <w:szCs w:val="24"/>
          <w:u w:val="single"/>
          <w:lang w:val="en-US"/>
        </w:rPr>
        <w:t>m</w:t>
      </w:r>
      <w:r w:rsidRPr="00F437CC">
        <w:rPr>
          <w:sz w:val="24"/>
          <w:szCs w:val="24"/>
          <w:u w:val="single"/>
          <w:lang w:val="en-US"/>
        </w:rPr>
        <w:t>menda</w:t>
      </w:r>
      <w:r w:rsidR="00865848" w:rsidRPr="00F437CC">
        <w:rPr>
          <w:sz w:val="24"/>
          <w:szCs w:val="24"/>
          <w:u w:val="single"/>
          <w:lang w:val="en-US"/>
        </w:rPr>
        <w:t>t</w:t>
      </w:r>
      <w:r w:rsidRPr="00F437CC">
        <w:rPr>
          <w:sz w:val="24"/>
          <w:szCs w:val="24"/>
          <w:u w:val="single"/>
          <w:lang w:val="en-US"/>
        </w:rPr>
        <w:t>ions:</w:t>
      </w:r>
    </w:p>
    <w:p w14:paraId="00000082" w14:textId="77777777" w:rsidR="00C60456" w:rsidRPr="00F437CC" w:rsidRDefault="00A74445">
      <w:pPr>
        <w:spacing w:line="360" w:lineRule="auto"/>
        <w:jc w:val="both"/>
        <w:rPr>
          <w:rFonts w:ascii="Times New Roman" w:eastAsia="Times New Roman" w:hAnsi="Times New Roman" w:cs="Times New Roman"/>
          <w:sz w:val="14"/>
          <w:szCs w:val="14"/>
          <w:lang w:val="en-US"/>
        </w:rPr>
      </w:pPr>
      <w:r w:rsidRPr="00F437CC">
        <w:rPr>
          <w:rFonts w:ascii="Times New Roman" w:eastAsia="Times New Roman" w:hAnsi="Times New Roman" w:cs="Times New Roman"/>
          <w:sz w:val="14"/>
          <w:szCs w:val="14"/>
          <w:lang w:val="en-US"/>
        </w:rPr>
        <w:t xml:space="preserve">  </w:t>
      </w:r>
    </w:p>
    <w:p w14:paraId="00000083" w14:textId="0567468A" w:rsidR="00C60456" w:rsidRPr="00880BA9" w:rsidRDefault="0058047C" w:rsidP="00880BA9">
      <w:pPr>
        <w:pStyle w:val="ListParagraph"/>
        <w:numPr>
          <w:ilvl w:val="0"/>
          <w:numId w:val="4"/>
        </w:numPr>
        <w:spacing w:before="200" w:line="360" w:lineRule="auto"/>
        <w:ind w:left="709"/>
        <w:jc w:val="both"/>
        <w:rPr>
          <w:lang w:val="en-US"/>
        </w:rPr>
      </w:pPr>
      <w:r w:rsidRPr="00880BA9">
        <w:rPr>
          <w:sz w:val="24"/>
          <w:szCs w:val="24"/>
          <w:u w:val="single"/>
          <w:lang w:val="en-US"/>
        </w:rPr>
        <w:t xml:space="preserve">To urge the State to do the following: </w:t>
      </w:r>
    </w:p>
    <w:p w14:paraId="0DF66443" w14:textId="08F63A99" w:rsidR="00865848" w:rsidRPr="00865848" w:rsidRDefault="00865848" w:rsidP="00865848">
      <w:pPr>
        <w:spacing w:before="200" w:line="360" w:lineRule="auto"/>
        <w:ind w:left="720"/>
        <w:jc w:val="both"/>
        <w:rPr>
          <w:sz w:val="24"/>
          <w:szCs w:val="24"/>
          <w:lang w:val="en-US"/>
        </w:rPr>
      </w:pPr>
      <w:r w:rsidRPr="00F437CC">
        <w:rPr>
          <w:sz w:val="24"/>
          <w:szCs w:val="24"/>
          <w:lang w:val="en-US"/>
        </w:rPr>
        <w:t xml:space="preserve">9.1. To recognize the participation of </w:t>
      </w:r>
      <w:r w:rsidR="00880BA9">
        <w:rPr>
          <w:sz w:val="24"/>
          <w:szCs w:val="24"/>
          <w:lang w:val="en-US"/>
        </w:rPr>
        <w:t>NNA</w:t>
      </w:r>
      <w:r w:rsidRPr="00F437CC">
        <w:rPr>
          <w:sz w:val="24"/>
          <w:szCs w:val="24"/>
          <w:lang w:val="en-US"/>
        </w:rPr>
        <w:t xml:space="preserve"> in protest activities within their human right to association and peaceful assembly.</w:t>
      </w:r>
    </w:p>
    <w:p w14:paraId="4C77B417" w14:textId="460A1DA4" w:rsidR="00865848" w:rsidRPr="00865848" w:rsidRDefault="00865848" w:rsidP="00865848">
      <w:pPr>
        <w:spacing w:before="200" w:line="360" w:lineRule="auto"/>
        <w:ind w:left="720"/>
        <w:jc w:val="both"/>
        <w:rPr>
          <w:sz w:val="24"/>
          <w:szCs w:val="24"/>
          <w:lang w:val="en-US"/>
        </w:rPr>
      </w:pPr>
      <w:r w:rsidRPr="00865848">
        <w:rPr>
          <w:sz w:val="24"/>
          <w:szCs w:val="24"/>
          <w:lang w:val="en-US"/>
        </w:rPr>
        <w:t>9.2. To avoid the use of force in public protests, especially when children are involved. If necessary, the State must thoroughly justify the reasons for using force.</w:t>
      </w:r>
    </w:p>
    <w:p w14:paraId="10846736" w14:textId="1FE0E5AA" w:rsidR="00865848" w:rsidRPr="00865848" w:rsidRDefault="00865848" w:rsidP="00865848">
      <w:pPr>
        <w:spacing w:before="200" w:line="360" w:lineRule="auto"/>
        <w:ind w:left="720"/>
        <w:jc w:val="both"/>
        <w:rPr>
          <w:sz w:val="24"/>
          <w:szCs w:val="24"/>
          <w:lang w:val="en-US"/>
        </w:rPr>
      </w:pPr>
      <w:r w:rsidRPr="00865848">
        <w:rPr>
          <w:sz w:val="24"/>
          <w:szCs w:val="24"/>
          <w:lang w:val="en-US"/>
        </w:rPr>
        <w:lastRenderedPageBreak/>
        <w:t>9.3. To have the National Police adopt regulations and protocols, including a child-focused approach, to ensure child protection in peaceful protests.</w:t>
      </w:r>
    </w:p>
    <w:p w14:paraId="1963E106" w14:textId="29ADF03B" w:rsidR="00865848" w:rsidRPr="00865848" w:rsidRDefault="00865848" w:rsidP="00865848">
      <w:pPr>
        <w:spacing w:before="200" w:line="360" w:lineRule="auto"/>
        <w:ind w:left="720"/>
        <w:jc w:val="both"/>
        <w:rPr>
          <w:sz w:val="24"/>
          <w:szCs w:val="24"/>
          <w:lang w:val="en-US"/>
        </w:rPr>
      </w:pPr>
      <w:r w:rsidRPr="00865848">
        <w:rPr>
          <w:sz w:val="24"/>
          <w:szCs w:val="24"/>
          <w:lang w:val="en-US"/>
        </w:rPr>
        <w:t xml:space="preserve">9.4. To investigate diligently, with a differentiated approach, cases of violence against </w:t>
      </w:r>
      <w:r w:rsidR="00880BA9">
        <w:rPr>
          <w:sz w:val="24"/>
          <w:szCs w:val="24"/>
          <w:lang w:val="en-US"/>
        </w:rPr>
        <w:t>NNA</w:t>
      </w:r>
      <w:r w:rsidRPr="00865848">
        <w:rPr>
          <w:sz w:val="24"/>
          <w:szCs w:val="24"/>
          <w:lang w:val="en-US"/>
        </w:rPr>
        <w:t xml:space="preserve"> in protest contexts and fully compensate the victims, including a public apology for the incidents of violence.</w:t>
      </w:r>
    </w:p>
    <w:p w14:paraId="00000089" w14:textId="59ED9A5D" w:rsidR="00C60456" w:rsidRPr="00F437CC" w:rsidRDefault="00865848" w:rsidP="00865848">
      <w:pPr>
        <w:spacing w:before="200" w:line="360" w:lineRule="auto"/>
        <w:ind w:left="720"/>
        <w:jc w:val="both"/>
        <w:rPr>
          <w:sz w:val="24"/>
          <w:szCs w:val="24"/>
          <w:lang w:val="en-US"/>
        </w:rPr>
      </w:pPr>
      <w:r w:rsidRPr="00865848">
        <w:rPr>
          <w:sz w:val="24"/>
          <w:szCs w:val="24"/>
          <w:lang w:val="en-US"/>
        </w:rPr>
        <w:t xml:space="preserve">9.5. To follow the recommendations of the Inter-American Commission on Human Rights following its visit to Colombia in June </w:t>
      </w:r>
      <w:r w:rsidR="00CC064B" w:rsidRPr="00F437CC">
        <w:rPr>
          <w:sz w:val="24"/>
          <w:szCs w:val="24"/>
          <w:lang w:val="en-US"/>
        </w:rPr>
        <w:t>2021</w:t>
      </w:r>
      <w:r w:rsidR="00CC064B" w:rsidRPr="00F437CC">
        <w:rPr>
          <w:sz w:val="24"/>
          <w:szCs w:val="24"/>
          <w:vertAlign w:val="superscript"/>
          <w:lang w:val="en-US"/>
        </w:rPr>
        <w:footnoteReference w:id="57"/>
      </w:r>
      <w:r w:rsidRPr="00865848">
        <w:rPr>
          <w:sz w:val="24"/>
          <w:szCs w:val="24"/>
          <w:lang w:val="en-US"/>
        </w:rPr>
        <w:t xml:space="preserve"> regarding protests, including the </w:t>
      </w:r>
      <w:r w:rsidR="005D6FCC">
        <w:rPr>
          <w:sz w:val="24"/>
          <w:szCs w:val="24"/>
          <w:lang w:val="en-US"/>
        </w:rPr>
        <w:t xml:space="preserve">disaggregation </w:t>
      </w:r>
      <w:r w:rsidRPr="00865848">
        <w:rPr>
          <w:sz w:val="24"/>
          <w:szCs w:val="24"/>
          <w:lang w:val="en-US"/>
        </w:rPr>
        <w:t>of the National Police from the Ministry of Defense.</w:t>
      </w:r>
    </w:p>
    <w:p w14:paraId="0000008A" w14:textId="78B91E52" w:rsidR="00C60456" w:rsidRPr="00F437CC" w:rsidRDefault="00865848" w:rsidP="00924EFA">
      <w:pPr>
        <w:pStyle w:val="Heading1"/>
        <w:rPr>
          <w:lang w:val="en-US"/>
        </w:rPr>
      </w:pPr>
      <w:bookmarkStart w:id="26" w:name="_Toc181285168"/>
      <w:bookmarkStart w:id="27" w:name="_Toc181289448"/>
      <w:r w:rsidRPr="00865848">
        <w:rPr>
          <w:lang w:val="en-US"/>
        </w:rPr>
        <w:t>CHAPTER 3: ECONOMIC, SOCIAL, AND CULTURAL RIGHTS</w:t>
      </w:r>
      <w:bookmarkEnd w:id="26"/>
      <w:bookmarkEnd w:id="27"/>
    </w:p>
    <w:p w14:paraId="0000008B" w14:textId="240BF3CF" w:rsidR="00C60456" w:rsidRPr="00F437CC" w:rsidRDefault="00146CB9">
      <w:pPr>
        <w:spacing w:line="360" w:lineRule="auto"/>
        <w:jc w:val="both"/>
        <w:rPr>
          <w:sz w:val="24"/>
          <w:szCs w:val="24"/>
          <w:lang w:val="en-US"/>
        </w:rPr>
      </w:pPr>
      <w:r w:rsidRPr="00F437CC">
        <w:rPr>
          <w:sz w:val="24"/>
          <w:szCs w:val="24"/>
          <w:lang w:val="en-US"/>
        </w:rPr>
        <w:t xml:space="preserve">This chapter discusses situations related to certain economic, social, cultural, and environmental rights that particularly affect </w:t>
      </w:r>
      <w:r w:rsidR="00880BA9">
        <w:rPr>
          <w:sz w:val="24"/>
          <w:szCs w:val="24"/>
          <w:lang w:val="en-US"/>
        </w:rPr>
        <w:t>NNA</w:t>
      </w:r>
      <w:r w:rsidRPr="00F437CC">
        <w:rPr>
          <w:sz w:val="24"/>
          <w:szCs w:val="24"/>
          <w:lang w:val="en-US"/>
        </w:rPr>
        <w:t>. The CRC explicitly mentions rights of this nature, including the right to health, adequate food, safe drinking water, culture, and a healthy environment, among others. The Organizations recognize the interdependence, indivisibility, and universality of human rights. However, for practical purposes, this section focuses on three specific rights: adequate food, education, and comments on the case of El Hatillo.</w:t>
      </w:r>
    </w:p>
    <w:p w14:paraId="0000008C" w14:textId="77777777" w:rsidR="00C60456" w:rsidRPr="00F437CC" w:rsidRDefault="00C60456">
      <w:pPr>
        <w:spacing w:line="360" w:lineRule="auto"/>
        <w:jc w:val="both"/>
        <w:rPr>
          <w:sz w:val="24"/>
          <w:szCs w:val="24"/>
          <w:lang w:val="en-US"/>
        </w:rPr>
      </w:pPr>
    </w:p>
    <w:p w14:paraId="0000008D" w14:textId="6C73CC9E" w:rsidR="00C60456" w:rsidRPr="00F437CC" w:rsidRDefault="00A74445" w:rsidP="00924EFA">
      <w:pPr>
        <w:pStyle w:val="Heading2"/>
        <w:rPr>
          <w:lang w:val="en-US"/>
        </w:rPr>
      </w:pPr>
      <w:bookmarkStart w:id="28" w:name="_Toc181285169"/>
      <w:bookmarkStart w:id="29" w:name="_Toc181289449"/>
      <w:r w:rsidRPr="00F437CC">
        <w:rPr>
          <w:lang w:val="en-US"/>
        </w:rPr>
        <w:t xml:space="preserve">3.1. </w:t>
      </w:r>
      <w:r w:rsidR="00146CB9" w:rsidRPr="00F437CC">
        <w:rPr>
          <w:lang w:val="en-US"/>
        </w:rPr>
        <w:t>The State does not Guarantee the Right to Adequate Food and Nutrition (HRAFN</w:t>
      </w:r>
      <w:r w:rsidRPr="00F437CC">
        <w:rPr>
          <w:lang w:val="en-US"/>
        </w:rPr>
        <w:t>)</w:t>
      </w:r>
      <w:bookmarkEnd w:id="28"/>
      <w:bookmarkEnd w:id="29"/>
    </w:p>
    <w:p w14:paraId="63073E97" w14:textId="06C7A5F7" w:rsidR="00146CB9" w:rsidRPr="00146CB9" w:rsidRDefault="00146CB9" w:rsidP="00146CB9">
      <w:pPr>
        <w:spacing w:before="200" w:after="200" w:line="360" w:lineRule="auto"/>
        <w:jc w:val="both"/>
        <w:rPr>
          <w:sz w:val="24"/>
          <w:szCs w:val="24"/>
          <w:lang w:val="en-US"/>
        </w:rPr>
      </w:pPr>
      <w:r w:rsidRPr="00F437CC">
        <w:rPr>
          <w:sz w:val="24"/>
          <w:szCs w:val="24"/>
          <w:lang w:val="en-US"/>
        </w:rPr>
        <w:t>Colombia lacks a public policy on food</w:t>
      </w:r>
      <w:r w:rsidR="005D6FCC">
        <w:rPr>
          <w:sz w:val="24"/>
          <w:szCs w:val="24"/>
          <w:lang w:val="en-US"/>
        </w:rPr>
        <w:t xml:space="preserve"> that </w:t>
      </w:r>
      <w:r w:rsidRPr="00F437CC">
        <w:rPr>
          <w:sz w:val="24"/>
          <w:szCs w:val="24"/>
          <w:lang w:val="en-US"/>
        </w:rPr>
        <w:t>focuse</w:t>
      </w:r>
      <w:r w:rsidR="005D6FCC">
        <w:rPr>
          <w:sz w:val="24"/>
          <w:szCs w:val="24"/>
          <w:lang w:val="en-US"/>
        </w:rPr>
        <w:t>s</w:t>
      </w:r>
      <w:r w:rsidRPr="00F437CC">
        <w:rPr>
          <w:sz w:val="24"/>
          <w:szCs w:val="24"/>
          <w:lang w:val="en-US"/>
        </w:rPr>
        <w:t xml:space="preserve"> on the right to adequate food and nutrition (HRAFN). The policy formulated in 2008, centered on food security, expired in 2019 and no new policy has been introduced. This contradicts the CRC's 2015 recommendation 40.g in its final conclusions.</w:t>
      </w:r>
    </w:p>
    <w:p w14:paraId="0000008F" w14:textId="5838B714" w:rsidR="00C60456" w:rsidRPr="00F437CC" w:rsidRDefault="00146CB9" w:rsidP="00146CB9">
      <w:pPr>
        <w:spacing w:before="200" w:after="200" w:line="360" w:lineRule="auto"/>
        <w:jc w:val="both"/>
        <w:rPr>
          <w:rFonts w:ascii="Times New Roman" w:eastAsia="Times New Roman" w:hAnsi="Times New Roman" w:cs="Times New Roman"/>
          <w:sz w:val="24"/>
          <w:szCs w:val="24"/>
          <w:lang w:val="en-US"/>
        </w:rPr>
      </w:pPr>
      <w:r w:rsidRPr="00F437CC">
        <w:rPr>
          <w:sz w:val="24"/>
          <w:szCs w:val="24"/>
          <w:lang w:val="en-US"/>
        </w:rPr>
        <w:t xml:space="preserve">Regarding the overall situation, the Committee on Economic, Social, and Cultural Rights expressed concerns in 2017 about food inequality in terms of HRAFN in some regions of </w:t>
      </w:r>
      <w:r w:rsidRPr="00F437CC">
        <w:rPr>
          <w:sz w:val="24"/>
          <w:szCs w:val="24"/>
          <w:lang w:val="en-US"/>
        </w:rPr>
        <w:lastRenderedPageBreak/>
        <w:t>the country and rising rates of overweight and obesity. It also expressed the lack of support for rural and farming populations</w:t>
      </w:r>
      <w:r w:rsidRPr="00F437CC">
        <w:rPr>
          <w:sz w:val="24"/>
          <w:szCs w:val="24"/>
          <w:vertAlign w:val="superscript"/>
          <w:lang w:val="en-US"/>
        </w:rPr>
        <w:footnoteReference w:id="58"/>
      </w:r>
      <w:r w:rsidRPr="00F437CC">
        <w:rPr>
          <w:sz w:val="24"/>
          <w:szCs w:val="24"/>
          <w:lang w:val="en-US"/>
        </w:rPr>
        <w:t>. This translated into a recommendation for the Colombian state to formulate a comprehensive national strategy to protect and promote the HRAFN in order to address food insecurity nationwide, improving smallholder productivity, and intensifying efforts to reduce climate change impacts, among others</w:t>
      </w:r>
      <w:r w:rsidRPr="00F437CC">
        <w:rPr>
          <w:sz w:val="24"/>
          <w:szCs w:val="24"/>
          <w:vertAlign w:val="superscript"/>
          <w:lang w:val="en-US"/>
        </w:rPr>
        <w:footnoteReference w:id="59"/>
      </w:r>
      <w:r w:rsidR="000231F9" w:rsidRPr="00F437CC">
        <w:rPr>
          <w:sz w:val="24"/>
          <w:szCs w:val="24"/>
          <w:lang w:val="en-US"/>
        </w:rPr>
        <w:t>.</w:t>
      </w:r>
    </w:p>
    <w:p w14:paraId="00000090" w14:textId="5DB54FD2" w:rsidR="00C60456" w:rsidRPr="00F437CC" w:rsidRDefault="00146CB9">
      <w:pPr>
        <w:spacing w:after="200" w:line="360" w:lineRule="auto"/>
        <w:jc w:val="both"/>
        <w:rPr>
          <w:sz w:val="24"/>
          <w:szCs w:val="24"/>
          <w:lang w:val="en-US"/>
        </w:rPr>
      </w:pPr>
      <w:r w:rsidRPr="00F437CC">
        <w:rPr>
          <w:sz w:val="24"/>
          <w:szCs w:val="24"/>
          <w:lang w:val="en-US"/>
        </w:rPr>
        <w:t>Another issue related to public food policy is the severe shortcomings of the School Feeding Program (PAE), which has not been designed to guarantee HRAFN but rather to promote school attendance. The program has faced numerous criticisms, including i) systemic corruption associated particularly with contracts for local operators, food costs, and final distributed portions; ii) inadequate and inconsistent coverage;</w:t>
      </w:r>
      <w:r w:rsidRPr="00F437CC">
        <w:rPr>
          <w:sz w:val="24"/>
          <w:szCs w:val="24"/>
          <w:vertAlign w:val="superscript"/>
          <w:lang w:val="en-US"/>
        </w:rPr>
        <w:footnoteReference w:id="60"/>
      </w:r>
      <w:r w:rsidRPr="00F437CC">
        <w:rPr>
          <w:sz w:val="24"/>
          <w:szCs w:val="24"/>
          <w:lang w:val="en-US"/>
        </w:rPr>
        <w:t xml:space="preserve"> iii) lack of culturally appropriate food; iv) excessive distribution of ultra-processed foods  and beverages (UPFs</w:t>
      </w:r>
      <w:r w:rsidR="005D6FCC">
        <w:rPr>
          <w:sz w:val="24"/>
          <w:szCs w:val="24"/>
          <w:lang w:val="en-US"/>
        </w:rPr>
        <w:t>/UPPs</w:t>
      </w:r>
      <w:r w:rsidRPr="00F437CC">
        <w:rPr>
          <w:sz w:val="24"/>
          <w:szCs w:val="24"/>
          <w:lang w:val="en-US"/>
        </w:rPr>
        <w:t>) under a so-called “industrialized portion” modality, which undoubtedly violates the human right to food</w:t>
      </w:r>
      <w:r w:rsidRPr="00F437CC">
        <w:rPr>
          <w:sz w:val="24"/>
          <w:szCs w:val="24"/>
          <w:vertAlign w:val="superscript"/>
          <w:lang w:val="en-US"/>
        </w:rPr>
        <w:footnoteReference w:id="61"/>
      </w:r>
      <w:r w:rsidR="000231F9" w:rsidRPr="00F437CC">
        <w:rPr>
          <w:sz w:val="24"/>
          <w:szCs w:val="24"/>
          <w:lang w:val="en-US"/>
        </w:rPr>
        <w:t>,</w:t>
      </w:r>
      <w:r w:rsidRPr="00F437CC">
        <w:rPr>
          <w:sz w:val="24"/>
          <w:szCs w:val="24"/>
          <w:lang w:val="en-US"/>
        </w:rPr>
        <w:t xml:space="preserve"> and v) the absence of a school food policy with a HRAFN focus. The current administration has expressed its goal to achieve universal PAE</w:t>
      </w:r>
      <w:r w:rsidRPr="00F437CC">
        <w:rPr>
          <w:sz w:val="24"/>
          <w:szCs w:val="24"/>
          <w:vertAlign w:val="superscript"/>
          <w:lang w:val="en-US"/>
        </w:rPr>
        <w:footnoteReference w:id="62"/>
      </w:r>
      <w:r w:rsidR="00CC064B" w:rsidRPr="00F437CC">
        <w:rPr>
          <w:sz w:val="24"/>
          <w:szCs w:val="24"/>
          <w:lang w:val="en-US"/>
        </w:rPr>
        <w:t xml:space="preserve"> coverage in the National Development Plan (PND)</w:t>
      </w:r>
      <w:r w:rsidRPr="00F437CC">
        <w:rPr>
          <w:sz w:val="24"/>
          <w:szCs w:val="24"/>
          <w:lang w:val="en-US"/>
        </w:rPr>
        <w:t xml:space="preserve">, but it remains unclear how many of the issues mentioned above have been resolved, especially regarding children's exposure to UPPs in industrialized portions.  </w:t>
      </w:r>
    </w:p>
    <w:p w14:paraId="00000091" w14:textId="26B33CF2" w:rsidR="00C60456" w:rsidRPr="00F437CC" w:rsidRDefault="00A74445" w:rsidP="00924EFA">
      <w:pPr>
        <w:pStyle w:val="Heading3"/>
        <w:rPr>
          <w:lang w:val="en-US"/>
        </w:rPr>
      </w:pPr>
      <w:bookmarkStart w:id="30" w:name="_Toc181289450"/>
      <w:bookmarkStart w:id="31" w:name="_Toc181285170"/>
      <w:r w:rsidRPr="00F437CC">
        <w:rPr>
          <w:lang w:val="en-US"/>
        </w:rPr>
        <w:t xml:space="preserve">3.1.1. </w:t>
      </w:r>
      <w:r w:rsidR="00146CB9" w:rsidRPr="00F437CC">
        <w:rPr>
          <w:lang w:val="en-US"/>
        </w:rPr>
        <w:t>The State Lacks a Periodic Monitoring System to Follow up on Food Security</w:t>
      </w:r>
      <w:bookmarkEnd w:id="30"/>
      <w:r w:rsidR="00146CB9" w:rsidRPr="00F437CC">
        <w:rPr>
          <w:lang w:val="en-US"/>
        </w:rPr>
        <w:t xml:space="preserve"> </w:t>
      </w:r>
      <w:bookmarkEnd w:id="31"/>
    </w:p>
    <w:p w14:paraId="00000093" w14:textId="07F6AB73" w:rsidR="00C60456" w:rsidRPr="00F437CC" w:rsidRDefault="00146CB9" w:rsidP="00924EFA">
      <w:pPr>
        <w:spacing w:line="360" w:lineRule="auto"/>
        <w:jc w:val="both"/>
        <w:rPr>
          <w:sz w:val="24"/>
          <w:szCs w:val="24"/>
          <w:lang w:val="en-US"/>
        </w:rPr>
      </w:pPr>
      <w:r w:rsidRPr="00F437CC">
        <w:rPr>
          <w:sz w:val="24"/>
          <w:szCs w:val="24"/>
          <w:lang w:val="en-US"/>
        </w:rPr>
        <w:t xml:space="preserve">There is concern over the State's failure to conduct thorough and regular monitoring to adequately follow up on the HRAFN situation in the country. The most recent integrated </w:t>
      </w:r>
      <w:r w:rsidRPr="00F437CC">
        <w:rPr>
          <w:sz w:val="24"/>
          <w:szCs w:val="24"/>
          <w:lang w:val="en-US"/>
        </w:rPr>
        <w:lastRenderedPageBreak/>
        <w:t>official data comes from the 2015 National Nutritional Situation Survey (ENSIN)</w:t>
      </w:r>
      <w:r w:rsidRPr="00F437CC">
        <w:rPr>
          <w:sz w:val="24"/>
          <w:szCs w:val="24"/>
          <w:vertAlign w:val="superscript"/>
          <w:lang w:val="en-US"/>
        </w:rPr>
        <w:footnoteReference w:id="63"/>
      </w:r>
      <w:r w:rsidR="000231F9" w:rsidRPr="00F437CC">
        <w:rPr>
          <w:sz w:val="24"/>
          <w:szCs w:val="24"/>
          <w:lang w:val="en-US"/>
        </w:rPr>
        <w:t>,</w:t>
      </w:r>
      <w:r w:rsidRPr="00F437CC">
        <w:rPr>
          <w:sz w:val="24"/>
          <w:szCs w:val="24"/>
          <w:lang w:val="en-US"/>
        </w:rPr>
        <w:t xml:space="preserve"> whose results were released only in 2018 and 2019. Only with the new PND (Article 215) has there been a proposal to implement a National Monitoring and Follow up System to Address Malnutrition</w:t>
      </w:r>
      <w:r w:rsidRPr="00F437CC">
        <w:rPr>
          <w:sz w:val="24"/>
          <w:szCs w:val="24"/>
          <w:vertAlign w:val="superscript"/>
          <w:lang w:val="en-US"/>
        </w:rPr>
        <w:footnoteReference w:id="64"/>
      </w:r>
      <w:r w:rsidRPr="00F437CC">
        <w:rPr>
          <w:sz w:val="24"/>
          <w:szCs w:val="24"/>
          <w:lang w:val="en-US"/>
        </w:rPr>
        <w:t>, prioritizing the monitoring of boys and girls. Unfortunately, ENSIN has yet to be conducted in the country.</w:t>
      </w:r>
    </w:p>
    <w:p w14:paraId="00000094" w14:textId="262032E5" w:rsidR="00C60456" w:rsidRPr="00F437CC" w:rsidRDefault="00A74445" w:rsidP="00924EFA">
      <w:pPr>
        <w:pStyle w:val="Heading3"/>
        <w:rPr>
          <w:lang w:val="en-US"/>
        </w:rPr>
      </w:pPr>
      <w:bookmarkStart w:id="32" w:name="_Toc181289451"/>
      <w:bookmarkStart w:id="33" w:name="_Toc181285171"/>
      <w:r w:rsidRPr="00F437CC">
        <w:rPr>
          <w:lang w:val="en-US"/>
        </w:rPr>
        <w:t xml:space="preserve">3.1.2.  </w:t>
      </w:r>
      <w:r w:rsidR="00146CB9" w:rsidRPr="00F437CC">
        <w:rPr>
          <w:lang w:val="en-US"/>
        </w:rPr>
        <w:t>Food Insecurity</w:t>
      </w:r>
      <w:bookmarkEnd w:id="32"/>
      <w:r w:rsidR="00146CB9" w:rsidRPr="00F437CC">
        <w:rPr>
          <w:lang w:val="en-US"/>
        </w:rPr>
        <w:t xml:space="preserve"> </w:t>
      </w:r>
      <w:bookmarkEnd w:id="33"/>
    </w:p>
    <w:p w14:paraId="00000095" w14:textId="4D72690B" w:rsidR="00C60456" w:rsidRPr="00F437CC" w:rsidRDefault="00146CB9">
      <w:pPr>
        <w:spacing w:line="360" w:lineRule="auto"/>
        <w:jc w:val="both"/>
        <w:rPr>
          <w:sz w:val="24"/>
          <w:szCs w:val="24"/>
          <w:lang w:val="en-US"/>
        </w:rPr>
      </w:pPr>
      <w:r w:rsidRPr="00F437CC">
        <w:rPr>
          <w:sz w:val="24"/>
          <w:szCs w:val="24"/>
          <w:lang w:val="en-US"/>
        </w:rPr>
        <w:t xml:space="preserve">Based on data collected in 2015, 54.2% of Colombian households were reported to suffer from food insecurity. This violation of the Human Right to Adequate Food and Nutrition (HRAFN) has various impacts on the nutrition and health of </w:t>
      </w:r>
      <w:r w:rsidR="00880BA9">
        <w:rPr>
          <w:sz w:val="24"/>
          <w:szCs w:val="24"/>
          <w:lang w:val="en-US"/>
        </w:rPr>
        <w:t>NNA</w:t>
      </w:r>
      <w:r w:rsidRPr="00F437CC">
        <w:rPr>
          <w:sz w:val="24"/>
          <w:szCs w:val="24"/>
          <w:lang w:val="en-US"/>
        </w:rPr>
        <w:t>. In terms of growth stunting in boys and girls aged 0 to 4, the national prevalence is 10.8%, with higher rates among children in rural areas, indigenous communities, and those in the lowest wealth index. It is noteworthy that stunted growth is an indicator of chronic malnutrition and signifies prolonged periods of food deprivation. A more recent report by the World Food Program (2024) indicates that severe, moderate, and marginal food insecurity together affected 76% of Colombian households in 2023</w:t>
      </w:r>
      <w:r w:rsidRPr="00F437CC">
        <w:rPr>
          <w:sz w:val="24"/>
          <w:szCs w:val="24"/>
          <w:vertAlign w:val="superscript"/>
          <w:lang w:val="en-US"/>
        </w:rPr>
        <w:footnoteReference w:id="65"/>
      </w:r>
      <w:r w:rsidR="000231F9" w:rsidRPr="00F437CC">
        <w:rPr>
          <w:sz w:val="24"/>
          <w:szCs w:val="24"/>
          <w:lang w:val="en-US"/>
        </w:rPr>
        <w:t>.</w:t>
      </w:r>
    </w:p>
    <w:p w14:paraId="353F8FFA" w14:textId="77777777" w:rsidR="00CC064B" w:rsidRPr="00F437CC" w:rsidRDefault="00CC064B">
      <w:pPr>
        <w:spacing w:line="360" w:lineRule="auto"/>
        <w:jc w:val="both"/>
        <w:rPr>
          <w:sz w:val="14"/>
          <w:szCs w:val="14"/>
          <w:lang w:val="en-US"/>
        </w:rPr>
      </w:pPr>
    </w:p>
    <w:p w14:paraId="00000096" w14:textId="6D72FB41" w:rsidR="00C60456" w:rsidRPr="00F437CC" w:rsidRDefault="004856EF">
      <w:pPr>
        <w:spacing w:line="360" w:lineRule="auto"/>
        <w:jc w:val="both"/>
        <w:rPr>
          <w:sz w:val="24"/>
          <w:szCs w:val="24"/>
          <w:lang w:val="en-US"/>
        </w:rPr>
      </w:pPr>
      <w:r w:rsidRPr="00F437CC">
        <w:rPr>
          <w:sz w:val="24"/>
          <w:szCs w:val="24"/>
          <w:lang w:val="en-US"/>
        </w:rPr>
        <w:t>As for malnutrition-related mortality, in 2023, 244 boys and girls died from malnutrition, and by the fourth epidemiological week of 2024, 12 cases had already been confirmed in children under five, with the highest numbers in Chocó (4), La Guajira (2), and Risaralda (2</w:t>
      </w:r>
      <w:r w:rsidRPr="00F437CC">
        <w:rPr>
          <w:rFonts w:ascii="Roboto" w:eastAsia="Roboto" w:hAnsi="Roboto" w:cs="Roboto"/>
          <w:color w:val="212529"/>
          <w:sz w:val="24"/>
          <w:szCs w:val="24"/>
          <w:lang w:val="en-US"/>
        </w:rPr>
        <w:t>)</w:t>
      </w:r>
      <w:r w:rsidRPr="00F437CC">
        <w:rPr>
          <w:sz w:val="24"/>
          <w:szCs w:val="24"/>
          <w:vertAlign w:val="superscript"/>
          <w:lang w:val="en-US"/>
        </w:rPr>
        <w:footnoteReference w:id="66"/>
      </w:r>
      <w:r w:rsidRPr="00F437CC">
        <w:rPr>
          <w:sz w:val="24"/>
          <w:szCs w:val="24"/>
          <w:lang w:val="en-US"/>
        </w:rPr>
        <w:t xml:space="preserve">. In 2023, the most affected department was La Guajira, precisely where the </w:t>
      </w:r>
      <w:r w:rsidR="005D6FCC">
        <w:rPr>
          <w:sz w:val="24"/>
          <w:szCs w:val="24"/>
          <w:lang w:val="en-US"/>
        </w:rPr>
        <w:t>S</w:t>
      </w:r>
      <w:r w:rsidRPr="00F437CC">
        <w:rPr>
          <w:sz w:val="24"/>
          <w:szCs w:val="24"/>
          <w:lang w:val="en-US"/>
        </w:rPr>
        <w:t xml:space="preserve">tate’s “Ni 1+” (Not One More) strategy has been focused. This initiative was only implemented </w:t>
      </w:r>
      <w:r w:rsidRPr="00F437CC">
        <w:rPr>
          <w:sz w:val="24"/>
          <w:szCs w:val="24"/>
          <w:lang w:val="en-US"/>
        </w:rPr>
        <w:lastRenderedPageBreak/>
        <w:t>after the severe hunger crisis prompted the Inter-American Commission on Human Rights (IACHR) to issue precautionary measures in 2015,</w:t>
      </w:r>
      <w:r w:rsidRPr="00F437CC">
        <w:rPr>
          <w:sz w:val="24"/>
          <w:szCs w:val="24"/>
          <w:vertAlign w:val="superscript"/>
          <w:lang w:val="en-US"/>
        </w:rPr>
        <w:footnoteReference w:id="67"/>
      </w:r>
      <w:r w:rsidRPr="00F437CC">
        <w:rPr>
          <w:sz w:val="24"/>
          <w:szCs w:val="24"/>
          <w:lang w:val="en-US"/>
        </w:rPr>
        <w:t xml:space="preserve"> which were extended in 2017 to include pregnant and breastfeeding women in severe malnutritio</w:t>
      </w:r>
      <w:r w:rsidR="00FC4E02" w:rsidRPr="00F437CC">
        <w:rPr>
          <w:sz w:val="24"/>
          <w:szCs w:val="24"/>
          <w:lang w:val="en-US"/>
        </w:rPr>
        <w:t>n,</w:t>
      </w:r>
      <w:r w:rsidR="00FC4E02" w:rsidRPr="00F437CC">
        <w:rPr>
          <w:sz w:val="24"/>
          <w:szCs w:val="24"/>
          <w:vertAlign w:val="superscript"/>
          <w:lang w:val="en-US"/>
        </w:rPr>
        <w:footnoteReference w:id="68"/>
      </w:r>
      <w:r w:rsidRPr="00F437CC">
        <w:rPr>
          <w:sz w:val="24"/>
          <w:szCs w:val="24"/>
          <w:lang w:val="en-US"/>
        </w:rPr>
        <w:t>, and the Colombian Constitutional Court to declare State of Unconstitutional Affairs in 2017.</w:t>
      </w:r>
      <w:r w:rsidRPr="00F437CC">
        <w:rPr>
          <w:sz w:val="24"/>
          <w:szCs w:val="24"/>
          <w:vertAlign w:val="superscript"/>
          <w:lang w:val="en-US"/>
        </w:rPr>
        <w:footnoteReference w:id="69"/>
      </w:r>
      <w:r w:rsidRPr="00F437CC">
        <w:rPr>
          <w:sz w:val="24"/>
          <w:szCs w:val="24"/>
          <w:lang w:val="en-US"/>
        </w:rPr>
        <w:t xml:space="preserve"> These court orders have not been fully enforced</w:t>
      </w:r>
      <w:r w:rsidRPr="00F437CC">
        <w:rPr>
          <w:sz w:val="24"/>
          <w:szCs w:val="24"/>
          <w:vertAlign w:val="superscript"/>
          <w:lang w:val="en-US"/>
        </w:rPr>
        <w:footnoteReference w:id="70"/>
      </w:r>
      <w:r w:rsidRPr="00F437CC">
        <w:rPr>
          <w:sz w:val="24"/>
          <w:szCs w:val="24"/>
          <w:lang w:val="en-US"/>
        </w:rPr>
        <w:t xml:space="preserve"> and the Court itself deemed unconstitutional an emergency measure that was intended to facilitate unconditional transfers to aid families affected by the water and food crisis</w:t>
      </w:r>
      <w:r w:rsidRPr="00F437CC">
        <w:rPr>
          <w:sz w:val="24"/>
          <w:szCs w:val="24"/>
          <w:vertAlign w:val="superscript"/>
          <w:lang w:val="en-US"/>
        </w:rPr>
        <w:footnoteReference w:id="71"/>
      </w:r>
      <w:r w:rsidRPr="00F437CC">
        <w:rPr>
          <w:sz w:val="24"/>
          <w:szCs w:val="24"/>
          <w:lang w:val="en-US"/>
        </w:rPr>
        <w:t xml:space="preserve">. </w:t>
      </w:r>
    </w:p>
    <w:p w14:paraId="00000097" w14:textId="77777777" w:rsidR="00C60456" w:rsidRPr="00F437CC" w:rsidRDefault="00C60456">
      <w:pPr>
        <w:spacing w:line="360" w:lineRule="auto"/>
        <w:jc w:val="both"/>
        <w:rPr>
          <w:sz w:val="24"/>
          <w:szCs w:val="24"/>
          <w:lang w:val="en-US"/>
        </w:rPr>
      </w:pPr>
    </w:p>
    <w:p w14:paraId="00000098" w14:textId="5FDE80EA" w:rsidR="00C60456" w:rsidRPr="00F437CC" w:rsidRDefault="004856EF">
      <w:pPr>
        <w:spacing w:line="360" w:lineRule="auto"/>
        <w:jc w:val="both"/>
        <w:rPr>
          <w:sz w:val="24"/>
          <w:szCs w:val="24"/>
          <w:lang w:val="en-US"/>
        </w:rPr>
      </w:pPr>
      <w:r w:rsidRPr="00F437CC">
        <w:rPr>
          <w:sz w:val="24"/>
          <w:szCs w:val="24"/>
          <w:lang w:val="en-US"/>
        </w:rPr>
        <w:t>A similar hunger crisis affects migrant children. Among those with intent to stay in the country, 2.8% of children under five suffer from acute malnutrition, 17.5% from chronic malnutrition, and 44% of boys and girls between 0 and 59 months have anemia</w:t>
      </w:r>
      <w:r w:rsidRPr="00F437CC">
        <w:rPr>
          <w:sz w:val="24"/>
          <w:szCs w:val="24"/>
          <w:vertAlign w:val="superscript"/>
          <w:lang w:val="en-US"/>
        </w:rPr>
        <w:footnoteReference w:id="72"/>
      </w:r>
      <w:r w:rsidR="000231F9" w:rsidRPr="00F437CC">
        <w:rPr>
          <w:sz w:val="24"/>
          <w:szCs w:val="24"/>
          <w:lang w:val="en-US"/>
        </w:rPr>
        <w:t>.</w:t>
      </w:r>
    </w:p>
    <w:p w14:paraId="0000009A" w14:textId="3D1F5414" w:rsidR="00C60456" w:rsidRPr="00F437CC" w:rsidRDefault="00A74445" w:rsidP="00924EFA">
      <w:pPr>
        <w:pStyle w:val="Heading3"/>
        <w:rPr>
          <w:lang w:val="en-US"/>
        </w:rPr>
      </w:pPr>
      <w:bookmarkStart w:id="34" w:name="_Toc181285172"/>
      <w:bookmarkStart w:id="35" w:name="_Toc181289452"/>
      <w:r w:rsidRPr="00F437CC">
        <w:rPr>
          <w:lang w:val="en-US"/>
        </w:rPr>
        <w:t>3</w:t>
      </w:r>
      <w:r w:rsidR="00924EFA" w:rsidRPr="00F437CC">
        <w:rPr>
          <w:lang w:val="en-US"/>
        </w:rPr>
        <w:t>.</w:t>
      </w:r>
      <w:r w:rsidRPr="00F437CC">
        <w:rPr>
          <w:lang w:val="en-US"/>
        </w:rPr>
        <w:t>1.3. Malnutri</w:t>
      </w:r>
      <w:r w:rsidR="004856EF" w:rsidRPr="00F437CC">
        <w:rPr>
          <w:lang w:val="en-US"/>
        </w:rPr>
        <w:t>tio</w:t>
      </w:r>
      <w:r w:rsidRPr="00F437CC">
        <w:rPr>
          <w:lang w:val="en-US"/>
        </w:rPr>
        <w:t>n</w:t>
      </w:r>
      <w:bookmarkEnd w:id="34"/>
      <w:bookmarkEnd w:id="35"/>
    </w:p>
    <w:p w14:paraId="0000009B" w14:textId="5A1CEDBF" w:rsidR="00C60456" w:rsidRPr="00F437CC" w:rsidRDefault="003923B2">
      <w:pPr>
        <w:spacing w:line="360" w:lineRule="auto"/>
        <w:jc w:val="both"/>
        <w:rPr>
          <w:sz w:val="24"/>
          <w:szCs w:val="24"/>
          <w:lang w:val="en-US"/>
        </w:rPr>
      </w:pPr>
      <w:r w:rsidRPr="00F437CC">
        <w:rPr>
          <w:sz w:val="24"/>
          <w:szCs w:val="24"/>
          <w:lang w:val="en-US"/>
        </w:rPr>
        <w:t xml:space="preserve">Malnutrition, including cases of excess weight, affects 6.4% of boys and girls aged 0 to 4. Among boys and girls aged 5 to 12, one in four is overweight; similarly, 17.9% of </w:t>
      </w:r>
      <w:r w:rsidR="00880BA9">
        <w:rPr>
          <w:sz w:val="24"/>
          <w:szCs w:val="24"/>
          <w:lang w:val="en-US"/>
        </w:rPr>
        <w:t>NNA</w:t>
      </w:r>
      <w:r w:rsidRPr="00F437CC">
        <w:rPr>
          <w:sz w:val="24"/>
          <w:szCs w:val="24"/>
          <w:lang w:val="en-US"/>
        </w:rPr>
        <w:t xml:space="preserve"> aged 13 to 17 have this condition. This trend has been clearly growing since 2005 when the prevalence rates were 14.4% and 12.5%, respectively. All these rates have increased compared to the previous year</w:t>
      </w:r>
      <w:r w:rsidRPr="00F437CC">
        <w:rPr>
          <w:sz w:val="24"/>
          <w:szCs w:val="24"/>
          <w:vertAlign w:val="superscript"/>
          <w:lang w:val="en-US"/>
        </w:rPr>
        <w:footnoteReference w:id="73"/>
      </w:r>
      <w:r w:rsidR="000231F9" w:rsidRPr="00F437CC">
        <w:rPr>
          <w:sz w:val="24"/>
          <w:szCs w:val="24"/>
          <w:lang w:val="en-US"/>
        </w:rPr>
        <w:t>,</w:t>
      </w:r>
      <w:r w:rsidRPr="00F437CC">
        <w:rPr>
          <w:sz w:val="24"/>
          <w:szCs w:val="24"/>
          <w:lang w:val="en-US"/>
        </w:rPr>
        <w:t xml:space="preserve"> and it must be noted that excess weight is linked to the onset of chronic non-communicable diseases, which are the primary public health issue in Colombia and globally. Among migrant children with intent to stay, 14.5% of boys and </w:t>
      </w:r>
      <w:r w:rsidRPr="00F437CC">
        <w:rPr>
          <w:sz w:val="24"/>
          <w:szCs w:val="24"/>
          <w:lang w:val="en-US"/>
        </w:rPr>
        <w:lastRenderedPageBreak/>
        <w:t>girls aged 24 to 59 months are obese, overweight, or at risk of becoming overweight, and this rate increases to 24.2% for infants between 0 and 23 months</w:t>
      </w:r>
      <w:r w:rsidRPr="00F437CC">
        <w:rPr>
          <w:sz w:val="24"/>
          <w:szCs w:val="24"/>
          <w:vertAlign w:val="superscript"/>
          <w:lang w:val="en-US"/>
        </w:rPr>
        <w:footnoteReference w:id="74"/>
      </w:r>
      <w:r w:rsidR="000231F9" w:rsidRPr="00F437CC">
        <w:rPr>
          <w:sz w:val="24"/>
          <w:szCs w:val="24"/>
          <w:lang w:val="en-US"/>
        </w:rPr>
        <w:t>.</w:t>
      </w:r>
    </w:p>
    <w:p w14:paraId="29CED942" w14:textId="77777777" w:rsidR="003923B2" w:rsidRPr="00F437CC" w:rsidRDefault="003923B2">
      <w:pPr>
        <w:spacing w:line="360" w:lineRule="auto"/>
        <w:jc w:val="both"/>
        <w:rPr>
          <w:rFonts w:ascii="Calibri" w:eastAsia="Calibri" w:hAnsi="Calibri" w:cs="Calibri"/>
          <w:sz w:val="20"/>
          <w:szCs w:val="20"/>
          <w:lang w:val="en-US"/>
        </w:rPr>
      </w:pPr>
    </w:p>
    <w:p w14:paraId="794AE83F" w14:textId="4F59DEDB" w:rsidR="003923B2" w:rsidRPr="003923B2" w:rsidRDefault="003923B2" w:rsidP="003923B2">
      <w:pPr>
        <w:spacing w:line="360" w:lineRule="auto"/>
        <w:jc w:val="both"/>
        <w:rPr>
          <w:sz w:val="24"/>
          <w:szCs w:val="24"/>
          <w:lang w:val="en-US"/>
        </w:rPr>
      </w:pPr>
      <w:r w:rsidRPr="003923B2">
        <w:rPr>
          <w:sz w:val="24"/>
          <w:szCs w:val="24"/>
          <w:lang w:val="en-US"/>
        </w:rPr>
        <w:t xml:space="preserve">One approach to combating malnutrition is through the regulation of advertising, promotion, and consumption of ultra-processed foods and beverages that contain excessive amounts of critical nutrients (added sugars or substitutes, sodium, saturated and trans fats), as well as many preservatives, colorings, and other additives whose safety is scientifically uncertain. The advertising of ultra-processed foods and beverages mainly targets children and adolescents to foster addiction to these harmful products and increase corporate profit. This advertising, including pervasive digital marketing, targets </w:t>
      </w:r>
      <w:r w:rsidR="00880BA9">
        <w:rPr>
          <w:sz w:val="24"/>
          <w:szCs w:val="24"/>
          <w:lang w:val="en-US"/>
        </w:rPr>
        <w:t>NNA</w:t>
      </w:r>
      <w:r w:rsidRPr="003923B2">
        <w:rPr>
          <w:sz w:val="24"/>
          <w:szCs w:val="24"/>
          <w:lang w:val="en-US"/>
        </w:rPr>
        <w:t xml:space="preserve"> in both private and public spaces without any significant control from the State, which highlights the prioritization of business activities over children’s well-being. This is facilitated by corporate capture and industry interference, which became widely evident in the previous and subsequent challenges against Law 2120 of 2021 (the warning-labeling law on the risks of UPPs) and taxes on these products, which were recently approved in the latest tax reform. </w:t>
      </w:r>
    </w:p>
    <w:p w14:paraId="49BCBF15" w14:textId="77777777" w:rsidR="003923B2" w:rsidRPr="003923B2" w:rsidRDefault="003923B2" w:rsidP="003923B2">
      <w:pPr>
        <w:spacing w:line="360" w:lineRule="auto"/>
        <w:jc w:val="both"/>
        <w:rPr>
          <w:sz w:val="14"/>
          <w:szCs w:val="14"/>
          <w:lang w:val="en-US"/>
        </w:rPr>
      </w:pPr>
    </w:p>
    <w:p w14:paraId="0000009E" w14:textId="2A3A7516" w:rsidR="00C60456" w:rsidRPr="00F437CC" w:rsidRDefault="003923B2" w:rsidP="003923B2">
      <w:pPr>
        <w:spacing w:line="360" w:lineRule="auto"/>
        <w:jc w:val="both"/>
        <w:rPr>
          <w:sz w:val="24"/>
          <w:szCs w:val="24"/>
          <w:lang w:val="en-US"/>
        </w:rPr>
      </w:pPr>
      <w:r w:rsidRPr="00F437CC">
        <w:rPr>
          <w:sz w:val="24"/>
          <w:szCs w:val="24"/>
          <w:lang w:val="en-US"/>
        </w:rPr>
        <w:t xml:space="preserve">The </w:t>
      </w:r>
      <w:r w:rsidR="00FC4E02" w:rsidRPr="00F437CC">
        <w:rPr>
          <w:sz w:val="24"/>
          <w:szCs w:val="24"/>
          <w:lang w:val="en-US"/>
        </w:rPr>
        <w:t>S</w:t>
      </w:r>
      <w:r w:rsidRPr="00F437CC">
        <w:rPr>
          <w:sz w:val="24"/>
          <w:szCs w:val="24"/>
          <w:lang w:val="en-US"/>
        </w:rPr>
        <w:t xml:space="preserve">tate has yet to properly monitor these initiatives, educate the public on their importance, and expand the necessary measures to stop the continuous violations of the rights to food and health by corporations. Among these urgent measures are the need to regulate UPPs advertising targeted at boys and girls; ensure all educational institutions in the country provide healthy food environments free of these products and their advertising; and prevent the distribution of UPPs or the violation of children's right to food, due to their vulnerable situation, in both public and private food assistance programs, including food banks. </w:t>
      </w:r>
    </w:p>
    <w:p w14:paraId="0000009F" w14:textId="6F0969A3" w:rsidR="00C60456" w:rsidRPr="00F437CC" w:rsidRDefault="00A74445" w:rsidP="00924EFA">
      <w:pPr>
        <w:pStyle w:val="Heading3"/>
        <w:rPr>
          <w:rStyle w:val="SubtleEmphasis"/>
          <w:i/>
          <w:iCs w:val="0"/>
          <w:color w:val="365F91" w:themeColor="accent1" w:themeShade="BF"/>
          <w:lang w:val="en-US"/>
        </w:rPr>
      </w:pPr>
      <w:bookmarkStart w:id="36" w:name="_Toc181285173"/>
      <w:bookmarkStart w:id="37" w:name="_Toc181289453"/>
      <w:r w:rsidRPr="00F437CC">
        <w:rPr>
          <w:rStyle w:val="SubtleEmphasis"/>
          <w:i/>
          <w:iCs w:val="0"/>
          <w:color w:val="365F91" w:themeColor="accent1" w:themeShade="BF"/>
          <w:lang w:val="en-US"/>
        </w:rPr>
        <w:t xml:space="preserve">3.1.4.  </w:t>
      </w:r>
      <w:r w:rsidR="003923B2" w:rsidRPr="00F437CC">
        <w:rPr>
          <w:lang w:val="en-US"/>
        </w:rPr>
        <w:t>Breastfeeding</w:t>
      </w:r>
      <w:bookmarkEnd w:id="36"/>
      <w:bookmarkEnd w:id="37"/>
    </w:p>
    <w:p w14:paraId="000000A0" w14:textId="0C3A134A" w:rsidR="00C60456" w:rsidRPr="00F437CC" w:rsidRDefault="003923B2">
      <w:pPr>
        <w:spacing w:line="360" w:lineRule="auto"/>
        <w:jc w:val="both"/>
        <w:rPr>
          <w:sz w:val="40"/>
          <w:szCs w:val="40"/>
          <w:vertAlign w:val="superscript"/>
          <w:lang w:val="en-US"/>
        </w:rPr>
      </w:pPr>
      <w:r w:rsidRPr="00F437CC">
        <w:rPr>
          <w:sz w:val="24"/>
          <w:szCs w:val="24"/>
          <w:lang w:val="en-US"/>
        </w:rPr>
        <w:t xml:space="preserve">This Committee expressly recommended the Colombian State to strengthen breastfeeding promotion initiatives through educational campaigns and training of </w:t>
      </w:r>
      <w:r w:rsidRPr="00F437CC">
        <w:rPr>
          <w:sz w:val="24"/>
          <w:szCs w:val="24"/>
          <w:lang w:val="en-US"/>
        </w:rPr>
        <w:lastRenderedPageBreak/>
        <w:t>professionals, as well as adequately implement the International Marketing Code for Breast-milk Substitutes and the "Baby-Friendly Hospitals" program</w:t>
      </w:r>
      <w:r w:rsidRPr="00F437CC">
        <w:rPr>
          <w:sz w:val="24"/>
          <w:szCs w:val="24"/>
          <w:vertAlign w:val="superscript"/>
          <w:lang w:val="en-US"/>
        </w:rPr>
        <w:footnoteReference w:id="75"/>
      </w:r>
      <w:r w:rsidR="000231F9" w:rsidRPr="00F437CC">
        <w:rPr>
          <w:sz w:val="24"/>
          <w:szCs w:val="24"/>
          <w:lang w:val="en-US"/>
        </w:rPr>
        <w:t>.</w:t>
      </w:r>
    </w:p>
    <w:p w14:paraId="000000A1" w14:textId="6FCA2172" w:rsidR="00C60456" w:rsidRPr="00F437CC" w:rsidRDefault="003923B2">
      <w:pPr>
        <w:spacing w:after="200" w:line="360" w:lineRule="auto"/>
        <w:jc w:val="both"/>
        <w:rPr>
          <w:sz w:val="24"/>
          <w:szCs w:val="24"/>
          <w:lang w:val="en-US"/>
        </w:rPr>
      </w:pPr>
      <w:r w:rsidRPr="00F437CC">
        <w:rPr>
          <w:sz w:val="24"/>
          <w:szCs w:val="24"/>
          <w:lang w:val="en-US"/>
        </w:rPr>
        <w:t>International health organizations and the conflict-free scientific community have consistently highlighted the importance of exclusive breastfeeding during the first six months of life for brain, cognitive, immune, emotional, and physical development, as well as breastfeeding up to 24 months. Therefore, feeding infants with breast-milk substitutes should be avoided to the greatest extent possible.</w:t>
      </w:r>
    </w:p>
    <w:p w14:paraId="20482E1F" w14:textId="39ABBED5" w:rsidR="003923B2" w:rsidRPr="003923B2" w:rsidRDefault="003923B2" w:rsidP="003923B2">
      <w:pPr>
        <w:spacing w:line="360" w:lineRule="auto"/>
        <w:jc w:val="both"/>
        <w:rPr>
          <w:sz w:val="24"/>
          <w:szCs w:val="24"/>
          <w:lang w:val="en-US"/>
        </w:rPr>
      </w:pPr>
      <w:r w:rsidRPr="003923B2">
        <w:rPr>
          <w:sz w:val="24"/>
          <w:szCs w:val="24"/>
          <w:lang w:val="en-US"/>
        </w:rPr>
        <w:t xml:space="preserve">Unfortunately, by 2015, only 36.1% of </w:t>
      </w:r>
      <w:r w:rsidR="00880BA9">
        <w:rPr>
          <w:sz w:val="24"/>
          <w:szCs w:val="24"/>
          <w:lang w:val="en-US"/>
        </w:rPr>
        <w:t>NNA</w:t>
      </w:r>
      <w:r w:rsidRPr="003923B2">
        <w:rPr>
          <w:sz w:val="24"/>
          <w:szCs w:val="24"/>
          <w:lang w:val="en-US"/>
        </w:rPr>
        <w:t xml:space="preserve"> had been exclusively breastfed, nearly 10 percentage points lower than in 2005 (46.8%). One of the most alarming findings from the National Nutritional Situation Survey in Colombia (ENSIN) is that 41.6% of mothers reported being advised to use breast-milk substitutes, with 79.1% of these recommendations coming from health professionals. The decline in exclusive breastfeeding over such a short period is irrefutable evidence of the State’s lack of political will, combined with real and forceful actions, to protect infant nutrition from corporate influence that promotes substitutes. This also contradicts Article 6 of the International Marketing Code for Breast-milk Substitutes.</w:t>
      </w:r>
    </w:p>
    <w:p w14:paraId="0C1E1EDA" w14:textId="77777777" w:rsidR="003923B2" w:rsidRPr="003923B2" w:rsidRDefault="003923B2" w:rsidP="003923B2">
      <w:pPr>
        <w:spacing w:line="360" w:lineRule="auto"/>
        <w:jc w:val="both"/>
        <w:rPr>
          <w:sz w:val="14"/>
          <w:szCs w:val="14"/>
          <w:lang w:val="en-US"/>
        </w:rPr>
      </w:pPr>
    </w:p>
    <w:p w14:paraId="000000A4" w14:textId="7A923E86" w:rsidR="00C60456" w:rsidRPr="00F437CC" w:rsidRDefault="003923B2" w:rsidP="003923B2">
      <w:pPr>
        <w:spacing w:line="360" w:lineRule="auto"/>
        <w:jc w:val="both"/>
        <w:rPr>
          <w:sz w:val="24"/>
          <w:szCs w:val="24"/>
          <w:lang w:val="en-US"/>
        </w:rPr>
      </w:pPr>
      <w:r w:rsidRPr="00F437CC">
        <w:rPr>
          <w:sz w:val="24"/>
          <w:szCs w:val="24"/>
          <w:lang w:val="en-US"/>
        </w:rPr>
        <w:t>Similarly, it is impossible to determine the impacts of the actions cited by the Colombian government in paragraph 98 of the State report to the Committee on the Rights of the Child, submitted in 2021, because the National Public Policy on Breastfeeding and Complementary Feeding only recently came into effect, and the country lacks complete, comprehensive, regular, and frequent analyses of its food and nutritional situation.</w:t>
      </w:r>
    </w:p>
    <w:p w14:paraId="000000A5" w14:textId="77777777" w:rsidR="00C60456" w:rsidRPr="00F437CC" w:rsidRDefault="00A74445">
      <w:pPr>
        <w:spacing w:line="360" w:lineRule="auto"/>
        <w:jc w:val="both"/>
        <w:rPr>
          <w:sz w:val="24"/>
          <w:szCs w:val="24"/>
          <w:lang w:val="en-US"/>
        </w:rPr>
      </w:pPr>
      <w:r w:rsidRPr="00F437CC">
        <w:rPr>
          <w:sz w:val="24"/>
          <w:szCs w:val="24"/>
          <w:lang w:val="en-US"/>
        </w:rPr>
        <w:t xml:space="preserve"> </w:t>
      </w:r>
    </w:p>
    <w:p w14:paraId="000000A6" w14:textId="376D76C8" w:rsidR="00C60456" w:rsidRPr="00F437CC" w:rsidRDefault="00A74445">
      <w:pPr>
        <w:spacing w:line="360" w:lineRule="auto"/>
        <w:jc w:val="both"/>
        <w:rPr>
          <w:sz w:val="24"/>
          <w:szCs w:val="24"/>
          <w:u w:val="single"/>
          <w:lang w:val="en-US"/>
        </w:rPr>
      </w:pPr>
      <w:r w:rsidRPr="00F437CC">
        <w:rPr>
          <w:sz w:val="24"/>
          <w:szCs w:val="24"/>
          <w:u w:val="single"/>
          <w:lang w:val="en-US"/>
        </w:rPr>
        <w:t>Reco</w:t>
      </w:r>
      <w:r w:rsidR="003923B2" w:rsidRPr="00F437CC">
        <w:rPr>
          <w:sz w:val="24"/>
          <w:szCs w:val="24"/>
          <w:u w:val="single"/>
          <w:lang w:val="en-US"/>
        </w:rPr>
        <w:t>m</w:t>
      </w:r>
      <w:r w:rsidRPr="00F437CC">
        <w:rPr>
          <w:sz w:val="24"/>
          <w:szCs w:val="24"/>
          <w:u w:val="single"/>
          <w:lang w:val="en-US"/>
        </w:rPr>
        <w:t>menda</w:t>
      </w:r>
      <w:r w:rsidR="003923B2" w:rsidRPr="00F437CC">
        <w:rPr>
          <w:sz w:val="24"/>
          <w:szCs w:val="24"/>
          <w:u w:val="single"/>
          <w:lang w:val="en-US"/>
        </w:rPr>
        <w:t>t</w:t>
      </w:r>
      <w:r w:rsidRPr="00F437CC">
        <w:rPr>
          <w:sz w:val="24"/>
          <w:szCs w:val="24"/>
          <w:u w:val="single"/>
          <w:lang w:val="en-US"/>
        </w:rPr>
        <w:t>ions</w:t>
      </w:r>
    </w:p>
    <w:p w14:paraId="000000A7" w14:textId="77777777" w:rsidR="00C60456" w:rsidRPr="00F437CC" w:rsidRDefault="00C60456">
      <w:pPr>
        <w:spacing w:line="360" w:lineRule="auto"/>
        <w:jc w:val="both"/>
        <w:rPr>
          <w:sz w:val="24"/>
          <w:szCs w:val="24"/>
          <w:u w:val="single"/>
          <w:lang w:val="en-US"/>
        </w:rPr>
      </w:pPr>
    </w:p>
    <w:p w14:paraId="000000A8" w14:textId="5DE98B40" w:rsidR="00C60456" w:rsidRPr="00880BA9" w:rsidRDefault="0058047C" w:rsidP="00880BA9">
      <w:pPr>
        <w:pStyle w:val="ListParagraph"/>
        <w:numPr>
          <w:ilvl w:val="0"/>
          <w:numId w:val="4"/>
        </w:numPr>
        <w:spacing w:line="360" w:lineRule="auto"/>
        <w:ind w:left="709"/>
        <w:jc w:val="both"/>
        <w:rPr>
          <w:sz w:val="24"/>
          <w:szCs w:val="24"/>
          <w:lang w:val="en-US"/>
        </w:rPr>
      </w:pPr>
      <w:r w:rsidRPr="00880BA9">
        <w:rPr>
          <w:sz w:val="24"/>
          <w:szCs w:val="24"/>
          <w:u w:val="single"/>
          <w:lang w:val="en-US"/>
        </w:rPr>
        <w:t>To urge the State to do the following:</w:t>
      </w:r>
    </w:p>
    <w:p w14:paraId="000000A9" w14:textId="77777777" w:rsidR="00C60456" w:rsidRPr="00F437CC" w:rsidRDefault="00C60456">
      <w:pPr>
        <w:spacing w:after="200" w:line="360" w:lineRule="auto"/>
        <w:jc w:val="both"/>
        <w:rPr>
          <w:sz w:val="24"/>
          <w:szCs w:val="24"/>
          <w:lang w:val="en-US"/>
        </w:rPr>
      </w:pPr>
    </w:p>
    <w:p w14:paraId="4433EE45" w14:textId="70124221" w:rsidR="00620B54" w:rsidRPr="00620B54" w:rsidRDefault="00620B54" w:rsidP="00620B54">
      <w:pPr>
        <w:spacing w:after="200" w:line="360" w:lineRule="auto"/>
        <w:ind w:left="720"/>
        <w:jc w:val="both"/>
        <w:rPr>
          <w:sz w:val="24"/>
          <w:szCs w:val="24"/>
          <w:lang w:val="en-US"/>
        </w:rPr>
      </w:pPr>
      <w:r w:rsidRPr="00F437CC">
        <w:rPr>
          <w:sz w:val="24"/>
          <w:szCs w:val="24"/>
          <w:lang w:val="en-US"/>
        </w:rPr>
        <w:lastRenderedPageBreak/>
        <w:t>10.1. To follow the 2017 recommendations issued by the United Nations Committee on Economic, Social, and Cultural Rights (CESCR) in its final conclusion</w:t>
      </w:r>
      <w:r w:rsidR="00FC4E02" w:rsidRPr="00F437CC">
        <w:rPr>
          <w:sz w:val="24"/>
          <w:szCs w:val="24"/>
          <w:lang w:val="en-US"/>
        </w:rPr>
        <w:t>s</w:t>
      </w:r>
      <w:r w:rsidR="00FC4E02" w:rsidRPr="00F437CC">
        <w:rPr>
          <w:sz w:val="24"/>
          <w:szCs w:val="24"/>
          <w:vertAlign w:val="superscript"/>
          <w:lang w:val="en-US"/>
        </w:rPr>
        <w:footnoteReference w:id="76"/>
      </w:r>
      <w:r w:rsidR="00FC4E02" w:rsidRPr="00F437CC">
        <w:rPr>
          <w:sz w:val="24"/>
          <w:szCs w:val="24"/>
          <w:lang w:val="en-US"/>
        </w:rPr>
        <w:t>.</w:t>
      </w:r>
    </w:p>
    <w:p w14:paraId="5BA7A7E3" w14:textId="6A9B5F25" w:rsidR="00620B54" w:rsidRPr="00620B54" w:rsidRDefault="00620B54" w:rsidP="00620B54">
      <w:pPr>
        <w:spacing w:after="200" w:line="360" w:lineRule="auto"/>
        <w:ind w:left="720"/>
        <w:jc w:val="both"/>
        <w:rPr>
          <w:sz w:val="24"/>
          <w:szCs w:val="24"/>
          <w:lang w:val="en-US"/>
        </w:rPr>
      </w:pPr>
      <w:r w:rsidRPr="00620B54">
        <w:rPr>
          <w:sz w:val="24"/>
          <w:szCs w:val="24"/>
          <w:lang w:val="en-US"/>
        </w:rPr>
        <w:t xml:space="preserve">10.2. In line with paragraph 18.a of the </w:t>
      </w:r>
      <w:r w:rsidR="006A0B46" w:rsidRPr="00F437CC">
        <w:rPr>
          <w:sz w:val="24"/>
          <w:szCs w:val="24"/>
          <w:lang w:val="en-US"/>
        </w:rPr>
        <w:t>final conclusions</w:t>
      </w:r>
      <w:r w:rsidRPr="00620B54">
        <w:rPr>
          <w:sz w:val="24"/>
          <w:szCs w:val="24"/>
          <w:lang w:val="en-US"/>
        </w:rPr>
        <w:t xml:space="preserve">, to amend its legislative framework to ensure it can address and seek justice for corporate and industry pressures and violations against the HRAFN in the country. Also, to combat industry interference and corporate capture in regulatory processes and/or the formulation and implementation of food policies, and to promote popular food governance that is protected from these actors, allowing </w:t>
      </w:r>
      <w:r w:rsidR="00880BA9">
        <w:rPr>
          <w:sz w:val="24"/>
          <w:szCs w:val="24"/>
          <w:lang w:val="en-US"/>
        </w:rPr>
        <w:t>NNA</w:t>
      </w:r>
      <w:r w:rsidRPr="00620B54">
        <w:rPr>
          <w:sz w:val="24"/>
          <w:szCs w:val="24"/>
          <w:lang w:val="en-US"/>
        </w:rPr>
        <w:t xml:space="preserve"> to exercise their right to participate actively.</w:t>
      </w:r>
    </w:p>
    <w:p w14:paraId="49E5BA22" w14:textId="2A9BA51F" w:rsidR="00620B54" w:rsidRPr="00620B54" w:rsidRDefault="00620B54" w:rsidP="00620B54">
      <w:pPr>
        <w:spacing w:after="200" w:line="360" w:lineRule="auto"/>
        <w:ind w:left="720"/>
        <w:jc w:val="both"/>
        <w:rPr>
          <w:sz w:val="24"/>
          <w:szCs w:val="24"/>
          <w:lang w:val="en-US"/>
        </w:rPr>
      </w:pPr>
      <w:r w:rsidRPr="00620B54">
        <w:rPr>
          <w:sz w:val="24"/>
          <w:szCs w:val="24"/>
          <w:lang w:val="en-US"/>
        </w:rPr>
        <w:t>10.3. To establish a monitoring system for the HRAFN situation in Colombia, which goes beyond malnutrition and provides permanent and accessible results.</w:t>
      </w:r>
    </w:p>
    <w:p w14:paraId="7E8F907B" w14:textId="1954D6DC" w:rsidR="00620B54" w:rsidRPr="00620B54" w:rsidRDefault="00620B54" w:rsidP="00620B54">
      <w:pPr>
        <w:spacing w:after="200" w:line="360" w:lineRule="auto"/>
        <w:ind w:left="720"/>
        <w:jc w:val="both"/>
        <w:rPr>
          <w:sz w:val="24"/>
          <w:szCs w:val="24"/>
          <w:lang w:val="en-US"/>
        </w:rPr>
      </w:pPr>
      <w:r w:rsidRPr="00620B54">
        <w:rPr>
          <w:sz w:val="24"/>
          <w:szCs w:val="24"/>
          <w:lang w:val="en-US"/>
        </w:rPr>
        <w:t xml:space="preserve">10.4. To adopt urgent and short-, medium-, and long-term measures to assist malnourished </w:t>
      </w:r>
      <w:r w:rsidR="00880BA9">
        <w:rPr>
          <w:sz w:val="24"/>
          <w:szCs w:val="24"/>
          <w:lang w:val="en-US"/>
        </w:rPr>
        <w:t>NNA</w:t>
      </w:r>
      <w:r w:rsidRPr="00620B54">
        <w:rPr>
          <w:sz w:val="24"/>
          <w:szCs w:val="24"/>
          <w:lang w:val="en-US"/>
        </w:rPr>
        <w:t>, with particular attention to compliance with Constitutional Court Ruling T 302 of 2017.</w:t>
      </w:r>
    </w:p>
    <w:p w14:paraId="6AB10AC0" w14:textId="2545007B" w:rsidR="00620B54" w:rsidRPr="00620B54" w:rsidRDefault="00620B54" w:rsidP="00620B54">
      <w:pPr>
        <w:spacing w:after="200" w:line="360" w:lineRule="auto"/>
        <w:ind w:left="720"/>
        <w:jc w:val="both"/>
        <w:rPr>
          <w:sz w:val="24"/>
          <w:szCs w:val="24"/>
          <w:lang w:val="en-US"/>
        </w:rPr>
      </w:pPr>
      <w:r w:rsidRPr="00620B54">
        <w:rPr>
          <w:sz w:val="24"/>
          <w:szCs w:val="24"/>
          <w:lang w:val="en-US"/>
        </w:rPr>
        <w:t>10.5. To develop effective policies for regulating UP</w:t>
      </w:r>
      <w:r w:rsidR="006A0B46">
        <w:rPr>
          <w:sz w:val="24"/>
          <w:szCs w:val="24"/>
          <w:lang w:val="en-US"/>
        </w:rPr>
        <w:t>P</w:t>
      </w:r>
      <w:r w:rsidRPr="00620B54">
        <w:rPr>
          <w:sz w:val="24"/>
          <w:szCs w:val="24"/>
          <w:lang w:val="en-US"/>
        </w:rPr>
        <w:t>s, which safeguard the progress made in warning labels and taxes on UP</w:t>
      </w:r>
      <w:r w:rsidR="006A0B46">
        <w:rPr>
          <w:sz w:val="24"/>
          <w:szCs w:val="24"/>
          <w:lang w:val="en-US"/>
        </w:rPr>
        <w:t>P</w:t>
      </w:r>
      <w:r w:rsidRPr="00620B54">
        <w:rPr>
          <w:sz w:val="24"/>
          <w:szCs w:val="24"/>
          <w:lang w:val="en-US"/>
        </w:rPr>
        <w:t>s, while advancing the advertising regulation, the setting of adequate school food environments, the verification of label accuracy, advertising control, and prohibiting advertising and distribution of these products in public and private food assistance programs.</w:t>
      </w:r>
    </w:p>
    <w:p w14:paraId="16F9E720" w14:textId="6F80DFD9" w:rsidR="00620B54" w:rsidRPr="00620B54" w:rsidRDefault="00620B54" w:rsidP="00620B54">
      <w:pPr>
        <w:spacing w:after="200" w:line="360" w:lineRule="auto"/>
        <w:ind w:left="720"/>
        <w:jc w:val="both"/>
        <w:rPr>
          <w:sz w:val="24"/>
          <w:szCs w:val="24"/>
          <w:lang w:val="en-US"/>
        </w:rPr>
      </w:pPr>
      <w:r w:rsidRPr="00620B54">
        <w:rPr>
          <w:sz w:val="24"/>
          <w:szCs w:val="24"/>
          <w:lang w:val="en-US"/>
        </w:rPr>
        <w:t xml:space="preserve">10.6. To follow the recommendation outlined in paragraph 40.g of the Committee’s </w:t>
      </w:r>
      <w:r w:rsidR="006A0B46">
        <w:rPr>
          <w:sz w:val="24"/>
          <w:szCs w:val="24"/>
          <w:lang w:val="en-US"/>
        </w:rPr>
        <w:t>final c</w:t>
      </w:r>
      <w:r w:rsidRPr="00620B54">
        <w:rPr>
          <w:sz w:val="24"/>
          <w:szCs w:val="24"/>
          <w:lang w:val="en-US"/>
        </w:rPr>
        <w:t>onclu</w:t>
      </w:r>
      <w:r w:rsidR="006A0B46">
        <w:rPr>
          <w:sz w:val="24"/>
          <w:szCs w:val="24"/>
          <w:lang w:val="en-US"/>
        </w:rPr>
        <w:t>s</w:t>
      </w:r>
      <w:r w:rsidRPr="00620B54">
        <w:rPr>
          <w:sz w:val="24"/>
          <w:szCs w:val="24"/>
          <w:lang w:val="en-US"/>
        </w:rPr>
        <w:t>ions, particularly enhancing healthcare professionals' training and appropriately applying the International Marketing Code for Breast-milk Substitutes.</w:t>
      </w:r>
    </w:p>
    <w:p w14:paraId="000000B0" w14:textId="0C246A54" w:rsidR="00C60456" w:rsidRPr="00F437CC" w:rsidRDefault="00620B54" w:rsidP="00620B54">
      <w:pPr>
        <w:spacing w:after="200" w:line="360" w:lineRule="auto"/>
        <w:ind w:left="720"/>
        <w:jc w:val="both"/>
        <w:rPr>
          <w:sz w:val="24"/>
          <w:szCs w:val="24"/>
          <w:lang w:val="en-US"/>
        </w:rPr>
      </w:pPr>
      <w:r w:rsidRPr="00F437CC">
        <w:rPr>
          <w:sz w:val="24"/>
          <w:szCs w:val="24"/>
          <w:lang w:val="en-US"/>
        </w:rPr>
        <w:t xml:space="preserve">10.7. To develop a School Feeding Policy that is focused not on school attendance but on children’s nutrition. Programs derived from this policy should have wide civil </w:t>
      </w:r>
      <w:r w:rsidRPr="00F437CC">
        <w:rPr>
          <w:sz w:val="24"/>
          <w:szCs w:val="24"/>
          <w:lang w:val="en-US"/>
        </w:rPr>
        <w:lastRenderedPageBreak/>
        <w:t>society engagement, prioritizing the school community, and establish effective mechanisms for reporting corruption and imposing administrative and criminal penalties. This would also extend the Committee’s recommendations in paragraph 14(d) and paragraph 20(d) of the final conclusions.</w:t>
      </w:r>
    </w:p>
    <w:p w14:paraId="000000B1" w14:textId="639D0C6B" w:rsidR="00C60456" w:rsidRPr="00F437CC" w:rsidRDefault="00A74445" w:rsidP="00924EFA">
      <w:pPr>
        <w:pStyle w:val="Heading2"/>
        <w:rPr>
          <w:highlight w:val="white"/>
          <w:lang w:val="en-US"/>
        </w:rPr>
      </w:pPr>
      <w:bookmarkStart w:id="38" w:name="_Toc181285174"/>
      <w:bookmarkStart w:id="39" w:name="_Toc181289454"/>
      <w:r w:rsidRPr="00F437CC">
        <w:rPr>
          <w:highlight w:val="white"/>
          <w:lang w:val="en-US"/>
        </w:rPr>
        <w:t xml:space="preserve">3.2. </w:t>
      </w:r>
      <w:r w:rsidR="00620B54" w:rsidRPr="00F437CC">
        <w:rPr>
          <w:highlight w:val="white"/>
          <w:lang w:val="en-US"/>
        </w:rPr>
        <w:t>Right to Education</w:t>
      </w:r>
      <w:bookmarkEnd w:id="38"/>
      <w:bookmarkEnd w:id="39"/>
    </w:p>
    <w:p w14:paraId="000000B2" w14:textId="22CA1334" w:rsidR="00C60456" w:rsidRPr="00F437CC" w:rsidRDefault="00620B54">
      <w:pPr>
        <w:spacing w:before="200" w:line="360" w:lineRule="auto"/>
        <w:jc w:val="both"/>
        <w:rPr>
          <w:sz w:val="24"/>
          <w:szCs w:val="24"/>
          <w:lang w:val="en-US"/>
        </w:rPr>
      </w:pPr>
      <w:r w:rsidRPr="00F437CC">
        <w:rPr>
          <w:sz w:val="24"/>
          <w:szCs w:val="24"/>
          <w:lang w:val="en-US"/>
        </w:rPr>
        <w:t>The Committee on the Rights of the Child (CRC) issued a series of recommendations related to the right to education, including non-discrimination</w:t>
      </w:r>
      <w:r w:rsidRPr="00F437CC">
        <w:rPr>
          <w:sz w:val="24"/>
          <w:szCs w:val="24"/>
          <w:vertAlign w:val="superscript"/>
          <w:lang w:val="en-US"/>
        </w:rPr>
        <w:footnoteReference w:id="77"/>
      </w:r>
      <w:r w:rsidR="000231F9" w:rsidRPr="00F437CC">
        <w:rPr>
          <w:sz w:val="24"/>
          <w:szCs w:val="24"/>
          <w:lang w:val="en-US"/>
        </w:rPr>
        <w:t>,</w:t>
      </w:r>
      <w:r w:rsidRPr="00F437CC">
        <w:rPr>
          <w:sz w:val="24"/>
          <w:szCs w:val="24"/>
          <w:lang w:val="en-US"/>
        </w:rPr>
        <w:t xml:space="preserve"> the establishment of a comprehensive and inclusive policy</w:t>
      </w:r>
      <w:r w:rsidRPr="00F437CC">
        <w:rPr>
          <w:sz w:val="24"/>
          <w:szCs w:val="24"/>
          <w:vertAlign w:val="superscript"/>
          <w:lang w:val="en-US"/>
        </w:rPr>
        <w:footnoteReference w:id="78"/>
      </w:r>
      <w:r w:rsidR="000231F9" w:rsidRPr="00F437CC">
        <w:rPr>
          <w:sz w:val="24"/>
          <w:szCs w:val="24"/>
          <w:lang w:val="en-US"/>
        </w:rPr>
        <w:t>,</w:t>
      </w:r>
      <w:r w:rsidRPr="00F437CC">
        <w:rPr>
          <w:sz w:val="24"/>
          <w:szCs w:val="24"/>
          <w:lang w:val="en-US"/>
        </w:rPr>
        <w:t xml:space="preserve"> improving quality, availability, and accessibility, especially for vulnerable populations</w:t>
      </w:r>
      <w:r w:rsidRPr="00F437CC">
        <w:rPr>
          <w:sz w:val="24"/>
          <w:szCs w:val="24"/>
          <w:vertAlign w:val="superscript"/>
          <w:lang w:val="en-US"/>
        </w:rPr>
        <w:t xml:space="preserve"> </w:t>
      </w:r>
      <w:r w:rsidRPr="00F437CC">
        <w:rPr>
          <w:sz w:val="24"/>
          <w:szCs w:val="24"/>
          <w:vertAlign w:val="superscript"/>
          <w:lang w:val="en-US"/>
        </w:rPr>
        <w:footnoteReference w:id="79"/>
      </w:r>
      <w:r w:rsidR="000231F9" w:rsidRPr="00F437CC">
        <w:rPr>
          <w:sz w:val="24"/>
          <w:szCs w:val="24"/>
          <w:lang w:val="en-US"/>
        </w:rPr>
        <w:t>,</w:t>
      </w:r>
      <w:r w:rsidRPr="00F437CC">
        <w:rPr>
          <w:sz w:val="24"/>
          <w:szCs w:val="24"/>
          <w:lang w:val="en-US"/>
        </w:rPr>
        <w:t xml:space="preserve"> increasing efforts and resources to guarantee this right to Indigenous and Afro-descendant populations</w:t>
      </w:r>
      <w:r w:rsidRPr="00F437CC">
        <w:rPr>
          <w:sz w:val="24"/>
          <w:szCs w:val="24"/>
          <w:vertAlign w:val="superscript"/>
          <w:lang w:val="en-US"/>
        </w:rPr>
        <w:footnoteReference w:id="80"/>
      </w:r>
      <w:r w:rsidR="000231F9" w:rsidRPr="00F437CC">
        <w:rPr>
          <w:sz w:val="24"/>
          <w:szCs w:val="24"/>
          <w:lang w:val="en-US"/>
        </w:rPr>
        <w:t>,</w:t>
      </w:r>
      <w:r w:rsidRPr="00F437CC">
        <w:rPr>
          <w:sz w:val="24"/>
          <w:szCs w:val="24"/>
          <w:lang w:val="en-US"/>
        </w:rPr>
        <w:t xml:space="preserve"> and addressing school dropout rates</w:t>
      </w:r>
      <w:r w:rsidRPr="00F437CC">
        <w:rPr>
          <w:sz w:val="24"/>
          <w:szCs w:val="24"/>
          <w:vertAlign w:val="superscript"/>
          <w:lang w:val="en-US"/>
        </w:rPr>
        <w:t xml:space="preserve"> </w:t>
      </w:r>
      <w:r w:rsidRPr="00F437CC">
        <w:rPr>
          <w:sz w:val="24"/>
          <w:szCs w:val="24"/>
          <w:vertAlign w:val="superscript"/>
          <w:lang w:val="en-US"/>
        </w:rPr>
        <w:footnoteReference w:id="81"/>
      </w:r>
      <w:r w:rsidR="000231F9" w:rsidRPr="00F437CC">
        <w:rPr>
          <w:sz w:val="24"/>
          <w:szCs w:val="24"/>
          <w:lang w:val="en-US"/>
        </w:rPr>
        <w:t>,</w:t>
      </w:r>
      <w:r w:rsidRPr="00F437CC">
        <w:rPr>
          <w:sz w:val="24"/>
          <w:szCs w:val="24"/>
          <w:lang w:val="en-US"/>
        </w:rPr>
        <w:t xml:space="preserve"> among others.</w:t>
      </w:r>
    </w:p>
    <w:p w14:paraId="000000B3" w14:textId="77D183D7" w:rsidR="00C60456" w:rsidRPr="00F437CC" w:rsidRDefault="00A74445" w:rsidP="00924EFA">
      <w:pPr>
        <w:pStyle w:val="Heading3"/>
        <w:rPr>
          <w:rStyle w:val="SubtleEmphasis"/>
          <w:i/>
          <w:iCs w:val="0"/>
          <w:color w:val="365F91" w:themeColor="accent1" w:themeShade="BF"/>
          <w:lang w:val="en-US"/>
        </w:rPr>
      </w:pPr>
      <w:bookmarkStart w:id="40" w:name="_Toc181289455"/>
      <w:bookmarkStart w:id="41" w:name="_Toc181285175"/>
      <w:r w:rsidRPr="00F437CC">
        <w:rPr>
          <w:rStyle w:val="SubtleEmphasis"/>
          <w:i/>
          <w:iCs w:val="0"/>
          <w:color w:val="365F91" w:themeColor="accent1" w:themeShade="BF"/>
          <w:lang w:val="en-US"/>
        </w:rPr>
        <w:t xml:space="preserve">3.2.1. </w:t>
      </w:r>
      <w:r w:rsidR="00620B54" w:rsidRPr="00F437CC">
        <w:rPr>
          <w:lang w:val="en-US"/>
        </w:rPr>
        <w:t>General Comments on the Right to Education of Boys, Girls, and Adolescents</w:t>
      </w:r>
      <w:bookmarkEnd w:id="40"/>
      <w:r w:rsidR="00620B54" w:rsidRPr="00F437CC">
        <w:rPr>
          <w:lang w:val="en-US"/>
        </w:rPr>
        <w:t xml:space="preserve"> </w:t>
      </w:r>
      <w:bookmarkEnd w:id="41"/>
    </w:p>
    <w:p w14:paraId="000000B4" w14:textId="40C7D056" w:rsidR="00C60456" w:rsidRPr="00F437CC" w:rsidRDefault="00620B54">
      <w:pPr>
        <w:spacing w:before="200" w:line="360" w:lineRule="auto"/>
        <w:jc w:val="both"/>
        <w:rPr>
          <w:strike/>
          <w:sz w:val="24"/>
          <w:szCs w:val="24"/>
          <w:lang w:val="en-US"/>
        </w:rPr>
      </w:pPr>
      <w:r w:rsidRPr="00F437CC">
        <w:rPr>
          <w:sz w:val="24"/>
          <w:szCs w:val="24"/>
          <w:lang w:val="en-US"/>
        </w:rPr>
        <w:t xml:space="preserve">The right to education for boys and girls in Colombia continues to be unmet by the Colombian state. Indeed, the government itself has acknowledged the challenges regarding various aspects of this right. For instance, the 2018–2022 National Development Plan recognized significant limitations in the enrollment of boys and girls </w:t>
      </w:r>
      <w:r w:rsidR="006A0B46">
        <w:rPr>
          <w:sz w:val="24"/>
          <w:szCs w:val="24"/>
          <w:lang w:val="en-US"/>
        </w:rPr>
        <w:t>of</w:t>
      </w:r>
      <w:r w:rsidRPr="00F437CC">
        <w:rPr>
          <w:sz w:val="24"/>
          <w:szCs w:val="24"/>
          <w:lang w:val="en-US"/>
        </w:rPr>
        <w:t xml:space="preserve"> different ages</w:t>
      </w:r>
      <w:r w:rsidRPr="00F437CC">
        <w:rPr>
          <w:sz w:val="24"/>
          <w:szCs w:val="24"/>
          <w:vertAlign w:val="superscript"/>
          <w:lang w:val="en-US"/>
        </w:rPr>
        <w:footnoteReference w:id="82"/>
      </w:r>
      <w:r w:rsidR="000231F9" w:rsidRPr="00F437CC">
        <w:rPr>
          <w:sz w:val="24"/>
          <w:szCs w:val="24"/>
          <w:lang w:val="en-US"/>
        </w:rPr>
        <w:t>.</w:t>
      </w:r>
      <w:r w:rsidRPr="00F437CC">
        <w:rPr>
          <w:strike/>
          <w:sz w:val="24"/>
          <w:szCs w:val="24"/>
          <w:lang w:val="en-US"/>
        </w:rPr>
        <w:t xml:space="preserve">   </w:t>
      </w:r>
    </w:p>
    <w:p w14:paraId="000000B5" w14:textId="44F43FC7" w:rsidR="00C60456" w:rsidRPr="00F437CC" w:rsidRDefault="00620B54">
      <w:pPr>
        <w:spacing w:before="200" w:line="360" w:lineRule="auto"/>
        <w:jc w:val="both"/>
        <w:rPr>
          <w:sz w:val="24"/>
          <w:szCs w:val="24"/>
          <w:lang w:val="en-US"/>
        </w:rPr>
      </w:pPr>
      <w:r w:rsidRPr="00F437CC">
        <w:rPr>
          <w:sz w:val="24"/>
          <w:szCs w:val="24"/>
          <w:lang w:val="en-US"/>
        </w:rPr>
        <w:t>While the Convention and the country's legal and regulatory framework have allowed substantial progress in access and realization of the rights of the child, including the right to education, these achievements are not universal due to inequalities and the vast socio-economic gap between rural and urban areas and among different sectors of the population. This right has also faced major obstacles and challenges, largely determined by factors such as the armed conflict, corruption, and increased domestic and gender-</w:t>
      </w:r>
      <w:r w:rsidRPr="00F437CC">
        <w:rPr>
          <w:sz w:val="24"/>
          <w:szCs w:val="24"/>
          <w:lang w:val="en-US"/>
        </w:rPr>
        <w:lastRenderedPageBreak/>
        <w:t>based violence. Moreover, the pandemic highlighted structural issues and the lack of appropriate measures by the State concerning this right in contexts of emergency.</w:t>
      </w:r>
    </w:p>
    <w:p w14:paraId="000000B6" w14:textId="77777777" w:rsidR="00C60456" w:rsidRPr="00F437CC" w:rsidRDefault="00C60456">
      <w:pPr>
        <w:spacing w:line="360" w:lineRule="auto"/>
        <w:jc w:val="both"/>
        <w:rPr>
          <w:sz w:val="24"/>
          <w:szCs w:val="24"/>
          <w:lang w:val="en-US"/>
        </w:rPr>
      </w:pPr>
    </w:p>
    <w:p w14:paraId="000000B7" w14:textId="7C26FFE6" w:rsidR="00C60456" w:rsidRPr="00F437CC" w:rsidRDefault="00A74445" w:rsidP="00924EFA">
      <w:pPr>
        <w:pStyle w:val="Heading3"/>
        <w:rPr>
          <w:rStyle w:val="Emphasis"/>
          <w:i/>
          <w:iCs w:val="0"/>
          <w:lang w:val="en-US"/>
        </w:rPr>
      </w:pPr>
      <w:bookmarkStart w:id="42" w:name="_Toc181285176"/>
      <w:bookmarkStart w:id="43" w:name="_Toc181289456"/>
      <w:r w:rsidRPr="00F437CC">
        <w:rPr>
          <w:rStyle w:val="Emphasis"/>
          <w:i/>
          <w:iCs w:val="0"/>
          <w:lang w:val="en-US"/>
        </w:rPr>
        <w:t xml:space="preserve">3.2.2. </w:t>
      </w:r>
      <w:bookmarkEnd w:id="42"/>
      <w:r w:rsidR="00620B54" w:rsidRPr="00F437CC">
        <w:rPr>
          <w:lang w:val="en-US"/>
        </w:rPr>
        <w:t>Lack of Capacity to Guarantee the Right to Education during Emergencies</w:t>
      </w:r>
      <w:bookmarkEnd w:id="43"/>
    </w:p>
    <w:p w14:paraId="000000B8" w14:textId="3FDB4B95" w:rsidR="00C60456" w:rsidRPr="00F437CC" w:rsidRDefault="00620B54">
      <w:pPr>
        <w:spacing w:before="200" w:line="360" w:lineRule="auto"/>
        <w:jc w:val="both"/>
        <w:rPr>
          <w:sz w:val="24"/>
          <w:szCs w:val="24"/>
          <w:lang w:val="en-US"/>
        </w:rPr>
      </w:pPr>
      <w:r w:rsidRPr="00F437CC">
        <w:rPr>
          <w:sz w:val="24"/>
          <w:szCs w:val="24"/>
          <w:lang w:val="en-US"/>
        </w:rPr>
        <w:t>Since the onset of the pandemic, it became known that rural areas in the country are not equipped to</w:t>
      </w:r>
      <w:r w:rsidR="006A0B46">
        <w:rPr>
          <w:sz w:val="24"/>
          <w:szCs w:val="24"/>
          <w:lang w:val="en-US"/>
        </w:rPr>
        <w:t xml:space="preserve"> have</w:t>
      </w:r>
      <w:r w:rsidRPr="00F437CC">
        <w:rPr>
          <w:sz w:val="24"/>
          <w:szCs w:val="24"/>
          <w:lang w:val="en-US"/>
        </w:rPr>
        <w:t xml:space="preserve"> virtual classes, particularly as only 9.4% of families in rural populations have laptops, desktops, or tablets, according to the latest figures published by the National Administrative Statistics Department (DANE).</w:t>
      </w:r>
    </w:p>
    <w:p w14:paraId="000000B9" w14:textId="65EC0F96" w:rsidR="00C60456" w:rsidRPr="00F437CC" w:rsidRDefault="005315EF">
      <w:pPr>
        <w:spacing w:before="200" w:line="360" w:lineRule="auto"/>
        <w:jc w:val="both"/>
        <w:rPr>
          <w:sz w:val="24"/>
          <w:szCs w:val="24"/>
          <w:lang w:val="en-US"/>
        </w:rPr>
      </w:pPr>
      <w:r w:rsidRPr="00F437CC">
        <w:rPr>
          <w:sz w:val="24"/>
          <w:szCs w:val="24"/>
          <w:lang w:val="en-US"/>
        </w:rPr>
        <w:t xml:space="preserve">In fact, the </w:t>
      </w:r>
      <w:r w:rsidR="006A0B46">
        <w:rPr>
          <w:sz w:val="24"/>
          <w:szCs w:val="24"/>
          <w:lang w:val="en-US"/>
        </w:rPr>
        <w:t xml:space="preserve">Laboratory of </w:t>
      </w:r>
      <w:r w:rsidRPr="00F437CC">
        <w:rPr>
          <w:sz w:val="24"/>
          <w:szCs w:val="24"/>
          <w:lang w:val="en-US"/>
        </w:rPr>
        <w:t>Education Economics (LEE) at Pontificia Universidad Javeriana stated that over 95% of the country’s municipalities lack the resources and coverage to hold virtual classes. LEE pointed out that, despite the measures adopted by the National Government, such as implementing a minimum essential communications package under Decree 464 of 2020, "there are areas without network access where these measures would not apply. More than one million people in rural areas do not have any internet service, according to the latest estimate by the Ministry of Education as part of its Special Rural Education Plan in 2018”</w:t>
      </w:r>
      <w:r w:rsidRPr="00F437CC">
        <w:rPr>
          <w:sz w:val="24"/>
          <w:szCs w:val="24"/>
          <w:vertAlign w:val="superscript"/>
          <w:lang w:val="en-US"/>
        </w:rPr>
        <w:footnoteReference w:id="83"/>
      </w:r>
      <w:r w:rsidR="000231F9" w:rsidRPr="00F437CC">
        <w:rPr>
          <w:sz w:val="24"/>
          <w:szCs w:val="24"/>
          <w:lang w:val="en-US"/>
        </w:rPr>
        <w:t>.</w:t>
      </w:r>
    </w:p>
    <w:p w14:paraId="000000BA" w14:textId="64437DFB" w:rsidR="00C60456" w:rsidRPr="00F437CC" w:rsidRDefault="00022967">
      <w:pPr>
        <w:spacing w:before="200" w:line="360" w:lineRule="auto"/>
        <w:jc w:val="both"/>
        <w:rPr>
          <w:sz w:val="40"/>
          <w:szCs w:val="40"/>
          <w:vertAlign w:val="superscript"/>
          <w:lang w:val="en-US"/>
        </w:rPr>
      </w:pPr>
      <w:r w:rsidRPr="00F437CC">
        <w:rPr>
          <w:sz w:val="24"/>
          <w:szCs w:val="24"/>
          <w:lang w:val="en-US"/>
        </w:rPr>
        <w:t>Additionally, Terre des Hommes Suisse conducted a survey among teachers from various countries, including Colombia, to assess their conditions during the pandemic. Results showed, for example, that 44.26% of teachers had to share their devices, such as computers and tablets, with at least three other people. Furthermore, 52.46% of teachers rated their internet quality as average. The same study found that 81.97% of teachers believe the biggest problem students face is the lack of computers. Likewise, nearly 60% of teachers surveyed in Colombia identified gaps in their basic training on platforms and networks.</w:t>
      </w:r>
    </w:p>
    <w:p w14:paraId="000000BB" w14:textId="77777777" w:rsidR="00C60456" w:rsidRPr="00F437CC" w:rsidRDefault="00C60456">
      <w:pPr>
        <w:spacing w:line="360" w:lineRule="auto"/>
        <w:jc w:val="both"/>
        <w:rPr>
          <w:sz w:val="24"/>
          <w:szCs w:val="24"/>
          <w:u w:val="single"/>
          <w:lang w:val="en-US"/>
        </w:rPr>
      </w:pPr>
    </w:p>
    <w:p w14:paraId="000000BC" w14:textId="51974A6E" w:rsidR="00C60456" w:rsidRPr="00F437CC" w:rsidRDefault="00A74445" w:rsidP="00924EFA">
      <w:pPr>
        <w:pStyle w:val="Heading3"/>
        <w:rPr>
          <w:rStyle w:val="Emphasis"/>
          <w:i/>
          <w:iCs w:val="0"/>
          <w:lang w:val="en-US"/>
        </w:rPr>
      </w:pPr>
      <w:bookmarkStart w:id="44" w:name="_Toc181285177"/>
      <w:bookmarkStart w:id="45" w:name="_Toc181289457"/>
      <w:r w:rsidRPr="00F437CC">
        <w:rPr>
          <w:rStyle w:val="Emphasis"/>
          <w:i/>
          <w:iCs w:val="0"/>
          <w:lang w:val="en-US"/>
        </w:rPr>
        <w:lastRenderedPageBreak/>
        <w:t xml:space="preserve">3.2.3. </w:t>
      </w:r>
      <w:bookmarkEnd w:id="44"/>
      <w:r w:rsidR="00022967" w:rsidRPr="00F437CC">
        <w:rPr>
          <w:lang w:val="en-US"/>
        </w:rPr>
        <w:t>About the Education Gaps</w:t>
      </w:r>
      <w:bookmarkEnd w:id="45"/>
    </w:p>
    <w:p w14:paraId="26339EB8" w14:textId="4B9226A7" w:rsidR="00022967" w:rsidRPr="00F437CC" w:rsidRDefault="00022967">
      <w:pPr>
        <w:spacing w:before="200" w:line="360" w:lineRule="auto"/>
        <w:jc w:val="both"/>
        <w:rPr>
          <w:sz w:val="24"/>
          <w:szCs w:val="24"/>
          <w:lang w:val="en-US"/>
        </w:rPr>
      </w:pPr>
      <w:r w:rsidRPr="00F437CC">
        <w:rPr>
          <w:sz w:val="24"/>
          <w:szCs w:val="24"/>
          <w:lang w:val="en-US"/>
        </w:rPr>
        <w:t xml:space="preserve">In 2015, the Committee recommended that Colombia intensify its efforts “to improve the quality of teaching and </w:t>
      </w:r>
      <w:r w:rsidR="006A0B46">
        <w:rPr>
          <w:sz w:val="24"/>
          <w:szCs w:val="24"/>
          <w:lang w:val="en-US"/>
        </w:rPr>
        <w:t xml:space="preserve">the </w:t>
      </w:r>
      <w:r w:rsidRPr="00F437CC">
        <w:rPr>
          <w:sz w:val="24"/>
          <w:szCs w:val="24"/>
          <w:lang w:val="en-US"/>
        </w:rPr>
        <w:t>availability and accessibility for displaced children or those in rural areas, particularly for girls, by significantly increasing the education budget, providing quality teacher training, and building schools away from environmental risk areas and military targets.”</w:t>
      </w:r>
      <w:r w:rsidRPr="00F437CC">
        <w:rPr>
          <w:sz w:val="24"/>
          <w:szCs w:val="24"/>
          <w:vertAlign w:val="superscript"/>
          <w:lang w:val="en-US"/>
        </w:rPr>
        <w:footnoteReference w:id="84"/>
      </w:r>
    </w:p>
    <w:p w14:paraId="000000BE" w14:textId="38EA119B" w:rsidR="00C60456" w:rsidRPr="00F437CC" w:rsidRDefault="00022967">
      <w:pPr>
        <w:spacing w:before="200" w:line="360" w:lineRule="auto"/>
        <w:jc w:val="both"/>
        <w:rPr>
          <w:sz w:val="24"/>
          <w:szCs w:val="24"/>
          <w:lang w:val="en-US"/>
        </w:rPr>
      </w:pPr>
      <w:r w:rsidRPr="00F437CC">
        <w:rPr>
          <w:sz w:val="24"/>
          <w:szCs w:val="24"/>
          <w:lang w:val="en-US"/>
        </w:rPr>
        <w:t xml:space="preserve">Educational gaps remain visible for people living in poverty. Evidence of this is </w:t>
      </w:r>
      <w:r w:rsidR="006A0B46">
        <w:rPr>
          <w:sz w:val="24"/>
          <w:szCs w:val="24"/>
          <w:lang w:val="en-US"/>
        </w:rPr>
        <w:t xml:space="preserve">seen </w:t>
      </w:r>
      <w:r w:rsidRPr="00F437CC">
        <w:rPr>
          <w:sz w:val="24"/>
          <w:szCs w:val="24"/>
          <w:lang w:val="en-US"/>
        </w:rPr>
        <w:t>in State exam scores, where private schools perform better. This trend repeats when comparing rural areas with urban areas, with urban areas achieving higher scores.</w:t>
      </w:r>
    </w:p>
    <w:p w14:paraId="7B2F540E" w14:textId="2B5FB141" w:rsidR="00022967" w:rsidRPr="00022967" w:rsidRDefault="00022967" w:rsidP="00022967">
      <w:pPr>
        <w:spacing w:before="200" w:line="360" w:lineRule="auto"/>
        <w:jc w:val="both"/>
        <w:rPr>
          <w:sz w:val="24"/>
          <w:szCs w:val="24"/>
          <w:lang w:val="en-US"/>
        </w:rPr>
      </w:pPr>
      <w:r w:rsidRPr="00F437CC">
        <w:rPr>
          <w:sz w:val="24"/>
          <w:szCs w:val="24"/>
          <w:lang w:val="en-US"/>
        </w:rPr>
        <w:t>Also, forced displacement continues to be one of the main causes of school dropout</w:t>
      </w:r>
      <w:r w:rsidRPr="00F437CC">
        <w:rPr>
          <w:sz w:val="24"/>
          <w:szCs w:val="24"/>
          <w:vertAlign w:val="superscript"/>
          <w:lang w:val="en-US"/>
        </w:rPr>
        <w:footnoteReference w:id="85"/>
      </w:r>
      <w:r w:rsidR="000231F9" w:rsidRPr="00F437CC">
        <w:rPr>
          <w:sz w:val="24"/>
          <w:szCs w:val="24"/>
          <w:lang w:val="en-US"/>
        </w:rPr>
        <w:t>.</w:t>
      </w:r>
      <w:r w:rsidRPr="00F437CC">
        <w:rPr>
          <w:sz w:val="24"/>
          <w:szCs w:val="24"/>
          <w:lang w:val="en-US"/>
        </w:rPr>
        <w:t xml:space="preserve"> This situation is complex because displaced families often do not know the official channels to secure the right to education. </w:t>
      </w:r>
    </w:p>
    <w:p w14:paraId="000000C0" w14:textId="68C196E9" w:rsidR="00C60456" w:rsidRPr="00F437CC" w:rsidRDefault="00022967" w:rsidP="00022967">
      <w:pPr>
        <w:spacing w:before="200" w:line="360" w:lineRule="auto"/>
        <w:jc w:val="both"/>
        <w:rPr>
          <w:lang w:val="en-US"/>
        </w:rPr>
      </w:pPr>
      <w:r w:rsidRPr="00F437CC">
        <w:rPr>
          <w:sz w:val="24"/>
          <w:szCs w:val="24"/>
          <w:lang w:val="en-US"/>
        </w:rPr>
        <w:t xml:space="preserve">The gaps are also evident in dropout rates: of every 100 students who start elementary school on time, only 74 complete high school; of those 74, only 56 complete it at the appropriate age, and only 22 enter higher education, with 13 ultimately graduating. </w:t>
      </w:r>
    </w:p>
    <w:p w14:paraId="000000C1" w14:textId="2CB9E727" w:rsidR="00C60456" w:rsidRPr="00F437CC" w:rsidRDefault="00022967">
      <w:pPr>
        <w:spacing w:before="200" w:line="360" w:lineRule="auto"/>
        <w:jc w:val="both"/>
        <w:rPr>
          <w:sz w:val="24"/>
          <w:szCs w:val="24"/>
          <w:lang w:val="en-US"/>
        </w:rPr>
      </w:pPr>
      <w:r w:rsidRPr="00F437CC">
        <w:rPr>
          <w:sz w:val="24"/>
          <w:szCs w:val="24"/>
          <w:lang w:val="en-US"/>
        </w:rPr>
        <w:t xml:space="preserve">Another critical aspect is the situation of migrant </w:t>
      </w:r>
      <w:r w:rsidR="00880BA9">
        <w:rPr>
          <w:sz w:val="24"/>
          <w:szCs w:val="24"/>
          <w:lang w:val="en-US"/>
        </w:rPr>
        <w:t>NNA</w:t>
      </w:r>
      <w:r w:rsidRPr="00F437CC">
        <w:rPr>
          <w:sz w:val="24"/>
          <w:szCs w:val="24"/>
          <w:lang w:val="en-US"/>
        </w:rPr>
        <w:t xml:space="preserve">, especially from Venezuela. According to research by Dejusticia, Venezuelan children face significant barriers to accessing the education system. For example, as of 2019 -the date of the research, there were 190,000 Venezuelan </w:t>
      </w:r>
      <w:r w:rsidR="00880BA9">
        <w:rPr>
          <w:sz w:val="24"/>
          <w:szCs w:val="24"/>
          <w:lang w:val="en-US"/>
        </w:rPr>
        <w:t>NNA</w:t>
      </w:r>
      <w:r w:rsidRPr="00F437CC">
        <w:rPr>
          <w:sz w:val="24"/>
          <w:szCs w:val="24"/>
          <w:lang w:val="en-US"/>
        </w:rPr>
        <w:t xml:space="preserve"> enrolled in the education system compared to 80,506 who were out of school and unable to secure a place. In Bogotá, 99,000 were enrolled, while 27,852 remained out of school</w:t>
      </w:r>
      <w:r w:rsidRPr="00F437CC">
        <w:rPr>
          <w:sz w:val="24"/>
          <w:szCs w:val="24"/>
          <w:vertAlign w:val="superscript"/>
          <w:lang w:val="en-US"/>
        </w:rPr>
        <w:footnoteReference w:id="86"/>
      </w:r>
      <w:r w:rsidR="000231F9" w:rsidRPr="00F437CC">
        <w:rPr>
          <w:sz w:val="24"/>
          <w:szCs w:val="24"/>
          <w:lang w:val="en-US"/>
        </w:rPr>
        <w:t>.</w:t>
      </w:r>
    </w:p>
    <w:p w14:paraId="000000C2" w14:textId="34F692C6" w:rsidR="00C60456" w:rsidRPr="00F437CC" w:rsidRDefault="00A74445">
      <w:pPr>
        <w:spacing w:before="200" w:line="360" w:lineRule="auto"/>
        <w:jc w:val="both"/>
        <w:rPr>
          <w:sz w:val="24"/>
          <w:szCs w:val="24"/>
          <w:u w:val="single"/>
          <w:lang w:val="en-US"/>
        </w:rPr>
      </w:pPr>
      <w:r w:rsidRPr="00F437CC">
        <w:rPr>
          <w:sz w:val="24"/>
          <w:szCs w:val="24"/>
          <w:u w:val="single"/>
          <w:lang w:val="en-US"/>
        </w:rPr>
        <w:t>Reco</w:t>
      </w:r>
      <w:r w:rsidR="00022967" w:rsidRPr="00F437CC">
        <w:rPr>
          <w:sz w:val="24"/>
          <w:szCs w:val="24"/>
          <w:u w:val="single"/>
          <w:lang w:val="en-US"/>
        </w:rPr>
        <w:t>m</w:t>
      </w:r>
      <w:r w:rsidRPr="00F437CC">
        <w:rPr>
          <w:sz w:val="24"/>
          <w:szCs w:val="24"/>
          <w:u w:val="single"/>
          <w:lang w:val="en-US"/>
        </w:rPr>
        <w:t>menda</w:t>
      </w:r>
      <w:r w:rsidR="00022967" w:rsidRPr="00F437CC">
        <w:rPr>
          <w:sz w:val="24"/>
          <w:szCs w:val="24"/>
          <w:u w:val="single"/>
          <w:lang w:val="en-US"/>
        </w:rPr>
        <w:t>t</w:t>
      </w:r>
      <w:r w:rsidRPr="00F437CC">
        <w:rPr>
          <w:sz w:val="24"/>
          <w:szCs w:val="24"/>
          <w:u w:val="single"/>
          <w:lang w:val="en-US"/>
        </w:rPr>
        <w:t>ions</w:t>
      </w:r>
    </w:p>
    <w:p w14:paraId="000000C3" w14:textId="4210B2F2" w:rsidR="00C60456" w:rsidRPr="00F437CC" w:rsidRDefault="00A74445">
      <w:pPr>
        <w:spacing w:before="200" w:line="360" w:lineRule="auto"/>
        <w:jc w:val="both"/>
        <w:rPr>
          <w:sz w:val="24"/>
          <w:szCs w:val="24"/>
          <w:u w:val="single"/>
          <w:lang w:val="en-US"/>
        </w:rPr>
      </w:pPr>
      <w:r w:rsidRPr="00F437CC">
        <w:rPr>
          <w:sz w:val="24"/>
          <w:szCs w:val="24"/>
          <w:u w:val="single"/>
          <w:lang w:val="en-US"/>
        </w:rPr>
        <w:t xml:space="preserve">11. </w:t>
      </w:r>
      <w:r w:rsidR="0058047C" w:rsidRPr="00F437CC">
        <w:rPr>
          <w:sz w:val="24"/>
          <w:szCs w:val="24"/>
          <w:u w:val="single"/>
          <w:lang w:val="en-US"/>
        </w:rPr>
        <w:t>To urge the State to do the following</w:t>
      </w:r>
      <w:r w:rsidRPr="00F437CC">
        <w:rPr>
          <w:sz w:val="24"/>
          <w:szCs w:val="24"/>
          <w:u w:val="single"/>
          <w:lang w:val="en-US"/>
        </w:rPr>
        <w:t>:</w:t>
      </w:r>
    </w:p>
    <w:p w14:paraId="000000C4" w14:textId="77777777" w:rsidR="00C60456" w:rsidRPr="00F437CC" w:rsidRDefault="00C60456">
      <w:pPr>
        <w:spacing w:before="200" w:line="360" w:lineRule="auto"/>
        <w:ind w:left="720"/>
        <w:jc w:val="both"/>
        <w:rPr>
          <w:sz w:val="24"/>
          <w:szCs w:val="24"/>
          <w:u w:val="single"/>
          <w:lang w:val="en-US"/>
        </w:rPr>
      </w:pPr>
    </w:p>
    <w:p w14:paraId="000000C5" w14:textId="687FF59E" w:rsidR="00C60456" w:rsidRPr="00F437CC" w:rsidRDefault="00A74445">
      <w:pPr>
        <w:spacing w:after="200"/>
        <w:ind w:left="720" w:right="60"/>
        <w:jc w:val="both"/>
        <w:rPr>
          <w:sz w:val="24"/>
          <w:szCs w:val="24"/>
          <w:lang w:val="en-US"/>
        </w:rPr>
      </w:pPr>
      <w:r w:rsidRPr="00F437CC">
        <w:rPr>
          <w:sz w:val="24"/>
          <w:szCs w:val="24"/>
          <w:lang w:val="en-US"/>
        </w:rPr>
        <w:t xml:space="preserve">11.1 </w:t>
      </w:r>
      <w:r w:rsidR="00022967" w:rsidRPr="00F437CC">
        <w:rPr>
          <w:sz w:val="24"/>
          <w:szCs w:val="24"/>
          <w:lang w:val="en-US"/>
        </w:rPr>
        <w:t>To fully implement Recommendations 52a and 52f</w:t>
      </w:r>
      <w:r w:rsidRPr="00F437CC">
        <w:rPr>
          <w:sz w:val="24"/>
          <w:szCs w:val="24"/>
          <w:lang w:val="en-US"/>
        </w:rPr>
        <w:t>.</w:t>
      </w:r>
    </w:p>
    <w:p w14:paraId="155FF744" w14:textId="4B658895" w:rsidR="00022967" w:rsidRPr="00F437CC" w:rsidRDefault="00022967" w:rsidP="00022967">
      <w:pPr>
        <w:spacing w:after="200"/>
        <w:ind w:left="720" w:right="60"/>
        <w:jc w:val="both"/>
        <w:rPr>
          <w:sz w:val="24"/>
          <w:szCs w:val="24"/>
          <w:lang w:val="en-US"/>
        </w:rPr>
      </w:pPr>
      <w:r w:rsidRPr="00F437CC">
        <w:rPr>
          <w:sz w:val="24"/>
          <w:szCs w:val="24"/>
          <w:lang w:val="en-US"/>
        </w:rPr>
        <w:t>11.2. To update the information and adopt measures to facilitate access to electronic resources for virtual education for boys and girls in rural and vulnerable areas.</w:t>
      </w:r>
    </w:p>
    <w:p w14:paraId="1D9DAA45" w14:textId="77777777" w:rsidR="00022967" w:rsidRPr="00022967" w:rsidRDefault="00022967" w:rsidP="00022967">
      <w:pPr>
        <w:spacing w:after="200"/>
        <w:ind w:left="720" w:right="60"/>
        <w:jc w:val="both"/>
        <w:rPr>
          <w:sz w:val="24"/>
          <w:szCs w:val="24"/>
          <w:lang w:val="en-US"/>
        </w:rPr>
      </w:pPr>
      <w:r w:rsidRPr="00022967">
        <w:rPr>
          <w:sz w:val="24"/>
          <w:szCs w:val="24"/>
          <w:lang w:val="en-US"/>
        </w:rPr>
        <w:t>11.3. To ensure that the education system intensifies efforts to address the increase in absenteeism and dropout rates exacerbated by the pandemic, especially in rural areas.</w:t>
      </w:r>
    </w:p>
    <w:p w14:paraId="4499E63E" w14:textId="77777777" w:rsidR="00022967" w:rsidRPr="00022967" w:rsidRDefault="00022967" w:rsidP="00022967">
      <w:pPr>
        <w:spacing w:after="200"/>
        <w:ind w:left="720" w:right="60"/>
        <w:jc w:val="both"/>
        <w:rPr>
          <w:sz w:val="24"/>
          <w:szCs w:val="24"/>
          <w:lang w:val="en-US"/>
        </w:rPr>
      </w:pPr>
      <w:r w:rsidRPr="00022967">
        <w:rPr>
          <w:sz w:val="24"/>
          <w:szCs w:val="24"/>
          <w:lang w:val="en-US"/>
        </w:rPr>
        <w:t>11.4. To adopt effective measures to guarantee the safety of teachers, including thorough investigations into threats and harassment.</w:t>
      </w:r>
    </w:p>
    <w:p w14:paraId="000000C9" w14:textId="7E1764D6" w:rsidR="00C60456" w:rsidRPr="00F437CC" w:rsidRDefault="00022967" w:rsidP="00022967">
      <w:pPr>
        <w:spacing w:after="200"/>
        <w:ind w:left="720" w:right="60"/>
        <w:jc w:val="both"/>
        <w:rPr>
          <w:sz w:val="24"/>
          <w:szCs w:val="24"/>
          <w:lang w:val="en-US"/>
        </w:rPr>
      </w:pPr>
      <w:r w:rsidRPr="00F437CC">
        <w:rPr>
          <w:sz w:val="24"/>
          <w:szCs w:val="24"/>
          <w:lang w:val="en-US"/>
        </w:rPr>
        <w:t xml:space="preserve">11.5. To remove barriers that Venezuelan </w:t>
      </w:r>
      <w:r w:rsidR="00880BA9">
        <w:rPr>
          <w:sz w:val="24"/>
          <w:szCs w:val="24"/>
          <w:lang w:val="en-US"/>
        </w:rPr>
        <w:t>NNA</w:t>
      </w:r>
      <w:r w:rsidRPr="00F437CC">
        <w:rPr>
          <w:sz w:val="24"/>
          <w:szCs w:val="24"/>
          <w:lang w:val="en-US"/>
        </w:rPr>
        <w:t xml:space="preserve"> face to guarantee their right to basic education without any discrimination.</w:t>
      </w:r>
    </w:p>
    <w:p w14:paraId="1353D515" w14:textId="77777777" w:rsidR="00FC4E02" w:rsidRPr="00F437CC" w:rsidRDefault="00FC4E02" w:rsidP="00022967">
      <w:pPr>
        <w:spacing w:after="200"/>
        <w:ind w:left="720" w:right="60"/>
        <w:jc w:val="both"/>
        <w:rPr>
          <w:sz w:val="24"/>
          <w:szCs w:val="24"/>
          <w:lang w:val="en-US"/>
        </w:rPr>
      </w:pPr>
    </w:p>
    <w:p w14:paraId="000000CA" w14:textId="5FBEE8F9" w:rsidR="00C60456" w:rsidRPr="00F437CC" w:rsidRDefault="00A74445" w:rsidP="00924EFA">
      <w:pPr>
        <w:pStyle w:val="Heading3"/>
        <w:rPr>
          <w:lang w:val="en-US"/>
        </w:rPr>
      </w:pPr>
      <w:bookmarkStart w:id="46" w:name="_Toc181285178"/>
      <w:bookmarkStart w:id="47" w:name="_Toc181289458"/>
      <w:r w:rsidRPr="00F437CC">
        <w:rPr>
          <w:lang w:val="en-US"/>
        </w:rPr>
        <w:t xml:space="preserve">3.3. </w:t>
      </w:r>
      <w:r w:rsidR="00022967" w:rsidRPr="00F437CC">
        <w:rPr>
          <w:lang w:val="en-US"/>
        </w:rPr>
        <w:t>Situation in El Hatillo (Presentation of a Landmark Case</w:t>
      </w:r>
      <w:r w:rsidRPr="00F437CC">
        <w:rPr>
          <w:lang w:val="en-US"/>
        </w:rPr>
        <w:t>)</w:t>
      </w:r>
      <w:bookmarkEnd w:id="46"/>
      <w:bookmarkEnd w:id="47"/>
    </w:p>
    <w:p w14:paraId="4771B42D" w14:textId="13574C45" w:rsidR="00022967" w:rsidRPr="00022967" w:rsidRDefault="00022967" w:rsidP="00022967">
      <w:pPr>
        <w:spacing w:after="200" w:line="360" w:lineRule="auto"/>
        <w:jc w:val="both"/>
        <w:rPr>
          <w:sz w:val="24"/>
          <w:szCs w:val="24"/>
          <w:lang w:val="en-US"/>
        </w:rPr>
      </w:pPr>
      <w:r w:rsidRPr="00022967">
        <w:rPr>
          <w:sz w:val="24"/>
          <w:szCs w:val="24"/>
          <w:lang w:val="en-US"/>
        </w:rPr>
        <w:t xml:space="preserve">In 2014, The Organizations submitted information to the Committee regarding the impact of certain corporate activities on </w:t>
      </w:r>
      <w:r w:rsidR="00880BA9">
        <w:rPr>
          <w:sz w:val="24"/>
          <w:szCs w:val="24"/>
          <w:lang w:val="en-US"/>
        </w:rPr>
        <w:t>NNA</w:t>
      </w:r>
      <w:r w:rsidRPr="00022967">
        <w:rPr>
          <w:sz w:val="24"/>
          <w:szCs w:val="24"/>
          <w:lang w:val="en-US"/>
        </w:rPr>
        <w:t>. At that time, data was provided on the emblematic case of El Hatillo, which, aside from environmental rights violations due to the nature of the activities, has caused multiple violations of other human rights within the community, especially affecting children and adolescents.</w:t>
      </w:r>
    </w:p>
    <w:p w14:paraId="000000CC" w14:textId="701A0267" w:rsidR="00C60456" w:rsidRPr="00F437CC" w:rsidRDefault="00022967" w:rsidP="00022967">
      <w:pPr>
        <w:spacing w:after="200" w:line="360" w:lineRule="auto"/>
        <w:jc w:val="both"/>
        <w:rPr>
          <w:sz w:val="24"/>
          <w:szCs w:val="24"/>
          <w:lang w:val="en-US"/>
        </w:rPr>
      </w:pPr>
      <w:r w:rsidRPr="00F437CC">
        <w:rPr>
          <w:sz w:val="24"/>
          <w:szCs w:val="24"/>
          <w:lang w:val="en-US"/>
        </w:rPr>
        <w:t>The Committee specifically recommended that the State “take necessary measures to protect the rights of children in El Hatillo, including ensuring their prompt relocation in accordance with international standards, and providing adequate compensation''</w:t>
      </w:r>
      <w:r w:rsidRPr="00F437CC">
        <w:rPr>
          <w:sz w:val="24"/>
          <w:szCs w:val="24"/>
          <w:vertAlign w:val="superscript"/>
          <w:lang w:val="en-US"/>
        </w:rPr>
        <w:footnoteReference w:id="87"/>
      </w:r>
      <w:r w:rsidR="000231F9" w:rsidRPr="00F437CC">
        <w:rPr>
          <w:sz w:val="24"/>
          <w:szCs w:val="24"/>
          <w:lang w:val="en-US"/>
        </w:rPr>
        <w:t>.</w:t>
      </w:r>
    </w:p>
    <w:p w14:paraId="307FC34D" w14:textId="1F081392" w:rsidR="00022967" w:rsidRPr="00022967" w:rsidRDefault="00022967" w:rsidP="00022967">
      <w:pPr>
        <w:spacing w:after="240" w:line="360" w:lineRule="auto"/>
        <w:jc w:val="both"/>
        <w:rPr>
          <w:sz w:val="24"/>
          <w:szCs w:val="24"/>
          <w:lang w:val="en-US"/>
        </w:rPr>
      </w:pPr>
      <w:r w:rsidRPr="00022967">
        <w:rPr>
          <w:sz w:val="24"/>
          <w:szCs w:val="24"/>
          <w:lang w:val="en-US"/>
        </w:rPr>
        <w:t xml:space="preserve">The official report presented by the State on this matter, </w:t>
      </w:r>
      <w:r w:rsidR="006A0B46">
        <w:rPr>
          <w:sz w:val="24"/>
          <w:szCs w:val="24"/>
          <w:lang w:val="en-US"/>
        </w:rPr>
        <w:t xml:space="preserve">established </w:t>
      </w:r>
      <w:r w:rsidRPr="00022967">
        <w:rPr>
          <w:sz w:val="24"/>
          <w:szCs w:val="24"/>
          <w:lang w:val="en-US"/>
        </w:rPr>
        <w:t xml:space="preserve">that “To ensure necessary measures to protect the children of El Hatillo, the Resettlement Action Plan (PAR) was developed with the National Family Welfare System (SNBF) agents, local authorities (Governor’s Office of Cesar, Mayor’s Office, and Family Ombudsman’s Office </w:t>
      </w:r>
      <w:r w:rsidRPr="00022967">
        <w:rPr>
          <w:sz w:val="24"/>
          <w:szCs w:val="24"/>
          <w:lang w:val="en-US"/>
        </w:rPr>
        <w:lastRenderedPageBreak/>
        <w:t>in El Paso municipality), and representatives of mining companies to address the situation in this settlement.” However, these claims are far from reality, as described below.</w:t>
      </w:r>
    </w:p>
    <w:p w14:paraId="000000CE" w14:textId="307431AC" w:rsidR="00C60456" w:rsidRPr="00F437CC" w:rsidRDefault="00022967" w:rsidP="00022967">
      <w:pPr>
        <w:spacing w:after="240" w:line="360" w:lineRule="auto"/>
        <w:jc w:val="both"/>
        <w:rPr>
          <w:sz w:val="24"/>
          <w:szCs w:val="24"/>
          <w:lang w:val="en-US"/>
        </w:rPr>
      </w:pPr>
      <w:r w:rsidRPr="00F437CC">
        <w:rPr>
          <w:sz w:val="24"/>
          <w:szCs w:val="24"/>
          <w:lang w:val="en-US"/>
        </w:rPr>
        <w:t>On November 29, 2018, the community and the mining companies signed the Resettlement Action Plan (PAR), which established that the resettlement would be completed within ten years, with a five-year transition period during which information about compensations and contract signing processes would be shared with each family. This plan has not been fulfilled, as explained below.</w:t>
      </w:r>
    </w:p>
    <w:p w14:paraId="16ECD37E" w14:textId="2F506DA0" w:rsidR="00022967" w:rsidRPr="00022967" w:rsidRDefault="00022967" w:rsidP="00022967">
      <w:pPr>
        <w:spacing w:line="360" w:lineRule="auto"/>
        <w:jc w:val="both"/>
        <w:rPr>
          <w:sz w:val="24"/>
          <w:szCs w:val="24"/>
          <w:lang w:val="en-US"/>
        </w:rPr>
      </w:pPr>
      <w:r w:rsidRPr="00022967">
        <w:rPr>
          <w:sz w:val="24"/>
          <w:szCs w:val="24"/>
          <w:lang w:val="en-US"/>
        </w:rPr>
        <w:t xml:space="preserve">In September 2018, breaches in contractual obligations affected approximately thirteen families, most of whom had children. That same month, the mining companies suspended the signing of eighty-two settlement contracts </w:t>
      </w:r>
      <w:r w:rsidR="009E1870" w:rsidRPr="00022967">
        <w:rPr>
          <w:sz w:val="24"/>
          <w:szCs w:val="24"/>
          <w:lang w:val="en-US"/>
        </w:rPr>
        <w:t xml:space="preserve">unilaterally </w:t>
      </w:r>
      <w:r w:rsidRPr="00022967">
        <w:rPr>
          <w:sz w:val="24"/>
          <w:szCs w:val="24"/>
          <w:lang w:val="en-US"/>
        </w:rPr>
        <w:t>due to administrative issues with the trust established for implementing the PAR. Consequently, on November 14, 2019, the community blocked coal freight train tracks to demand compliance with the agreement.</w:t>
      </w:r>
    </w:p>
    <w:p w14:paraId="167A3668" w14:textId="77777777" w:rsidR="00022967" w:rsidRPr="00022967" w:rsidRDefault="00022967" w:rsidP="00022967">
      <w:pPr>
        <w:spacing w:line="360" w:lineRule="auto"/>
        <w:jc w:val="both"/>
        <w:rPr>
          <w:sz w:val="14"/>
          <w:szCs w:val="14"/>
          <w:lang w:val="en-US"/>
        </w:rPr>
      </w:pPr>
    </w:p>
    <w:p w14:paraId="000000D0" w14:textId="6985FF02" w:rsidR="00C60456" w:rsidRPr="00F437CC" w:rsidRDefault="00022967" w:rsidP="00022967">
      <w:pPr>
        <w:spacing w:line="360" w:lineRule="auto"/>
        <w:jc w:val="both"/>
        <w:rPr>
          <w:sz w:val="24"/>
          <w:szCs w:val="24"/>
          <w:lang w:val="en-US"/>
        </w:rPr>
      </w:pPr>
      <w:r w:rsidRPr="00F437CC">
        <w:rPr>
          <w:sz w:val="24"/>
          <w:szCs w:val="24"/>
          <w:lang w:val="en-US"/>
        </w:rPr>
        <w:t>In November 2022, the National Environmental Licensing Authority (ANLA) approved a collective resettlement program for the community, presented by several mining companies. However, the terms of the program conditions and delayed approval have led many to opt for individual resettlement, which goes against the collective plans in place. As of December 2023, only five families remain in the collective resettlement plan, but a minimum of 25 families is legally required, making collective resettlement practically unfeasible due to corporate and State negligence.</w:t>
      </w:r>
    </w:p>
    <w:p w14:paraId="000000D1" w14:textId="77777777" w:rsidR="00C60456" w:rsidRPr="00F437CC" w:rsidRDefault="00C60456" w:rsidP="00022967">
      <w:pPr>
        <w:spacing w:line="360" w:lineRule="auto"/>
        <w:jc w:val="both"/>
        <w:rPr>
          <w:sz w:val="14"/>
          <w:szCs w:val="14"/>
          <w:lang w:val="en-US"/>
        </w:rPr>
      </w:pPr>
    </w:p>
    <w:p w14:paraId="000000D2" w14:textId="2B7E43E6" w:rsidR="00C60456" w:rsidRPr="00F437CC" w:rsidRDefault="00022967" w:rsidP="00022967">
      <w:pPr>
        <w:spacing w:line="360" w:lineRule="auto"/>
        <w:jc w:val="both"/>
        <w:rPr>
          <w:sz w:val="24"/>
          <w:szCs w:val="24"/>
          <w:lang w:val="en-US"/>
        </w:rPr>
      </w:pPr>
      <w:r w:rsidRPr="00F437CC">
        <w:rPr>
          <w:sz w:val="24"/>
          <w:szCs w:val="24"/>
          <w:lang w:val="en-US"/>
        </w:rPr>
        <w:t>Additionally, some local institutions, such as the Mayor's Office and the Governor’s Office, decided not to allocate any public resources to the El Hatillo community, citing potential patrimonial loss due to the community’s eventual disappearance as a settlement.</w:t>
      </w:r>
    </w:p>
    <w:p w14:paraId="000000D3" w14:textId="77777777" w:rsidR="00C60456" w:rsidRPr="00F437CC" w:rsidRDefault="00C60456">
      <w:pPr>
        <w:spacing w:after="160" w:line="360" w:lineRule="auto"/>
        <w:jc w:val="both"/>
        <w:rPr>
          <w:sz w:val="24"/>
          <w:szCs w:val="24"/>
          <w:lang w:val="en-US"/>
        </w:rPr>
      </w:pPr>
    </w:p>
    <w:p w14:paraId="000000D4" w14:textId="070FF641" w:rsidR="00C60456" w:rsidRPr="00F437CC" w:rsidRDefault="00A74445" w:rsidP="00924EFA">
      <w:pPr>
        <w:pStyle w:val="Heading3"/>
        <w:rPr>
          <w:rStyle w:val="Emphasis"/>
          <w:i/>
          <w:iCs w:val="0"/>
          <w:lang w:val="en-US"/>
        </w:rPr>
      </w:pPr>
      <w:bookmarkStart w:id="48" w:name="_Toc181289459"/>
      <w:bookmarkStart w:id="49" w:name="_Toc181285179"/>
      <w:r w:rsidRPr="00F437CC">
        <w:rPr>
          <w:rStyle w:val="Emphasis"/>
          <w:i/>
          <w:iCs w:val="0"/>
          <w:lang w:val="en-US"/>
        </w:rPr>
        <w:t>3.3.</w:t>
      </w:r>
      <w:r w:rsidR="00924EFA" w:rsidRPr="00F437CC">
        <w:rPr>
          <w:rStyle w:val="Emphasis"/>
          <w:i/>
          <w:iCs w:val="0"/>
          <w:lang w:val="en-US"/>
        </w:rPr>
        <w:t>1</w:t>
      </w:r>
      <w:r w:rsidRPr="00F437CC">
        <w:rPr>
          <w:rStyle w:val="Emphasis"/>
          <w:i/>
          <w:iCs w:val="0"/>
          <w:lang w:val="en-US"/>
        </w:rPr>
        <w:t xml:space="preserve">. </w:t>
      </w:r>
      <w:r w:rsidR="00022967" w:rsidRPr="00F437CC">
        <w:rPr>
          <w:lang w:val="en-US"/>
        </w:rPr>
        <w:t>Current Vulnerability Situation</w:t>
      </w:r>
      <w:bookmarkEnd w:id="48"/>
      <w:r w:rsidR="00022967" w:rsidRPr="00F437CC">
        <w:rPr>
          <w:lang w:val="en-US"/>
        </w:rPr>
        <w:t xml:space="preserve"> </w:t>
      </w:r>
      <w:bookmarkEnd w:id="49"/>
    </w:p>
    <w:p w14:paraId="1C9B7EC5" w14:textId="77777777" w:rsidR="00FC4E02" w:rsidRPr="00FC4E02" w:rsidRDefault="00FC4E02" w:rsidP="00FC4E02">
      <w:pPr>
        <w:spacing w:after="160" w:line="360" w:lineRule="auto"/>
        <w:jc w:val="both"/>
        <w:rPr>
          <w:sz w:val="24"/>
          <w:szCs w:val="24"/>
          <w:lang w:val="en-US"/>
        </w:rPr>
      </w:pPr>
      <w:r w:rsidRPr="00FC4E02">
        <w:rPr>
          <w:sz w:val="24"/>
          <w:szCs w:val="24"/>
          <w:lang w:val="en-US"/>
        </w:rPr>
        <w:t xml:space="preserve">Despite the community’s response, and almost six years after signing the PAR, delays continue in the implementation timeline, as settlement contracts for compensating affected families remain unsigned, individual resettlements are pending, responses to </w:t>
      </w:r>
      <w:r w:rsidRPr="00FC4E02">
        <w:rPr>
          <w:sz w:val="24"/>
          <w:szCs w:val="24"/>
          <w:lang w:val="en-US"/>
        </w:rPr>
        <w:lastRenderedPageBreak/>
        <w:t>queries and requests with the companies and the operator are delayed, and payments for loss of income and land acquisition for the new settlement have not been executed.</w:t>
      </w:r>
    </w:p>
    <w:p w14:paraId="145B075D" w14:textId="77777777" w:rsidR="00FC4E02" w:rsidRPr="00FC4E02" w:rsidRDefault="00FC4E02" w:rsidP="00FC4E02">
      <w:pPr>
        <w:spacing w:after="160" w:line="360" w:lineRule="auto"/>
        <w:jc w:val="both"/>
        <w:rPr>
          <w:sz w:val="24"/>
          <w:szCs w:val="24"/>
          <w:lang w:val="en-US"/>
        </w:rPr>
      </w:pPr>
    </w:p>
    <w:p w14:paraId="504ED560" w14:textId="74762826" w:rsidR="00FC4E02" w:rsidRPr="00FC4E02" w:rsidRDefault="00FC4E02" w:rsidP="00FC4E02">
      <w:pPr>
        <w:spacing w:after="160" w:line="360" w:lineRule="auto"/>
        <w:jc w:val="both"/>
        <w:rPr>
          <w:sz w:val="24"/>
          <w:szCs w:val="24"/>
          <w:lang w:val="en-US"/>
        </w:rPr>
      </w:pPr>
      <w:r w:rsidRPr="00FC4E02">
        <w:rPr>
          <w:sz w:val="24"/>
          <w:szCs w:val="24"/>
          <w:lang w:val="en-US"/>
        </w:rPr>
        <w:t>The community of El Hatillo faces an uncertain future, with most members unemployed and unable to meet basic needs. The companies’ notice of their “inability to continue the Transition Plan,” together with the Colombian State's failure to adequately regulate and supervise their activities and provide essential social services, put the community of El Hatillo at immediate risk.</w:t>
      </w:r>
    </w:p>
    <w:p w14:paraId="000000D7" w14:textId="303B1709" w:rsidR="00C60456" w:rsidRPr="00F437CC" w:rsidRDefault="00FC4E02" w:rsidP="00FC4E02">
      <w:pPr>
        <w:spacing w:after="160" w:line="360" w:lineRule="auto"/>
        <w:jc w:val="both"/>
        <w:rPr>
          <w:sz w:val="24"/>
          <w:szCs w:val="24"/>
          <w:lang w:val="en-US"/>
        </w:rPr>
      </w:pPr>
      <w:r w:rsidRPr="00F437CC">
        <w:rPr>
          <w:sz w:val="24"/>
          <w:szCs w:val="24"/>
          <w:lang w:val="en-US"/>
        </w:rPr>
        <w:t>Further exacerbating the critical situation is the increase in teenage pregnancies without the minimum conditions for dignified maternity; the average age for first pregnancies in El Hatillo is between 16 and 17 years. In this context, the younger population continues to experience violations of fundamental rights due to the failures</w:t>
      </w:r>
      <w:r w:rsidR="0074715B">
        <w:rPr>
          <w:sz w:val="24"/>
          <w:szCs w:val="24"/>
          <w:lang w:val="en-US"/>
        </w:rPr>
        <w:t xml:space="preserve"> mentioned above</w:t>
      </w:r>
      <w:r w:rsidRPr="00F437CC">
        <w:rPr>
          <w:sz w:val="24"/>
          <w:szCs w:val="24"/>
          <w:lang w:val="en-US"/>
        </w:rPr>
        <w:t>, in addition to the adverse effects of extractivism amid State inefficacies.</w:t>
      </w:r>
    </w:p>
    <w:p w14:paraId="000000D8" w14:textId="3FDF131F" w:rsidR="00C60456" w:rsidRPr="00F437CC" w:rsidRDefault="00A74445">
      <w:pPr>
        <w:spacing w:after="200" w:line="360" w:lineRule="auto"/>
        <w:jc w:val="both"/>
        <w:rPr>
          <w:sz w:val="24"/>
          <w:szCs w:val="24"/>
          <w:u w:val="single"/>
          <w:lang w:val="en-US"/>
        </w:rPr>
      </w:pPr>
      <w:r w:rsidRPr="00F437CC">
        <w:rPr>
          <w:sz w:val="24"/>
          <w:szCs w:val="24"/>
          <w:u w:val="single"/>
          <w:lang w:val="en-US"/>
        </w:rPr>
        <w:t>Reco</w:t>
      </w:r>
      <w:r w:rsidR="00022967" w:rsidRPr="00F437CC">
        <w:rPr>
          <w:sz w:val="24"/>
          <w:szCs w:val="24"/>
          <w:u w:val="single"/>
          <w:lang w:val="en-US"/>
        </w:rPr>
        <w:t>m</w:t>
      </w:r>
      <w:r w:rsidRPr="00F437CC">
        <w:rPr>
          <w:sz w:val="24"/>
          <w:szCs w:val="24"/>
          <w:u w:val="single"/>
          <w:lang w:val="en-US"/>
        </w:rPr>
        <w:t>menda</w:t>
      </w:r>
      <w:r w:rsidR="00022967" w:rsidRPr="00F437CC">
        <w:rPr>
          <w:sz w:val="24"/>
          <w:szCs w:val="24"/>
          <w:u w:val="single"/>
          <w:lang w:val="en-US"/>
        </w:rPr>
        <w:t>t</w:t>
      </w:r>
      <w:r w:rsidRPr="00F437CC">
        <w:rPr>
          <w:sz w:val="24"/>
          <w:szCs w:val="24"/>
          <w:u w:val="single"/>
          <w:lang w:val="en-US"/>
        </w:rPr>
        <w:t>ions</w:t>
      </w:r>
    </w:p>
    <w:p w14:paraId="000000D9" w14:textId="6CF3FE6C" w:rsidR="00C60456" w:rsidRPr="00F437CC" w:rsidRDefault="00A74445">
      <w:pPr>
        <w:spacing w:after="200" w:line="360" w:lineRule="auto"/>
        <w:jc w:val="both"/>
        <w:rPr>
          <w:sz w:val="24"/>
          <w:szCs w:val="24"/>
          <w:u w:val="single"/>
          <w:lang w:val="en-US"/>
        </w:rPr>
      </w:pPr>
      <w:r w:rsidRPr="00F437CC">
        <w:rPr>
          <w:sz w:val="24"/>
          <w:szCs w:val="24"/>
          <w:u w:val="single"/>
          <w:lang w:val="en-US"/>
        </w:rPr>
        <w:t xml:space="preserve">12. </w:t>
      </w:r>
      <w:r w:rsidR="0058047C" w:rsidRPr="00F437CC">
        <w:rPr>
          <w:sz w:val="24"/>
          <w:szCs w:val="24"/>
          <w:u w:val="single"/>
          <w:lang w:val="en-US"/>
        </w:rPr>
        <w:t>To urge the State to do the following</w:t>
      </w:r>
      <w:r w:rsidRPr="00F437CC">
        <w:rPr>
          <w:sz w:val="24"/>
          <w:szCs w:val="24"/>
          <w:u w:val="single"/>
          <w:lang w:val="en-US"/>
        </w:rPr>
        <w:t>:</w:t>
      </w:r>
    </w:p>
    <w:p w14:paraId="06B8519B" w14:textId="23521583" w:rsidR="00022967" w:rsidRPr="00F437CC" w:rsidRDefault="00022967" w:rsidP="00022967">
      <w:pPr>
        <w:spacing w:before="240" w:after="200" w:line="360" w:lineRule="auto"/>
        <w:ind w:left="720" w:right="60"/>
        <w:jc w:val="both"/>
        <w:rPr>
          <w:sz w:val="24"/>
          <w:szCs w:val="24"/>
          <w:lang w:val="en-US"/>
        </w:rPr>
      </w:pPr>
      <w:r w:rsidRPr="00F437CC">
        <w:rPr>
          <w:sz w:val="24"/>
          <w:szCs w:val="24"/>
          <w:lang w:val="en-US"/>
        </w:rPr>
        <w:t>12.1. To follow recommendations 18.a, b, c, and d to ensure that companies responsible for human rights violations are held accountable and that victims are fully compensated in accordance with the United Nations Principles on Business and Human Rights.</w:t>
      </w:r>
    </w:p>
    <w:p w14:paraId="681F4B92" w14:textId="77777777" w:rsidR="00022967" w:rsidRPr="00022967" w:rsidRDefault="00022967" w:rsidP="00022967">
      <w:pPr>
        <w:spacing w:before="240" w:after="200" w:line="360" w:lineRule="auto"/>
        <w:ind w:left="720" w:right="60"/>
        <w:jc w:val="both"/>
        <w:rPr>
          <w:sz w:val="24"/>
          <w:szCs w:val="24"/>
          <w:lang w:val="en-US"/>
        </w:rPr>
      </w:pPr>
      <w:r w:rsidRPr="00022967">
        <w:rPr>
          <w:sz w:val="24"/>
          <w:szCs w:val="24"/>
          <w:lang w:val="en-US"/>
        </w:rPr>
        <w:t>12.2. To implement the resettlement plan comprehensively in El Hatillo, with a human rights perspective, ensuring the rights of the boys and girls of the community.</w:t>
      </w:r>
    </w:p>
    <w:p w14:paraId="13A31CF3" w14:textId="77777777" w:rsidR="00022967" w:rsidRPr="00022967" w:rsidRDefault="00022967" w:rsidP="00022967">
      <w:pPr>
        <w:spacing w:before="240" w:after="200" w:line="360" w:lineRule="auto"/>
        <w:ind w:left="720" w:right="60"/>
        <w:jc w:val="both"/>
        <w:rPr>
          <w:sz w:val="24"/>
          <w:szCs w:val="24"/>
          <w:lang w:val="en-US"/>
        </w:rPr>
      </w:pPr>
      <w:r w:rsidRPr="00022967">
        <w:rPr>
          <w:sz w:val="24"/>
          <w:szCs w:val="24"/>
          <w:lang w:val="en-US"/>
        </w:rPr>
        <w:t>12.3. To provide full compensation and reparation to the members of the El Hatillo community, including children, using a differential approach.</w:t>
      </w:r>
    </w:p>
    <w:p w14:paraId="000000DD" w14:textId="739A41E2" w:rsidR="00C60456" w:rsidRPr="00F437CC" w:rsidRDefault="00022967" w:rsidP="00022967">
      <w:pPr>
        <w:spacing w:before="240" w:after="200" w:line="360" w:lineRule="auto"/>
        <w:ind w:left="720" w:right="60"/>
        <w:jc w:val="both"/>
        <w:rPr>
          <w:sz w:val="24"/>
          <w:szCs w:val="24"/>
          <w:lang w:val="en-US"/>
        </w:rPr>
      </w:pPr>
      <w:r w:rsidRPr="00F437CC">
        <w:rPr>
          <w:sz w:val="24"/>
          <w:szCs w:val="24"/>
          <w:lang w:val="en-US"/>
        </w:rPr>
        <w:t>12.4. To ensure the participation of children in the reparation and resettlement processes.</w:t>
      </w:r>
    </w:p>
    <w:p w14:paraId="000000DE" w14:textId="39A431C6" w:rsidR="00C60456" w:rsidRPr="00F437CC" w:rsidRDefault="00A74445" w:rsidP="00924EFA">
      <w:pPr>
        <w:pStyle w:val="Heading2"/>
        <w:rPr>
          <w:lang w:val="en-US"/>
        </w:rPr>
      </w:pPr>
      <w:bookmarkStart w:id="50" w:name="_Toc181285180"/>
      <w:bookmarkStart w:id="51" w:name="_Toc181289460"/>
      <w:r w:rsidRPr="00F437CC">
        <w:rPr>
          <w:lang w:val="en-US"/>
        </w:rPr>
        <w:lastRenderedPageBreak/>
        <w:t>An</w:t>
      </w:r>
      <w:r w:rsidR="00925E11" w:rsidRPr="00F437CC">
        <w:rPr>
          <w:lang w:val="en-US"/>
        </w:rPr>
        <w:t>n</w:t>
      </w:r>
      <w:r w:rsidRPr="00F437CC">
        <w:rPr>
          <w:lang w:val="en-US"/>
        </w:rPr>
        <w:t>ex</w:t>
      </w:r>
      <w:r w:rsidR="00925E11" w:rsidRPr="00F437CC">
        <w:rPr>
          <w:lang w:val="en-US"/>
        </w:rPr>
        <w:t>e</w:t>
      </w:r>
      <w:r w:rsidRPr="00F437CC">
        <w:rPr>
          <w:lang w:val="en-US"/>
        </w:rPr>
        <w:t>s:</w:t>
      </w:r>
      <w:bookmarkEnd w:id="50"/>
      <w:bookmarkEnd w:id="51"/>
      <w:r w:rsidRPr="00F437CC">
        <w:rPr>
          <w:lang w:val="en-US"/>
        </w:rPr>
        <w:t xml:space="preserve"> </w:t>
      </w:r>
    </w:p>
    <w:p w14:paraId="000000DF" w14:textId="7049AA1B" w:rsidR="00C60456" w:rsidRDefault="00A74445">
      <w:pPr>
        <w:spacing w:before="200" w:line="360" w:lineRule="auto"/>
        <w:jc w:val="both"/>
        <w:rPr>
          <w:sz w:val="24"/>
          <w:szCs w:val="24"/>
          <w:lang w:val="en-US"/>
        </w:rPr>
      </w:pPr>
      <w:r w:rsidRPr="00F437CC">
        <w:rPr>
          <w:b/>
          <w:sz w:val="24"/>
          <w:szCs w:val="24"/>
          <w:lang w:val="en-US"/>
        </w:rPr>
        <w:t>A</w:t>
      </w:r>
      <w:r w:rsidR="00925E11" w:rsidRPr="00F437CC">
        <w:rPr>
          <w:b/>
          <w:sz w:val="24"/>
          <w:szCs w:val="24"/>
          <w:lang w:val="en-US"/>
        </w:rPr>
        <w:t>n</w:t>
      </w:r>
      <w:r w:rsidRPr="00F437CC">
        <w:rPr>
          <w:b/>
          <w:sz w:val="24"/>
          <w:szCs w:val="24"/>
          <w:lang w:val="en-US"/>
        </w:rPr>
        <w:t>nex 1.</w:t>
      </w:r>
      <w:r w:rsidRPr="00F437CC">
        <w:rPr>
          <w:sz w:val="24"/>
          <w:szCs w:val="24"/>
          <w:lang w:val="en-US"/>
        </w:rPr>
        <w:t xml:space="preserve"> </w:t>
      </w:r>
      <w:r w:rsidR="00880BA9" w:rsidRPr="00880BA9">
        <w:rPr>
          <w:sz w:val="24"/>
          <w:szCs w:val="24"/>
          <w:lang w:val="es-CO"/>
        </w:rPr>
        <w:t>Pensamiento y Acción Social (PAS)</w:t>
      </w:r>
      <w:r w:rsidR="00865848" w:rsidRPr="00880BA9">
        <w:rPr>
          <w:sz w:val="24"/>
          <w:szCs w:val="24"/>
          <w:lang w:val="es-CO"/>
        </w:rPr>
        <w:t xml:space="preserve">. </w:t>
      </w:r>
      <w:r w:rsidR="00865848" w:rsidRPr="00F437CC">
        <w:rPr>
          <w:sz w:val="24"/>
          <w:szCs w:val="24"/>
          <w:lang w:val="en-US"/>
        </w:rPr>
        <w:t>Identities and Risks in Child and Youth Environmental Advocacy in Colombia: Organizational Expressions, Risk Analysis, and Challenges for its Protection. February 2023.</w:t>
      </w:r>
    </w:p>
    <w:p w14:paraId="431D1C77" w14:textId="631A8F93" w:rsidR="00880BA9" w:rsidRPr="00F437CC" w:rsidRDefault="00880BA9">
      <w:pPr>
        <w:spacing w:before="200" w:line="360" w:lineRule="auto"/>
        <w:jc w:val="both"/>
        <w:rPr>
          <w:sz w:val="24"/>
          <w:szCs w:val="24"/>
          <w:lang w:val="en-US"/>
        </w:rPr>
      </w:pPr>
      <w:r w:rsidRPr="00880BA9">
        <w:rPr>
          <w:b/>
          <w:bCs/>
          <w:sz w:val="24"/>
          <w:szCs w:val="24"/>
          <w:lang w:val="en-US"/>
        </w:rPr>
        <w:t>Annex 2.</w:t>
      </w:r>
      <w:r>
        <w:rPr>
          <w:sz w:val="24"/>
          <w:szCs w:val="24"/>
          <w:lang w:val="en-US"/>
        </w:rPr>
        <w:t xml:space="preserve"> </w:t>
      </w:r>
      <w:r w:rsidRPr="00880BA9">
        <w:rPr>
          <w:sz w:val="24"/>
          <w:szCs w:val="24"/>
          <w:lang w:val="en-US"/>
        </w:rPr>
        <w:t>Centro Comunitario Las Colinas (CECUCOL), Minga Social Popular y Comunitaria Cali. Violation of the right to housing for children, state inertia and re-victimization in cases of forced evictions, in the case of Cali. July 2024.</w:t>
      </w:r>
    </w:p>
    <w:p w14:paraId="000000E0" w14:textId="11189264" w:rsidR="00C60456" w:rsidRPr="00F437CC" w:rsidRDefault="00924EFA">
      <w:pPr>
        <w:spacing w:before="200" w:line="360" w:lineRule="auto"/>
        <w:jc w:val="both"/>
        <w:rPr>
          <w:b/>
          <w:sz w:val="24"/>
          <w:szCs w:val="24"/>
          <w:lang w:val="en-US"/>
        </w:rPr>
      </w:pPr>
      <w:r w:rsidRPr="00880BA9">
        <w:rPr>
          <w:b/>
          <w:bCs/>
          <w:sz w:val="24"/>
          <w:szCs w:val="24"/>
          <w:lang w:val="en-US"/>
        </w:rPr>
        <w:t>An</w:t>
      </w:r>
      <w:r w:rsidR="0058047C" w:rsidRPr="00880BA9">
        <w:rPr>
          <w:b/>
          <w:bCs/>
          <w:sz w:val="24"/>
          <w:szCs w:val="24"/>
          <w:lang w:val="en-US"/>
        </w:rPr>
        <w:t>n</w:t>
      </w:r>
      <w:r w:rsidRPr="00880BA9">
        <w:rPr>
          <w:b/>
          <w:bCs/>
          <w:sz w:val="24"/>
          <w:szCs w:val="24"/>
          <w:lang w:val="en-US"/>
        </w:rPr>
        <w:t xml:space="preserve">ex </w:t>
      </w:r>
      <w:r w:rsidR="00880BA9">
        <w:rPr>
          <w:b/>
          <w:bCs/>
          <w:sz w:val="24"/>
          <w:szCs w:val="24"/>
          <w:lang w:val="en-US"/>
        </w:rPr>
        <w:t>3</w:t>
      </w:r>
      <w:r w:rsidRPr="00F437CC">
        <w:rPr>
          <w:sz w:val="24"/>
          <w:szCs w:val="24"/>
          <w:lang w:val="en-US"/>
        </w:rPr>
        <w:t>. Tra</w:t>
      </w:r>
      <w:r w:rsidR="00925E11" w:rsidRPr="00F437CC">
        <w:rPr>
          <w:sz w:val="24"/>
          <w:szCs w:val="24"/>
          <w:lang w:val="en-US"/>
        </w:rPr>
        <w:t>nslation of this Alternat</w:t>
      </w:r>
      <w:r w:rsidR="0058047C" w:rsidRPr="00F437CC">
        <w:rPr>
          <w:sz w:val="24"/>
          <w:szCs w:val="24"/>
          <w:lang w:val="en-US"/>
        </w:rPr>
        <w:t>iv</w:t>
      </w:r>
      <w:r w:rsidR="00925E11" w:rsidRPr="00F437CC">
        <w:rPr>
          <w:sz w:val="24"/>
          <w:szCs w:val="24"/>
          <w:lang w:val="en-US"/>
        </w:rPr>
        <w:t>e Report into English</w:t>
      </w:r>
      <w:r w:rsidRPr="00F437CC">
        <w:rPr>
          <w:sz w:val="24"/>
          <w:szCs w:val="24"/>
          <w:lang w:val="en-US"/>
        </w:rPr>
        <w:t>.</w:t>
      </w:r>
    </w:p>
    <w:sectPr w:rsidR="00C60456" w:rsidRPr="00F437CC">
      <w:footerReference w:type="even" r:id="rId18"/>
      <w:footerReference w:type="default" r:id="rId1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2B4827" w14:textId="77777777" w:rsidR="00E233A8" w:rsidRDefault="00E233A8">
      <w:pPr>
        <w:spacing w:line="240" w:lineRule="auto"/>
      </w:pPr>
      <w:r>
        <w:separator/>
      </w:r>
    </w:p>
  </w:endnote>
  <w:endnote w:type="continuationSeparator" w:id="0">
    <w:p w14:paraId="214A0F2A" w14:textId="77777777" w:rsidR="00E233A8" w:rsidRDefault="00E233A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5953A645-F525-4D1B-8633-C69258A55E1D}"/>
    <w:embedBold r:id="rId2" w:fontKey="{6C95984D-BC55-4467-83B4-5985B44C11BB}"/>
    <w:embedItalic r:id="rId3" w:fontKey="{6008DA94-F277-4C71-AEA5-E8CB72723BA5}"/>
  </w:font>
  <w:font w:name="Cambria">
    <w:panose1 w:val="02040503050406030204"/>
    <w:charset w:val="00"/>
    <w:family w:val="roman"/>
    <w:pitch w:val="variable"/>
    <w:sig w:usb0="E00006FF" w:usb1="420024FF" w:usb2="02000000" w:usb3="00000000" w:csb0="0000019F" w:csb1="00000000"/>
    <w:embedRegular r:id="rId4" w:fontKey="{39CC7D05-94CC-413E-BF48-B16C15DDA41E}"/>
  </w:font>
  <w:font w:name="Roboto">
    <w:charset w:val="00"/>
    <w:family w:val="auto"/>
    <w:pitch w:val="variable"/>
    <w:sig w:usb0="E0000AFF" w:usb1="5000217F" w:usb2="00000021" w:usb3="00000000" w:csb0="0000019F" w:csb1="00000000"/>
    <w:embedRegular r:id="rId5" w:fontKey="{11EB6DBC-F499-49E6-9C87-CDD06E88FC1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5781490"/>
      <w:docPartObj>
        <w:docPartGallery w:val="Page Numbers (Bottom of Page)"/>
        <w:docPartUnique/>
      </w:docPartObj>
    </w:sdtPr>
    <w:sdtEndPr>
      <w:rPr>
        <w:rStyle w:val="PageNumber"/>
      </w:rPr>
    </w:sdtEndPr>
    <w:sdtContent>
      <w:p w14:paraId="79C8B42C" w14:textId="70EB12CD" w:rsidR="00022967" w:rsidRDefault="00022967" w:rsidP="00AD426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50BF29C" w14:textId="77777777" w:rsidR="00022967" w:rsidRDefault="00022967" w:rsidP="0002296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sz w:val="18"/>
        <w:szCs w:val="18"/>
      </w:rPr>
      <w:id w:val="1576169159"/>
      <w:docPartObj>
        <w:docPartGallery w:val="Page Numbers (Bottom of Page)"/>
        <w:docPartUnique/>
      </w:docPartObj>
    </w:sdtPr>
    <w:sdtEndPr>
      <w:rPr>
        <w:rStyle w:val="PageNumber"/>
      </w:rPr>
    </w:sdtEndPr>
    <w:sdtContent>
      <w:p w14:paraId="004243C3" w14:textId="33769006" w:rsidR="00022967" w:rsidRPr="00EB6BCC" w:rsidRDefault="00022967" w:rsidP="00AD426B">
        <w:pPr>
          <w:pStyle w:val="Footer"/>
          <w:framePr w:wrap="none" w:vAnchor="text" w:hAnchor="margin" w:xAlign="right" w:y="1"/>
          <w:rPr>
            <w:rStyle w:val="PageNumber"/>
            <w:sz w:val="18"/>
            <w:szCs w:val="18"/>
          </w:rPr>
        </w:pPr>
        <w:r w:rsidRPr="00EB6BCC">
          <w:rPr>
            <w:rStyle w:val="PageNumber"/>
            <w:sz w:val="18"/>
            <w:szCs w:val="18"/>
          </w:rPr>
          <w:fldChar w:fldCharType="begin"/>
        </w:r>
        <w:r w:rsidRPr="00EB6BCC">
          <w:rPr>
            <w:rStyle w:val="PageNumber"/>
            <w:sz w:val="18"/>
            <w:szCs w:val="18"/>
          </w:rPr>
          <w:instrText xml:space="preserve"> PAGE </w:instrText>
        </w:r>
        <w:r w:rsidRPr="00EB6BCC">
          <w:rPr>
            <w:rStyle w:val="PageNumber"/>
            <w:sz w:val="18"/>
            <w:szCs w:val="18"/>
          </w:rPr>
          <w:fldChar w:fldCharType="separate"/>
        </w:r>
        <w:r w:rsidRPr="00EB6BCC">
          <w:rPr>
            <w:rStyle w:val="PageNumber"/>
            <w:noProof/>
            <w:sz w:val="18"/>
            <w:szCs w:val="18"/>
          </w:rPr>
          <w:t>25</w:t>
        </w:r>
        <w:r w:rsidRPr="00EB6BCC">
          <w:rPr>
            <w:rStyle w:val="PageNumber"/>
            <w:sz w:val="18"/>
            <w:szCs w:val="18"/>
          </w:rPr>
          <w:fldChar w:fldCharType="end"/>
        </w:r>
      </w:p>
    </w:sdtContent>
  </w:sdt>
  <w:p w14:paraId="5B2A8734" w14:textId="77777777" w:rsidR="00022967" w:rsidRDefault="00022967" w:rsidP="0002296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255F5B" w14:textId="77777777" w:rsidR="00E233A8" w:rsidRDefault="00E233A8">
      <w:pPr>
        <w:spacing w:line="240" w:lineRule="auto"/>
      </w:pPr>
      <w:r>
        <w:separator/>
      </w:r>
    </w:p>
  </w:footnote>
  <w:footnote w:type="continuationSeparator" w:id="0">
    <w:p w14:paraId="3711A2D8" w14:textId="77777777" w:rsidR="00E233A8" w:rsidRDefault="00E233A8">
      <w:pPr>
        <w:spacing w:line="240" w:lineRule="auto"/>
      </w:pPr>
      <w:r>
        <w:continuationSeparator/>
      </w:r>
    </w:p>
  </w:footnote>
  <w:footnote w:id="1">
    <w:p w14:paraId="00000125" w14:textId="1AAE7D54" w:rsidR="00C60456" w:rsidRPr="005843B9" w:rsidRDefault="00A74445">
      <w:pPr>
        <w:spacing w:line="240" w:lineRule="auto"/>
        <w:rPr>
          <w:rFonts w:asciiTheme="minorBidi" w:hAnsiTheme="minorBidi" w:cstheme="minorBidi"/>
          <w:sz w:val="20"/>
          <w:szCs w:val="20"/>
          <w:vertAlign w:val="superscript"/>
          <w:lang w:val="en-US"/>
        </w:rPr>
      </w:pPr>
      <w:r>
        <w:rPr>
          <w:vertAlign w:val="superscript"/>
        </w:rPr>
        <w:footnoteRef/>
      </w:r>
      <w:r w:rsidRPr="005843B9">
        <w:rPr>
          <w:sz w:val="20"/>
          <w:szCs w:val="20"/>
          <w:vertAlign w:val="superscript"/>
          <w:lang w:val="en-US"/>
        </w:rPr>
        <w:t xml:space="preserve"> </w:t>
      </w:r>
      <w:r w:rsidR="005843B9" w:rsidRPr="005843B9">
        <w:rPr>
          <w:rFonts w:asciiTheme="minorBidi" w:eastAsia="Times New Roman" w:hAnsiTheme="minorBidi" w:cstheme="minorBidi"/>
          <w:sz w:val="20"/>
          <w:szCs w:val="20"/>
        </w:rPr>
        <w:t>UN. The UN rejects violence and calls for the broad implementation of the Peace Agreement. January 28, 2022. Available at</w:t>
      </w:r>
      <w:r w:rsidRPr="005843B9">
        <w:rPr>
          <w:rFonts w:asciiTheme="minorBidi" w:eastAsia="Times New Roman" w:hAnsiTheme="minorBidi" w:cstheme="minorBidi"/>
          <w:sz w:val="20"/>
          <w:szCs w:val="20"/>
          <w:lang w:val="en-US"/>
        </w:rPr>
        <w:t>:</w:t>
      </w:r>
      <w:hyperlink r:id="rId1">
        <w:r w:rsidR="00C60456" w:rsidRPr="005843B9">
          <w:rPr>
            <w:rFonts w:asciiTheme="minorBidi" w:eastAsia="Times New Roman" w:hAnsiTheme="minorBidi" w:cstheme="minorBidi"/>
            <w:sz w:val="20"/>
            <w:szCs w:val="20"/>
            <w:lang w:val="en-US"/>
          </w:rPr>
          <w:t xml:space="preserve"> </w:t>
        </w:r>
      </w:hyperlink>
      <w:hyperlink r:id="rId2">
        <w:r w:rsidR="00C60456" w:rsidRPr="005843B9">
          <w:rPr>
            <w:rFonts w:asciiTheme="minorBidi" w:eastAsia="Times New Roman" w:hAnsiTheme="minorBidi" w:cstheme="minorBidi"/>
            <w:color w:val="1155CC"/>
            <w:sz w:val="20"/>
            <w:szCs w:val="20"/>
            <w:u w:val="single"/>
            <w:lang w:val="en-US"/>
          </w:rPr>
          <w:t>https://news.un.org/es/story/2022/01/150325</w:t>
        </w:r>
      </w:hyperlink>
      <w:r w:rsidRPr="005843B9">
        <w:rPr>
          <w:rFonts w:asciiTheme="minorBidi" w:eastAsia="Times New Roman" w:hAnsiTheme="minorBidi" w:cstheme="minorBidi"/>
          <w:sz w:val="20"/>
          <w:szCs w:val="20"/>
          <w:lang w:val="en-US"/>
        </w:rPr>
        <w:t xml:space="preserve"> . </w:t>
      </w:r>
      <w:r w:rsidR="005843B9" w:rsidRPr="005843B9">
        <w:rPr>
          <w:rFonts w:asciiTheme="minorBidi" w:eastAsia="Times New Roman" w:hAnsiTheme="minorBidi" w:cstheme="minorBidi"/>
          <w:sz w:val="20"/>
          <w:szCs w:val="20"/>
        </w:rPr>
        <w:t>OHCHR. Report of the United Nations High Commissioner for Human Rights on the Human Rights Situation in Colombia during 2019. Available a</w:t>
      </w:r>
      <w:r w:rsidR="005843B9">
        <w:rPr>
          <w:rFonts w:asciiTheme="minorBidi" w:eastAsia="Times New Roman" w:hAnsiTheme="minorBidi" w:cstheme="minorBidi"/>
          <w:sz w:val="20"/>
          <w:szCs w:val="20"/>
        </w:rPr>
        <w:t>t</w:t>
      </w:r>
      <w:r w:rsidRPr="005843B9">
        <w:rPr>
          <w:rFonts w:asciiTheme="minorBidi" w:eastAsia="Times New Roman" w:hAnsiTheme="minorBidi" w:cstheme="minorBidi"/>
          <w:sz w:val="20"/>
          <w:szCs w:val="20"/>
          <w:lang w:val="en-US"/>
        </w:rPr>
        <w:t xml:space="preserve">: </w:t>
      </w:r>
      <w:hyperlink r:id="rId3">
        <w:r w:rsidR="00C60456" w:rsidRPr="005843B9">
          <w:rPr>
            <w:rFonts w:asciiTheme="minorBidi" w:eastAsia="Times New Roman" w:hAnsiTheme="minorBidi" w:cstheme="minorBidi"/>
            <w:color w:val="1155CC"/>
            <w:sz w:val="20"/>
            <w:szCs w:val="20"/>
            <w:u w:val="single"/>
            <w:lang w:val="en-US"/>
          </w:rPr>
          <w:t>https://www.hchr.org.co/informes_anuales/informe-del-alto-comisionado-de-las-naciones-unidas-para-los-derechos-humanos-sobre-la-situacion-de-derechos-humanos-en-colombia-durante-el-ano2019/</w:t>
        </w:r>
      </w:hyperlink>
      <w:r w:rsidRPr="005843B9">
        <w:rPr>
          <w:rFonts w:asciiTheme="minorBidi" w:eastAsia="Times New Roman" w:hAnsiTheme="minorBidi" w:cstheme="minorBidi"/>
          <w:sz w:val="20"/>
          <w:szCs w:val="20"/>
          <w:lang w:val="en-US"/>
        </w:rPr>
        <w:t xml:space="preserve">. </w:t>
      </w:r>
      <w:r w:rsidRPr="0025143E">
        <w:rPr>
          <w:rFonts w:asciiTheme="minorBidi" w:eastAsia="Times New Roman" w:hAnsiTheme="minorBidi" w:cstheme="minorBidi"/>
          <w:sz w:val="20"/>
          <w:szCs w:val="20"/>
          <w:lang w:val="en-US"/>
        </w:rPr>
        <w:t xml:space="preserve">Indepaz. </w:t>
      </w:r>
      <w:r w:rsidR="005843B9" w:rsidRPr="005843B9">
        <w:rPr>
          <w:rFonts w:asciiTheme="minorBidi" w:eastAsia="Times New Roman" w:hAnsiTheme="minorBidi" w:cstheme="minorBidi"/>
          <w:sz w:val="20"/>
          <w:szCs w:val="20"/>
        </w:rPr>
        <w:t>Uncertainties of Peace. Between the non-compliance with the Agreement and social struggles in its defense. 2021. Available at</w:t>
      </w:r>
      <w:r w:rsidRPr="005843B9">
        <w:rPr>
          <w:rFonts w:asciiTheme="minorBidi" w:eastAsia="Times New Roman" w:hAnsiTheme="minorBidi" w:cstheme="minorBidi"/>
          <w:sz w:val="20"/>
          <w:szCs w:val="20"/>
          <w:lang w:val="en-US"/>
        </w:rPr>
        <w:t>:</w:t>
      </w:r>
      <w:hyperlink r:id="rId4">
        <w:r w:rsidR="00C60456" w:rsidRPr="005843B9">
          <w:rPr>
            <w:rFonts w:asciiTheme="minorBidi" w:eastAsia="Times New Roman" w:hAnsiTheme="minorBidi" w:cstheme="minorBidi"/>
            <w:sz w:val="20"/>
            <w:szCs w:val="20"/>
            <w:lang w:val="en-US"/>
          </w:rPr>
          <w:t xml:space="preserve"> </w:t>
        </w:r>
      </w:hyperlink>
      <w:hyperlink r:id="rId5">
        <w:r w:rsidR="00C60456" w:rsidRPr="005843B9">
          <w:rPr>
            <w:rFonts w:asciiTheme="minorBidi" w:eastAsia="Times New Roman" w:hAnsiTheme="minorBidi" w:cstheme="minorBidi"/>
            <w:color w:val="1155CC"/>
            <w:sz w:val="20"/>
            <w:szCs w:val="20"/>
            <w:u w:val="single"/>
            <w:lang w:val="en-US"/>
          </w:rPr>
          <w:t>https://indepaz.org.co/incertidumbres-de-la-paz-entre-el-incumplimiento-del-acuerdo-y-las-luchas-sociales-en-su-defensa/</w:t>
        </w:r>
      </w:hyperlink>
      <w:r w:rsidRPr="005843B9">
        <w:rPr>
          <w:rFonts w:asciiTheme="minorBidi" w:eastAsia="Times New Roman" w:hAnsiTheme="minorBidi" w:cstheme="minorBidi"/>
          <w:sz w:val="20"/>
          <w:szCs w:val="20"/>
          <w:lang w:val="en-US"/>
        </w:rPr>
        <w:t xml:space="preserve"> .</w:t>
      </w:r>
    </w:p>
  </w:footnote>
  <w:footnote w:id="2">
    <w:p w14:paraId="686729E3" w14:textId="60530B45" w:rsidR="00FD274C" w:rsidRPr="005843B9" w:rsidRDefault="00FD274C" w:rsidP="00FD274C">
      <w:pPr>
        <w:spacing w:line="240" w:lineRule="auto"/>
        <w:jc w:val="both"/>
        <w:rPr>
          <w:sz w:val="20"/>
          <w:szCs w:val="20"/>
          <w:lang w:val="en-US"/>
        </w:rPr>
      </w:pPr>
      <w:r w:rsidRPr="009558E2">
        <w:rPr>
          <w:sz w:val="20"/>
          <w:szCs w:val="20"/>
          <w:vertAlign w:val="superscript"/>
        </w:rPr>
        <w:footnoteRef/>
      </w:r>
      <w:r w:rsidR="00483CB2">
        <w:rPr>
          <w:sz w:val="20"/>
          <w:szCs w:val="20"/>
          <w:lang w:val="en-US"/>
        </w:rPr>
        <w:t xml:space="preserve"> </w:t>
      </w:r>
      <w:r w:rsidR="005843B9" w:rsidRPr="005843B9">
        <w:rPr>
          <w:rFonts w:eastAsia="Times New Roman"/>
          <w:sz w:val="20"/>
          <w:szCs w:val="20"/>
        </w:rPr>
        <w:t>OHCHR. 2016 Annual Report, A/HRC/34/3/Add.3, March 15, 2017, para</w:t>
      </w:r>
      <w:r w:rsidR="005843B9" w:rsidRPr="005843B9">
        <w:rPr>
          <w:rFonts w:eastAsia="Times New Roman"/>
          <w:sz w:val="20"/>
          <w:szCs w:val="20"/>
          <w:lang w:val="en-US"/>
        </w:rPr>
        <w:t>g</w:t>
      </w:r>
      <w:r w:rsidR="005843B9" w:rsidRPr="005843B9">
        <w:rPr>
          <w:rFonts w:eastAsia="Times New Roman"/>
          <w:sz w:val="20"/>
          <w:szCs w:val="20"/>
        </w:rPr>
        <w:t>. 14. 2017 Annual Report, A/HRC/37/3/Add.3, March 2, 2018, para</w:t>
      </w:r>
      <w:r w:rsidR="005843B9" w:rsidRPr="005843B9">
        <w:rPr>
          <w:rFonts w:eastAsia="Times New Roman"/>
          <w:sz w:val="20"/>
          <w:szCs w:val="20"/>
          <w:lang w:val="en-US"/>
        </w:rPr>
        <w:t>g</w:t>
      </w:r>
      <w:r w:rsidR="005843B9" w:rsidRPr="005843B9">
        <w:rPr>
          <w:rFonts w:eastAsia="Times New Roman"/>
          <w:sz w:val="20"/>
          <w:szCs w:val="20"/>
        </w:rPr>
        <w:t>s. 11, 6, and 72. 2018 Annual Report, A/HRC/40/3/Add.3, February 4, 2019, para</w:t>
      </w:r>
      <w:r w:rsidR="005843B9" w:rsidRPr="005843B9">
        <w:rPr>
          <w:rFonts w:eastAsia="Times New Roman"/>
          <w:sz w:val="20"/>
          <w:szCs w:val="20"/>
          <w:lang w:val="en-US"/>
        </w:rPr>
        <w:t>gs</w:t>
      </w:r>
      <w:r w:rsidR="005843B9" w:rsidRPr="005843B9">
        <w:rPr>
          <w:rFonts w:eastAsia="Times New Roman"/>
          <w:sz w:val="20"/>
          <w:szCs w:val="20"/>
        </w:rPr>
        <w:t>. 83. 2019 Annual Report, A/HRC/43/3/Add.3, February 26, 2020, para</w:t>
      </w:r>
      <w:r w:rsidR="005843B9" w:rsidRPr="005843B9">
        <w:rPr>
          <w:rFonts w:eastAsia="Times New Roman"/>
          <w:sz w:val="20"/>
          <w:szCs w:val="20"/>
          <w:lang w:val="en-US"/>
        </w:rPr>
        <w:t>g</w:t>
      </w:r>
      <w:r w:rsidR="005843B9" w:rsidRPr="005843B9">
        <w:rPr>
          <w:rFonts w:eastAsia="Times New Roman"/>
          <w:sz w:val="20"/>
          <w:szCs w:val="20"/>
        </w:rPr>
        <w:t>. 6. 2021 Annual Report, A/HRC/49/19, May 17, 2022, para</w:t>
      </w:r>
      <w:r w:rsidR="005843B9" w:rsidRPr="005843B9">
        <w:rPr>
          <w:rFonts w:eastAsia="Times New Roman"/>
          <w:sz w:val="20"/>
          <w:szCs w:val="20"/>
          <w:lang w:val="en-US"/>
        </w:rPr>
        <w:t>g</w:t>
      </w:r>
      <w:r w:rsidR="005843B9" w:rsidRPr="005843B9">
        <w:rPr>
          <w:rFonts w:eastAsia="Times New Roman"/>
          <w:sz w:val="20"/>
          <w:szCs w:val="20"/>
        </w:rPr>
        <w:t>. 26. 2023 Annual Report, A/HRC/52/25, February 23, 2023, para</w:t>
      </w:r>
      <w:r w:rsidR="005843B9" w:rsidRPr="005843B9">
        <w:rPr>
          <w:rFonts w:eastAsia="Times New Roman"/>
          <w:sz w:val="20"/>
          <w:szCs w:val="20"/>
          <w:lang w:val="en-US"/>
        </w:rPr>
        <w:t>g</w:t>
      </w:r>
      <w:r w:rsidR="005843B9" w:rsidRPr="005843B9">
        <w:rPr>
          <w:rFonts w:eastAsia="Times New Roman"/>
          <w:sz w:val="20"/>
          <w:szCs w:val="20"/>
        </w:rPr>
        <w:t>s. 41-51. 2023 Annual Report, A/HRC/55/23, February 2024, para</w:t>
      </w:r>
      <w:r w:rsidR="005843B9" w:rsidRPr="005843B9">
        <w:rPr>
          <w:rFonts w:eastAsia="Times New Roman"/>
          <w:sz w:val="20"/>
          <w:szCs w:val="20"/>
          <w:lang w:val="en-US"/>
        </w:rPr>
        <w:t>g</w:t>
      </w:r>
      <w:r w:rsidR="005843B9" w:rsidRPr="005843B9">
        <w:rPr>
          <w:rFonts w:eastAsia="Times New Roman"/>
          <w:sz w:val="20"/>
          <w:szCs w:val="20"/>
        </w:rPr>
        <w:t>. 1</w:t>
      </w:r>
      <w:r w:rsidRPr="005843B9">
        <w:rPr>
          <w:rFonts w:eastAsia="Times New Roman"/>
          <w:sz w:val="20"/>
          <w:szCs w:val="20"/>
          <w:lang w:val="en-US"/>
        </w:rPr>
        <w:t xml:space="preserve">. </w:t>
      </w:r>
    </w:p>
  </w:footnote>
  <w:footnote w:id="3">
    <w:p w14:paraId="58BEC8ED" w14:textId="3966D017" w:rsidR="00FD274C" w:rsidRPr="005843B9" w:rsidRDefault="00FD274C" w:rsidP="00FD274C">
      <w:pPr>
        <w:spacing w:line="240" w:lineRule="auto"/>
        <w:jc w:val="both"/>
        <w:rPr>
          <w:sz w:val="20"/>
          <w:szCs w:val="20"/>
          <w:lang w:val="en-US"/>
        </w:rPr>
      </w:pPr>
      <w:r w:rsidRPr="009558E2">
        <w:rPr>
          <w:sz w:val="20"/>
          <w:szCs w:val="20"/>
          <w:vertAlign w:val="superscript"/>
        </w:rPr>
        <w:footnoteRef/>
      </w:r>
      <w:r w:rsidRPr="005843B9">
        <w:rPr>
          <w:sz w:val="20"/>
          <w:szCs w:val="20"/>
          <w:lang w:val="en-US"/>
        </w:rPr>
        <w:t xml:space="preserve"> </w:t>
      </w:r>
      <w:r w:rsidR="005843B9" w:rsidRPr="005843B9">
        <w:rPr>
          <w:rFonts w:eastAsia="Times New Roman"/>
          <w:sz w:val="20"/>
          <w:szCs w:val="20"/>
        </w:rPr>
        <w:t>UN Secretary-General. Report presented to the UN Security Council. Children and Armed Conflict in Colombia, S/2019/1017, December 31, 2019. Children and Armed Conflict in Colombia - Report of the Secretary-General (S/2024/161), February 13, 2024</w:t>
      </w:r>
      <w:r w:rsidRPr="005843B9">
        <w:rPr>
          <w:rFonts w:eastAsia="Times New Roman"/>
          <w:sz w:val="20"/>
          <w:szCs w:val="20"/>
          <w:lang w:val="en-US"/>
        </w:rPr>
        <w:t xml:space="preserve">. </w:t>
      </w:r>
    </w:p>
  </w:footnote>
  <w:footnote w:id="4">
    <w:p w14:paraId="00000122" w14:textId="3B292481" w:rsidR="00C60456" w:rsidRPr="005843B9" w:rsidRDefault="00A74445">
      <w:pPr>
        <w:spacing w:line="240" w:lineRule="auto"/>
        <w:rPr>
          <w:sz w:val="20"/>
          <w:szCs w:val="20"/>
          <w:lang w:val="en-US"/>
        </w:rPr>
      </w:pPr>
      <w:r w:rsidRPr="009558E2">
        <w:rPr>
          <w:sz w:val="20"/>
          <w:szCs w:val="20"/>
          <w:vertAlign w:val="superscript"/>
        </w:rPr>
        <w:footnoteRef/>
      </w:r>
      <w:r w:rsidRPr="0025143E">
        <w:rPr>
          <w:sz w:val="20"/>
          <w:szCs w:val="20"/>
          <w:lang w:val="en-US"/>
        </w:rPr>
        <w:t xml:space="preserve"> </w:t>
      </w:r>
      <w:r w:rsidR="005843B9" w:rsidRPr="0025143E">
        <w:rPr>
          <w:rFonts w:eastAsia="Times New Roman"/>
          <w:sz w:val="20"/>
          <w:szCs w:val="20"/>
          <w:lang w:val="en-US"/>
        </w:rPr>
        <w:t xml:space="preserve">UN Secretary-General. </w:t>
      </w:r>
      <w:r w:rsidR="005843B9" w:rsidRPr="005843B9">
        <w:rPr>
          <w:rFonts w:eastAsia="Times New Roman"/>
          <w:sz w:val="20"/>
          <w:szCs w:val="20"/>
        </w:rPr>
        <w:t>Children and Armed Conflict in Colombia (S/2024/161), February 13, 2024</w:t>
      </w:r>
      <w:r w:rsidR="005843B9" w:rsidRPr="005843B9">
        <w:rPr>
          <w:rFonts w:eastAsia="Times New Roman"/>
          <w:sz w:val="20"/>
          <w:szCs w:val="20"/>
          <w:lang w:val="en-US"/>
        </w:rPr>
        <w:t>, parag. 13</w:t>
      </w:r>
      <w:r w:rsidRPr="005843B9">
        <w:rPr>
          <w:rFonts w:eastAsia="Times New Roman"/>
          <w:sz w:val="20"/>
          <w:szCs w:val="20"/>
          <w:lang w:val="en-US"/>
        </w:rPr>
        <w:t>.</w:t>
      </w:r>
    </w:p>
  </w:footnote>
  <w:footnote w:id="5">
    <w:p w14:paraId="317E0F68" w14:textId="15CA0698" w:rsidR="001650D2" w:rsidRPr="001C3D09" w:rsidRDefault="001650D2" w:rsidP="001650D2">
      <w:pPr>
        <w:spacing w:line="240" w:lineRule="auto"/>
        <w:rPr>
          <w:sz w:val="20"/>
          <w:szCs w:val="20"/>
          <w:vertAlign w:val="superscript"/>
          <w:lang w:val="en-US"/>
        </w:rPr>
      </w:pPr>
      <w:r w:rsidRPr="009558E2">
        <w:rPr>
          <w:sz w:val="20"/>
          <w:szCs w:val="20"/>
          <w:vertAlign w:val="superscript"/>
        </w:rPr>
        <w:footnoteRef/>
      </w:r>
      <w:r w:rsidRPr="004D1399">
        <w:rPr>
          <w:sz w:val="20"/>
          <w:szCs w:val="20"/>
          <w:vertAlign w:val="superscript"/>
          <w:lang w:val="en-US"/>
        </w:rPr>
        <w:t xml:space="preserve"> </w:t>
      </w:r>
      <w:r w:rsidRPr="004D1399">
        <w:rPr>
          <w:rFonts w:eastAsia="Times New Roman"/>
          <w:sz w:val="20"/>
          <w:szCs w:val="20"/>
          <w:lang w:val="en-US"/>
        </w:rPr>
        <w:t xml:space="preserve"> </w:t>
      </w:r>
      <w:r w:rsidR="004D1399" w:rsidRPr="004D1399">
        <w:rPr>
          <w:rFonts w:eastAsia="Times New Roman"/>
          <w:sz w:val="20"/>
          <w:szCs w:val="20"/>
        </w:rPr>
        <w:t xml:space="preserve">UN Security Council. Children and Armed Conflict in Colombia. </w:t>
      </w:r>
      <w:r w:rsidR="004D1399" w:rsidRPr="005843B9">
        <w:rPr>
          <w:rFonts w:eastAsia="Times New Roman"/>
          <w:sz w:val="20"/>
          <w:szCs w:val="20"/>
        </w:rPr>
        <w:t>Report of the Secretary-General</w:t>
      </w:r>
      <w:r w:rsidR="004D1399" w:rsidRPr="004D1399">
        <w:rPr>
          <w:rFonts w:eastAsia="Times New Roman"/>
          <w:sz w:val="20"/>
          <w:szCs w:val="20"/>
        </w:rPr>
        <w:t>. S/2024/161. February 13, 2024</w:t>
      </w:r>
      <w:r w:rsidRPr="001C3D09">
        <w:rPr>
          <w:sz w:val="20"/>
          <w:szCs w:val="20"/>
          <w:lang w:val="en-US"/>
        </w:rPr>
        <w:t xml:space="preserve">. </w:t>
      </w:r>
    </w:p>
  </w:footnote>
  <w:footnote w:id="6">
    <w:p w14:paraId="00000124" w14:textId="49A772D2" w:rsidR="00C60456" w:rsidRPr="001C3D09" w:rsidRDefault="00A74445">
      <w:pPr>
        <w:spacing w:line="240" w:lineRule="auto"/>
        <w:rPr>
          <w:sz w:val="20"/>
          <w:szCs w:val="20"/>
          <w:vertAlign w:val="superscript"/>
          <w:lang w:val="en-US"/>
        </w:rPr>
      </w:pPr>
      <w:r w:rsidRPr="009558E2">
        <w:rPr>
          <w:sz w:val="20"/>
          <w:szCs w:val="20"/>
          <w:vertAlign w:val="superscript"/>
        </w:rPr>
        <w:footnoteRef/>
      </w:r>
      <w:r w:rsidRPr="001C3D09">
        <w:rPr>
          <w:sz w:val="20"/>
          <w:szCs w:val="20"/>
          <w:vertAlign w:val="superscript"/>
          <w:lang w:val="en-US"/>
        </w:rPr>
        <w:t xml:space="preserve"> </w:t>
      </w:r>
      <w:r w:rsidR="001C3D09" w:rsidRPr="001C3D09">
        <w:rPr>
          <w:rFonts w:eastAsia="Times New Roman"/>
          <w:sz w:val="20"/>
          <w:szCs w:val="20"/>
        </w:rPr>
        <w:t>Human Rights Council. Technical assistance and capacity-building in Colombia. Report of the International Human Rights Expert. A/HRC/55/18. March 20, 2024, para</w:t>
      </w:r>
      <w:r w:rsidR="001C3D09" w:rsidRPr="001C3D09">
        <w:rPr>
          <w:rFonts w:eastAsia="Times New Roman"/>
          <w:sz w:val="20"/>
          <w:szCs w:val="20"/>
          <w:lang w:val="en-US"/>
        </w:rPr>
        <w:t>g</w:t>
      </w:r>
      <w:r w:rsidR="001C3D09" w:rsidRPr="001C3D09">
        <w:rPr>
          <w:rFonts w:eastAsia="Times New Roman"/>
          <w:sz w:val="20"/>
          <w:szCs w:val="20"/>
        </w:rPr>
        <w:t xml:space="preserve">. 104. Available at: </w:t>
      </w:r>
      <w:r w:rsidRPr="001C3D09">
        <w:rPr>
          <w:rFonts w:eastAsia="Times New Roman"/>
          <w:sz w:val="20"/>
          <w:szCs w:val="20"/>
          <w:lang w:val="en-US"/>
        </w:rPr>
        <w:t xml:space="preserve"> </w:t>
      </w:r>
      <w:hyperlink r:id="rId6">
        <w:r w:rsidR="00C60456" w:rsidRPr="001C3D09">
          <w:rPr>
            <w:rFonts w:eastAsia="Times New Roman"/>
            <w:color w:val="1155CC"/>
            <w:sz w:val="20"/>
            <w:szCs w:val="20"/>
            <w:u w:val="single"/>
            <w:lang w:val="en-US"/>
          </w:rPr>
          <w:t>https://www.ohchr.org/sites/default/files/documents/hrbodies/hrcouncil/sessions-regular/session55/advance-versions/A-HRC-55-18-sp-AdvanceUneditedVersion.pdf</w:t>
        </w:r>
      </w:hyperlink>
      <w:r w:rsidRPr="001C3D09">
        <w:rPr>
          <w:rFonts w:eastAsia="Times New Roman"/>
          <w:sz w:val="20"/>
          <w:szCs w:val="20"/>
          <w:lang w:val="en-US"/>
        </w:rPr>
        <w:t xml:space="preserve"> v</w:t>
      </w:r>
    </w:p>
  </w:footnote>
  <w:footnote w:id="7">
    <w:p w14:paraId="357D6112" w14:textId="2BC3C37A" w:rsidR="001650D2" w:rsidRPr="001C3D09" w:rsidRDefault="001650D2" w:rsidP="001650D2">
      <w:pPr>
        <w:spacing w:line="240" w:lineRule="auto"/>
        <w:rPr>
          <w:sz w:val="20"/>
          <w:szCs w:val="20"/>
          <w:lang w:val="en-US"/>
        </w:rPr>
      </w:pPr>
      <w:r w:rsidRPr="009558E2">
        <w:rPr>
          <w:sz w:val="20"/>
          <w:szCs w:val="20"/>
          <w:vertAlign w:val="superscript"/>
        </w:rPr>
        <w:footnoteRef/>
      </w:r>
      <w:r w:rsidRPr="001C3D09">
        <w:rPr>
          <w:sz w:val="20"/>
          <w:szCs w:val="20"/>
          <w:lang w:val="en-US"/>
        </w:rPr>
        <w:t xml:space="preserve"> </w:t>
      </w:r>
      <w:r w:rsidR="001C3D09" w:rsidRPr="001C3D09">
        <w:rPr>
          <w:sz w:val="20"/>
          <w:szCs w:val="20"/>
        </w:rPr>
        <w:t xml:space="preserve">Committee on the Rights of the Child. </w:t>
      </w:r>
      <w:r w:rsidR="001C3D09" w:rsidRPr="001C3D09">
        <w:rPr>
          <w:sz w:val="20"/>
          <w:szCs w:val="20"/>
          <w:lang w:val="en-US"/>
        </w:rPr>
        <w:t>Final c</w:t>
      </w:r>
      <w:r w:rsidR="001C3D09" w:rsidRPr="001C3D09">
        <w:rPr>
          <w:sz w:val="20"/>
          <w:szCs w:val="20"/>
        </w:rPr>
        <w:t>onclu</w:t>
      </w:r>
      <w:r w:rsidR="001C3D09" w:rsidRPr="001C3D09">
        <w:rPr>
          <w:sz w:val="20"/>
          <w:szCs w:val="20"/>
          <w:lang w:val="en-US"/>
        </w:rPr>
        <w:t>s</w:t>
      </w:r>
      <w:r w:rsidR="001C3D09" w:rsidRPr="001C3D09">
        <w:rPr>
          <w:sz w:val="20"/>
          <w:szCs w:val="20"/>
        </w:rPr>
        <w:t>ions on the combined fourth and fifth periodic reports of Colombia. CRC/C/COL/CO/4-5. March 6, 2015. Recommendations 19 a, b, and c</w:t>
      </w:r>
      <w:r w:rsidR="001C3D09">
        <w:rPr>
          <w:sz w:val="20"/>
          <w:szCs w:val="20"/>
        </w:rPr>
        <w:t>.</w:t>
      </w:r>
    </w:p>
  </w:footnote>
  <w:footnote w:id="8">
    <w:p w14:paraId="2601CE40" w14:textId="14C3C7E0" w:rsidR="001650D2" w:rsidRPr="001C3D09" w:rsidRDefault="001650D2" w:rsidP="001650D2">
      <w:pPr>
        <w:spacing w:line="240" w:lineRule="auto"/>
        <w:rPr>
          <w:sz w:val="20"/>
          <w:szCs w:val="20"/>
          <w:lang w:val="en-US"/>
        </w:rPr>
      </w:pPr>
      <w:r w:rsidRPr="009558E2">
        <w:rPr>
          <w:sz w:val="20"/>
          <w:szCs w:val="20"/>
          <w:vertAlign w:val="superscript"/>
        </w:rPr>
        <w:footnoteRef/>
      </w:r>
      <w:r w:rsidRPr="001C3D09">
        <w:rPr>
          <w:sz w:val="20"/>
          <w:szCs w:val="20"/>
          <w:lang w:val="en-US"/>
        </w:rPr>
        <w:t xml:space="preserve"> Ibid. Reco</w:t>
      </w:r>
      <w:r w:rsidR="00F437CC">
        <w:rPr>
          <w:sz w:val="20"/>
          <w:szCs w:val="20"/>
          <w:lang w:val="en-US"/>
        </w:rPr>
        <w:t>m</w:t>
      </w:r>
      <w:r w:rsidRPr="001C3D09">
        <w:rPr>
          <w:sz w:val="20"/>
          <w:szCs w:val="20"/>
          <w:lang w:val="en-US"/>
        </w:rPr>
        <w:t>menda</w:t>
      </w:r>
      <w:r w:rsidR="001C3D09" w:rsidRPr="001C3D09">
        <w:rPr>
          <w:sz w:val="20"/>
          <w:szCs w:val="20"/>
          <w:lang w:val="en-US"/>
        </w:rPr>
        <w:t>tio</w:t>
      </w:r>
      <w:r w:rsidRPr="001C3D09">
        <w:rPr>
          <w:sz w:val="20"/>
          <w:szCs w:val="20"/>
          <w:lang w:val="en-US"/>
        </w:rPr>
        <w:t xml:space="preserve">n 27 a. </w:t>
      </w:r>
    </w:p>
  </w:footnote>
  <w:footnote w:id="9">
    <w:p w14:paraId="2E523781" w14:textId="35D785E3" w:rsidR="001650D2" w:rsidRPr="001C3D09" w:rsidRDefault="001650D2" w:rsidP="001650D2">
      <w:pPr>
        <w:spacing w:line="240" w:lineRule="auto"/>
        <w:rPr>
          <w:sz w:val="20"/>
          <w:szCs w:val="20"/>
          <w:lang w:val="en-US"/>
        </w:rPr>
      </w:pPr>
      <w:r w:rsidRPr="009558E2">
        <w:rPr>
          <w:sz w:val="20"/>
          <w:szCs w:val="20"/>
          <w:vertAlign w:val="superscript"/>
        </w:rPr>
        <w:footnoteRef/>
      </w:r>
      <w:r w:rsidRPr="001C3D09">
        <w:rPr>
          <w:sz w:val="20"/>
          <w:szCs w:val="20"/>
          <w:lang w:val="en-US"/>
        </w:rPr>
        <w:t xml:space="preserve"> Ibid. Reco</w:t>
      </w:r>
      <w:r w:rsidR="00F437CC">
        <w:rPr>
          <w:sz w:val="20"/>
          <w:szCs w:val="20"/>
          <w:lang w:val="en-US"/>
        </w:rPr>
        <w:t>m</w:t>
      </w:r>
      <w:r w:rsidRPr="001C3D09">
        <w:rPr>
          <w:sz w:val="20"/>
          <w:szCs w:val="20"/>
          <w:lang w:val="en-US"/>
        </w:rPr>
        <w:t>menda</w:t>
      </w:r>
      <w:r w:rsidR="001C3D09" w:rsidRPr="001C3D09">
        <w:rPr>
          <w:sz w:val="20"/>
          <w:szCs w:val="20"/>
          <w:lang w:val="en-US"/>
        </w:rPr>
        <w:t>tio</w:t>
      </w:r>
      <w:r w:rsidRPr="001C3D09">
        <w:rPr>
          <w:sz w:val="20"/>
          <w:szCs w:val="20"/>
          <w:lang w:val="en-US"/>
        </w:rPr>
        <w:t>n 65.</w:t>
      </w:r>
    </w:p>
  </w:footnote>
  <w:footnote w:id="10">
    <w:p w14:paraId="232829EE" w14:textId="777B36B1" w:rsidR="001650D2" w:rsidRPr="001C3D09" w:rsidRDefault="001650D2" w:rsidP="001650D2">
      <w:pPr>
        <w:spacing w:line="240" w:lineRule="auto"/>
        <w:rPr>
          <w:sz w:val="20"/>
          <w:szCs w:val="20"/>
        </w:rPr>
      </w:pPr>
      <w:r w:rsidRPr="009558E2">
        <w:rPr>
          <w:sz w:val="20"/>
          <w:szCs w:val="20"/>
          <w:vertAlign w:val="superscript"/>
        </w:rPr>
        <w:footnoteRef/>
      </w:r>
      <w:r w:rsidRPr="001C3D09">
        <w:rPr>
          <w:sz w:val="20"/>
          <w:szCs w:val="20"/>
          <w:lang w:val="en-US"/>
        </w:rPr>
        <w:t xml:space="preserve"> </w:t>
      </w:r>
      <w:r w:rsidR="001C3D09" w:rsidRPr="001C3D09">
        <w:rPr>
          <w:sz w:val="20"/>
          <w:szCs w:val="20"/>
        </w:rPr>
        <w:t>Government of Colombia. State Report: Combined Sixth and Seventh Conventional and Periodic Report of Colombia. CRC/C/COL/6-7. August 25, 2021, para</w:t>
      </w:r>
      <w:r w:rsidR="001C3D09" w:rsidRPr="0025143E">
        <w:rPr>
          <w:sz w:val="20"/>
          <w:szCs w:val="20"/>
          <w:lang w:val="en-US"/>
        </w:rPr>
        <w:t>g</w:t>
      </w:r>
      <w:r w:rsidR="001C3D09" w:rsidRPr="001C3D09">
        <w:rPr>
          <w:sz w:val="20"/>
          <w:szCs w:val="20"/>
        </w:rPr>
        <w:t>s. 201, 202, 203.</w:t>
      </w:r>
    </w:p>
  </w:footnote>
  <w:footnote w:id="11">
    <w:p w14:paraId="56DD4FAC" w14:textId="0DD90313" w:rsidR="001650D2" w:rsidRPr="001C3D09" w:rsidRDefault="001650D2" w:rsidP="009558E2">
      <w:pPr>
        <w:spacing w:line="240" w:lineRule="auto"/>
        <w:jc w:val="both"/>
        <w:rPr>
          <w:sz w:val="20"/>
          <w:szCs w:val="20"/>
          <w:lang w:val="en-US"/>
        </w:rPr>
      </w:pPr>
      <w:r w:rsidRPr="009558E2">
        <w:rPr>
          <w:sz w:val="20"/>
          <w:szCs w:val="20"/>
          <w:vertAlign w:val="superscript"/>
        </w:rPr>
        <w:footnoteRef/>
      </w:r>
      <w:r w:rsidRPr="001C3D09">
        <w:rPr>
          <w:sz w:val="20"/>
          <w:szCs w:val="20"/>
          <w:lang w:val="en-US"/>
        </w:rPr>
        <w:t xml:space="preserve"> </w:t>
      </w:r>
      <w:r w:rsidR="001C3D09" w:rsidRPr="001C3D09">
        <w:rPr>
          <w:sz w:val="20"/>
          <w:szCs w:val="20"/>
        </w:rPr>
        <w:t xml:space="preserve">Office </w:t>
      </w:r>
      <w:r w:rsidR="001C3D09" w:rsidRPr="001C3D09">
        <w:rPr>
          <w:sz w:val="20"/>
          <w:szCs w:val="20"/>
          <w:lang w:val="en-US"/>
        </w:rPr>
        <w:t xml:space="preserve">of the </w:t>
      </w:r>
      <w:r w:rsidR="001C3D09" w:rsidRPr="001C3D09">
        <w:rPr>
          <w:sz w:val="20"/>
          <w:szCs w:val="20"/>
        </w:rPr>
        <w:t xml:space="preserve">Ombudsman. The Office </w:t>
      </w:r>
      <w:r w:rsidR="001C3D09" w:rsidRPr="001C3D09">
        <w:rPr>
          <w:sz w:val="20"/>
          <w:szCs w:val="20"/>
          <w:lang w:val="en-US"/>
        </w:rPr>
        <w:t xml:space="preserve">of the </w:t>
      </w:r>
      <w:r w:rsidR="001C3D09" w:rsidRPr="001C3D09">
        <w:rPr>
          <w:sz w:val="20"/>
          <w:szCs w:val="20"/>
        </w:rPr>
        <w:t>Ombudsman recorded 184 cases of child recruitment in 2023. February 13, 2024. Available at</w:t>
      </w:r>
      <w:r w:rsidRPr="001C3D09">
        <w:rPr>
          <w:sz w:val="20"/>
          <w:szCs w:val="20"/>
          <w:lang w:val="en-US"/>
        </w:rPr>
        <w:t xml:space="preserve">: </w:t>
      </w:r>
      <w:hyperlink r:id="rId7" w:anchor=":~:text=La%20Defensor%C3%ADa%20del%20Pueblo%20registr%C3%B3,mayor%20n%C3%BAmero%2C%20con%20123%20casos">
        <w:r w:rsidRPr="001C3D09">
          <w:rPr>
            <w:color w:val="1155CC"/>
            <w:sz w:val="20"/>
            <w:szCs w:val="20"/>
            <w:u w:val="single"/>
            <w:lang w:val="en-US"/>
          </w:rPr>
          <w:t>https://www.defensoria.gov.co/-/defensor%C3%ADa-del-pueblo-registr%C3%B3-184-casos-de-reclutamiento-de-menores-en-2023#:~:text=La%20Defensor%C3%ADa%20del%20Pueblo%20registr%C3%B3,mayor%20n%C3%BAmero%2C%20con%20123%20casos</w:t>
        </w:r>
      </w:hyperlink>
      <w:r w:rsidRPr="001C3D09">
        <w:rPr>
          <w:sz w:val="20"/>
          <w:szCs w:val="20"/>
          <w:lang w:val="en-US"/>
        </w:rPr>
        <w:t>. .</w:t>
      </w:r>
    </w:p>
  </w:footnote>
  <w:footnote w:id="12">
    <w:p w14:paraId="03466CE1" w14:textId="557EAEDE" w:rsidR="001650D2" w:rsidRPr="0025143E" w:rsidRDefault="001650D2" w:rsidP="009558E2">
      <w:pPr>
        <w:spacing w:line="240" w:lineRule="auto"/>
        <w:jc w:val="both"/>
        <w:rPr>
          <w:sz w:val="20"/>
          <w:szCs w:val="20"/>
          <w:lang w:val="en-US"/>
        </w:rPr>
      </w:pPr>
      <w:r w:rsidRPr="009558E2">
        <w:rPr>
          <w:sz w:val="20"/>
          <w:szCs w:val="20"/>
          <w:vertAlign w:val="superscript"/>
        </w:rPr>
        <w:footnoteRef/>
      </w:r>
      <w:r w:rsidRPr="001C3D09">
        <w:rPr>
          <w:rFonts w:eastAsia="Times New Roman"/>
          <w:sz w:val="20"/>
          <w:szCs w:val="20"/>
          <w:lang w:val="en-US"/>
        </w:rPr>
        <w:t xml:space="preserve"> </w:t>
      </w:r>
      <w:r w:rsidR="001C3D09" w:rsidRPr="001C3D09">
        <w:rPr>
          <w:rFonts w:eastAsia="Times New Roman"/>
          <w:sz w:val="20"/>
          <w:szCs w:val="20"/>
        </w:rPr>
        <w:t>MAPP OAS. XXXIII Biannual Report. Available at</w:t>
      </w:r>
      <w:r w:rsidRPr="001C3D09">
        <w:rPr>
          <w:rFonts w:eastAsia="Times New Roman"/>
          <w:sz w:val="20"/>
          <w:szCs w:val="20"/>
          <w:lang w:val="en-US"/>
        </w:rPr>
        <w:t xml:space="preserve">: </w:t>
      </w:r>
      <w:hyperlink r:id="rId8">
        <w:r w:rsidRPr="001C3D09">
          <w:rPr>
            <w:rFonts w:eastAsia="Times New Roman"/>
            <w:color w:val="1155CC"/>
            <w:sz w:val="20"/>
            <w:szCs w:val="20"/>
            <w:u w:val="single"/>
            <w:lang w:val="en-US"/>
          </w:rPr>
          <w:t>https://cutt.ly/PNl8rct</w:t>
        </w:r>
      </w:hyperlink>
      <w:r w:rsidRPr="001C3D09">
        <w:rPr>
          <w:rFonts w:eastAsia="Times New Roman"/>
          <w:sz w:val="20"/>
          <w:szCs w:val="20"/>
          <w:lang w:val="en-US"/>
        </w:rPr>
        <w:t xml:space="preserve">. </w:t>
      </w:r>
      <w:r w:rsidR="001C3D09" w:rsidRPr="001C3D09">
        <w:rPr>
          <w:rFonts w:eastAsia="Times New Roman"/>
          <w:sz w:val="20"/>
          <w:szCs w:val="20"/>
        </w:rPr>
        <w:t>XXXII Biannual Report. Available at</w:t>
      </w:r>
      <w:r w:rsidRPr="001C3D09">
        <w:rPr>
          <w:rFonts w:eastAsia="Times New Roman"/>
          <w:sz w:val="20"/>
          <w:szCs w:val="20"/>
          <w:lang w:val="en-US"/>
        </w:rPr>
        <w:t xml:space="preserve">: </w:t>
      </w:r>
      <w:hyperlink r:id="rId9">
        <w:r w:rsidRPr="001C3D09">
          <w:rPr>
            <w:rFonts w:eastAsia="Times New Roman"/>
            <w:color w:val="1155CC"/>
            <w:sz w:val="20"/>
            <w:szCs w:val="20"/>
            <w:u w:val="single"/>
            <w:lang w:val="en-US"/>
          </w:rPr>
          <w:t>https://cutt.ly/iNl8LvI</w:t>
        </w:r>
      </w:hyperlink>
      <w:r w:rsidRPr="001C3D09">
        <w:rPr>
          <w:rFonts w:eastAsia="Times New Roman"/>
          <w:sz w:val="20"/>
          <w:szCs w:val="20"/>
          <w:lang w:val="en-US"/>
        </w:rPr>
        <w:t xml:space="preserve">.  </w:t>
      </w:r>
      <w:r w:rsidR="001C3D09" w:rsidRPr="001C3D09">
        <w:rPr>
          <w:rFonts w:eastAsia="Times New Roman"/>
          <w:sz w:val="20"/>
          <w:szCs w:val="20"/>
        </w:rPr>
        <w:t>XXXI Biannual Report. Available at</w:t>
      </w:r>
      <w:r w:rsidRPr="001C3D09">
        <w:rPr>
          <w:rFonts w:eastAsia="Times New Roman"/>
          <w:sz w:val="20"/>
          <w:szCs w:val="20"/>
          <w:lang w:val="en-US"/>
        </w:rPr>
        <w:t xml:space="preserve">: </w:t>
      </w:r>
      <w:hyperlink r:id="rId10">
        <w:r w:rsidRPr="001C3D09">
          <w:rPr>
            <w:rFonts w:eastAsia="Times New Roman"/>
            <w:color w:val="1155CC"/>
            <w:sz w:val="20"/>
            <w:szCs w:val="20"/>
            <w:u w:val="single"/>
            <w:lang w:val="en-US"/>
          </w:rPr>
          <w:t>https://cutt.ly/cNl4SRv</w:t>
        </w:r>
      </w:hyperlink>
      <w:r w:rsidRPr="001C3D09">
        <w:rPr>
          <w:rFonts w:eastAsia="Times New Roman"/>
          <w:sz w:val="20"/>
          <w:szCs w:val="20"/>
          <w:lang w:val="en-US"/>
        </w:rPr>
        <w:t xml:space="preserve"> .  </w:t>
      </w:r>
      <w:r w:rsidR="001C3D09" w:rsidRPr="001C3D09">
        <w:rPr>
          <w:rFonts w:eastAsia="Times New Roman"/>
          <w:sz w:val="20"/>
          <w:szCs w:val="20"/>
        </w:rPr>
        <w:t>XXX Biannual Report. Available at</w:t>
      </w:r>
      <w:r w:rsidRPr="001C3D09">
        <w:rPr>
          <w:rFonts w:eastAsia="Times New Roman"/>
          <w:sz w:val="20"/>
          <w:szCs w:val="20"/>
          <w:lang w:val="en-US"/>
        </w:rPr>
        <w:t>:</w:t>
      </w:r>
      <w:hyperlink r:id="rId11">
        <w:r w:rsidRPr="001C3D09">
          <w:rPr>
            <w:rFonts w:eastAsia="Times New Roman"/>
            <w:sz w:val="20"/>
            <w:szCs w:val="20"/>
            <w:lang w:val="en-US"/>
          </w:rPr>
          <w:t xml:space="preserve"> </w:t>
        </w:r>
      </w:hyperlink>
      <w:hyperlink r:id="rId12">
        <w:r w:rsidRPr="001C3D09">
          <w:rPr>
            <w:rFonts w:eastAsia="Times New Roman"/>
            <w:color w:val="1155CC"/>
            <w:sz w:val="20"/>
            <w:szCs w:val="20"/>
            <w:u w:val="single"/>
            <w:lang w:val="en-US"/>
          </w:rPr>
          <w:t>https://cutt.ly/jNl0mh5</w:t>
        </w:r>
      </w:hyperlink>
      <w:r w:rsidRPr="001C3D09">
        <w:rPr>
          <w:rFonts w:eastAsia="Times New Roman"/>
          <w:sz w:val="20"/>
          <w:szCs w:val="20"/>
          <w:lang w:val="en-US"/>
        </w:rPr>
        <w:t xml:space="preserve"> , </w:t>
      </w:r>
      <w:r w:rsidR="001C3D09" w:rsidRPr="001C3D09">
        <w:rPr>
          <w:rFonts w:eastAsia="Times New Roman"/>
          <w:sz w:val="20"/>
          <w:szCs w:val="20"/>
        </w:rPr>
        <w:t>XXIX Biannual Report. Available at</w:t>
      </w:r>
      <w:r w:rsidRPr="001C3D09">
        <w:rPr>
          <w:rFonts w:eastAsia="Times New Roman"/>
          <w:sz w:val="20"/>
          <w:szCs w:val="20"/>
          <w:lang w:val="en-US"/>
        </w:rPr>
        <w:t>:</w:t>
      </w:r>
      <w:r w:rsidRPr="001C3D09">
        <w:rPr>
          <w:rFonts w:eastAsia="Times New Roman"/>
          <w:color w:val="008080"/>
          <w:sz w:val="20"/>
          <w:szCs w:val="20"/>
          <w:lang w:val="en-US"/>
        </w:rPr>
        <w:t xml:space="preserve"> </w:t>
      </w:r>
      <w:hyperlink r:id="rId13">
        <w:r w:rsidRPr="001C3D09">
          <w:rPr>
            <w:rFonts w:eastAsia="Times New Roman"/>
            <w:color w:val="1155CC"/>
            <w:sz w:val="20"/>
            <w:szCs w:val="20"/>
            <w:u w:val="single"/>
            <w:lang w:val="en-US"/>
          </w:rPr>
          <w:t>https://cutt.ly/wNl0U1N</w:t>
        </w:r>
      </w:hyperlink>
      <w:r w:rsidRPr="001C3D09">
        <w:rPr>
          <w:rFonts w:eastAsia="Times New Roman"/>
          <w:color w:val="008080"/>
          <w:sz w:val="20"/>
          <w:szCs w:val="20"/>
          <w:lang w:val="en-US"/>
        </w:rPr>
        <w:t xml:space="preserve"> </w:t>
      </w:r>
      <w:r w:rsidRPr="001C3D09">
        <w:rPr>
          <w:rFonts w:eastAsia="Times New Roman"/>
          <w:sz w:val="20"/>
          <w:szCs w:val="20"/>
          <w:lang w:val="en-US"/>
        </w:rPr>
        <w:t xml:space="preserve">, </w:t>
      </w:r>
      <w:r w:rsidR="001C3D09" w:rsidRPr="001C3D09">
        <w:rPr>
          <w:rFonts w:eastAsia="Times New Roman"/>
          <w:sz w:val="20"/>
          <w:szCs w:val="20"/>
        </w:rPr>
        <w:t>XXVIII Biannual Report. Available at</w:t>
      </w:r>
      <w:r w:rsidRPr="001C3D09">
        <w:rPr>
          <w:rFonts w:eastAsia="Times New Roman"/>
          <w:sz w:val="20"/>
          <w:szCs w:val="20"/>
          <w:lang w:val="en-US"/>
        </w:rPr>
        <w:t xml:space="preserve">: </w:t>
      </w:r>
      <w:hyperlink r:id="rId14">
        <w:r w:rsidRPr="001C3D09">
          <w:rPr>
            <w:rFonts w:eastAsia="Times New Roman"/>
            <w:color w:val="1155CC"/>
            <w:sz w:val="20"/>
            <w:szCs w:val="20"/>
            <w:u w:val="single"/>
            <w:lang w:val="en-US"/>
          </w:rPr>
          <w:t>https://cutt.ly/yNl0DH1</w:t>
        </w:r>
      </w:hyperlink>
      <w:r w:rsidRPr="001C3D09">
        <w:rPr>
          <w:rFonts w:eastAsia="Times New Roman"/>
          <w:sz w:val="20"/>
          <w:szCs w:val="20"/>
          <w:lang w:val="en-US"/>
        </w:rPr>
        <w:t xml:space="preserve"> , XXVII </w:t>
      </w:r>
      <w:r w:rsidR="001C3D09" w:rsidRPr="001C3D09">
        <w:rPr>
          <w:rFonts w:eastAsia="Times New Roman"/>
          <w:sz w:val="20"/>
          <w:szCs w:val="20"/>
        </w:rPr>
        <w:t>Biannual Report. Available at</w:t>
      </w:r>
      <w:r w:rsidRPr="001C3D09">
        <w:rPr>
          <w:rFonts w:eastAsia="Times New Roman"/>
          <w:sz w:val="20"/>
          <w:szCs w:val="20"/>
          <w:lang w:val="en-US"/>
        </w:rPr>
        <w:t xml:space="preserve">: </w:t>
      </w:r>
      <w:hyperlink r:id="rId15">
        <w:r w:rsidRPr="001C3D09">
          <w:rPr>
            <w:rFonts w:eastAsia="Times New Roman"/>
            <w:color w:val="1155CC"/>
            <w:sz w:val="20"/>
            <w:szCs w:val="20"/>
            <w:u w:val="single"/>
            <w:lang w:val="en-US"/>
          </w:rPr>
          <w:t>https://cutt.ly/rNl0LSV</w:t>
        </w:r>
      </w:hyperlink>
      <w:r w:rsidRPr="001C3D09">
        <w:rPr>
          <w:rFonts w:eastAsia="Times New Roman"/>
          <w:sz w:val="20"/>
          <w:szCs w:val="20"/>
          <w:lang w:val="en-US"/>
        </w:rPr>
        <w:t xml:space="preserve"> , XXVI </w:t>
      </w:r>
      <w:r w:rsidR="001C3D09" w:rsidRPr="001C3D09">
        <w:rPr>
          <w:rFonts w:eastAsia="Times New Roman"/>
          <w:sz w:val="20"/>
          <w:szCs w:val="20"/>
        </w:rPr>
        <w:t>Biannual Report. Available at</w:t>
      </w:r>
      <w:r w:rsidRPr="001C3D09">
        <w:rPr>
          <w:rFonts w:eastAsia="Times New Roman"/>
          <w:sz w:val="20"/>
          <w:szCs w:val="20"/>
          <w:lang w:val="en-US"/>
        </w:rPr>
        <w:t>:</w:t>
      </w:r>
      <w:hyperlink r:id="rId16">
        <w:r w:rsidRPr="001C3D09">
          <w:rPr>
            <w:rFonts w:eastAsia="Times New Roman"/>
            <w:sz w:val="20"/>
            <w:szCs w:val="20"/>
            <w:lang w:val="en-US"/>
          </w:rPr>
          <w:t xml:space="preserve"> </w:t>
        </w:r>
      </w:hyperlink>
      <w:hyperlink r:id="rId17">
        <w:r w:rsidRPr="001C3D09">
          <w:rPr>
            <w:rFonts w:eastAsia="Times New Roman"/>
            <w:color w:val="1155CC"/>
            <w:sz w:val="20"/>
            <w:szCs w:val="20"/>
            <w:u w:val="single"/>
            <w:lang w:val="en-US"/>
          </w:rPr>
          <w:t>https://cutt.ly/KNl2swS</w:t>
        </w:r>
      </w:hyperlink>
      <w:r w:rsidRPr="001C3D09">
        <w:rPr>
          <w:rFonts w:eastAsia="Times New Roman"/>
          <w:sz w:val="20"/>
          <w:szCs w:val="20"/>
          <w:lang w:val="en-US"/>
        </w:rPr>
        <w:t xml:space="preserve"> , XXIII. </w:t>
      </w:r>
      <w:r w:rsidR="001C3D09" w:rsidRPr="001C3D09">
        <w:rPr>
          <w:rFonts w:eastAsia="Times New Roman"/>
          <w:sz w:val="20"/>
          <w:szCs w:val="20"/>
        </w:rPr>
        <w:t>Biannual Report. Available at</w:t>
      </w:r>
      <w:r w:rsidRPr="001C3D09">
        <w:rPr>
          <w:rFonts w:eastAsia="Times New Roman"/>
          <w:sz w:val="20"/>
          <w:szCs w:val="20"/>
          <w:lang w:val="en-US"/>
        </w:rPr>
        <w:t xml:space="preserve">: </w:t>
      </w:r>
      <w:hyperlink r:id="rId18">
        <w:r w:rsidRPr="001C3D09">
          <w:rPr>
            <w:rFonts w:eastAsia="Times New Roman"/>
            <w:color w:val="1155CC"/>
            <w:sz w:val="20"/>
            <w:szCs w:val="20"/>
            <w:u w:val="single"/>
            <w:lang w:val="en-US"/>
          </w:rPr>
          <w:t>https://cutt.ly/BNl2jHp</w:t>
        </w:r>
      </w:hyperlink>
      <w:r w:rsidRPr="001C3D09">
        <w:rPr>
          <w:rFonts w:eastAsia="Times New Roman"/>
          <w:sz w:val="20"/>
          <w:szCs w:val="20"/>
          <w:lang w:val="en-US"/>
        </w:rPr>
        <w:t xml:space="preserve"> , XXII. </w:t>
      </w:r>
      <w:r w:rsidR="001C3D09" w:rsidRPr="001C3D09">
        <w:rPr>
          <w:rFonts w:eastAsia="Times New Roman"/>
          <w:sz w:val="20"/>
          <w:szCs w:val="20"/>
        </w:rPr>
        <w:t>Biannual Report. Available at</w:t>
      </w:r>
      <w:r w:rsidRPr="001C3D09">
        <w:rPr>
          <w:rFonts w:eastAsia="Times New Roman"/>
          <w:sz w:val="20"/>
          <w:szCs w:val="20"/>
          <w:lang w:val="en-US"/>
        </w:rPr>
        <w:t xml:space="preserve">: </w:t>
      </w:r>
      <w:hyperlink r:id="rId19">
        <w:r w:rsidRPr="001C3D09">
          <w:rPr>
            <w:rFonts w:eastAsia="Times New Roman"/>
            <w:color w:val="1155CC"/>
            <w:sz w:val="20"/>
            <w:szCs w:val="20"/>
            <w:u w:val="single"/>
            <w:lang w:val="en-US"/>
          </w:rPr>
          <w:t>https://cutt.ly/2Nl2nvo</w:t>
        </w:r>
      </w:hyperlink>
      <w:r w:rsidRPr="001C3D09">
        <w:rPr>
          <w:rFonts w:eastAsia="Times New Roman"/>
          <w:sz w:val="20"/>
          <w:szCs w:val="20"/>
          <w:lang w:val="en-US"/>
        </w:rPr>
        <w:t xml:space="preserve"> , XXI. </w:t>
      </w:r>
      <w:r w:rsidR="001C3D09" w:rsidRPr="001C3D09">
        <w:rPr>
          <w:rFonts w:eastAsia="Times New Roman"/>
          <w:sz w:val="20"/>
          <w:szCs w:val="20"/>
        </w:rPr>
        <w:t>Biannual Report. Available at</w:t>
      </w:r>
      <w:r w:rsidRPr="0025143E">
        <w:rPr>
          <w:rFonts w:eastAsia="Times New Roman"/>
          <w:sz w:val="20"/>
          <w:szCs w:val="20"/>
          <w:lang w:val="en-US"/>
        </w:rPr>
        <w:t>:</w:t>
      </w:r>
      <w:r w:rsidRPr="0025143E">
        <w:rPr>
          <w:rFonts w:eastAsia="Times New Roman"/>
          <w:color w:val="008080"/>
          <w:sz w:val="20"/>
          <w:szCs w:val="20"/>
          <w:u w:val="single"/>
          <w:lang w:val="en-US"/>
        </w:rPr>
        <w:t xml:space="preserve"> </w:t>
      </w:r>
      <w:hyperlink r:id="rId20">
        <w:r w:rsidRPr="0025143E">
          <w:rPr>
            <w:rFonts w:eastAsia="Times New Roman"/>
            <w:color w:val="1155CC"/>
            <w:sz w:val="20"/>
            <w:szCs w:val="20"/>
            <w:u w:val="single"/>
            <w:lang w:val="en-US"/>
          </w:rPr>
          <w:t>https://cutt.ly/rNl2Wem</w:t>
        </w:r>
      </w:hyperlink>
      <w:r w:rsidRPr="0025143E">
        <w:rPr>
          <w:sz w:val="20"/>
          <w:szCs w:val="20"/>
          <w:lang w:val="en-US"/>
        </w:rPr>
        <w:t xml:space="preserve">. </w:t>
      </w:r>
    </w:p>
  </w:footnote>
  <w:footnote w:id="13">
    <w:p w14:paraId="3FCB9CB9" w14:textId="4ECD93B9" w:rsidR="001650D2" w:rsidRPr="001C3D09" w:rsidRDefault="001650D2" w:rsidP="009558E2">
      <w:pPr>
        <w:spacing w:line="240" w:lineRule="auto"/>
        <w:jc w:val="both"/>
        <w:rPr>
          <w:sz w:val="20"/>
          <w:szCs w:val="20"/>
          <w:lang w:val="en-US"/>
        </w:rPr>
      </w:pPr>
      <w:r w:rsidRPr="009558E2">
        <w:rPr>
          <w:sz w:val="20"/>
          <w:szCs w:val="20"/>
          <w:vertAlign w:val="superscript"/>
        </w:rPr>
        <w:footnoteRef/>
      </w:r>
      <w:r w:rsidRPr="0025143E">
        <w:rPr>
          <w:sz w:val="20"/>
          <w:szCs w:val="20"/>
          <w:lang w:val="en-US"/>
        </w:rPr>
        <w:t xml:space="preserve">MAPP OEA. </w:t>
      </w:r>
      <w:r w:rsidRPr="001C3D09">
        <w:rPr>
          <w:sz w:val="20"/>
          <w:szCs w:val="20"/>
          <w:lang w:val="en-US"/>
        </w:rPr>
        <w:t xml:space="preserve">XXIV </w:t>
      </w:r>
      <w:r w:rsidR="001C3D09" w:rsidRPr="001C3D09">
        <w:rPr>
          <w:rFonts w:eastAsia="Times New Roman"/>
          <w:sz w:val="20"/>
          <w:szCs w:val="20"/>
        </w:rPr>
        <w:t>Biannual Report. Available at</w:t>
      </w:r>
      <w:r w:rsidRPr="001C3D09">
        <w:rPr>
          <w:sz w:val="20"/>
          <w:szCs w:val="20"/>
          <w:lang w:val="en-US"/>
        </w:rPr>
        <w:t xml:space="preserve">:  </w:t>
      </w:r>
      <w:hyperlink r:id="rId21">
        <w:r w:rsidRPr="001C3D09">
          <w:rPr>
            <w:rFonts w:eastAsia="Times New Roman"/>
            <w:color w:val="1155CC"/>
            <w:sz w:val="20"/>
            <w:szCs w:val="20"/>
            <w:u w:val="single"/>
            <w:lang w:val="en-US"/>
          </w:rPr>
          <w:t>http</w:t>
        </w:r>
      </w:hyperlink>
      <w:hyperlink r:id="rId22">
        <w:r w:rsidRPr="001C3D09">
          <w:rPr>
            <w:rFonts w:eastAsia="Times New Roman"/>
            <w:color w:val="1155CC"/>
            <w:sz w:val="20"/>
            <w:szCs w:val="20"/>
            <w:u w:val="single"/>
            <w:lang w:val="en-US"/>
          </w:rPr>
          <w:t>://scm.oas.org/pdfs/2018/CP39544S.PDF</w:t>
        </w:r>
      </w:hyperlink>
    </w:p>
  </w:footnote>
  <w:footnote w:id="14">
    <w:p w14:paraId="726AAFDE" w14:textId="36E19199" w:rsidR="001650D2" w:rsidRPr="001C3D09" w:rsidRDefault="001650D2" w:rsidP="009558E2">
      <w:pPr>
        <w:spacing w:line="240" w:lineRule="auto"/>
        <w:jc w:val="both"/>
        <w:rPr>
          <w:sz w:val="20"/>
          <w:szCs w:val="20"/>
          <w:lang w:val="en-US"/>
        </w:rPr>
      </w:pPr>
      <w:r w:rsidRPr="009558E2">
        <w:rPr>
          <w:sz w:val="20"/>
          <w:szCs w:val="20"/>
          <w:vertAlign w:val="superscript"/>
        </w:rPr>
        <w:footnoteRef/>
      </w:r>
      <w:r w:rsidRPr="0025143E">
        <w:rPr>
          <w:sz w:val="20"/>
          <w:szCs w:val="20"/>
          <w:lang w:val="en-US"/>
        </w:rPr>
        <w:t xml:space="preserve"> </w:t>
      </w:r>
      <w:r w:rsidRPr="0025143E">
        <w:rPr>
          <w:rFonts w:eastAsia="Times New Roman"/>
          <w:sz w:val="20"/>
          <w:szCs w:val="20"/>
          <w:lang w:val="en-US"/>
        </w:rPr>
        <w:t>MAPP OEA.</w:t>
      </w:r>
      <w:r w:rsidRPr="0025143E">
        <w:rPr>
          <w:rFonts w:eastAsia="Times New Roman"/>
          <w:color w:val="008080"/>
          <w:sz w:val="20"/>
          <w:szCs w:val="20"/>
          <w:lang w:val="en-US"/>
        </w:rPr>
        <w:t xml:space="preserve"> </w:t>
      </w:r>
      <w:r w:rsidRPr="001C3D09">
        <w:rPr>
          <w:rFonts w:eastAsia="Times New Roman"/>
          <w:sz w:val="20"/>
          <w:szCs w:val="20"/>
          <w:lang w:val="en-US"/>
        </w:rPr>
        <w:t xml:space="preserve">XXX </w:t>
      </w:r>
      <w:r w:rsidR="001C3D09" w:rsidRPr="001C3D09">
        <w:rPr>
          <w:rFonts w:eastAsia="Times New Roman"/>
          <w:sz w:val="20"/>
          <w:szCs w:val="20"/>
        </w:rPr>
        <w:t>Biannual Report. Available at</w:t>
      </w:r>
      <w:r w:rsidRPr="001C3D09">
        <w:rPr>
          <w:rFonts w:eastAsia="Times New Roman"/>
          <w:sz w:val="20"/>
          <w:szCs w:val="20"/>
          <w:lang w:val="en-US"/>
        </w:rPr>
        <w:t>:</w:t>
      </w:r>
      <w:r w:rsidRPr="001C3D09">
        <w:rPr>
          <w:rFonts w:eastAsia="Times New Roman"/>
          <w:color w:val="008080"/>
          <w:sz w:val="20"/>
          <w:szCs w:val="20"/>
          <w:u w:val="single"/>
          <w:lang w:val="en-US"/>
        </w:rPr>
        <w:t xml:space="preserve"> </w:t>
      </w:r>
      <w:hyperlink r:id="rId23">
        <w:r w:rsidRPr="001C3D09">
          <w:rPr>
            <w:rFonts w:eastAsia="Times New Roman"/>
            <w:color w:val="1155CC"/>
            <w:sz w:val="20"/>
            <w:szCs w:val="20"/>
            <w:u w:val="single"/>
            <w:lang w:val="en-US"/>
          </w:rPr>
          <w:t>https://cutt.ly/wNl0U1N</w:t>
        </w:r>
      </w:hyperlink>
      <w:r w:rsidRPr="001C3D09">
        <w:rPr>
          <w:rFonts w:eastAsia="Times New Roman"/>
          <w:sz w:val="20"/>
          <w:szCs w:val="20"/>
          <w:lang w:val="en-US"/>
        </w:rPr>
        <w:t xml:space="preserve"> p</w:t>
      </w:r>
      <w:r w:rsidR="001C3D09">
        <w:rPr>
          <w:rFonts w:eastAsia="Times New Roman"/>
          <w:sz w:val="20"/>
          <w:szCs w:val="20"/>
          <w:lang w:val="en-US"/>
        </w:rPr>
        <w:t>a</w:t>
      </w:r>
      <w:r w:rsidRPr="001C3D09">
        <w:rPr>
          <w:rFonts w:eastAsia="Times New Roman"/>
          <w:sz w:val="20"/>
          <w:szCs w:val="20"/>
          <w:lang w:val="en-US"/>
        </w:rPr>
        <w:t>g</w:t>
      </w:r>
      <w:r w:rsidR="001C3D09">
        <w:rPr>
          <w:rFonts w:eastAsia="Times New Roman"/>
          <w:sz w:val="20"/>
          <w:szCs w:val="20"/>
          <w:lang w:val="en-US"/>
        </w:rPr>
        <w:t>e</w:t>
      </w:r>
      <w:r w:rsidRPr="001C3D09">
        <w:rPr>
          <w:rFonts w:eastAsia="Times New Roman"/>
          <w:sz w:val="20"/>
          <w:szCs w:val="20"/>
          <w:lang w:val="en-US"/>
        </w:rPr>
        <w:t xml:space="preserve">. 9.MAP XXXVI. </w:t>
      </w:r>
      <w:r w:rsidR="001C3D09" w:rsidRPr="001C3D09">
        <w:rPr>
          <w:rFonts w:eastAsia="Times New Roman"/>
          <w:sz w:val="20"/>
          <w:szCs w:val="20"/>
        </w:rPr>
        <w:t>Biannual Report. Available at</w:t>
      </w:r>
      <w:r w:rsidRPr="001C3D09">
        <w:rPr>
          <w:rFonts w:eastAsia="Times New Roman"/>
          <w:sz w:val="20"/>
          <w:szCs w:val="20"/>
          <w:lang w:val="en-US"/>
        </w:rPr>
        <w:t xml:space="preserve">: </w:t>
      </w:r>
      <w:hyperlink r:id="rId24">
        <w:r w:rsidRPr="001C3D09">
          <w:rPr>
            <w:rFonts w:eastAsia="Times New Roman"/>
            <w:color w:val="1155CC"/>
            <w:sz w:val="20"/>
            <w:szCs w:val="20"/>
            <w:u w:val="single"/>
            <w:lang w:val="en-US"/>
          </w:rPr>
          <w:t>https://www.mapp-oea.org/wp-content/uploads/2024/06/Informe-Semestral-36-MAPPOEA-1.pdf</w:t>
        </w:r>
      </w:hyperlink>
      <w:r w:rsidRPr="001C3D09">
        <w:rPr>
          <w:rFonts w:eastAsia="Times New Roman"/>
          <w:sz w:val="20"/>
          <w:szCs w:val="20"/>
          <w:lang w:val="en-US"/>
        </w:rPr>
        <w:t xml:space="preserve"> p. 10.,  XXXIV </w:t>
      </w:r>
      <w:r w:rsidR="001C3D09" w:rsidRPr="001C3D09">
        <w:rPr>
          <w:rFonts w:eastAsia="Times New Roman"/>
          <w:sz w:val="20"/>
          <w:szCs w:val="20"/>
        </w:rPr>
        <w:t>Biannual Report. Available at</w:t>
      </w:r>
      <w:r w:rsidR="001C3D09">
        <w:rPr>
          <w:rFonts w:eastAsia="Times New Roman"/>
          <w:sz w:val="20"/>
          <w:szCs w:val="20"/>
        </w:rPr>
        <w:t>:</w:t>
      </w:r>
      <w:r w:rsidR="001C3D09" w:rsidRPr="009558E2">
        <w:rPr>
          <w:sz w:val="20"/>
          <w:szCs w:val="20"/>
        </w:rPr>
        <w:t xml:space="preserve"> </w:t>
      </w:r>
      <w:hyperlink r:id="rId25">
        <w:r w:rsidRPr="001C3D09">
          <w:rPr>
            <w:rFonts w:eastAsia="Times New Roman"/>
            <w:color w:val="1155CC"/>
            <w:sz w:val="20"/>
            <w:szCs w:val="20"/>
            <w:u w:val="single"/>
            <w:lang w:val="en-US"/>
          </w:rPr>
          <w:t>https://www.mapp-oea.org/wp-content/uploads/2023/05/INFORME-XXXIV-Esp-1.pdf</w:t>
        </w:r>
      </w:hyperlink>
      <w:r w:rsidRPr="001C3D09">
        <w:rPr>
          <w:rFonts w:eastAsia="Times New Roman"/>
          <w:sz w:val="20"/>
          <w:szCs w:val="20"/>
          <w:lang w:val="en-US"/>
        </w:rPr>
        <w:t xml:space="preserve"> pag</w:t>
      </w:r>
      <w:r w:rsidR="00F437CC">
        <w:rPr>
          <w:rFonts w:eastAsia="Times New Roman"/>
          <w:sz w:val="20"/>
          <w:szCs w:val="20"/>
          <w:lang w:val="en-US"/>
        </w:rPr>
        <w:t>e</w:t>
      </w:r>
      <w:r w:rsidRPr="001C3D09">
        <w:rPr>
          <w:rFonts w:eastAsia="Times New Roman"/>
          <w:sz w:val="20"/>
          <w:szCs w:val="20"/>
          <w:lang w:val="en-US"/>
        </w:rPr>
        <w:t xml:space="preserve"> 2., XXXVI </w:t>
      </w:r>
      <w:r w:rsidR="001C3D09" w:rsidRPr="001C3D09">
        <w:rPr>
          <w:rFonts w:eastAsia="Times New Roman"/>
          <w:sz w:val="20"/>
          <w:szCs w:val="20"/>
        </w:rPr>
        <w:t>Biannual Report. Available at</w:t>
      </w:r>
      <w:r w:rsidRPr="001C3D09">
        <w:rPr>
          <w:rFonts w:eastAsia="Times New Roman"/>
          <w:sz w:val="20"/>
          <w:szCs w:val="20"/>
          <w:lang w:val="en-US"/>
        </w:rPr>
        <w:t xml:space="preserve">: </w:t>
      </w:r>
      <w:hyperlink r:id="rId26">
        <w:r w:rsidRPr="001C3D09">
          <w:rPr>
            <w:rFonts w:eastAsia="Times New Roman"/>
            <w:color w:val="1155CC"/>
            <w:sz w:val="20"/>
            <w:szCs w:val="20"/>
            <w:u w:val="single"/>
            <w:lang w:val="en-US"/>
          </w:rPr>
          <w:t>https://www.mapp-oea.org/wp-content/uploads/2024/06/Informe-Semestral-36-MAPPOEA-1.pdf</w:t>
        </w:r>
      </w:hyperlink>
      <w:r w:rsidRPr="001C3D09">
        <w:rPr>
          <w:rFonts w:eastAsia="Times New Roman"/>
          <w:sz w:val="20"/>
          <w:szCs w:val="20"/>
          <w:lang w:val="en-US"/>
        </w:rPr>
        <w:t xml:space="preserve"> pag</w:t>
      </w:r>
      <w:r w:rsidR="00F437CC">
        <w:rPr>
          <w:rFonts w:eastAsia="Times New Roman"/>
          <w:sz w:val="20"/>
          <w:szCs w:val="20"/>
          <w:lang w:val="en-US"/>
        </w:rPr>
        <w:t>e</w:t>
      </w:r>
      <w:r w:rsidRPr="001C3D09">
        <w:rPr>
          <w:rFonts w:eastAsia="Times New Roman"/>
          <w:sz w:val="20"/>
          <w:szCs w:val="20"/>
          <w:lang w:val="en-US"/>
        </w:rPr>
        <w:t xml:space="preserve"> 4. </w:t>
      </w:r>
    </w:p>
  </w:footnote>
  <w:footnote w:id="15">
    <w:p w14:paraId="01E9D4DC" w14:textId="51500C6F" w:rsidR="001650D2" w:rsidRPr="0025143E" w:rsidRDefault="001650D2" w:rsidP="009558E2">
      <w:pPr>
        <w:spacing w:line="240" w:lineRule="auto"/>
        <w:jc w:val="both"/>
        <w:rPr>
          <w:sz w:val="20"/>
          <w:szCs w:val="20"/>
          <w:lang w:val="en-US"/>
        </w:rPr>
      </w:pPr>
      <w:r w:rsidRPr="009558E2">
        <w:rPr>
          <w:sz w:val="20"/>
          <w:szCs w:val="20"/>
          <w:vertAlign w:val="superscript"/>
        </w:rPr>
        <w:footnoteRef/>
      </w:r>
      <w:r w:rsidRPr="0025143E">
        <w:rPr>
          <w:sz w:val="20"/>
          <w:szCs w:val="20"/>
          <w:lang w:val="en-US"/>
        </w:rPr>
        <w:t xml:space="preserve"> </w:t>
      </w:r>
      <w:r w:rsidRPr="0025143E">
        <w:rPr>
          <w:rFonts w:eastAsia="Times New Roman"/>
          <w:sz w:val="20"/>
          <w:szCs w:val="20"/>
          <w:lang w:val="en-US"/>
        </w:rPr>
        <w:t xml:space="preserve">MAPP. </w:t>
      </w:r>
      <w:r w:rsidRPr="001C3D09">
        <w:rPr>
          <w:rFonts w:eastAsia="Times New Roman"/>
          <w:sz w:val="20"/>
          <w:szCs w:val="20"/>
          <w:lang w:val="en-US"/>
        </w:rPr>
        <w:t xml:space="preserve">XXI </w:t>
      </w:r>
      <w:r w:rsidR="001C3D09" w:rsidRPr="001C3D09">
        <w:rPr>
          <w:rFonts w:eastAsia="Times New Roman"/>
          <w:sz w:val="20"/>
          <w:szCs w:val="20"/>
        </w:rPr>
        <w:t>Biannual Report. Available at</w:t>
      </w:r>
      <w:r w:rsidRPr="001C3D09">
        <w:rPr>
          <w:rFonts w:eastAsia="Times New Roman"/>
          <w:sz w:val="20"/>
          <w:szCs w:val="20"/>
          <w:lang w:val="en-US"/>
        </w:rPr>
        <w:t>: ​​</w:t>
      </w:r>
      <w:hyperlink r:id="rId27">
        <w:r w:rsidRPr="001C3D09">
          <w:rPr>
            <w:rFonts w:eastAsia="Times New Roman"/>
            <w:color w:val="1155CC"/>
            <w:sz w:val="20"/>
            <w:szCs w:val="20"/>
            <w:u w:val="single"/>
            <w:lang w:val="en-US"/>
          </w:rPr>
          <w:t>https://www.mapp-oea.org/wp-content/uploads/2019/07/XXI-Informe-sobre-la-MAPP-OEA.pdf</w:t>
        </w:r>
      </w:hyperlink>
      <w:r w:rsidRPr="001C3D09">
        <w:rPr>
          <w:rFonts w:eastAsia="Times New Roman"/>
          <w:sz w:val="20"/>
          <w:szCs w:val="20"/>
          <w:lang w:val="en-US"/>
        </w:rPr>
        <w:t xml:space="preserve"> p</w:t>
      </w:r>
      <w:r w:rsidR="001C3D09" w:rsidRPr="001C3D09">
        <w:rPr>
          <w:rFonts w:eastAsia="Times New Roman"/>
          <w:sz w:val="20"/>
          <w:szCs w:val="20"/>
          <w:lang w:val="en-US"/>
        </w:rPr>
        <w:t>a</w:t>
      </w:r>
      <w:r w:rsidRPr="001C3D09">
        <w:rPr>
          <w:rFonts w:eastAsia="Times New Roman"/>
          <w:sz w:val="20"/>
          <w:szCs w:val="20"/>
          <w:lang w:val="en-US"/>
        </w:rPr>
        <w:t>g</w:t>
      </w:r>
      <w:r w:rsidR="001C3D09">
        <w:rPr>
          <w:rFonts w:eastAsia="Times New Roman"/>
          <w:sz w:val="20"/>
          <w:szCs w:val="20"/>
          <w:lang w:val="en-US"/>
        </w:rPr>
        <w:t>e</w:t>
      </w:r>
      <w:r w:rsidRPr="001C3D09">
        <w:rPr>
          <w:rFonts w:eastAsia="Times New Roman"/>
          <w:sz w:val="20"/>
          <w:szCs w:val="20"/>
          <w:lang w:val="en-US"/>
        </w:rPr>
        <w:t xml:space="preserve">.  </w:t>
      </w:r>
      <w:r w:rsidRPr="0025143E">
        <w:rPr>
          <w:rFonts w:eastAsia="Times New Roman"/>
          <w:sz w:val="20"/>
          <w:szCs w:val="20"/>
          <w:lang w:val="en-US"/>
        </w:rPr>
        <w:t>26.</w:t>
      </w:r>
    </w:p>
  </w:footnote>
  <w:footnote w:id="16">
    <w:p w14:paraId="02979D1F" w14:textId="31A9D577" w:rsidR="001650D2" w:rsidRPr="001C3D09" w:rsidRDefault="001650D2" w:rsidP="009558E2">
      <w:pPr>
        <w:spacing w:line="240" w:lineRule="auto"/>
        <w:jc w:val="both"/>
        <w:rPr>
          <w:sz w:val="20"/>
          <w:szCs w:val="20"/>
          <w:lang w:val="en-US"/>
        </w:rPr>
      </w:pPr>
      <w:r w:rsidRPr="009558E2">
        <w:rPr>
          <w:sz w:val="20"/>
          <w:szCs w:val="20"/>
          <w:vertAlign w:val="superscript"/>
        </w:rPr>
        <w:footnoteRef/>
      </w:r>
      <w:r w:rsidRPr="0025143E">
        <w:rPr>
          <w:rFonts w:eastAsia="Times New Roman"/>
          <w:sz w:val="20"/>
          <w:szCs w:val="20"/>
          <w:lang w:val="en-US"/>
        </w:rPr>
        <w:t xml:space="preserve">MAPP. </w:t>
      </w:r>
      <w:r w:rsidRPr="001C3D09">
        <w:rPr>
          <w:rFonts w:eastAsia="Times New Roman"/>
          <w:sz w:val="20"/>
          <w:szCs w:val="20"/>
          <w:lang w:val="en-US"/>
        </w:rPr>
        <w:t xml:space="preserve">XXIX </w:t>
      </w:r>
      <w:r w:rsidR="001C3D09" w:rsidRPr="001C3D09">
        <w:rPr>
          <w:rFonts w:eastAsia="Times New Roman"/>
          <w:sz w:val="20"/>
          <w:szCs w:val="20"/>
        </w:rPr>
        <w:t>Biannual Report. Available at</w:t>
      </w:r>
      <w:r w:rsidRPr="001C3D09">
        <w:rPr>
          <w:rFonts w:eastAsia="Times New Roman"/>
          <w:sz w:val="20"/>
          <w:szCs w:val="20"/>
          <w:lang w:val="en-US"/>
        </w:rPr>
        <w:t>:</w:t>
      </w:r>
      <w:hyperlink r:id="rId28">
        <w:r w:rsidRPr="001C3D09">
          <w:rPr>
            <w:rFonts w:eastAsia="Times New Roman"/>
            <w:sz w:val="20"/>
            <w:szCs w:val="20"/>
            <w:lang w:val="en-US"/>
          </w:rPr>
          <w:t xml:space="preserve"> </w:t>
        </w:r>
      </w:hyperlink>
      <w:hyperlink r:id="rId29">
        <w:r w:rsidRPr="001C3D09">
          <w:rPr>
            <w:rFonts w:eastAsia="Times New Roman"/>
            <w:color w:val="1155CC"/>
            <w:sz w:val="20"/>
            <w:szCs w:val="20"/>
            <w:u w:val="single"/>
            <w:lang w:val="en-US"/>
          </w:rPr>
          <w:t>https://www.mapp-oea.org/wp-content/uploads/2020/12/XXIX-Informe-Semestral.pdf</w:t>
        </w:r>
      </w:hyperlink>
      <w:r w:rsidRPr="001C3D09">
        <w:rPr>
          <w:rFonts w:eastAsia="Times New Roman"/>
          <w:sz w:val="20"/>
          <w:szCs w:val="20"/>
          <w:lang w:val="en-US"/>
        </w:rPr>
        <w:t xml:space="preserve"> .</w:t>
      </w:r>
    </w:p>
  </w:footnote>
  <w:footnote w:id="17">
    <w:p w14:paraId="000000EA" w14:textId="18CE1B8A" w:rsidR="00C60456" w:rsidRPr="00A571B1" w:rsidRDefault="00A74445" w:rsidP="009558E2">
      <w:pPr>
        <w:spacing w:line="240" w:lineRule="auto"/>
        <w:jc w:val="both"/>
        <w:rPr>
          <w:sz w:val="20"/>
          <w:szCs w:val="20"/>
          <w:lang w:val="en-US"/>
        </w:rPr>
      </w:pPr>
      <w:r w:rsidRPr="009558E2">
        <w:rPr>
          <w:sz w:val="20"/>
          <w:szCs w:val="20"/>
          <w:vertAlign w:val="superscript"/>
        </w:rPr>
        <w:footnoteRef/>
      </w:r>
      <w:r w:rsidRPr="00A571B1">
        <w:rPr>
          <w:sz w:val="20"/>
          <w:szCs w:val="20"/>
          <w:lang w:val="en-US"/>
        </w:rPr>
        <w:t xml:space="preserve"> </w:t>
      </w:r>
      <w:r w:rsidR="00A571B1" w:rsidRPr="00A571B1">
        <w:rPr>
          <w:sz w:val="20"/>
          <w:szCs w:val="20"/>
        </w:rPr>
        <w:t>UN Secretary-General. United Nations Verification Mission in Colombia, S/2020/603, June 26, 2020, para</w:t>
      </w:r>
      <w:r w:rsidR="00A571B1" w:rsidRPr="00A571B1">
        <w:rPr>
          <w:sz w:val="20"/>
          <w:szCs w:val="20"/>
          <w:lang w:val="en-US"/>
        </w:rPr>
        <w:t>g</w:t>
      </w:r>
      <w:r w:rsidR="00A571B1" w:rsidRPr="00A571B1">
        <w:rPr>
          <w:sz w:val="20"/>
          <w:szCs w:val="20"/>
        </w:rPr>
        <w:t>. 62. Available at</w:t>
      </w:r>
      <w:r w:rsidRPr="00A571B1">
        <w:rPr>
          <w:sz w:val="20"/>
          <w:szCs w:val="20"/>
          <w:lang w:val="en-US"/>
        </w:rPr>
        <w:t>:</w:t>
      </w:r>
      <w:hyperlink r:id="rId30">
        <w:r w:rsidR="00C60456" w:rsidRPr="00A571B1">
          <w:rPr>
            <w:sz w:val="20"/>
            <w:szCs w:val="20"/>
            <w:lang w:val="en-US"/>
          </w:rPr>
          <w:t xml:space="preserve"> </w:t>
        </w:r>
      </w:hyperlink>
      <w:hyperlink r:id="rId31">
        <w:r w:rsidR="00C60456" w:rsidRPr="00A571B1">
          <w:rPr>
            <w:color w:val="1155CC"/>
            <w:sz w:val="20"/>
            <w:szCs w:val="20"/>
            <w:u w:val="single"/>
            <w:lang w:val="en-US"/>
          </w:rPr>
          <w:t>https://undocs.org/es/S/2020/603</w:t>
        </w:r>
      </w:hyperlink>
      <w:r w:rsidRPr="00A571B1">
        <w:rPr>
          <w:sz w:val="20"/>
          <w:szCs w:val="20"/>
          <w:lang w:val="en-US"/>
        </w:rPr>
        <w:t xml:space="preserve">. </w:t>
      </w:r>
      <w:r w:rsidR="00A571B1" w:rsidRPr="00A571B1">
        <w:rPr>
          <w:sz w:val="20"/>
          <w:szCs w:val="20"/>
        </w:rPr>
        <w:t xml:space="preserve">Office </w:t>
      </w:r>
      <w:r w:rsidR="00A571B1" w:rsidRPr="00A571B1">
        <w:rPr>
          <w:sz w:val="20"/>
          <w:szCs w:val="20"/>
          <w:lang w:val="en-US"/>
        </w:rPr>
        <w:t xml:space="preserve">of the </w:t>
      </w:r>
      <w:r w:rsidR="00A571B1" w:rsidRPr="00A571B1">
        <w:rPr>
          <w:sz w:val="20"/>
          <w:szCs w:val="20"/>
        </w:rPr>
        <w:t>Ombudsman. Current Dynamics of Recruitment</w:t>
      </w:r>
      <w:r w:rsidR="00A571B1" w:rsidRPr="00A571B1">
        <w:rPr>
          <w:sz w:val="20"/>
          <w:szCs w:val="20"/>
          <w:lang w:val="en-US"/>
        </w:rPr>
        <w:t xml:space="preserve">, </w:t>
      </w:r>
      <w:r w:rsidR="00A571B1" w:rsidRPr="00A571B1">
        <w:rPr>
          <w:sz w:val="20"/>
          <w:szCs w:val="20"/>
        </w:rPr>
        <w:t xml:space="preserve">Use and Utilization of </w:t>
      </w:r>
      <w:r w:rsidR="00A571B1" w:rsidRPr="00A571B1">
        <w:rPr>
          <w:sz w:val="20"/>
          <w:szCs w:val="20"/>
          <w:lang w:val="en-US"/>
        </w:rPr>
        <w:t xml:space="preserve">Boys, Girls, </w:t>
      </w:r>
      <w:r w:rsidR="00A571B1" w:rsidRPr="00A571B1">
        <w:rPr>
          <w:sz w:val="20"/>
          <w:szCs w:val="20"/>
        </w:rPr>
        <w:t>and Adolescents by Illegal Armed Groups or Organized Crime. 2021.</w:t>
      </w:r>
      <w:r w:rsidR="00A571B1" w:rsidRPr="00A571B1">
        <w:rPr>
          <w:sz w:val="20"/>
          <w:szCs w:val="20"/>
          <w:lang w:val="en-US"/>
        </w:rPr>
        <w:t xml:space="preserve"> Page 51. </w:t>
      </w:r>
      <w:r w:rsidR="00A571B1" w:rsidRPr="00A571B1">
        <w:rPr>
          <w:sz w:val="20"/>
          <w:szCs w:val="20"/>
        </w:rPr>
        <w:t xml:space="preserve"> Available at</w:t>
      </w:r>
      <w:r w:rsidRPr="00A571B1">
        <w:rPr>
          <w:sz w:val="20"/>
          <w:szCs w:val="20"/>
          <w:lang w:val="en-US"/>
        </w:rPr>
        <w:t xml:space="preserve">: </w:t>
      </w:r>
      <w:hyperlink r:id="rId32">
        <w:r w:rsidR="00C60456" w:rsidRPr="00A571B1">
          <w:rPr>
            <w:color w:val="1155CC"/>
            <w:sz w:val="20"/>
            <w:szCs w:val="20"/>
            <w:u w:val="single"/>
            <w:lang w:val="en-US"/>
          </w:rPr>
          <w:t>https://repositorio.defensoria.gov.co/items/286752fc-93a2-4d22-804a-de5c1843d7d5</w:t>
        </w:r>
      </w:hyperlink>
      <w:r w:rsidRPr="00A571B1">
        <w:rPr>
          <w:sz w:val="20"/>
          <w:szCs w:val="20"/>
          <w:lang w:val="en-US"/>
        </w:rPr>
        <w:t xml:space="preserve"> </w:t>
      </w:r>
    </w:p>
  </w:footnote>
  <w:footnote w:id="18">
    <w:p w14:paraId="3000193B" w14:textId="1BB2E067" w:rsidR="0058047C" w:rsidRPr="00A571B1" w:rsidRDefault="0058047C" w:rsidP="0058047C">
      <w:pPr>
        <w:spacing w:line="240" w:lineRule="auto"/>
        <w:rPr>
          <w:sz w:val="20"/>
          <w:szCs w:val="20"/>
          <w:lang w:val="en-US"/>
        </w:rPr>
      </w:pPr>
      <w:r w:rsidRPr="009558E2">
        <w:rPr>
          <w:sz w:val="20"/>
          <w:szCs w:val="20"/>
          <w:vertAlign w:val="superscript"/>
        </w:rPr>
        <w:footnoteRef/>
      </w:r>
      <w:r w:rsidR="00A571B1" w:rsidRPr="00A571B1">
        <w:rPr>
          <w:sz w:val="20"/>
          <w:szCs w:val="20"/>
        </w:rPr>
        <w:t xml:space="preserve">Office </w:t>
      </w:r>
      <w:r w:rsidR="00A571B1" w:rsidRPr="00A571B1">
        <w:rPr>
          <w:sz w:val="20"/>
          <w:szCs w:val="20"/>
          <w:lang w:val="en-US"/>
        </w:rPr>
        <w:t xml:space="preserve">of the </w:t>
      </w:r>
      <w:r w:rsidR="00A571B1" w:rsidRPr="00A571B1">
        <w:rPr>
          <w:sz w:val="20"/>
          <w:szCs w:val="20"/>
        </w:rPr>
        <w:t xml:space="preserve">Ombudsman. </w:t>
      </w:r>
      <w:r w:rsidR="00A571B1" w:rsidRPr="00A571B1">
        <w:rPr>
          <w:sz w:val="20"/>
          <w:szCs w:val="20"/>
          <w:lang w:val="en-US"/>
        </w:rPr>
        <w:t xml:space="preserve">Forced </w:t>
      </w:r>
      <w:r w:rsidR="00A571B1" w:rsidRPr="00A571B1">
        <w:rPr>
          <w:sz w:val="20"/>
          <w:szCs w:val="20"/>
        </w:rPr>
        <w:t>Recruitment</w:t>
      </w:r>
      <w:r w:rsidR="00A571B1" w:rsidRPr="00A571B1">
        <w:rPr>
          <w:sz w:val="20"/>
          <w:szCs w:val="20"/>
          <w:lang w:val="en-US"/>
        </w:rPr>
        <w:t xml:space="preserve">, </w:t>
      </w:r>
      <w:r w:rsidR="00A571B1" w:rsidRPr="00A571B1">
        <w:rPr>
          <w:sz w:val="20"/>
          <w:szCs w:val="20"/>
        </w:rPr>
        <w:t xml:space="preserve">Use and Utilization of </w:t>
      </w:r>
      <w:r w:rsidR="00A571B1" w:rsidRPr="00A571B1">
        <w:rPr>
          <w:sz w:val="20"/>
          <w:szCs w:val="20"/>
          <w:lang w:val="en-US"/>
        </w:rPr>
        <w:t xml:space="preserve">Boys, Girls, </w:t>
      </w:r>
      <w:r w:rsidR="00A571B1" w:rsidRPr="00A571B1">
        <w:rPr>
          <w:sz w:val="20"/>
          <w:szCs w:val="20"/>
        </w:rPr>
        <w:t>and Adolescents</w:t>
      </w:r>
      <w:r w:rsidR="00A571B1">
        <w:rPr>
          <w:sz w:val="20"/>
          <w:szCs w:val="20"/>
        </w:rPr>
        <w:t xml:space="preserve"> i</w:t>
      </w:r>
      <w:r w:rsidR="00A571B1" w:rsidRPr="00A571B1">
        <w:rPr>
          <w:sz w:val="20"/>
          <w:szCs w:val="20"/>
          <w:lang w:val="en-US"/>
        </w:rPr>
        <w:t xml:space="preserve">n Colombia. April 2021, </w:t>
      </w:r>
      <w:r w:rsidR="00A571B1" w:rsidRPr="00A571B1">
        <w:rPr>
          <w:sz w:val="20"/>
          <w:szCs w:val="20"/>
        </w:rPr>
        <w:t xml:space="preserve"> Available at</w:t>
      </w:r>
      <w:r w:rsidRPr="00A571B1">
        <w:rPr>
          <w:sz w:val="20"/>
          <w:szCs w:val="20"/>
          <w:lang w:val="en-US"/>
        </w:rPr>
        <w:t xml:space="preserve">: </w:t>
      </w:r>
      <w:hyperlink r:id="rId33">
        <w:r w:rsidRPr="00A571B1">
          <w:rPr>
            <w:color w:val="1155CC"/>
            <w:sz w:val="20"/>
            <w:szCs w:val="20"/>
            <w:u w:val="single"/>
            <w:lang w:val="en-US"/>
          </w:rPr>
          <w:t>https://repositorio.defensoria.gov.co/items/286752fc-93a2-4d22-804a-de5c1843d7d5</w:t>
        </w:r>
      </w:hyperlink>
      <w:r w:rsidRPr="00A571B1">
        <w:rPr>
          <w:sz w:val="20"/>
          <w:szCs w:val="20"/>
          <w:lang w:val="en-US"/>
        </w:rPr>
        <w:t>.</w:t>
      </w:r>
    </w:p>
  </w:footnote>
  <w:footnote w:id="19">
    <w:p w14:paraId="0ED4CBF8" w14:textId="324BDF40" w:rsidR="0058047C" w:rsidRPr="00A571B1" w:rsidRDefault="0058047C" w:rsidP="0058047C">
      <w:pPr>
        <w:spacing w:line="240" w:lineRule="auto"/>
        <w:rPr>
          <w:sz w:val="20"/>
          <w:szCs w:val="20"/>
          <w:lang w:val="en-US"/>
        </w:rPr>
      </w:pPr>
      <w:r w:rsidRPr="009558E2">
        <w:rPr>
          <w:sz w:val="20"/>
          <w:szCs w:val="20"/>
          <w:vertAlign w:val="superscript"/>
        </w:rPr>
        <w:footnoteRef/>
      </w:r>
      <w:r w:rsidRPr="00A571B1">
        <w:rPr>
          <w:sz w:val="20"/>
          <w:szCs w:val="20"/>
          <w:lang w:val="en-US"/>
        </w:rPr>
        <w:t xml:space="preserve"> </w:t>
      </w:r>
      <w:r w:rsidRPr="00A571B1">
        <w:rPr>
          <w:sz w:val="20"/>
          <w:szCs w:val="20"/>
          <w:highlight w:val="white"/>
          <w:lang w:val="en-US"/>
        </w:rPr>
        <w:t xml:space="preserve">Ibid. </w:t>
      </w:r>
      <w:r w:rsidRPr="00A571B1">
        <w:rPr>
          <w:rFonts w:eastAsia="Times New Roman"/>
          <w:sz w:val="20"/>
          <w:szCs w:val="20"/>
          <w:lang w:val="en-US"/>
        </w:rPr>
        <w:t>p. 68.</w:t>
      </w:r>
    </w:p>
  </w:footnote>
  <w:footnote w:id="20">
    <w:p w14:paraId="70BBF687" w14:textId="1BC099BE" w:rsidR="0058047C" w:rsidRPr="00A571B1" w:rsidRDefault="0058047C" w:rsidP="0058047C">
      <w:pPr>
        <w:spacing w:line="240" w:lineRule="auto"/>
        <w:rPr>
          <w:rFonts w:ascii="Times New Roman" w:hAnsi="Times New Roman" w:cs="Times New Roman"/>
          <w:sz w:val="20"/>
          <w:szCs w:val="20"/>
          <w:lang w:val="en-US"/>
        </w:rPr>
      </w:pPr>
      <w:r w:rsidRPr="009558E2">
        <w:rPr>
          <w:sz w:val="20"/>
          <w:szCs w:val="20"/>
          <w:vertAlign w:val="superscript"/>
        </w:rPr>
        <w:footnoteRef/>
      </w:r>
      <w:r w:rsidRPr="00A571B1">
        <w:rPr>
          <w:sz w:val="20"/>
          <w:szCs w:val="20"/>
          <w:lang w:val="en-US"/>
        </w:rPr>
        <w:t xml:space="preserve"> </w:t>
      </w:r>
      <w:r w:rsidR="00A571B1" w:rsidRPr="00A571B1">
        <w:rPr>
          <w:sz w:val="20"/>
          <w:szCs w:val="20"/>
        </w:rPr>
        <w:t>UN</w:t>
      </w:r>
      <w:r w:rsidR="00A571B1" w:rsidRPr="00A571B1">
        <w:rPr>
          <w:sz w:val="20"/>
          <w:szCs w:val="20"/>
          <w:lang w:val="en-US"/>
        </w:rPr>
        <w:t xml:space="preserve">: </w:t>
      </w:r>
      <w:r w:rsidR="00A571B1" w:rsidRPr="00A571B1">
        <w:rPr>
          <w:sz w:val="20"/>
          <w:szCs w:val="20"/>
        </w:rPr>
        <w:t xml:space="preserve">Security Council. Children and Armed Conflict in Colombia: Report of the Secretary-General. S/2019/1017. December </w:t>
      </w:r>
      <w:r w:rsidR="00A571B1" w:rsidRPr="00A571B1">
        <w:rPr>
          <w:sz w:val="20"/>
          <w:szCs w:val="20"/>
          <w:lang w:val="en-US"/>
        </w:rPr>
        <w:t>31</w:t>
      </w:r>
      <w:r w:rsidR="00A571B1" w:rsidRPr="00A571B1">
        <w:rPr>
          <w:sz w:val="20"/>
          <w:szCs w:val="20"/>
        </w:rPr>
        <w:t>, 20</w:t>
      </w:r>
      <w:r w:rsidR="00A571B1" w:rsidRPr="00A571B1">
        <w:rPr>
          <w:sz w:val="20"/>
          <w:szCs w:val="20"/>
          <w:lang w:val="en-US"/>
        </w:rPr>
        <w:t>19</w:t>
      </w:r>
      <w:r w:rsidRPr="00A571B1">
        <w:rPr>
          <w:sz w:val="20"/>
          <w:szCs w:val="20"/>
          <w:lang w:val="en-US"/>
        </w:rPr>
        <w:t xml:space="preserve">. </w:t>
      </w:r>
      <w:r w:rsidR="00A571B1" w:rsidRPr="00A571B1">
        <w:rPr>
          <w:sz w:val="20"/>
          <w:szCs w:val="20"/>
        </w:rPr>
        <w:t>Available at</w:t>
      </w:r>
      <w:r w:rsidRPr="00A571B1">
        <w:rPr>
          <w:sz w:val="20"/>
          <w:szCs w:val="20"/>
          <w:lang w:val="en-US"/>
        </w:rPr>
        <w:t xml:space="preserve">: </w:t>
      </w:r>
      <w:hyperlink r:id="rId34">
        <w:r w:rsidRPr="00A571B1">
          <w:rPr>
            <w:color w:val="1155CC"/>
            <w:sz w:val="20"/>
            <w:szCs w:val="20"/>
            <w:u w:val="single"/>
            <w:lang w:val="en-US"/>
          </w:rPr>
          <w:t>https://daccess-ods.un.org/tmp/7809658.64658356.html</w:t>
        </w:r>
      </w:hyperlink>
      <w:r w:rsidRPr="00A571B1">
        <w:rPr>
          <w:sz w:val="20"/>
          <w:szCs w:val="20"/>
          <w:lang w:val="en-US"/>
        </w:rPr>
        <w:t>.</w:t>
      </w:r>
      <w:r w:rsidRPr="00A571B1">
        <w:rPr>
          <w:rFonts w:ascii="Times New Roman" w:hAnsi="Times New Roman" w:cs="Times New Roman"/>
          <w:sz w:val="20"/>
          <w:szCs w:val="20"/>
          <w:lang w:val="en-US"/>
        </w:rPr>
        <w:t xml:space="preserve"> </w:t>
      </w:r>
    </w:p>
  </w:footnote>
  <w:footnote w:id="21">
    <w:p w14:paraId="75ED8AC8" w14:textId="27E979EC" w:rsidR="0058047C" w:rsidRPr="00A571B1" w:rsidRDefault="0058047C" w:rsidP="0058047C">
      <w:pPr>
        <w:spacing w:line="240" w:lineRule="auto"/>
        <w:rPr>
          <w:sz w:val="20"/>
          <w:szCs w:val="20"/>
          <w:lang w:val="en-US"/>
        </w:rPr>
      </w:pPr>
      <w:r w:rsidRPr="009558E2">
        <w:rPr>
          <w:sz w:val="20"/>
          <w:szCs w:val="20"/>
          <w:vertAlign w:val="superscript"/>
        </w:rPr>
        <w:footnoteRef/>
      </w:r>
      <w:r w:rsidRPr="00A571B1">
        <w:rPr>
          <w:sz w:val="20"/>
          <w:szCs w:val="20"/>
          <w:lang w:val="en-US"/>
        </w:rPr>
        <w:t xml:space="preserve"> </w:t>
      </w:r>
      <w:r w:rsidR="00A571B1" w:rsidRPr="00A571B1">
        <w:rPr>
          <w:sz w:val="20"/>
          <w:szCs w:val="20"/>
        </w:rPr>
        <w:t xml:space="preserve">Committee on the Rights of the Child. </w:t>
      </w:r>
      <w:r w:rsidR="00A571B1" w:rsidRPr="00A571B1">
        <w:rPr>
          <w:sz w:val="20"/>
          <w:szCs w:val="20"/>
          <w:lang w:val="en-US"/>
        </w:rPr>
        <w:t>Final c</w:t>
      </w:r>
      <w:r w:rsidR="00A571B1" w:rsidRPr="00A571B1">
        <w:rPr>
          <w:sz w:val="20"/>
          <w:szCs w:val="20"/>
        </w:rPr>
        <w:t>onclu</w:t>
      </w:r>
      <w:r w:rsidR="00A571B1" w:rsidRPr="00A571B1">
        <w:rPr>
          <w:sz w:val="20"/>
          <w:szCs w:val="20"/>
          <w:lang w:val="en-US"/>
        </w:rPr>
        <w:t>s</w:t>
      </w:r>
      <w:r w:rsidR="00A571B1" w:rsidRPr="00A571B1">
        <w:rPr>
          <w:sz w:val="20"/>
          <w:szCs w:val="20"/>
        </w:rPr>
        <w:t>ions on the combined fourth and fifth periodic reports of Colombia. CRC/C/COL/CO/4-5. March 6, 2015. Recommendation</w:t>
      </w:r>
      <w:r w:rsidR="00A571B1" w:rsidRPr="00A571B1">
        <w:rPr>
          <w:sz w:val="20"/>
          <w:szCs w:val="20"/>
          <w:lang w:val="en-US"/>
        </w:rPr>
        <w:t xml:space="preserve"> 65</w:t>
      </w:r>
      <w:r w:rsidRPr="00A571B1">
        <w:rPr>
          <w:sz w:val="20"/>
          <w:szCs w:val="20"/>
          <w:lang w:val="en-US"/>
        </w:rPr>
        <w:t>.</w:t>
      </w:r>
    </w:p>
  </w:footnote>
  <w:footnote w:id="22">
    <w:p w14:paraId="34F21085" w14:textId="21D597D2" w:rsidR="0058047C" w:rsidRPr="0025143E" w:rsidRDefault="0058047C" w:rsidP="0058047C">
      <w:pPr>
        <w:spacing w:line="240" w:lineRule="auto"/>
        <w:rPr>
          <w:sz w:val="20"/>
          <w:szCs w:val="20"/>
          <w:lang w:val="en-US"/>
        </w:rPr>
      </w:pPr>
      <w:r w:rsidRPr="009558E2">
        <w:rPr>
          <w:sz w:val="20"/>
          <w:szCs w:val="20"/>
          <w:vertAlign w:val="superscript"/>
        </w:rPr>
        <w:footnoteRef/>
      </w:r>
      <w:r w:rsidRPr="00A571B1">
        <w:rPr>
          <w:sz w:val="20"/>
          <w:szCs w:val="20"/>
          <w:lang w:val="en-US"/>
        </w:rPr>
        <w:t xml:space="preserve"> </w:t>
      </w:r>
      <w:r w:rsidR="00A571B1" w:rsidRPr="00A571B1">
        <w:rPr>
          <w:sz w:val="20"/>
          <w:szCs w:val="20"/>
        </w:rPr>
        <w:t>UN Secretary-General. Children and Armed Conflict in Colombia. Report of the Secretary-General. S/2024/161.</w:t>
      </w:r>
      <w:r w:rsidRPr="0025143E">
        <w:rPr>
          <w:sz w:val="20"/>
          <w:szCs w:val="20"/>
          <w:lang w:val="en-US"/>
        </w:rPr>
        <w:t xml:space="preserve"> </w:t>
      </w:r>
      <w:r w:rsidR="00A571B1" w:rsidRPr="0025143E">
        <w:rPr>
          <w:sz w:val="20"/>
          <w:szCs w:val="20"/>
          <w:lang w:val="en-US"/>
        </w:rPr>
        <w:t xml:space="preserve">March </w:t>
      </w:r>
      <w:r w:rsidRPr="0025143E">
        <w:rPr>
          <w:sz w:val="20"/>
          <w:szCs w:val="20"/>
          <w:lang w:val="en-US"/>
        </w:rPr>
        <w:t>8</w:t>
      </w:r>
      <w:r w:rsidR="00A571B1" w:rsidRPr="0025143E">
        <w:rPr>
          <w:sz w:val="20"/>
          <w:szCs w:val="20"/>
          <w:lang w:val="en-US"/>
        </w:rPr>
        <w:t>,</w:t>
      </w:r>
      <w:r w:rsidRPr="0025143E">
        <w:rPr>
          <w:sz w:val="20"/>
          <w:szCs w:val="20"/>
          <w:lang w:val="en-US"/>
        </w:rPr>
        <w:t xml:space="preserve"> 2024. Para</w:t>
      </w:r>
      <w:r w:rsidR="00A571B1" w:rsidRPr="0025143E">
        <w:rPr>
          <w:sz w:val="20"/>
          <w:szCs w:val="20"/>
          <w:lang w:val="en-US"/>
        </w:rPr>
        <w:t>g</w:t>
      </w:r>
      <w:r w:rsidRPr="0025143E">
        <w:rPr>
          <w:sz w:val="20"/>
          <w:szCs w:val="20"/>
          <w:lang w:val="en-US"/>
        </w:rPr>
        <w:t>. 16.</w:t>
      </w:r>
    </w:p>
  </w:footnote>
  <w:footnote w:id="23">
    <w:p w14:paraId="45708D84" w14:textId="09E6B155" w:rsidR="0058047C" w:rsidRPr="0025143E" w:rsidRDefault="0058047C" w:rsidP="0058047C">
      <w:pPr>
        <w:spacing w:line="240" w:lineRule="auto"/>
        <w:rPr>
          <w:sz w:val="20"/>
          <w:szCs w:val="20"/>
          <w:lang w:val="en-US"/>
        </w:rPr>
      </w:pPr>
      <w:r w:rsidRPr="009558E2">
        <w:rPr>
          <w:sz w:val="20"/>
          <w:szCs w:val="20"/>
          <w:vertAlign w:val="superscript"/>
        </w:rPr>
        <w:footnoteRef/>
      </w:r>
      <w:r w:rsidRPr="0025143E">
        <w:rPr>
          <w:sz w:val="20"/>
          <w:szCs w:val="20"/>
          <w:lang w:val="en-US"/>
        </w:rPr>
        <w:t xml:space="preserve"> Ibid. Para</w:t>
      </w:r>
      <w:r w:rsidR="00A571B1" w:rsidRPr="0025143E">
        <w:rPr>
          <w:sz w:val="20"/>
          <w:szCs w:val="20"/>
          <w:lang w:val="en-US"/>
        </w:rPr>
        <w:t>g</w:t>
      </w:r>
      <w:r w:rsidRPr="0025143E">
        <w:rPr>
          <w:sz w:val="20"/>
          <w:szCs w:val="20"/>
          <w:lang w:val="en-US"/>
        </w:rPr>
        <w:t>. 19.</w:t>
      </w:r>
    </w:p>
  </w:footnote>
  <w:footnote w:id="24">
    <w:p w14:paraId="5111905E" w14:textId="23694CF9" w:rsidR="00296F3B" w:rsidRPr="008F68A7" w:rsidRDefault="00296F3B" w:rsidP="00296F3B">
      <w:pPr>
        <w:spacing w:line="240" w:lineRule="auto"/>
        <w:rPr>
          <w:sz w:val="20"/>
          <w:szCs w:val="20"/>
          <w:vertAlign w:val="superscript"/>
          <w:lang w:val="en-US"/>
        </w:rPr>
      </w:pPr>
      <w:r w:rsidRPr="009558E2">
        <w:rPr>
          <w:sz w:val="20"/>
          <w:szCs w:val="20"/>
          <w:vertAlign w:val="superscript"/>
        </w:rPr>
        <w:footnoteRef/>
      </w:r>
      <w:r w:rsidR="008F68A7" w:rsidRPr="008F68A7">
        <w:rPr>
          <w:sz w:val="20"/>
          <w:szCs w:val="20"/>
        </w:rPr>
        <w:t xml:space="preserve">Committee on the Rights of the Child. </w:t>
      </w:r>
      <w:r w:rsidR="008F68A7" w:rsidRPr="008F68A7">
        <w:rPr>
          <w:sz w:val="20"/>
          <w:szCs w:val="20"/>
          <w:lang w:val="en-US"/>
        </w:rPr>
        <w:t>Final c</w:t>
      </w:r>
      <w:r w:rsidR="008F68A7" w:rsidRPr="008F68A7">
        <w:rPr>
          <w:sz w:val="20"/>
          <w:szCs w:val="20"/>
        </w:rPr>
        <w:t>onclu</w:t>
      </w:r>
      <w:r w:rsidR="008F68A7" w:rsidRPr="008F68A7">
        <w:rPr>
          <w:sz w:val="20"/>
          <w:szCs w:val="20"/>
          <w:lang w:val="en-US"/>
        </w:rPr>
        <w:t>s</w:t>
      </w:r>
      <w:r w:rsidR="008F68A7" w:rsidRPr="008F68A7">
        <w:rPr>
          <w:sz w:val="20"/>
          <w:szCs w:val="20"/>
        </w:rPr>
        <w:t>ions on the combined fourth and fifth periodic reports of Colombia. CRC/C/COL/CO/4-5. March 6, 2015. Recommendation</w:t>
      </w:r>
      <w:r w:rsidR="008F68A7" w:rsidRPr="008F68A7">
        <w:rPr>
          <w:sz w:val="20"/>
          <w:szCs w:val="20"/>
          <w:lang w:val="en-US"/>
        </w:rPr>
        <w:t xml:space="preserve"> 65</w:t>
      </w:r>
      <w:r w:rsidRPr="008F68A7">
        <w:rPr>
          <w:sz w:val="20"/>
          <w:szCs w:val="20"/>
          <w:lang w:val="en-US"/>
        </w:rPr>
        <w:t>65.</w:t>
      </w:r>
    </w:p>
  </w:footnote>
  <w:footnote w:id="25">
    <w:p w14:paraId="000000F1" w14:textId="1A02D52A" w:rsidR="00C60456" w:rsidRPr="008F68A7" w:rsidRDefault="00A74445">
      <w:pPr>
        <w:spacing w:line="240" w:lineRule="auto"/>
        <w:jc w:val="both"/>
        <w:rPr>
          <w:sz w:val="20"/>
          <w:szCs w:val="20"/>
          <w:lang w:val="en-US"/>
        </w:rPr>
      </w:pPr>
      <w:r w:rsidRPr="009558E2">
        <w:rPr>
          <w:sz w:val="20"/>
          <w:szCs w:val="20"/>
          <w:vertAlign w:val="superscript"/>
        </w:rPr>
        <w:footnoteRef/>
      </w:r>
      <w:r w:rsidR="008F68A7" w:rsidRPr="008F68A7">
        <w:rPr>
          <w:sz w:val="20"/>
          <w:szCs w:val="20"/>
        </w:rPr>
        <w:t xml:space="preserve">Office </w:t>
      </w:r>
      <w:r w:rsidR="008F68A7" w:rsidRPr="008F68A7">
        <w:rPr>
          <w:sz w:val="20"/>
          <w:szCs w:val="20"/>
          <w:lang w:val="en-US"/>
        </w:rPr>
        <w:t xml:space="preserve">of the </w:t>
      </w:r>
      <w:r w:rsidR="008F68A7" w:rsidRPr="008F68A7">
        <w:rPr>
          <w:sz w:val="20"/>
          <w:szCs w:val="20"/>
        </w:rPr>
        <w:t xml:space="preserve">Ombudsman. </w:t>
      </w:r>
      <w:r w:rsidR="008F68A7" w:rsidRPr="008F68A7">
        <w:rPr>
          <w:sz w:val="20"/>
          <w:szCs w:val="20"/>
          <w:lang w:val="en-US"/>
        </w:rPr>
        <w:t xml:space="preserve">Current Dynamics of </w:t>
      </w:r>
      <w:r w:rsidR="008F68A7" w:rsidRPr="008F68A7">
        <w:rPr>
          <w:sz w:val="20"/>
          <w:szCs w:val="20"/>
        </w:rPr>
        <w:t>Recruitment</w:t>
      </w:r>
      <w:r w:rsidR="008F68A7" w:rsidRPr="008F68A7">
        <w:rPr>
          <w:sz w:val="20"/>
          <w:szCs w:val="20"/>
          <w:lang w:val="en-US"/>
        </w:rPr>
        <w:t xml:space="preserve">, </w:t>
      </w:r>
      <w:r w:rsidR="008F68A7" w:rsidRPr="008F68A7">
        <w:rPr>
          <w:sz w:val="20"/>
          <w:szCs w:val="20"/>
        </w:rPr>
        <w:t xml:space="preserve">Use and Utilization of </w:t>
      </w:r>
      <w:r w:rsidR="008F68A7" w:rsidRPr="008F68A7">
        <w:rPr>
          <w:sz w:val="20"/>
          <w:szCs w:val="20"/>
          <w:lang w:val="en-US"/>
        </w:rPr>
        <w:t xml:space="preserve">Boys, Girls, </w:t>
      </w:r>
      <w:r w:rsidR="008F68A7" w:rsidRPr="008F68A7">
        <w:rPr>
          <w:sz w:val="20"/>
          <w:szCs w:val="20"/>
        </w:rPr>
        <w:t>and Adolescents</w:t>
      </w:r>
      <w:r w:rsidR="008F68A7" w:rsidRPr="008F68A7">
        <w:rPr>
          <w:sz w:val="20"/>
          <w:szCs w:val="20"/>
          <w:lang w:val="en-US"/>
        </w:rPr>
        <w:t xml:space="preserve"> </w:t>
      </w:r>
      <w:r w:rsidR="008F68A7" w:rsidRPr="008F68A7">
        <w:rPr>
          <w:sz w:val="20"/>
          <w:szCs w:val="20"/>
        </w:rPr>
        <w:t>by Illegal Armed Groups or Organized Crime. 2021</w:t>
      </w:r>
      <w:r w:rsidR="008F68A7" w:rsidRPr="008F68A7">
        <w:rPr>
          <w:sz w:val="20"/>
          <w:szCs w:val="20"/>
          <w:lang w:val="en-US"/>
        </w:rPr>
        <w:t xml:space="preserve">, </w:t>
      </w:r>
      <w:r w:rsidR="008F68A7" w:rsidRPr="008F68A7">
        <w:rPr>
          <w:sz w:val="20"/>
          <w:szCs w:val="20"/>
        </w:rPr>
        <w:t>Available at</w:t>
      </w:r>
      <w:r w:rsidRPr="008F68A7">
        <w:rPr>
          <w:sz w:val="20"/>
          <w:szCs w:val="20"/>
          <w:lang w:val="en-US"/>
        </w:rPr>
        <w:t xml:space="preserve">: </w:t>
      </w:r>
      <w:hyperlink r:id="rId35">
        <w:r w:rsidR="00C60456" w:rsidRPr="008F68A7">
          <w:rPr>
            <w:color w:val="1155CC"/>
            <w:sz w:val="20"/>
            <w:szCs w:val="20"/>
            <w:u w:val="single"/>
            <w:lang w:val="en-US"/>
          </w:rPr>
          <w:t>https://www.camara.gov.co/sites/default/files/2020-10/INFORME%20RECLUTAMIENTO%20DEFENSORIA%20final%20final.pdf</w:t>
        </w:r>
      </w:hyperlink>
      <w:r w:rsidRPr="008F68A7">
        <w:rPr>
          <w:sz w:val="20"/>
          <w:szCs w:val="20"/>
          <w:lang w:val="en-US"/>
        </w:rPr>
        <w:t xml:space="preserve">. </w:t>
      </w:r>
    </w:p>
  </w:footnote>
  <w:footnote w:id="26">
    <w:p w14:paraId="000000EF" w14:textId="18B5040B" w:rsidR="00C60456" w:rsidRPr="008F68A7" w:rsidRDefault="00A74445">
      <w:pPr>
        <w:spacing w:line="240" w:lineRule="auto"/>
        <w:rPr>
          <w:sz w:val="20"/>
          <w:szCs w:val="20"/>
          <w:lang w:val="en-US"/>
        </w:rPr>
      </w:pPr>
      <w:r w:rsidRPr="009558E2">
        <w:rPr>
          <w:sz w:val="20"/>
          <w:szCs w:val="20"/>
          <w:vertAlign w:val="superscript"/>
        </w:rPr>
        <w:footnoteRef/>
      </w:r>
      <w:r w:rsidRPr="008F68A7">
        <w:rPr>
          <w:sz w:val="20"/>
          <w:szCs w:val="20"/>
          <w:lang w:val="en-US"/>
        </w:rPr>
        <w:t xml:space="preserve"> </w:t>
      </w:r>
      <w:r w:rsidR="008F68A7" w:rsidRPr="00A571B1">
        <w:rPr>
          <w:sz w:val="20"/>
          <w:szCs w:val="20"/>
        </w:rPr>
        <w:t>UN</w:t>
      </w:r>
      <w:r w:rsidR="008F68A7" w:rsidRPr="00A571B1">
        <w:rPr>
          <w:sz w:val="20"/>
          <w:szCs w:val="20"/>
          <w:lang w:val="en-US"/>
        </w:rPr>
        <w:t xml:space="preserve">: </w:t>
      </w:r>
      <w:r w:rsidR="008F68A7" w:rsidRPr="00A571B1">
        <w:rPr>
          <w:sz w:val="20"/>
          <w:szCs w:val="20"/>
        </w:rPr>
        <w:t>Security Council.</w:t>
      </w:r>
      <w:r w:rsidR="008F68A7" w:rsidRPr="008F68A7">
        <w:rPr>
          <w:i/>
          <w:iCs/>
          <w:sz w:val="20"/>
          <w:szCs w:val="20"/>
        </w:rPr>
        <w:t xml:space="preserve"> Children and Armed Conflict in Colombia: Report of the Secretary-General</w:t>
      </w:r>
      <w:r w:rsidRPr="008F68A7">
        <w:rPr>
          <w:i/>
          <w:iCs/>
          <w:sz w:val="20"/>
          <w:szCs w:val="20"/>
          <w:lang w:val="en-US"/>
        </w:rPr>
        <w:t xml:space="preserve">. </w:t>
      </w:r>
      <w:r w:rsidRPr="0025143E">
        <w:rPr>
          <w:i/>
          <w:sz w:val="20"/>
          <w:szCs w:val="20"/>
          <w:lang w:val="en-US"/>
        </w:rPr>
        <w:t xml:space="preserve">S/2019/1017. </w:t>
      </w:r>
      <w:r w:rsidR="008F68A7" w:rsidRPr="008F68A7">
        <w:rPr>
          <w:sz w:val="20"/>
          <w:szCs w:val="20"/>
          <w:lang w:val="en-US"/>
        </w:rPr>
        <w:t xml:space="preserve">December 8, </w:t>
      </w:r>
      <w:r w:rsidRPr="008F68A7">
        <w:rPr>
          <w:sz w:val="20"/>
          <w:szCs w:val="20"/>
          <w:lang w:val="en-US"/>
        </w:rPr>
        <w:t xml:space="preserve"> 2021. Recom</w:t>
      </w:r>
      <w:r w:rsidR="008F68A7" w:rsidRPr="008F68A7">
        <w:rPr>
          <w:sz w:val="20"/>
          <w:szCs w:val="20"/>
          <w:lang w:val="en-US"/>
        </w:rPr>
        <w:t>m</w:t>
      </w:r>
      <w:r w:rsidRPr="008F68A7">
        <w:rPr>
          <w:sz w:val="20"/>
          <w:szCs w:val="20"/>
          <w:lang w:val="en-US"/>
        </w:rPr>
        <w:t>enda</w:t>
      </w:r>
      <w:r w:rsidR="008F68A7" w:rsidRPr="008F68A7">
        <w:rPr>
          <w:sz w:val="20"/>
          <w:szCs w:val="20"/>
          <w:lang w:val="en-US"/>
        </w:rPr>
        <w:t>tio</w:t>
      </w:r>
      <w:r w:rsidRPr="008F68A7">
        <w:rPr>
          <w:sz w:val="20"/>
          <w:szCs w:val="20"/>
          <w:lang w:val="en-US"/>
        </w:rPr>
        <w:t xml:space="preserve">n 54. </w:t>
      </w:r>
      <w:r w:rsidR="008F68A7" w:rsidRPr="00A571B1">
        <w:rPr>
          <w:sz w:val="20"/>
          <w:szCs w:val="20"/>
        </w:rPr>
        <w:t>UN Secretary-General</w:t>
      </w:r>
      <w:r w:rsidRPr="008F68A7">
        <w:rPr>
          <w:sz w:val="20"/>
          <w:szCs w:val="20"/>
          <w:lang w:val="en-US"/>
        </w:rPr>
        <w:t xml:space="preserve">. </w:t>
      </w:r>
      <w:r w:rsidR="008F68A7" w:rsidRPr="00A571B1">
        <w:rPr>
          <w:sz w:val="20"/>
          <w:szCs w:val="20"/>
        </w:rPr>
        <w:t>Children and Armed Conflict in Colombia. Report of the Secretary-General</w:t>
      </w:r>
      <w:r w:rsidRPr="008F68A7">
        <w:rPr>
          <w:sz w:val="20"/>
          <w:szCs w:val="20"/>
          <w:lang w:val="en-US"/>
        </w:rPr>
        <w:t xml:space="preserve"> (S/2024/161). </w:t>
      </w:r>
      <w:r w:rsidR="008F68A7" w:rsidRPr="008F68A7">
        <w:rPr>
          <w:sz w:val="20"/>
          <w:szCs w:val="20"/>
          <w:lang w:val="en-US"/>
        </w:rPr>
        <w:t xml:space="preserve">March 8, 2024. Parag. </w:t>
      </w:r>
      <w:r w:rsidRPr="008F68A7">
        <w:rPr>
          <w:sz w:val="20"/>
          <w:szCs w:val="20"/>
          <w:lang w:val="en-US"/>
        </w:rPr>
        <w:t>15-17.</w:t>
      </w:r>
    </w:p>
    <w:p w14:paraId="000000F0" w14:textId="77777777" w:rsidR="00C60456" w:rsidRPr="008F68A7" w:rsidRDefault="00C60456">
      <w:pPr>
        <w:spacing w:line="240" w:lineRule="auto"/>
        <w:rPr>
          <w:sz w:val="20"/>
          <w:szCs w:val="20"/>
          <w:lang w:val="en-US"/>
        </w:rPr>
      </w:pPr>
    </w:p>
  </w:footnote>
  <w:footnote w:id="27">
    <w:p w14:paraId="000000F2" w14:textId="00D88DBD" w:rsidR="00C60456" w:rsidRPr="008F68A7" w:rsidRDefault="00A74445">
      <w:pPr>
        <w:spacing w:line="240" w:lineRule="auto"/>
        <w:rPr>
          <w:rFonts w:asciiTheme="minorBidi" w:hAnsiTheme="minorBidi" w:cstheme="minorBidi"/>
          <w:sz w:val="20"/>
          <w:szCs w:val="20"/>
          <w:lang w:val="en-US"/>
        </w:rPr>
      </w:pPr>
      <w:r w:rsidRPr="000231F9">
        <w:rPr>
          <w:rFonts w:asciiTheme="minorBidi" w:hAnsiTheme="minorBidi" w:cstheme="minorBidi"/>
          <w:sz w:val="20"/>
          <w:szCs w:val="20"/>
          <w:vertAlign w:val="superscript"/>
        </w:rPr>
        <w:footnoteRef/>
      </w:r>
      <w:r w:rsidRPr="008F68A7">
        <w:rPr>
          <w:rFonts w:asciiTheme="minorBidi" w:hAnsiTheme="minorBidi" w:cstheme="minorBidi"/>
          <w:sz w:val="20"/>
          <w:szCs w:val="20"/>
          <w:lang w:val="en-US"/>
        </w:rPr>
        <w:t xml:space="preserve"> </w:t>
      </w:r>
      <w:r w:rsidR="008F68A7" w:rsidRPr="008F68A7">
        <w:rPr>
          <w:rFonts w:asciiTheme="minorBidi" w:hAnsiTheme="minorBidi" w:cstheme="minorBidi"/>
          <w:sz w:val="20"/>
          <w:szCs w:val="20"/>
        </w:rPr>
        <w:t>Government of Colombia. State Report: Combined Sixth and Seventh Conventional and Periodic Report of Colombia. CRC/C/COL/6-7. August 25, 2021, para</w:t>
      </w:r>
      <w:r w:rsidR="008F68A7" w:rsidRPr="008F68A7">
        <w:rPr>
          <w:rFonts w:asciiTheme="minorBidi" w:hAnsiTheme="minorBidi" w:cstheme="minorBidi"/>
          <w:sz w:val="20"/>
          <w:szCs w:val="20"/>
          <w:lang w:val="en-US"/>
        </w:rPr>
        <w:t>g</w:t>
      </w:r>
      <w:r w:rsidR="008F68A7">
        <w:rPr>
          <w:rFonts w:asciiTheme="minorBidi" w:hAnsiTheme="minorBidi" w:cstheme="minorBidi"/>
          <w:sz w:val="20"/>
          <w:szCs w:val="20"/>
        </w:rPr>
        <w:t>.</w:t>
      </w:r>
      <w:r w:rsidRPr="008F68A7">
        <w:rPr>
          <w:rFonts w:asciiTheme="minorBidi" w:hAnsiTheme="minorBidi" w:cstheme="minorBidi"/>
          <w:sz w:val="20"/>
          <w:szCs w:val="20"/>
          <w:lang w:val="en-US"/>
        </w:rPr>
        <w:t xml:space="preserve"> 23.a. </w:t>
      </w:r>
    </w:p>
  </w:footnote>
  <w:footnote w:id="28">
    <w:p w14:paraId="000000F3" w14:textId="0E6BF9A6" w:rsidR="00C60456" w:rsidRPr="006B6DB3" w:rsidRDefault="00A74445">
      <w:pPr>
        <w:spacing w:line="240" w:lineRule="auto"/>
        <w:rPr>
          <w:rFonts w:asciiTheme="minorBidi" w:hAnsiTheme="minorBidi" w:cstheme="minorBidi"/>
          <w:sz w:val="20"/>
          <w:szCs w:val="20"/>
          <w:lang w:val="en-US"/>
        </w:rPr>
      </w:pPr>
      <w:r w:rsidRPr="000231F9">
        <w:rPr>
          <w:rFonts w:asciiTheme="minorBidi" w:hAnsiTheme="minorBidi" w:cstheme="minorBidi"/>
          <w:sz w:val="20"/>
          <w:szCs w:val="20"/>
          <w:vertAlign w:val="superscript"/>
        </w:rPr>
        <w:footnoteRef/>
      </w:r>
      <w:r w:rsidR="008F68A7" w:rsidRPr="008F68A7">
        <w:rPr>
          <w:rFonts w:asciiTheme="minorBidi" w:hAnsiTheme="minorBidi" w:cstheme="minorBidi"/>
          <w:sz w:val="20"/>
          <w:szCs w:val="20"/>
        </w:rPr>
        <w:t xml:space="preserve">Committee on the Rights of the Child. </w:t>
      </w:r>
      <w:r w:rsidR="008F68A7" w:rsidRPr="008F68A7">
        <w:rPr>
          <w:rFonts w:asciiTheme="minorBidi" w:hAnsiTheme="minorBidi" w:cstheme="minorBidi"/>
          <w:sz w:val="20"/>
          <w:szCs w:val="20"/>
          <w:lang w:val="en-US"/>
        </w:rPr>
        <w:t>Final c</w:t>
      </w:r>
      <w:r w:rsidR="008F68A7" w:rsidRPr="008F68A7">
        <w:rPr>
          <w:rFonts w:asciiTheme="minorBidi" w:hAnsiTheme="minorBidi" w:cstheme="minorBidi"/>
          <w:sz w:val="20"/>
          <w:szCs w:val="20"/>
        </w:rPr>
        <w:t>onclu</w:t>
      </w:r>
      <w:r w:rsidR="008F68A7" w:rsidRPr="008F68A7">
        <w:rPr>
          <w:rFonts w:asciiTheme="minorBidi" w:hAnsiTheme="minorBidi" w:cstheme="minorBidi"/>
          <w:sz w:val="20"/>
          <w:szCs w:val="20"/>
          <w:lang w:val="en-US"/>
        </w:rPr>
        <w:t>s</w:t>
      </w:r>
      <w:r w:rsidR="008F68A7" w:rsidRPr="008F68A7">
        <w:rPr>
          <w:rFonts w:asciiTheme="minorBidi" w:hAnsiTheme="minorBidi" w:cstheme="minorBidi"/>
          <w:sz w:val="20"/>
          <w:szCs w:val="20"/>
        </w:rPr>
        <w:t>ions on the combined fourth and fifth periodic reports of Colombia. CRC/C/COL/CO/4-5. March 6, 2015. Recommendation</w:t>
      </w:r>
      <w:r w:rsidRPr="006B6DB3">
        <w:rPr>
          <w:rFonts w:asciiTheme="minorBidi" w:hAnsiTheme="minorBidi" w:cstheme="minorBidi"/>
          <w:sz w:val="20"/>
          <w:szCs w:val="20"/>
          <w:lang w:val="en-US"/>
        </w:rPr>
        <w:t xml:space="preserve">. 24. a. </w:t>
      </w:r>
      <w:r w:rsidR="008F68A7" w:rsidRPr="006B6DB3">
        <w:rPr>
          <w:rFonts w:asciiTheme="minorBidi" w:hAnsiTheme="minorBidi" w:cstheme="minorBidi"/>
          <w:sz w:val="20"/>
          <w:szCs w:val="20"/>
          <w:lang w:val="en-US"/>
        </w:rPr>
        <w:t>and</w:t>
      </w:r>
      <w:r w:rsidRPr="006B6DB3">
        <w:rPr>
          <w:rFonts w:asciiTheme="minorBidi" w:hAnsiTheme="minorBidi" w:cstheme="minorBidi"/>
          <w:sz w:val="20"/>
          <w:szCs w:val="20"/>
          <w:lang w:val="en-US"/>
        </w:rPr>
        <w:t xml:space="preserve"> b. </w:t>
      </w:r>
    </w:p>
  </w:footnote>
  <w:footnote w:id="29">
    <w:p w14:paraId="000000F4" w14:textId="28C4FFE9" w:rsidR="00C60456" w:rsidRPr="008C49A0" w:rsidRDefault="00A74445">
      <w:pPr>
        <w:spacing w:line="240" w:lineRule="auto"/>
        <w:rPr>
          <w:rFonts w:asciiTheme="minorBidi" w:hAnsiTheme="minorBidi" w:cstheme="minorBidi"/>
          <w:sz w:val="20"/>
          <w:szCs w:val="20"/>
          <w:lang w:val="en-US"/>
        </w:rPr>
      </w:pPr>
      <w:r w:rsidRPr="000231F9">
        <w:rPr>
          <w:rFonts w:asciiTheme="minorBidi" w:hAnsiTheme="minorBidi" w:cstheme="minorBidi"/>
          <w:sz w:val="20"/>
          <w:szCs w:val="20"/>
          <w:vertAlign w:val="superscript"/>
        </w:rPr>
        <w:footnoteRef/>
      </w:r>
      <w:r w:rsidRPr="006B6DB3">
        <w:rPr>
          <w:rFonts w:asciiTheme="minorBidi" w:hAnsiTheme="minorBidi" w:cstheme="minorBidi"/>
          <w:sz w:val="20"/>
          <w:szCs w:val="20"/>
          <w:lang w:val="en-US"/>
        </w:rPr>
        <w:t xml:space="preserve"> </w:t>
      </w:r>
      <w:r w:rsidR="006B6DB3" w:rsidRPr="006B6DB3">
        <w:rPr>
          <w:rFonts w:asciiTheme="minorBidi" w:hAnsiTheme="minorBidi" w:cstheme="minorBidi"/>
          <w:sz w:val="20"/>
          <w:szCs w:val="20"/>
        </w:rPr>
        <w:t xml:space="preserve">Iván Cepeda Castro. Press Release. Iván Cepeda denounces that, during the Duque </w:t>
      </w:r>
      <w:r w:rsidR="006B6DB3" w:rsidRPr="006B6DB3">
        <w:rPr>
          <w:rFonts w:asciiTheme="minorBidi" w:hAnsiTheme="minorBidi" w:cstheme="minorBidi"/>
          <w:sz w:val="20"/>
          <w:szCs w:val="20"/>
          <w:lang w:val="en-US"/>
        </w:rPr>
        <w:t>administration</w:t>
      </w:r>
      <w:r w:rsidR="006B6DB3" w:rsidRPr="006B6DB3">
        <w:rPr>
          <w:rFonts w:asciiTheme="minorBidi" w:hAnsiTheme="minorBidi" w:cstheme="minorBidi"/>
          <w:sz w:val="20"/>
          <w:szCs w:val="20"/>
        </w:rPr>
        <w:t>, at least 22 minors died in bombings carried out by the armed forces. Available at</w:t>
      </w:r>
      <w:r w:rsidRPr="008C49A0">
        <w:rPr>
          <w:rFonts w:asciiTheme="minorBidi" w:hAnsiTheme="minorBidi" w:cstheme="minorBidi"/>
          <w:sz w:val="20"/>
          <w:szCs w:val="20"/>
          <w:lang w:val="en-US"/>
        </w:rPr>
        <w:t xml:space="preserve">: </w:t>
      </w:r>
      <w:hyperlink r:id="rId36">
        <w:r w:rsidR="00C60456" w:rsidRPr="008C49A0">
          <w:rPr>
            <w:rFonts w:asciiTheme="minorBidi" w:hAnsiTheme="minorBidi" w:cstheme="minorBidi"/>
            <w:color w:val="1155CC"/>
            <w:sz w:val="20"/>
            <w:szCs w:val="20"/>
            <w:u w:val="single"/>
            <w:lang w:val="en-US"/>
          </w:rPr>
          <w:t>https://cutt.ly/zNzlKJy</w:t>
        </w:r>
      </w:hyperlink>
      <w:r w:rsidRPr="008C49A0">
        <w:rPr>
          <w:rFonts w:asciiTheme="minorBidi" w:hAnsiTheme="minorBidi" w:cstheme="minorBidi"/>
          <w:sz w:val="20"/>
          <w:szCs w:val="20"/>
          <w:lang w:val="en-US"/>
        </w:rPr>
        <w:t xml:space="preserve">.   </w:t>
      </w:r>
    </w:p>
  </w:footnote>
  <w:footnote w:id="30">
    <w:p w14:paraId="000000F5" w14:textId="4019C610" w:rsidR="00C60456" w:rsidRPr="008C49A0" w:rsidRDefault="00A74445">
      <w:pPr>
        <w:spacing w:line="240" w:lineRule="auto"/>
        <w:rPr>
          <w:rFonts w:asciiTheme="minorBidi" w:eastAsia="Times New Roman" w:hAnsiTheme="minorBidi" w:cstheme="minorBidi"/>
          <w:sz w:val="20"/>
          <w:szCs w:val="20"/>
          <w:lang w:val="en-US"/>
        </w:rPr>
      </w:pPr>
      <w:r w:rsidRPr="000231F9">
        <w:rPr>
          <w:rFonts w:asciiTheme="minorBidi" w:hAnsiTheme="minorBidi" w:cstheme="minorBidi"/>
          <w:sz w:val="20"/>
          <w:szCs w:val="20"/>
          <w:vertAlign w:val="superscript"/>
        </w:rPr>
        <w:footnoteRef/>
      </w:r>
      <w:r w:rsidRPr="008C49A0">
        <w:rPr>
          <w:rFonts w:asciiTheme="minorBidi" w:hAnsiTheme="minorBidi" w:cstheme="minorBidi"/>
          <w:sz w:val="20"/>
          <w:szCs w:val="20"/>
          <w:lang w:val="en-US"/>
        </w:rPr>
        <w:t xml:space="preserve">  </w:t>
      </w:r>
      <w:r w:rsidR="008C49A0" w:rsidRPr="008C49A0">
        <w:rPr>
          <w:rFonts w:asciiTheme="minorBidi" w:hAnsiTheme="minorBidi" w:cstheme="minorBidi"/>
          <w:sz w:val="20"/>
          <w:szCs w:val="20"/>
        </w:rPr>
        <w:t xml:space="preserve">UN Security Council. </w:t>
      </w:r>
      <w:r w:rsidR="008C49A0" w:rsidRPr="008C49A0">
        <w:rPr>
          <w:rFonts w:asciiTheme="minorBidi" w:hAnsiTheme="minorBidi" w:cstheme="minorBidi"/>
          <w:i/>
          <w:iCs/>
          <w:sz w:val="20"/>
          <w:szCs w:val="20"/>
        </w:rPr>
        <w:t>Children and Armed Conflict in Colombia: Report of the Secretary-General</w:t>
      </w:r>
      <w:r w:rsidR="008C49A0" w:rsidRPr="008C49A0">
        <w:rPr>
          <w:rFonts w:asciiTheme="minorBidi" w:hAnsiTheme="minorBidi" w:cstheme="minorBidi"/>
          <w:sz w:val="20"/>
          <w:szCs w:val="20"/>
        </w:rPr>
        <w:t xml:space="preserve"> (S/2021/1022), para</w:t>
      </w:r>
      <w:r w:rsidR="008C49A0" w:rsidRPr="008C49A0">
        <w:rPr>
          <w:rFonts w:asciiTheme="minorBidi" w:hAnsiTheme="minorBidi" w:cstheme="minorBidi"/>
          <w:sz w:val="20"/>
          <w:szCs w:val="20"/>
          <w:lang w:val="en-US"/>
        </w:rPr>
        <w:t>g</w:t>
      </w:r>
      <w:r w:rsidR="008C49A0" w:rsidRPr="008C49A0">
        <w:rPr>
          <w:rFonts w:asciiTheme="minorBidi" w:hAnsiTheme="minorBidi" w:cstheme="minorBidi"/>
          <w:sz w:val="20"/>
          <w:szCs w:val="20"/>
        </w:rPr>
        <w:t>. 53. Available at</w:t>
      </w:r>
      <w:r w:rsidRPr="008C49A0">
        <w:rPr>
          <w:rFonts w:asciiTheme="minorBidi" w:hAnsiTheme="minorBidi" w:cstheme="minorBidi"/>
          <w:sz w:val="20"/>
          <w:szCs w:val="20"/>
          <w:lang w:val="en-US"/>
        </w:rPr>
        <w:t xml:space="preserve">: </w:t>
      </w:r>
      <w:hyperlink r:id="rId37">
        <w:r w:rsidR="00C60456" w:rsidRPr="008C49A0">
          <w:rPr>
            <w:rFonts w:asciiTheme="minorBidi" w:hAnsiTheme="minorBidi" w:cstheme="minorBidi"/>
            <w:color w:val="1155CC"/>
            <w:sz w:val="20"/>
            <w:szCs w:val="20"/>
            <w:highlight w:val="white"/>
            <w:lang w:val="en-US"/>
          </w:rPr>
          <w:t>https://cutt.ly/ZNzdCvK</w:t>
        </w:r>
      </w:hyperlink>
      <w:r w:rsidRPr="008C49A0">
        <w:rPr>
          <w:rFonts w:asciiTheme="minorBidi" w:hAnsiTheme="minorBidi" w:cstheme="minorBidi"/>
          <w:sz w:val="20"/>
          <w:szCs w:val="20"/>
          <w:lang w:val="en-US"/>
        </w:rPr>
        <w:t xml:space="preserve">. </w:t>
      </w:r>
    </w:p>
  </w:footnote>
  <w:footnote w:id="31">
    <w:p w14:paraId="00000139" w14:textId="1C066E70" w:rsidR="00C60456" w:rsidRPr="008C49A0" w:rsidRDefault="00A74445">
      <w:pPr>
        <w:spacing w:line="240" w:lineRule="auto"/>
        <w:rPr>
          <w:rFonts w:asciiTheme="minorBidi" w:hAnsiTheme="minorBidi" w:cstheme="minorBidi"/>
          <w:sz w:val="20"/>
          <w:szCs w:val="20"/>
          <w:lang w:val="en-US"/>
        </w:rPr>
      </w:pPr>
      <w:r w:rsidRPr="000231F9">
        <w:rPr>
          <w:rFonts w:asciiTheme="minorBidi" w:hAnsiTheme="minorBidi" w:cstheme="minorBidi"/>
          <w:sz w:val="20"/>
          <w:szCs w:val="20"/>
          <w:vertAlign w:val="superscript"/>
        </w:rPr>
        <w:footnoteRef/>
      </w:r>
      <w:r w:rsidRPr="008C49A0">
        <w:rPr>
          <w:rFonts w:asciiTheme="minorBidi" w:hAnsiTheme="minorBidi" w:cstheme="minorBidi"/>
          <w:sz w:val="20"/>
          <w:szCs w:val="20"/>
          <w:lang w:val="en-US"/>
        </w:rPr>
        <w:t xml:space="preserve"> Colectivo de Abogados Jose Alvear Restrepo</w:t>
      </w:r>
      <w:r w:rsidR="008C49A0" w:rsidRPr="008C49A0">
        <w:rPr>
          <w:rFonts w:asciiTheme="minorBidi" w:hAnsiTheme="minorBidi" w:cstheme="minorBidi"/>
          <w:sz w:val="20"/>
          <w:szCs w:val="20"/>
          <w:lang w:val="en-US"/>
        </w:rPr>
        <w:t xml:space="preserve"> Law Firm</w:t>
      </w:r>
      <w:r w:rsidRPr="008C49A0">
        <w:rPr>
          <w:rFonts w:asciiTheme="minorBidi" w:hAnsiTheme="minorBidi" w:cstheme="minorBidi"/>
          <w:sz w:val="20"/>
          <w:szCs w:val="20"/>
          <w:lang w:val="en-US"/>
        </w:rPr>
        <w:t xml:space="preserve">. </w:t>
      </w:r>
      <w:r w:rsidR="008C49A0" w:rsidRPr="008C49A0">
        <w:rPr>
          <w:rFonts w:asciiTheme="minorBidi" w:hAnsiTheme="minorBidi" w:cstheme="minorBidi"/>
          <w:sz w:val="20"/>
          <w:szCs w:val="20"/>
        </w:rPr>
        <w:t>"</w:t>
      </w:r>
      <w:r w:rsidR="008C49A0">
        <w:rPr>
          <w:rFonts w:asciiTheme="minorBidi" w:hAnsiTheme="minorBidi" w:cstheme="minorBidi"/>
          <w:sz w:val="20"/>
          <w:szCs w:val="20"/>
        </w:rPr>
        <w:t xml:space="preserve">Boys and Girls </w:t>
      </w:r>
      <w:r w:rsidR="008C49A0" w:rsidRPr="008C49A0">
        <w:rPr>
          <w:rFonts w:asciiTheme="minorBidi" w:hAnsiTheme="minorBidi" w:cstheme="minorBidi"/>
          <w:sz w:val="20"/>
          <w:szCs w:val="20"/>
        </w:rPr>
        <w:t>are Not War Machines." April 27, 2021. Available at</w:t>
      </w:r>
      <w:r w:rsidR="008C49A0">
        <w:rPr>
          <w:rFonts w:asciiTheme="minorBidi" w:hAnsiTheme="minorBidi" w:cstheme="minorBidi"/>
          <w:sz w:val="20"/>
          <w:szCs w:val="20"/>
        </w:rPr>
        <w:t>:</w:t>
      </w:r>
      <w:r w:rsidR="008C49A0" w:rsidRPr="008C49A0">
        <w:rPr>
          <w:rFonts w:asciiTheme="minorBidi" w:hAnsiTheme="minorBidi" w:cstheme="minorBidi"/>
          <w:sz w:val="20"/>
          <w:szCs w:val="20"/>
        </w:rPr>
        <w:t xml:space="preserve"> </w:t>
      </w:r>
      <w:hyperlink r:id="rId38">
        <w:r w:rsidR="00C60456" w:rsidRPr="008C49A0">
          <w:rPr>
            <w:rFonts w:asciiTheme="minorBidi" w:hAnsiTheme="minorBidi" w:cstheme="minorBidi"/>
            <w:color w:val="1155CC"/>
            <w:sz w:val="20"/>
            <w:szCs w:val="20"/>
            <w:u w:val="single"/>
            <w:lang w:val="en-US"/>
          </w:rPr>
          <w:t>https://www.colectivodeabogados.org/las-ninas-y-ninos-no-son-maquinas-de-guerra/</w:t>
        </w:r>
      </w:hyperlink>
      <w:r w:rsidRPr="008C49A0">
        <w:rPr>
          <w:rFonts w:asciiTheme="minorBidi" w:hAnsiTheme="minorBidi" w:cstheme="minorBidi"/>
          <w:sz w:val="20"/>
          <w:szCs w:val="20"/>
          <w:lang w:val="en-US"/>
        </w:rPr>
        <w:t xml:space="preserve">. </w:t>
      </w:r>
    </w:p>
  </w:footnote>
  <w:footnote w:id="32">
    <w:p w14:paraId="000000F6" w14:textId="227FB09A" w:rsidR="00C60456" w:rsidRPr="008C49A0" w:rsidRDefault="00A74445">
      <w:pPr>
        <w:spacing w:line="240" w:lineRule="auto"/>
        <w:jc w:val="both"/>
        <w:rPr>
          <w:rFonts w:asciiTheme="minorBidi" w:hAnsiTheme="minorBidi" w:cstheme="minorBidi"/>
          <w:sz w:val="20"/>
          <w:szCs w:val="20"/>
          <w:lang w:val="en-US"/>
        </w:rPr>
      </w:pPr>
      <w:r w:rsidRPr="000231F9">
        <w:rPr>
          <w:rFonts w:asciiTheme="minorBidi" w:hAnsiTheme="minorBidi" w:cstheme="minorBidi"/>
          <w:sz w:val="20"/>
          <w:szCs w:val="20"/>
          <w:vertAlign w:val="superscript"/>
        </w:rPr>
        <w:footnoteRef/>
      </w:r>
      <w:r w:rsidRPr="008C49A0">
        <w:rPr>
          <w:rFonts w:asciiTheme="minorBidi" w:hAnsiTheme="minorBidi" w:cstheme="minorBidi"/>
          <w:sz w:val="20"/>
          <w:szCs w:val="20"/>
          <w:lang w:val="en-US"/>
        </w:rPr>
        <w:t xml:space="preserve"> </w:t>
      </w:r>
      <w:r w:rsidR="008C49A0" w:rsidRPr="008C49A0">
        <w:rPr>
          <w:rFonts w:asciiTheme="minorBidi" w:hAnsiTheme="minorBidi" w:cstheme="minorBidi"/>
          <w:sz w:val="20"/>
          <w:szCs w:val="20"/>
        </w:rPr>
        <w:t xml:space="preserve">Truth Commission for the Clarification of Truth, Coexistence, and Non-Repetition. Report: "Not a Lesser Evil: Children and Adolescents in the Armed Conflict." August 2022, page 60 and onwards. </w:t>
      </w:r>
      <w:r w:rsidR="008C49A0" w:rsidRPr="008C49A0">
        <w:rPr>
          <w:rFonts w:asciiTheme="minorBidi" w:hAnsiTheme="minorBidi" w:cstheme="minorBidi"/>
          <w:sz w:val="20"/>
          <w:szCs w:val="20"/>
          <w:lang w:val="en-US"/>
        </w:rPr>
        <w:t>Available at</w:t>
      </w:r>
      <w:r w:rsidRPr="008C49A0">
        <w:rPr>
          <w:rFonts w:asciiTheme="minorBidi" w:hAnsiTheme="minorBidi" w:cstheme="minorBidi"/>
          <w:sz w:val="20"/>
          <w:szCs w:val="20"/>
          <w:lang w:val="en-US"/>
        </w:rPr>
        <w:t xml:space="preserve">: </w:t>
      </w:r>
      <w:hyperlink r:id="rId39">
        <w:r w:rsidR="00C60456" w:rsidRPr="008C49A0">
          <w:rPr>
            <w:rFonts w:asciiTheme="minorBidi" w:hAnsiTheme="minorBidi" w:cstheme="minorBidi"/>
            <w:color w:val="1155CC"/>
            <w:sz w:val="20"/>
            <w:szCs w:val="20"/>
            <w:u w:val="single"/>
            <w:lang w:val="en-US"/>
          </w:rPr>
          <w:t>https://www.comisiondelaverdad.co/no-es-un-mal-menor</w:t>
        </w:r>
      </w:hyperlink>
      <w:r w:rsidRPr="008C49A0">
        <w:rPr>
          <w:rFonts w:asciiTheme="minorBidi" w:hAnsiTheme="minorBidi" w:cstheme="minorBidi"/>
          <w:sz w:val="20"/>
          <w:szCs w:val="20"/>
          <w:lang w:val="en-US"/>
        </w:rPr>
        <w:t xml:space="preserve"> </w:t>
      </w:r>
      <w:hyperlink r:id="rId40">
        <w:r w:rsidR="00C60456" w:rsidRPr="008C49A0">
          <w:rPr>
            <w:rFonts w:asciiTheme="minorBidi" w:hAnsiTheme="minorBidi" w:cstheme="minorBidi"/>
            <w:sz w:val="20"/>
            <w:szCs w:val="20"/>
            <w:lang w:val="en-US"/>
          </w:rPr>
          <w:t xml:space="preserve"> </w:t>
        </w:r>
      </w:hyperlink>
      <w:r w:rsidR="008C49A0" w:rsidRPr="008C49A0">
        <w:t xml:space="preserve"> </w:t>
      </w:r>
      <w:r w:rsidR="008C49A0" w:rsidRPr="008C49A0">
        <w:rPr>
          <w:rFonts w:asciiTheme="minorBidi" w:hAnsiTheme="minorBidi" w:cstheme="minorBidi"/>
          <w:sz w:val="20"/>
          <w:szCs w:val="20"/>
        </w:rPr>
        <w:t>Report: " If There</w:t>
      </w:r>
      <w:r w:rsidR="003108F9">
        <w:rPr>
          <w:rFonts w:asciiTheme="minorBidi" w:hAnsiTheme="minorBidi" w:cstheme="minorBidi"/>
          <w:sz w:val="20"/>
          <w:szCs w:val="20"/>
        </w:rPr>
        <w:t>’</w:t>
      </w:r>
      <w:r w:rsidR="008C49A0" w:rsidRPr="008C49A0">
        <w:rPr>
          <w:rFonts w:asciiTheme="minorBidi" w:hAnsiTheme="minorBidi" w:cstheme="minorBidi"/>
          <w:sz w:val="20"/>
          <w:szCs w:val="20"/>
        </w:rPr>
        <w:t>s Truth</w:t>
      </w:r>
      <w:r w:rsidR="008C49A0" w:rsidRPr="008C49A0">
        <w:rPr>
          <w:rFonts w:asciiTheme="minorBidi" w:hAnsiTheme="minorBidi" w:cstheme="minorBidi"/>
          <w:sz w:val="20"/>
          <w:szCs w:val="20"/>
          <w:lang w:val="en-US"/>
        </w:rPr>
        <w:t xml:space="preserve">, </w:t>
      </w:r>
      <w:r w:rsidR="008C49A0" w:rsidRPr="008C49A0">
        <w:rPr>
          <w:rFonts w:asciiTheme="minorBidi" w:hAnsiTheme="minorBidi" w:cstheme="minorBidi"/>
          <w:sz w:val="20"/>
          <w:szCs w:val="20"/>
        </w:rPr>
        <w:t>There</w:t>
      </w:r>
      <w:r w:rsidR="008C49A0" w:rsidRPr="008C49A0">
        <w:rPr>
          <w:rFonts w:asciiTheme="minorBidi" w:hAnsiTheme="minorBidi" w:cstheme="minorBidi"/>
          <w:sz w:val="20"/>
          <w:szCs w:val="20"/>
          <w:lang w:val="en-US"/>
        </w:rPr>
        <w:t>’</w:t>
      </w:r>
      <w:r w:rsidR="008C49A0" w:rsidRPr="008C49A0">
        <w:rPr>
          <w:rFonts w:asciiTheme="minorBidi" w:hAnsiTheme="minorBidi" w:cstheme="minorBidi"/>
          <w:sz w:val="20"/>
          <w:szCs w:val="20"/>
        </w:rPr>
        <w:t>s a Future. Findings and Recommendations." August 2022, page 50. Available at</w:t>
      </w:r>
      <w:r w:rsidRPr="008C49A0">
        <w:rPr>
          <w:rFonts w:asciiTheme="minorBidi" w:hAnsiTheme="minorBidi" w:cstheme="minorBidi"/>
          <w:sz w:val="20"/>
          <w:szCs w:val="20"/>
          <w:lang w:val="en-US"/>
        </w:rPr>
        <w:t xml:space="preserve">: </w:t>
      </w:r>
      <w:hyperlink r:id="rId41">
        <w:r w:rsidR="00C60456" w:rsidRPr="008C49A0">
          <w:rPr>
            <w:rFonts w:asciiTheme="minorBidi" w:eastAsia="Times New Roman" w:hAnsiTheme="minorBidi" w:cstheme="minorBidi"/>
            <w:color w:val="1155CC"/>
            <w:sz w:val="20"/>
            <w:szCs w:val="20"/>
            <w:u w:val="single"/>
            <w:lang w:val="en-US"/>
          </w:rPr>
          <w:t>https://www.comisiondelaverdad.co/hallazgos-y-recomendacione</w:t>
        </w:r>
      </w:hyperlink>
      <w:hyperlink r:id="rId42">
        <w:r w:rsidR="00C60456" w:rsidRPr="008C49A0">
          <w:rPr>
            <w:rFonts w:asciiTheme="minorBidi" w:eastAsia="Times New Roman" w:hAnsiTheme="minorBidi" w:cstheme="minorBidi"/>
            <w:color w:val="1155CC"/>
            <w:sz w:val="20"/>
            <w:szCs w:val="20"/>
            <w:u w:val="single"/>
            <w:lang w:val="en-US"/>
          </w:rPr>
          <w:t>s-1</w:t>
        </w:r>
      </w:hyperlink>
    </w:p>
  </w:footnote>
  <w:footnote w:id="33">
    <w:p w14:paraId="000000F7" w14:textId="67264CAA" w:rsidR="00C60456" w:rsidRPr="008C49A0" w:rsidRDefault="00A74445">
      <w:pPr>
        <w:spacing w:line="240" w:lineRule="auto"/>
        <w:rPr>
          <w:rFonts w:asciiTheme="minorBidi" w:hAnsiTheme="minorBidi" w:cstheme="minorBidi"/>
          <w:sz w:val="20"/>
          <w:szCs w:val="20"/>
          <w:lang w:val="en-US"/>
        </w:rPr>
      </w:pPr>
      <w:r w:rsidRPr="000231F9">
        <w:rPr>
          <w:rFonts w:asciiTheme="minorBidi" w:hAnsiTheme="minorBidi" w:cstheme="minorBidi"/>
          <w:sz w:val="20"/>
          <w:szCs w:val="20"/>
          <w:vertAlign w:val="superscript"/>
        </w:rPr>
        <w:footnoteRef/>
      </w:r>
      <w:r w:rsidRPr="008C49A0">
        <w:rPr>
          <w:rFonts w:asciiTheme="minorBidi" w:hAnsiTheme="minorBidi" w:cstheme="minorBidi"/>
          <w:sz w:val="20"/>
          <w:szCs w:val="20"/>
          <w:lang w:val="en-US"/>
        </w:rPr>
        <w:t xml:space="preserve">Ibid.  </w:t>
      </w:r>
      <w:r w:rsidRPr="008C49A0">
        <w:rPr>
          <w:rFonts w:asciiTheme="minorBidi" w:eastAsia="Times New Roman" w:hAnsiTheme="minorBidi" w:cstheme="minorBidi"/>
          <w:sz w:val="20"/>
          <w:szCs w:val="20"/>
          <w:lang w:val="en-US"/>
        </w:rPr>
        <w:t xml:space="preserve">p. 256 </w:t>
      </w:r>
      <w:r w:rsidR="008C49A0" w:rsidRPr="008C49A0">
        <w:rPr>
          <w:rFonts w:asciiTheme="minorBidi" w:eastAsia="Times New Roman" w:hAnsiTheme="minorBidi" w:cstheme="minorBidi"/>
          <w:sz w:val="20"/>
          <w:szCs w:val="20"/>
          <w:lang w:val="en-US"/>
        </w:rPr>
        <w:t>and</w:t>
      </w:r>
      <w:r w:rsidRPr="008C49A0">
        <w:rPr>
          <w:rFonts w:asciiTheme="minorBidi" w:eastAsia="Times New Roman" w:hAnsiTheme="minorBidi" w:cstheme="minorBidi"/>
          <w:sz w:val="20"/>
          <w:szCs w:val="20"/>
          <w:lang w:val="en-US"/>
        </w:rPr>
        <w:t xml:space="preserve"> 257. </w:t>
      </w:r>
    </w:p>
  </w:footnote>
  <w:footnote w:id="34">
    <w:p w14:paraId="000000FA" w14:textId="5625BDE7" w:rsidR="00C60456" w:rsidRPr="008C49A0" w:rsidRDefault="00A74445">
      <w:pPr>
        <w:spacing w:line="240" w:lineRule="auto"/>
        <w:rPr>
          <w:rFonts w:asciiTheme="minorBidi" w:hAnsiTheme="minorBidi" w:cstheme="minorBidi"/>
          <w:sz w:val="20"/>
          <w:szCs w:val="20"/>
          <w:lang w:val="en-US"/>
        </w:rPr>
      </w:pPr>
      <w:r w:rsidRPr="000231F9">
        <w:rPr>
          <w:rFonts w:asciiTheme="minorBidi" w:hAnsiTheme="minorBidi" w:cstheme="minorBidi"/>
          <w:sz w:val="20"/>
          <w:szCs w:val="20"/>
          <w:vertAlign w:val="superscript"/>
        </w:rPr>
        <w:footnoteRef/>
      </w:r>
      <w:r w:rsidRPr="008C49A0">
        <w:rPr>
          <w:rFonts w:asciiTheme="minorBidi" w:hAnsiTheme="minorBidi" w:cstheme="minorBidi"/>
          <w:sz w:val="20"/>
          <w:szCs w:val="20"/>
          <w:lang w:val="en-US"/>
        </w:rPr>
        <w:t xml:space="preserve"> </w:t>
      </w:r>
      <w:r w:rsidR="008C49A0" w:rsidRPr="008C49A0">
        <w:rPr>
          <w:rFonts w:asciiTheme="minorBidi" w:hAnsiTheme="minorBidi" w:cstheme="minorBidi"/>
          <w:sz w:val="20"/>
          <w:szCs w:val="20"/>
        </w:rPr>
        <w:t xml:space="preserve">Committee on the Rights of the Child. </w:t>
      </w:r>
      <w:r w:rsidR="008C49A0" w:rsidRPr="008C49A0">
        <w:rPr>
          <w:rFonts w:asciiTheme="minorBidi" w:hAnsiTheme="minorBidi" w:cstheme="minorBidi"/>
          <w:sz w:val="20"/>
          <w:szCs w:val="20"/>
          <w:lang w:val="en-US"/>
        </w:rPr>
        <w:t xml:space="preserve">Final </w:t>
      </w:r>
      <w:r w:rsidR="008C49A0" w:rsidRPr="008C49A0">
        <w:rPr>
          <w:rFonts w:asciiTheme="minorBidi" w:hAnsiTheme="minorBidi" w:cstheme="minorBidi"/>
          <w:sz w:val="20"/>
          <w:szCs w:val="20"/>
        </w:rPr>
        <w:t>Conclu</w:t>
      </w:r>
      <w:r w:rsidR="008C49A0" w:rsidRPr="008C49A0">
        <w:rPr>
          <w:rFonts w:asciiTheme="minorBidi" w:hAnsiTheme="minorBidi" w:cstheme="minorBidi"/>
          <w:sz w:val="20"/>
          <w:szCs w:val="20"/>
          <w:lang w:val="en-US"/>
        </w:rPr>
        <w:t>sions</w:t>
      </w:r>
      <w:r w:rsidR="008C49A0" w:rsidRPr="008C49A0">
        <w:rPr>
          <w:rFonts w:asciiTheme="minorBidi" w:hAnsiTheme="minorBidi" w:cstheme="minorBidi"/>
          <w:sz w:val="20"/>
          <w:szCs w:val="20"/>
        </w:rPr>
        <w:t xml:space="preserve"> on the Fourth and Fifth Combined Periodic Reports of Colombia. CRC/C/COL/CO/4-5. March 6, 2015, recommendations 18.c, 24.b, 24.d, 28.b, 30.c</w:t>
      </w:r>
      <w:r w:rsidRPr="008C49A0">
        <w:rPr>
          <w:rFonts w:asciiTheme="minorBidi" w:hAnsiTheme="minorBidi" w:cstheme="minorBidi"/>
          <w:sz w:val="20"/>
          <w:szCs w:val="20"/>
          <w:lang w:val="en-US"/>
        </w:rPr>
        <w:t>.</w:t>
      </w:r>
    </w:p>
  </w:footnote>
  <w:footnote w:id="35">
    <w:p w14:paraId="000000FB" w14:textId="5964F517" w:rsidR="00C60456" w:rsidRPr="008C49A0" w:rsidRDefault="00A74445">
      <w:pPr>
        <w:spacing w:line="240" w:lineRule="auto"/>
        <w:jc w:val="both"/>
        <w:rPr>
          <w:rFonts w:asciiTheme="minorBidi" w:hAnsiTheme="minorBidi" w:cstheme="minorBidi"/>
          <w:sz w:val="20"/>
          <w:szCs w:val="20"/>
          <w:lang w:val="en-US"/>
        </w:rPr>
      </w:pPr>
      <w:r w:rsidRPr="000231F9">
        <w:rPr>
          <w:rFonts w:asciiTheme="minorBidi" w:hAnsiTheme="minorBidi" w:cstheme="minorBidi"/>
          <w:sz w:val="20"/>
          <w:szCs w:val="20"/>
          <w:vertAlign w:val="superscript"/>
        </w:rPr>
        <w:footnoteRef/>
      </w:r>
      <w:r w:rsidRPr="008C49A0">
        <w:rPr>
          <w:rFonts w:asciiTheme="minorBidi" w:hAnsiTheme="minorBidi" w:cstheme="minorBidi"/>
          <w:sz w:val="20"/>
          <w:szCs w:val="20"/>
          <w:lang w:val="en-US"/>
        </w:rPr>
        <w:t xml:space="preserve"> </w:t>
      </w:r>
      <w:r w:rsidR="008C49A0" w:rsidRPr="008C49A0">
        <w:rPr>
          <w:rFonts w:asciiTheme="minorBidi" w:hAnsiTheme="minorBidi" w:cstheme="minorBidi"/>
          <w:sz w:val="20"/>
          <w:szCs w:val="20"/>
        </w:rPr>
        <w:t>Government of Colombia. State Report: Sixth and Seventh Combined Periodic Report of Colombia. CRC/C/COL/6-7. August 25, 2021, para</w:t>
      </w:r>
      <w:r w:rsidR="008C49A0" w:rsidRPr="008C49A0">
        <w:rPr>
          <w:rFonts w:asciiTheme="minorBidi" w:hAnsiTheme="minorBidi" w:cstheme="minorBidi"/>
          <w:sz w:val="20"/>
          <w:szCs w:val="20"/>
          <w:lang w:val="en-US"/>
        </w:rPr>
        <w:t>g</w:t>
      </w:r>
      <w:r w:rsidR="008C49A0" w:rsidRPr="008C49A0">
        <w:rPr>
          <w:rFonts w:asciiTheme="minorBidi" w:hAnsiTheme="minorBidi" w:cstheme="minorBidi"/>
          <w:sz w:val="20"/>
          <w:szCs w:val="20"/>
        </w:rPr>
        <w:t>s. 33, 34, 52, 54, 55, 58, 198</w:t>
      </w:r>
      <w:r w:rsidRPr="008C49A0">
        <w:rPr>
          <w:rFonts w:asciiTheme="minorBidi" w:hAnsiTheme="minorBidi" w:cstheme="minorBidi"/>
          <w:sz w:val="20"/>
          <w:szCs w:val="20"/>
          <w:lang w:val="en-US"/>
        </w:rPr>
        <w:t>.</w:t>
      </w:r>
    </w:p>
  </w:footnote>
  <w:footnote w:id="36">
    <w:p w14:paraId="000000F8" w14:textId="44B63A26" w:rsidR="00C60456" w:rsidRPr="008C49A0" w:rsidRDefault="00A74445">
      <w:pPr>
        <w:spacing w:line="240" w:lineRule="auto"/>
        <w:rPr>
          <w:rFonts w:asciiTheme="minorBidi" w:hAnsiTheme="minorBidi" w:cstheme="minorBidi"/>
          <w:sz w:val="20"/>
          <w:szCs w:val="20"/>
          <w:lang w:val="en-US"/>
        </w:rPr>
      </w:pPr>
      <w:r w:rsidRPr="000231F9">
        <w:rPr>
          <w:rFonts w:asciiTheme="minorBidi" w:hAnsiTheme="minorBidi" w:cstheme="minorBidi"/>
          <w:sz w:val="20"/>
          <w:szCs w:val="20"/>
          <w:vertAlign w:val="superscript"/>
        </w:rPr>
        <w:footnoteRef/>
      </w:r>
      <w:r w:rsidRPr="008C49A0">
        <w:rPr>
          <w:rFonts w:asciiTheme="minorBidi" w:hAnsiTheme="minorBidi" w:cstheme="minorBidi"/>
          <w:sz w:val="20"/>
          <w:szCs w:val="20"/>
          <w:lang w:val="en-US"/>
        </w:rPr>
        <w:t xml:space="preserve"> </w:t>
      </w:r>
      <w:r w:rsidR="008C49A0" w:rsidRPr="008C49A0">
        <w:rPr>
          <w:rFonts w:asciiTheme="minorBidi" w:eastAsia="Times New Roman" w:hAnsiTheme="minorBidi" w:cstheme="minorBidi"/>
          <w:sz w:val="20"/>
          <w:szCs w:val="20"/>
        </w:rPr>
        <w:t>Congress of Colombia. Law 2081 of 2021. "Declaring the Criminal Action Non-Statutable in Cases of Crimes Against Freedom, Integrity, and Sexual Formation, or the Crime of Incest, Committed Against Minors Under 18 - No More Silence." Available at</w:t>
      </w:r>
      <w:r w:rsidRPr="008C49A0">
        <w:rPr>
          <w:rFonts w:asciiTheme="minorBidi" w:eastAsia="Times New Roman" w:hAnsiTheme="minorBidi" w:cstheme="minorBidi"/>
          <w:sz w:val="20"/>
          <w:szCs w:val="20"/>
          <w:lang w:val="en-US"/>
        </w:rPr>
        <w:t>:</w:t>
      </w:r>
      <w:r w:rsidRPr="008C49A0">
        <w:rPr>
          <w:rFonts w:asciiTheme="minorBidi" w:eastAsia="Times New Roman" w:hAnsiTheme="minorBidi" w:cstheme="minorBidi"/>
          <w:color w:val="008080"/>
          <w:sz w:val="20"/>
          <w:szCs w:val="20"/>
          <w:u w:val="single"/>
          <w:lang w:val="en-US"/>
        </w:rPr>
        <w:t xml:space="preserve"> </w:t>
      </w:r>
      <w:r w:rsidRPr="008C49A0">
        <w:rPr>
          <w:rFonts w:asciiTheme="minorBidi" w:eastAsia="Times New Roman" w:hAnsiTheme="minorBidi" w:cstheme="minorBidi"/>
          <w:strike/>
          <w:color w:val="FF0000"/>
          <w:sz w:val="20"/>
          <w:szCs w:val="20"/>
          <w:lang w:val="en-US"/>
        </w:rPr>
        <w:t xml:space="preserve">  </w:t>
      </w:r>
      <w:hyperlink r:id="rId43">
        <w:r w:rsidR="00C60456" w:rsidRPr="008C49A0">
          <w:rPr>
            <w:rFonts w:asciiTheme="minorBidi" w:eastAsia="Times New Roman" w:hAnsiTheme="minorBidi" w:cstheme="minorBidi"/>
            <w:color w:val="1155CC"/>
            <w:sz w:val="20"/>
            <w:szCs w:val="20"/>
            <w:u w:val="single"/>
            <w:lang w:val="en-US"/>
          </w:rPr>
          <w:t>https://dapre.presidencia.gov.co/normativa/normativa/LEY%202081%20DEL%203%20DE%20FEBRERO%20DE%202021.pdf</w:t>
        </w:r>
      </w:hyperlink>
      <w:r w:rsidRPr="008C49A0">
        <w:rPr>
          <w:rFonts w:asciiTheme="minorBidi" w:eastAsia="Times New Roman" w:hAnsiTheme="minorBidi" w:cstheme="minorBidi"/>
          <w:sz w:val="20"/>
          <w:szCs w:val="20"/>
          <w:lang w:val="en-US"/>
        </w:rPr>
        <w:t xml:space="preserve">  </w:t>
      </w:r>
    </w:p>
  </w:footnote>
  <w:footnote w:id="37">
    <w:p w14:paraId="00000131" w14:textId="4AF8A184" w:rsidR="00C60456" w:rsidRPr="008C49A0" w:rsidRDefault="00A74445">
      <w:pPr>
        <w:spacing w:line="240" w:lineRule="auto"/>
        <w:rPr>
          <w:rFonts w:asciiTheme="minorBidi" w:hAnsiTheme="minorBidi" w:cstheme="minorBidi"/>
          <w:sz w:val="20"/>
          <w:szCs w:val="20"/>
          <w:lang w:val="en-US"/>
        </w:rPr>
      </w:pPr>
      <w:r w:rsidRPr="000231F9">
        <w:rPr>
          <w:rFonts w:asciiTheme="minorBidi" w:hAnsiTheme="minorBidi" w:cstheme="minorBidi"/>
          <w:sz w:val="20"/>
          <w:szCs w:val="20"/>
          <w:vertAlign w:val="superscript"/>
        </w:rPr>
        <w:footnoteRef/>
      </w:r>
      <w:r w:rsidRPr="008C49A0">
        <w:rPr>
          <w:rFonts w:asciiTheme="minorBidi" w:hAnsiTheme="minorBidi" w:cstheme="minorBidi"/>
          <w:sz w:val="20"/>
          <w:szCs w:val="20"/>
          <w:lang w:val="en-US"/>
        </w:rPr>
        <w:t xml:space="preserve"> </w:t>
      </w:r>
      <w:r w:rsidR="008C49A0" w:rsidRPr="008C49A0">
        <w:rPr>
          <w:rFonts w:asciiTheme="minorBidi" w:eastAsia="Times New Roman" w:hAnsiTheme="minorBidi" w:cstheme="minorBidi"/>
          <w:sz w:val="20"/>
          <w:szCs w:val="20"/>
        </w:rPr>
        <w:t>UN. Guidelines on the Role of Prosecutors. Eighth United Nations Congress on the Prevention of Crime and the Treatment of Offenders, held in Havana, Cuba, from August 27 to September 7, 1990, UN Doc. A/CONF.144/28/Rev.1 p. 189 (1990</w:t>
      </w:r>
      <w:r w:rsidRPr="008C49A0">
        <w:rPr>
          <w:rFonts w:asciiTheme="minorBidi" w:eastAsia="Times New Roman" w:hAnsiTheme="minorBidi" w:cstheme="minorBidi"/>
          <w:sz w:val="20"/>
          <w:szCs w:val="20"/>
          <w:lang w:val="en-US"/>
        </w:rPr>
        <w:t>)</w:t>
      </w:r>
    </w:p>
  </w:footnote>
  <w:footnote w:id="38">
    <w:p w14:paraId="000000F9" w14:textId="70107493" w:rsidR="00C60456" w:rsidRPr="008C49A0" w:rsidRDefault="00A74445">
      <w:pPr>
        <w:spacing w:line="240" w:lineRule="auto"/>
        <w:rPr>
          <w:rFonts w:asciiTheme="minorBidi" w:hAnsiTheme="minorBidi" w:cstheme="minorBidi"/>
          <w:sz w:val="20"/>
          <w:szCs w:val="20"/>
          <w:lang w:val="en-US"/>
        </w:rPr>
      </w:pPr>
      <w:r w:rsidRPr="000231F9">
        <w:rPr>
          <w:rFonts w:asciiTheme="minorBidi" w:hAnsiTheme="minorBidi" w:cstheme="minorBidi"/>
          <w:sz w:val="20"/>
          <w:szCs w:val="20"/>
          <w:vertAlign w:val="superscript"/>
        </w:rPr>
        <w:footnoteRef/>
      </w:r>
      <w:r w:rsidRPr="008C49A0">
        <w:rPr>
          <w:rFonts w:asciiTheme="minorBidi" w:hAnsiTheme="minorBidi" w:cstheme="minorBidi"/>
          <w:sz w:val="20"/>
          <w:szCs w:val="20"/>
          <w:lang w:val="en-US"/>
        </w:rPr>
        <w:t xml:space="preserve"> </w:t>
      </w:r>
      <w:r w:rsidR="008C49A0" w:rsidRPr="008C49A0">
        <w:rPr>
          <w:rFonts w:asciiTheme="minorBidi" w:eastAsia="Times New Roman" w:hAnsiTheme="minorBidi" w:cstheme="minorBidi"/>
          <w:sz w:val="20"/>
          <w:szCs w:val="20"/>
        </w:rPr>
        <w:t>UN. Guidelines on the Role of Prosecutors. Eighth United Nations Congress on the Prevention of Crime and the Treatment of Offenders, held in Havana, Cuba, from August 27 to September 7, 1990, UN Doc. A/CONF.144/28/Rev.1 p. 189 (1990</w:t>
      </w:r>
      <w:r w:rsidRPr="008C49A0">
        <w:rPr>
          <w:rFonts w:asciiTheme="minorBidi" w:eastAsia="Times New Roman" w:hAnsiTheme="minorBidi" w:cstheme="minorBidi"/>
          <w:sz w:val="20"/>
          <w:szCs w:val="20"/>
          <w:lang w:val="en-US"/>
        </w:rPr>
        <w:t>)</w:t>
      </w:r>
    </w:p>
  </w:footnote>
  <w:footnote w:id="39">
    <w:p w14:paraId="3B361423" w14:textId="5FF26367" w:rsidR="000231F9" w:rsidRPr="008C49A0" w:rsidRDefault="000231F9">
      <w:pPr>
        <w:pStyle w:val="FootnoteText"/>
        <w:rPr>
          <w:lang w:val="en-US"/>
        </w:rPr>
      </w:pPr>
      <w:r>
        <w:rPr>
          <w:rStyle w:val="FootnoteReference"/>
        </w:rPr>
        <w:footnoteRef/>
      </w:r>
      <w:r w:rsidRPr="008C49A0">
        <w:rPr>
          <w:lang w:val="en-US"/>
        </w:rPr>
        <w:t xml:space="preserve"> </w:t>
      </w:r>
      <w:r w:rsidR="008C49A0" w:rsidRPr="008C49A0">
        <w:rPr>
          <w:lang w:val="en-US"/>
        </w:rPr>
        <w:t>Taskforce</w:t>
      </w:r>
      <w:r w:rsidR="008C49A0" w:rsidRPr="008C49A0">
        <w:t xml:space="preserve"> Against ESCNNA in Medellin. Analysis of the Commercial Sexual Exploitation</w:t>
      </w:r>
      <w:r w:rsidR="008C49A0" w:rsidRPr="008C49A0">
        <w:rPr>
          <w:lang w:val="en-US"/>
        </w:rPr>
        <w:t xml:space="preserve"> Situation</w:t>
      </w:r>
      <w:r w:rsidR="008C49A0" w:rsidRPr="008C49A0">
        <w:t xml:space="preserve"> of </w:t>
      </w:r>
      <w:r w:rsidR="008C49A0" w:rsidRPr="008C49A0">
        <w:rPr>
          <w:lang w:val="en-US"/>
        </w:rPr>
        <w:t xml:space="preserve">Boys, Girls, </w:t>
      </w:r>
      <w:r w:rsidR="008C49A0" w:rsidRPr="008C49A0">
        <w:t>and Adolescents in Medellin and Recommendations</w:t>
      </w:r>
      <w:r w:rsidR="008C49A0" w:rsidRPr="008C49A0">
        <w:rPr>
          <w:lang w:val="en-US"/>
        </w:rPr>
        <w:t xml:space="preserve"> for approach</w:t>
      </w:r>
      <w:r w:rsidR="008C49A0" w:rsidRPr="008C49A0">
        <w:t xml:space="preserve"> for the New District Administration 2024-2027</w:t>
      </w:r>
      <w:r w:rsidRPr="008C49A0">
        <w:rPr>
          <w:lang w:val="en-US"/>
        </w:rPr>
        <w:t>.</w:t>
      </w:r>
    </w:p>
  </w:footnote>
  <w:footnote w:id="40">
    <w:p w14:paraId="1CBC494E" w14:textId="1C2C538F" w:rsidR="000231F9" w:rsidRPr="008C49A0" w:rsidRDefault="000231F9">
      <w:pPr>
        <w:pStyle w:val="FootnoteText"/>
        <w:rPr>
          <w:lang w:val="en-US"/>
        </w:rPr>
      </w:pPr>
      <w:r>
        <w:rPr>
          <w:rStyle w:val="FootnoteReference"/>
        </w:rPr>
        <w:footnoteRef/>
      </w:r>
      <w:r w:rsidRPr="008C49A0">
        <w:rPr>
          <w:lang w:val="en-US"/>
        </w:rPr>
        <w:t xml:space="preserve"> </w:t>
      </w:r>
      <w:r w:rsidR="008C49A0" w:rsidRPr="008C49A0">
        <w:rPr>
          <w:lang w:val="en-US"/>
        </w:rPr>
        <w:t>Taskforce</w:t>
      </w:r>
      <w:r w:rsidR="008C49A0" w:rsidRPr="008C49A0">
        <w:t xml:space="preserve"> Against ESCNNA in Medellin. Analysis of the Commercial Sexual Exploitation</w:t>
      </w:r>
      <w:r w:rsidR="008C49A0" w:rsidRPr="008C49A0">
        <w:rPr>
          <w:lang w:val="en-US"/>
        </w:rPr>
        <w:t xml:space="preserve"> Situation</w:t>
      </w:r>
      <w:r w:rsidR="008C49A0" w:rsidRPr="008C49A0">
        <w:t xml:space="preserve"> of </w:t>
      </w:r>
      <w:r w:rsidR="008C49A0" w:rsidRPr="008C49A0">
        <w:rPr>
          <w:lang w:val="en-US"/>
        </w:rPr>
        <w:t xml:space="preserve">Boys, Girls, </w:t>
      </w:r>
      <w:r w:rsidR="008C49A0" w:rsidRPr="008C49A0">
        <w:t>and Adolescents in Medellin and Recommendations</w:t>
      </w:r>
      <w:r w:rsidR="008C49A0" w:rsidRPr="008C49A0">
        <w:rPr>
          <w:lang w:val="en-US"/>
        </w:rPr>
        <w:t xml:space="preserve"> for approach</w:t>
      </w:r>
      <w:r w:rsidR="008C49A0" w:rsidRPr="008C49A0">
        <w:t xml:space="preserve"> for the New District Administration 2024-2027</w:t>
      </w:r>
      <w:r w:rsidRPr="008C49A0">
        <w:rPr>
          <w:lang w:val="en-US"/>
        </w:rPr>
        <w:t>.</w:t>
      </w:r>
    </w:p>
  </w:footnote>
  <w:footnote w:id="41">
    <w:p w14:paraId="00000133" w14:textId="5FE42C6F" w:rsidR="00C60456" w:rsidRPr="008C49A0" w:rsidRDefault="00A74445" w:rsidP="008C49A0">
      <w:pPr>
        <w:keepLines/>
        <w:spacing w:line="240" w:lineRule="auto"/>
        <w:rPr>
          <w:rFonts w:asciiTheme="minorBidi" w:eastAsia="Times New Roman" w:hAnsiTheme="minorBidi" w:cstheme="minorBidi"/>
          <w:sz w:val="20"/>
          <w:szCs w:val="20"/>
          <w:lang w:val="en-US"/>
        </w:rPr>
      </w:pPr>
      <w:r w:rsidRPr="000231F9">
        <w:rPr>
          <w:rFonts w:asciiTheme="minorBidi" w:hAnsiTheme="minorBidi" w:cstheme="minorBidi"/>
          <w:sz w:val="20"/>
          <w:szCs w:val="20"/>
          <w:vertAlign w:val="superscript"/>
        </w:rPr>
        <w:footnoteRef/>
      </w:r>
      <w:r w:rsidRPr="008C49A0">
        <w:rPr>
          <w:rFonts w:asciiTheme="minorBidi" w:eastAsia="Times New Roman" w:hAnsiTheme="minorBidi" w:cstheme="minorBidi"/>
          <w:sz w:val="20"/>
          <w:szCs w:val="20"/>
          <w:lang w:val="en-US"/>
        </w:rPr>
        <w:t xml:space="preserve"> </w:t>
      </w:r>
      <w:r w:rsidR="008C49A0" w:rsidRPr="008C49A0">
        <w:rPr>
          <w:rFonts w:asciiTheme="minorBidi" w:eastAsia="Times New Roman" w:hAnsiTheme="minorBidi" w:cstheme="minorBidi"/>
          <w:sz w:val="20"/>
          <w:szCs w:val="20"/>
        </w:rPr>
        <w:t xml:space="preserve">Ministry of Labor of Colombia. Public Policy for the Prevention and Eradication of Commercial Sexual Exploitation of </w:t>
      </w:r>
      <w:r w:rsidR="008C49A0" w:rsidRPr="008C49A0">
        <w:rPr>
          <w:rFonts w:asciiTheme="minorBidi" w:eastAsia="Times New Roman" w:hAnsiTheme="minorBidi" w:cstheme="minorBidi"/>
          <w:sz w:val="20"/>
          <w:szCs w:val="20"/>
          <w:lang w:val="en-US"/>
        </w:rPr>
        <w:t xml:space="preserve">Boys, Girls, </w:t>
      </w:r>
      <w:r w:rsidR="008C49A0" w:rsidRPr="008C49A0">
        <w:rPr>
          <w:rFonts w:asciiTheme="minorBidi" w:eastAsia="Times New Roman" w:hAnsiTheme="minorBidi" w:cstheme="minorBidi"/>
          <w:sz w:val="20"/>
          <w:szCs w:val="20"/>
        </w:rPr>
        <w:t>and Adolescents - ESCNNA. 2018-2028. Available at</w:t>
      </w:r>
      <w:r w:rsidRPr="008C49A0">
        <w:rPr>
          <w:rFonts w:asciiTheme="minorBidi" w:eastAsia="Times New Roman" w:hAnsiTheme="minorBidi" w:cstheme="minorBidi"/>
          <w:sz w:val="20"/>
          <w:szCs w:val="20"/>
          <w:lang w:val="en-US"/>
        </w:rPr>
        <w:t xml:space="preserve">: </w:t>
      </w:r>
      <w:hyperlink r:id="rId44">
        <w:r w:rsidR="00C60456" w:rsidRPr="008C49A0">
          <w:rPr>
            <w:rFonts w:asciiTheme="minorBidi" w:eastAsia="Times New Roman" w:hAnsiTheme="minorBidi" w:cstheme="minorBidi"/>
            <w:color w:val="0B57D0"/>
            <w:sz w:val="20"/>
            <w:szCs w:val="20"/>
            <w:lang w:val="en-US"/>
          </w:rPr>
          <w:t>https://www.mintrabajo.gov.co/politica-publica-para-la-prevencion-y-erradicacion-de-la-explotacion-sexual-comercial-de-ninas-ninos-y-adolescentes</w:t>
        </w:r>
      </w:hyperlink>
      <w:r w:rsidRPr="008C49A0">
        <w:rPr>
          <w:rFonts w:asciiTheme="minorBidi" w:eastAsia="Times New Roman" w:hAnsiTheme="minorBidi" w:cstheme="minorBidi"/>
          <w:sz w:val="20"/>
          <w:szCs w:val="20"/>
          <w:lang w:val="en-US"/>
        </w:rPr>
        <w:t xml:space="preserve"> </w:t>
      </w:r>
    </w:p>
  </w:footnote>
  <w:footnote w:id="42">
    <w:p w14:paraId="000000FC" w14:textId="4F9513EA" w:rsidR="00C60456" w:rsidRPr="000231F9" w:rsidRDefault="00A74445">
      <w:pPr>
        <w:spacing w:line="240" w:lineRule="auto"/>
        <w:rPr>
          <w:rFonts w:asciiTheme="minorBidi" w:hAnsiTheme="minorBidi" w:cstheme="minorBidi"/>
          <w:sz w:val="20"/>
          <w:szCs w:val="20"/>
          <w:vertAlign w:val="superscript"/>
        </w:rPr>
      </w:pPr>
      <w:r w:rsidRPr="000231F9">
        <w:rPr>
          <w:rFonts w:asciiTheme="minorBidi" w:hAnsiTheme="minorBidi" w:cstheme="minorBidi"/>
          <w:sz w:val="20"/>
          <w:szCs w:val="20"/>
          <w:vertAlign w:val="superscript"/>
        </w:rPr>
        <w:footnoteRef/>
      </w:r>
      <w:r w:rsidRPr="0025143E">
        <w:rPr>
          <w:rFonts w:asciiTheme="minorBidi" w:hAnsiTheme="minorBidi" w:cstheme="minorBidi"/>
          <w:sz w:val="20"/>
          <w:szCs w:val="20"/>
          <w:vertAlign w:val="superscript"/>
          <w:lang w:val="en-US"/>
        </w:rPr>
        <w:t xml:space="preserve"> </w:t>
      </w:r>
      <w:r w:rsidRPr="0025143E">
        <w:rPr>
          <w:rFonts w:asciiTheme="minorBidi" w:eastAsia="Times New Roman" w:hAnsiTheme="minorBidi" w:cstheme="minorBidi"/>
          <w:sz w:val="20"/>
          <w:szCs w:val="20"/>
          <w:lang w:val="en-US"/>
        </w:rPr>
        <w:t xml:space="preserve">UNODC. </w:t>
      </w:r>
      <w:r w:rsidR="008C49A0" w:rsidRPr="008C49A0">
        <w:rPr>
          <w:rFonts w:asciiTheme="minorBidi" w:eastAsia="Times New Roman" w:hAnsiTheme="minorBidi" w:cstheme="minorBidi"/>
          <w:sz w:val="20"/>
          <w:szCs w:val="20"/>
        </w:rPr>
        <w:t>Global Study on Firearms Trafficking</w:t>
      </w:r>
      <w:r w:rsidRPr="008C49A0">
        <w:rPr>
          <w:rFonts w:asciiTheme="minorBidi" w:eastAsia="Times New Roman" w:hAnsiTheme="minorBidi" w:cstheme="minorBidi"/>
          <w:sz w:val="20"/>
          <w:szCs w:val="20"/>
          <w:lang w:val="en-US"/>
        </w:rPr>
        <w:t xml:space="preserve">. </w:t>
      </w:r>
      <w:r w:rsidRPr="000231F9">
        <w:rPr>
          <w:rFonts w:asciiTheme="minorBidi" w:eastAsia="Times New Roman" w:hAnsiTheme="minorBidi" w:cstheme="minorBidi"/>
          <w:sz w:val="20"/>
          <w:szCs w:val="20"/>
        </w:rPr>
        <w:t>2020</w:t>
      </w:r>
    </w:p>
  </w:footnote>
  <w:footnote w:id="43">
    <w:p w14:paraId="000000FD" w14:textId="22E1ED34" w:rsidR="00C60456" w:rsidRPr="008C49A0" w:rsidRDefault="00A74445">
      <w:pPr>
        <w:spacing w:line="240" w:lineRule="auto"/>
        <w:jc w:val="both"/>
        <w:rPr>
          <w:rFonts w:asciiTheme="minorBidi" w:eastAsia="Times New Roman" w:hAnsiTheme="minorBidi" w:cstheme="minorBidi"/>
          <w:sz w:val="20"/>
          <w:szCs w:val="20"/>
          <w:lang w:val="en-US"/>
        </w:rPr>
      </w:pPr>
      <w:r w:rsidRPr="000231F9">
        <w:rPr>
          <w:rFonts w:asciiTheme="minorBidi" w:hAnsiTheme="minorBidi" w:cstheme="minorBidi"/>
          <w:sz w:val="20"/>
          <w:szCs w:val="20"/>
          <w:vertAlign w:val="superscript"/>
        </w:rPr>
        <w:footnoteRef/>
      </w:r>
      <w:r w:rsidRPr="000231F9">
        <w:rPr>
          <w:rFonts w:asciiTheme="minorBidi" w:eastAsia="Times New Roman" w:hAnsiTheme="minorBidi" w:cstheme="minorBidi"/>
          <w:sz w:val="20"/>
          <w:szCs w:val="20"/>
        </w:rPr>
        <w:t xml:space="preserve"> Global Firearms Holdings. There are more than one billion firearms in the world, the vast majority of which are in civilian hands. </w:t>
      </w:r>
      <w:r w:rsidR="008C49A0" w:rsidRPr="008C49A0">
        <w:rPr>
          <w:rFonts w:asciiTheme="minorBidi" w:eastAsia="Times New Roman" w:hAnsiTheme="minorBidi" w:cstheme="minorBidi"/>
          <w:sz w:val="20"/>
          <w:szCs w:val="20"/>
        </w:rPr>
        <w:t>March 2020. Press release</w:t>
      </w:r>
      <w:r w:rsidRPr="008C49A0">
        <w:rPr>
          <w:rFonts w:asciiTheme="minorBidi" w:eastAsia="Times New Roman" w:hAnsiTheme="minorBidi" w:cstheme="minorBidi"/>
          <w:sz w:val="20"/>
          <w:szCs w:val="20"/>
          <w:lang w:val="en-US"/>
        </w:rPr>
        <w:t xml:space="preserve">. </w:t>
      </w:r>
      <w:r w:rsidR="008C49A0" w:rsidRPr="008C49A0">
        <w:rPr>
          <w:rFonts w:asciiTheme="minorBidi" w:eastAsia="Times New Roman" w:hAnsiTheme="minorBidi" w:cstheme="minorBidi"/>
          <w:sz w:val="20"/>
          <w:szCs w:val="20"/>
        </w:rPr>
        <w:t>Available at</w:t>
      </w:r>
      <w:r w:rsidRPr="008C49A0">
        <w:rPr>
          <w:rFonts w:asciiTheme="minorBidi" w:eastAsia="Times New Roman" w:hAnsiTheme="minorBidi" w:cstheme="minorBidi"/>
          <w:sz w:val="20"/>
          <w:szCs w:val="20"/>
          <w:lang w:val="en-US"/>
        </w:rPr>
        <w:t xml:space="preserve">: </w:t>
      </w:r>
      <w:r w:rsidRPr="008C49A0">
        <w:rPr>
          <w:rFonts w:asciiTheme="minorBidi" w:hAnsiTheme="minorBidi" w:cstheme="minorBidi"/>
          <w:sz w:val="20"/>
          <w:szCs w:val="20"/>
          <w:vertAlign w:val="superscript"/>
          <w:lang w:val="en-US"/>
        </w:rPr>
        <w:t xml:space="preserve"> </w:t>
      </w:r>
      <w:hyperlink r:id="rId45">
        <w:r w:rsidR="00C60456" w:rsidRPr="008C49A0">
          <w:rPr>
            <w:rFonts w:asciiTheme="minorBidi" w:eastAsia="Times New Roman" w:hAnsiTheme="minorBidi" w:cstheme="minorBidi"/>
            <w:color w:val="1155CC"/>
            <w:sz w:val="20"/>
            <w:szCs w:val="20"/>
            <w:u w:val="single"/>
            <w:lang w:val="en-US"/>
          </w:rPr>
          <w:t>https://www.smallarmssurvey.org/database/global-firearms-holdin</w:t>
        </w:r>
      </w:hyperlink>
      <w:hyperlink r:id="rId46">
        <w:r w:rsidR="00C60456" w:rsidRPr="008C49A0">
          <w:rPr>
            <w:rFonts w:asciiTheme="minorBidi" w:eastAsia="Times New Roman" w:hAnsiTheme="minorBidi" w:cstheme="minorBidi"/>
            <w:color w:val="1155CC"/>
            <w:sz w:val="20"/>
            <w:szCs w:val="20"/>
            <w:u w:val="single"/>
            <w:lang w:val="en-US"/>
          </w:rPr>
          <w:t>gs</w:t>
        </w:r>
      </w:hyperlink>
      <w:r w:rsidRPr="008C49A0">
        <w:rPr>
          <w:rFonts w:asciiTheme="minorBidi" w:eastAsia="Times New Roman" w:hAnsiTheme="minorBidi" w:cstheme="minorBidi"/>
          <w:sz w:val="20"/>
          <w:szCs w:val="20"/>
          <w:lang w:val="en-US"/>
        </w:rPr>
        <w:t xml:space="preserve"> </w:t>
      </w:r>
    </w:p>
  </w:footnote>
  <w:footnote w:id="44">
    <w:p w14:paraId="000000FE" w14:textId="59FA1F24" w:rsidR="00C60456" w:rsidRPr="0025143E" w:rsidRDefault="00A74445">
      <w:pPr>
        <w:spacing w:line="240" w:lineRule="auto"/>
        <w:jc w:val="both"/>
        <w:rPr>
          <w:rFonts w:asciiTheme="minorBidi" w:hAnsiTheme="minorBidi" w:cstheme="minorBidi"/>
          <w:sz w:val="20"/>
          <w:szCs w:val="20"/>
          <w:vertAlign w:val="superscript"/>
          <w:lang w:val="en-US"/>
        </w:rPr>
      </w:pPr>
      <w:r w:rsidRPr="000231F9">
        <w:rPr>
          <w:rFonts w:asciiTheme="minorBidi" w:hAnsiTheme="minorBidi" w:cstheme="minorBidi"/>
          <w:sz w:val="20"/>
          <w:szCs w:val="20"/>
          <w:vertAlign w:val="superscript"/>
        </w:rPr>
        <w:footnoteRef/>
      </w:r>
      <w:r w:rsidRPr="008C49A0">
        <w:rPr>
          <w:rFonts w:asciiTheme="minorBidi" w:hAnsiTheme="minorBidi" w:cstheme="minorBidi"/>
          <w:sz w:val="20"/>
          <w:szCs w:val="20"/>
          <w:vertAlign w:val="superscript"/>
          <w:lang w:val="en-US"/>
        </w:rPr>
        <w:t xml:space="preserve"> </w:t>
      </w:r>
      <w:r w:rsidR="008C49A0" w:rsidRPr="008C49A0">
        <w:rPr>
          <w:rFonts w:asciiTheme="minorBidi" w:eastAsia="Times New Roman" w:hAnsiTheme="minorBidi" w:cstheme="minorBidi"/>
          <w:sz w:val="20"/>
          <w:szCs w:val="20"/>
        </w:rPr>
        <w:t>They were responsible for the delivery of tens of thousands of German-made pistols first to the U.S. sister company and then to Colombia. German authorities had not authorized re-exportation to Colombia</w:t>
      </w:r>
      <w:r w:rsidR="008C49A0">
        <w:rPr>
          <w:rFonts w:asciiTheme="minorBidi" w:eastAsia="Times New Roman" w:hAnsiTheme="minorBidi" w:cstheme="minorBidi"/>
          <w:sz w:val="20"/>
          <w:szCs w:val="20"/>
        </w:rPr>
        <w:t>.</w:t>
      </w:r>
    </w:p>
  </w:footnote>
  <w:footnote w:id="45">
    <w:p w14:paraId="000000FF" w14:textId="18EC06D1" w:rsidR="00C60456" w:rsidRPr="0025143E" w:rsidRDefault="00A74445">
      <w:pPr>
        <w:spacing w:line="240" w:lineRule="auto"/>
        <w:rPr>
          <w:rFonts w:asciiTheme="minorBidi" w:eastAsia="Times New Roman" w:hAnsiTheme="minorBidi" w:cstheme="minorBidi"/>
          <w:sz w:val="20"/>
          <w:szCs w:val="20"/>
          <w:lang w:val="en-US"/>
        </w:rPr>
      </w:pPr>
      <w:r w:rsidRPr="000231F9">
        <w:rPr>
          <w:rFonts w:asciiTheme="minorBidi" w:hAnsiTheme="minorBidi" w:cstheme="minorBidi"/>
          <w:sz w:val="20"/>
          <w:szCs w:val="20"/>
          <w:vertAlign w:val="superscript"/>
        </w:rPr>
        <w:footnoteRef/>
      </w:r>
      <w:r w:rsidRPr="0025143E">
        <w:rPr>
          <w:rFonts w:asciiTheme="minorBidi" w:eastAsia="Times New Roman" w:hAnsiTheme="minorBidi" w:cstheme="minorBidi"/>
          <w:sz w:val="20"/>
          <w:szCs w:val="20"/>
          <w:u w:val="single"/>
          <w:vertAlign w:val="superscript"/>
          <w:lang w:val="en-US"/>
        </w:rPr>
        <w:t xml:space="preserve"> </w:t>
      </w:r>
      <w:r w:rsidRPr="0025143E">
        <w:rPr>
          <w:rFonts w:asciiTheme="minorBidi" w:eastAsia="Times New Roman" w:hAnsiTheme="minorBidi" w:cstheme="minorBidi"/>
          <w:sz w:val="20"/>
          <w:szCs w:val="20"/>
          <w:lang w:val="en-US"/>
        </w:rPr>
        <w:t xml:space="preserve">Cuestión Pública. </w:t>
      </w:r>
      <w:r w:rsidR="008C49A0" w:rsidRPr="008C49A0">
        <w:rPr>
          <w:rFonts w:asciiTheme="minorBidi" w:eastAsia="Times New Roman" w:hAnsiTheme="minorBidi" w:cstheme="minorBidi"/>
          <w:sz w:val="20"/>
          <w:szCs w:val="20"/>
        </w:rPr>
        <w:t>Press Release. "Fatal Transactions: The German Weapons That Silenced Civilians During the National Strike." Press Release. April 28, 2022. Available at</w:t>
      </w:r>
      <w:r w:rsidRPr="0025143E">
        <w:rPr>
          <w:rFonts w:asciiTheme="minorBidi" w:eastAsia="Times New Roman" w:hAnsiTheme="minorBidi" w:cstheme="minorBidi"/>
          <w:sz w:val="20"/>
          <w:szCs w:val="20"/>
          <w:lang w:val="en-US"/>
        </w:rPr>
        <w:t xml:space="preserve">: </w:t>
      </w:r>
    </w:p>
    <w:p w14:paraId="00000100" w14:textId="77777777" w:rsidR="00C60456" w:rsidRPr="0025143E" w:rsidRDefault="00BD593D">
      <w:pPr>
        <w:spacing w:line="240" w:lineRule="auto"/>
        <w:rPr>
          <w:rFonts w:asciiTheme="minorBidi" w:eastAsia="Times New Roman" w:hAnsiTheme="minorBidi" w:cstheme="minorBidi"/>
          <w:sz w:val="20"/>
          <w:szCs w:val="20"/>
          <w:u w:val="single"/>
          <w:lang w:val="en-US"/>
        </w:rPr>
      </w:pPr>
      <w:hyperlink r:id="rId47">
        <w:r w:rsidR="00C60456" w:rsidRPr="0025143E">
          <w:rPr>
            <w:rFonts w:asciiTheme="minorBidi" w:eastAsia="Times New Roman" w:hAnsiTheme="minorBidi" w:cstheme="minorBidi"/>
            <w:color w:val="1155CC"/>
            <w:sz w:val="20"/>
            <w:szCs w:val="20"/>
            <w:u w:val="single"/>
            <w:lang w:val="en-US"/>
          </w:rPr>
          <w:t>https://cutt.ly/fNzEFeX</w:t>
        </w:r>
      </w:hyperlink>
      <w:r w:rsidR="00C60456" w:rsidRPr="0025143E">
        <w:rPr>
          <w:rFonts w:asciiTheme="minorBidi" w:eastAsia="Times New Roman" w:hAnsiTheme="minorBidi" w:cstheme="minorBidi"/>
          <w:sz w:val="20"/>
          <w:szCs w:val="20"/>
          <w:u w:val="single"/>
          <w:lang w:val="en-US"/>
        </w:rPr>
        <w:t xml:space="preserve"> </w:t>
      </w:r>
    </w:p>
  </w:footnote>
  <w:footnote w:id="46">
    <w:p w14:paraId="0000013B" w14:textId="5CF5D2B4" w:rsidR="00C60456" w:rsidRPr="008C49A0" w:rsidRDefault="00A74445">
      <w:pPr>
        <w:spacing w:line="240" w:lineRule="auto"/>
        <w:rPr>
          <w:rFonts w:asciiTheme="minorBidi" w:hAnsiTheme="minorBidi" w:cstheme="minorBidi"/>
          <w:sz w:val="20"/>
          <w:szCs w:val="20"/>
          <w:vertAlign w:val="superscript"/>
          <w:lang w:val="en-US"/>
        </w:rPr>
      </w:pPr>
      <w:r w:rsidRPr="000231F9">
        <w:rPr>
          <w:rFonts w:asciiTheme="minorBidi" w:hAnsiTheme="minorBidi" w:cstheme="minorBidi"/>
          <w:sz w:val="20"/>
          <w:szCs w:val="20"/>
          <w:vertAlign w:val="superscript"/>
        </w:rPr>
        <w:footnoteRef/>
      </w:r>
      <w:r w:rsidRPr="008C49A0">
        <w:rPr>
          <w:rFonts w:asciiTheme="minorBidi" w:hAnsiTheme="minorBidi" w:cstheme="minorBidi"/>
          <w:sz w:val="20"/>
          <w:szCs w:val="20"/>
          <w:vertAlign w:val="superscript"/>
          <w:lang w:val="en-US"/>
        </w:rPr>
        <w:t xml:space="preserve"> </w:t>
      </w:r>
      <w:r w:rsidR="008C49A0" w:rsidRPr="008C49A0">
        <w:rPr>
          <w:rFonts w:asciiTheme="minorBidi" w:hAnsiTheme="minorBidi" w:cstheme="minorBidi"/>
          <w:sz w:val="20"/>
          <w:szCs w:val="20"/>
        </w:rPr>
        <w:t xml:space="preserve">Institute of Legal Medicine. </w:t>
      </w:r>
      <w:r w:rsidR="0074715B" w:rsidRPr="008C49A0">
        <w:rPr>
          <w:rFonts w:asciiTheme="minorBidi" w:hAnsiTheme="minorBidi" w:cstheme="minorBidi"/>
          <w:sz w:val="20"/>
          <w:szCs w:val="20"/>
        </w:rPr>
        <w:t>Forensics</w:t>
      </w:r>
      <w:r w:rsidR="008C49A0" w:rsidRPr="008C49A0">
        <w:rPr>
          <w:rFonts w:asciiTheme="minorBidi" w:hAnsiTheme="minorBidi" w:cstheme="minorBidi"/>
          <w:sz w:val="20"/>
          <w:szCs w:val="20"/>
        </w:rPr>
        <w:t xml:space="preserve"> Report. 2022. Available at</w:t>
      </w:r>
      <w:r w:rsidRPr="008C49A0">
        <w:rPr>
          <w:rFonts w:asciiTheme="minorBidi" w:hAnsiTheme="minorBidi" w:cstheme="minorBidi"/>
          <w:sz w:val="20"/>
          <w:szCs w:val="20"/>
          <w:lang w:val="en-US"/>
        </w:rPr>
        <w:t xml:space="preserve">: </w:t>
      </w:r>
      <w:hyperlink r:id="rId48">
        <w:r w:rsidR="00C60456" w:rsidRPr="008C49A0">
          <w:rPr>
            <w:rFonts w:asciiTheme="minorBidi" w:hAnsiTheme="minorBidi" w:cstheme="minorBidi"/>
            <w:color w:val="1155CC"/>
            <w:sz w:val="20"/>
            <w:szCs w:val="20"/>
            <w:u w:val="single"/>
            <w:lang w:val="en-US"/>
          </w:rPr>
          <w:t>https://www.medicinalegal.gov.co/cifras-estadisticas/forensis</w:t>
        </w:r>
      </w:hyperlink>
      <w:r w:rsidRPr="008C49A0">
        <w:rPr>
          <w:rFonts w:asciiTheme="minorBidi" w:hAnsiTheme="minorBidi" w:cstheme="minorBidi"/>
          <w:sz w:val="20"/>
          <w:szCs w:val="20"/>
          <w:lang w:val="en-US"/>
        </w:rPr>
        <w:t xml:space="preserve">. </w:t>
      </w:r>
    </w:p>
  </w:footnote>
  <w:footnote w:id="47">
    <w:p w14:paraId="00000101" w14:textId="64E4C5FB" w:rsidR="00C60456" w:rsidRPr="008F7700" w:rsidRDefault="00A74445">
      <w:pPr>
        <w:spacing w:line="240" w:lineRule="auto"/>
        <w:rPr>
          <w:rFonts w:asciiTheme="minorBidi" w:hAnsiTheme="minorBidi" w:cstheme="minorBidi"/>
          <w:sz w:val="20"/>
          <w:szCs w:val="20"/>
          <w:vertAlign w:val="superscript"/>
          <w:lang w:val="en-US"/>
        </w:rPr>
      </w:pPr>
      <w:r w:rsidRPr="000231F9">
        <w:rPr>
          <w:rFonts w:asciiTheme="minorBidi" w:hAnsiTheme="minorBidi" w:cstheme="minorBidi"/>
          <w:sz w:val="20"/>
          <w:szCs w:val="20"/>
          <w:vertAlign w:val="superscript"/>
        </w:rPr>
        <w:footnoteRef/>
      </w:r>
      <w:r w:rsidRPr="008C49A0">
        <w:rPr>
          <w:rFonts w:asciiTheme="minorBidi" w:hAnsiTheme="minorBidi" w:cstheme="minorBidi"/>
          <w:sz w:val="20"/>
          <w:szCs w:val="20"/>
          <w:vertAlign w:val="superscript"/>
          <w:lang w:val="en-US"/>
        </w:rPr>
        <w:t xml:space="preserve"> </w:t>
      </w:r>
      <w:r w:rsidR="008C49A0" w:rsidRPr="008C49A0">
        <w:rPr>
          <w:rFonts w:asciiTheme="minorBidi" w:hAnsiTheme="minorBidi" w:cstheme="minorBidi"/>
          <w:sz w:val="20"/>
          <w:szCs w:val="20"/>
        </w:rPr>
        <w:t xml:space="preserve">Committee on the Rights of the Child. </w:t>
      </w:r>
      <w:r w:rsidR="008C49A0" w:rsidRPr="008C49A0">
        <w:rPr>
          <w:rFonts w:asciiTheme="minorBidi" w:hAnsiTheme="minorBidi" w:cstheme="minorBidi"/>
          <w:sz w:val="20"/>
          <w:szCs w:val="20"/>
          <w:lang w:val="en-US"/>
        </w:rPr>
        <w:t xml:space="preserve">Final </w:t>
      </w:r>
      <w:r w:rsidR="008C49A0" w:rsidRPr="008C49A0">
        <w:rPr>
          <w:rFonts w:asciiTheme="minorBidi" w:hAnsiTheme="minorBidi" w:cstheme="minorBidi"/>
          <w:sz w:val="20"/>
          <w:szCs w:val="20"/>
        </w:rPr>
        <w:t>Concl</w:t>
      </w:r>
      <w:r w:rsidR="008F7700">
        <w:rPr>
          <w:rFonts w:asciiTheme="minorBidi" w:hAnsiTheme="minorBidi" w:cstheme="minorBidi"/>
          <w:sz w:val="20"/>
          <w:szCs w:val="20"/>
        </w:rPr>
        <w:t>u</w:t>
      </w:r>
      <w:r w:rsidR="008C49A0" w:rsidRPr="008C49A0">
        <w:rPr>
          <w:rFonts w:asciiTheme="minorBidi" w:hAnsiTheme="minorBidi" w:cstheme="minorBidi"/>
          <w:sz w:val="20"/>
          <w:szCs w:val="20"/>
          <w:lang w:val="en-US"/>
        </w:rPr>
        <w:t>s</w:t>
      </w:r>
      <w:r w:rsidR="008C49A0" w:rsidRPr="008C49A0">
        <w:rPr>
          <w:rFonts w:asciiTheme="minorBidi" w:hAnsiTheme="minorBidi" w:cstheme="minorBidi"/>
          <w:sz w:val="20"/>
          <w:szCs w:val="20"/>
        </w:rPr>
        <w:t>ions on the Fourth and Fifth Combined Periodic Reports of Colombia. CRC/C/COL/CO/4-5. March 6, 2015, recommendation 16.a</w:t>
      </w:r>
      <w:r w:rsidRPr="008F7700">
        <w:rPr>
          <w:rFonts w:asciiTheme="minorBidi" w:hAnsiTheme="minorBidi" w:cstheme="minorBidi"/>
          <w:sz w:val="20"/>
          <w:szCs w:val="20"/>
          <w:lang w:val="en-US"/>
        </w:rPr>
        <w:t>.</w:t>
      </w:r>
    </w:p>
  </w:footnote>
  <w:footnote w:id="48">
    <w:p w14:paraId="00000103" w14:textId="096DD6E4" w:rsidR="00C60456" w:rsidRPr="0074715B" w:rsidRDefault="00A74445" w:rsidP="008F7700">
      <w:pPr>
        <w:spacing w:line="240" w:lineRule="auto"/>
        <w:rPr>
          <w:rFonts w:asciiTheme="minorBidi" w:hAnsiTheme="minorBidi" w:cstheme="minorBidi"/>
          <w:sz w:val="20"/>
          <w:szCs w:val="20"/>
          <w:lang w:val="en-US"/>
        </w:rPr>
      </w:pPr>
      <w:r w:rsidRPr="0074715B">
        <w:rPr>
          <w:rFonts w:asciiTheme="minorBidi" w:hAnsiTheme="minorBidi" w:cstheme="minorBidi"/>
          <w:sz w:val="20"/>
          <w:szCs w:val="20"/>
          <w:vertAlign w:val="superscript"/>
          <w:lang w:val="en-US"/>
        </w:rPr>
        <w:footnoteRef/>
      </w:r>
      <w:r w:rsidRPr="0074715B">
        <w:rPr>
          <w:rFonts w:asciiTheme="minorBidi" w:hAnsiTheme="minorBidi" w:cstheme="minorBidi"/>
          <w:sz w:val="20"/>
          <w:szCs w:val="20"/>
          <w:lang w:val="en-US"/>
        </w:rPr>
        <w:t xml:space="preserve"> </w:t>
      </w:r>
      <w:r w:rsidR="008F7700" w:rsidRPr="0074715B">
        <w:rPr>
          <w:rFonts w:asciiTheme="minorBidi" w:hAnsiTheme="minorBidi" w:cstheme="minorBidi"/>
          <w:sz w:val="20"/>
          <w:szCs w:val="20"/>
          <w:lang w:val="en-US"/>
        </w:rPr>
        <w:t xml:space="preserve">Pensamiento y Acción Social (PAS) – </w:t>
      </w:r>
      <w:r w:rsidR="008F7700" w:rsidRPr="0074715B">
        <w:rPr>
          <w:rFonts w:asciiTheme="minorBidi" w:hAnsiTheme="minorBidi" w:cstheme="minorBidi"/>
          <w:i/>
          <w:iCs/>
          <w:sz w:val="20"/>
          <w:szCs w:val="20"/>
          <w:lang w:val="en-US"/>
        </w:rPr>
        <w:t>Social Thinking and Action</w:t>
      </w:r>
      <w:r w:rsidR="008F7700" w:rsidRPr="0074715B">
        <w:rPr>
          <w:rFonts w:asciiTheme="minorBidi" w:hAnsiTheme="minorBidi" w:cstheme="minorBidi"/>
          <w:sz w:val="20"/>
          <w:szCs w:val="20"/>
          <w:lang w:val="en-US"/>
        </w:rPr>
        <w:t>. Identities and Risks in the Children and Youth Environmental Defenders in Colombia: Organizational Expressions, Risk Analysis, and Challenges for its Protection. February 2023. Available at</w:t>
      </w:r>
      <w:r w:rsidRPr="0074715B">
        <w:rPr>
          <w:rFonts w:asciiTheme="minorBidi" w:hAnsiTheme="minorBidi" w:cstheme="minorBidi"/>
          <w:sz w:val="20"/>
          <w:szCs w:val="20"/>
          <w:lang w:val="en-US"/>
        </w:rPr>
        <w:t xml:space="preserve">: </w:t>
      </w:r>
      <w:hyperlink r:id="rId49">
        <w:r w:rsidR="00C60456" w:rsidRPr="0074715B">
          <w:rPr>
            <w:rFonts w:asciiTheme="minorBidi" w:hAnsiTheme="minorBidi" w:cstheme="minorBidi"/>
            <w:color w:val="1155CC"/>
            <w:sz w:val="20"/>
            <w:szCs w:val="20"/>
            <w:u w:val="single"/>
            <w:lang w:val="en-US"/>
          </w:rPr>
          <w:t>https://www.pas.org.co/_files/ugd/b432f9_bf0102c8dac042ebb162df5afbe8ea9f.pdf</w:t>
        </w:r>
      </w:hyperlink>
      <w:r w:rsidRPr="0074715B">
        <w:rPr>
          <w:rFonts w:asciiTheme="minorBidi" w:hAnsiTheme="minorBidi" w:cstheme="minorBidi"/>
          <w:sz w:val="20"/>
          <w:szCs w:val="20"/>
          <w:lang w:val="en-US"/>
        </w:rPr>
        <w:t xml:space="preserve"> </w:t>
      </w:r>
    </w:p>
  </w:footnote>
  <w:footnote w:id="49">
    <w:p w14:paraId="1AB1F0B8" w14:textId="5807C5D3" w:rsidR="00CC064B" w:rsidRPr="0074715B" w:rsidRDefault="00CC064B" w:rsidP="00CC064B">
      <w:pPr>
        <w:spacing w:line="240" w:lineRule="auto"/>
        <w:jc w:val="both"/>
        <w:rPr>
          <w:rFonts w:asciiTheme="minorBidi" w:hAnsiTheme="minorBidi" w:cstheme="minorBidi"/>
          <w:sz w:val="20"/>
          <w:szCs w:val="20"/>
          <w:lang w:val="en-US"/>
        </w:rPr>
      </w:pPr>
      <w:r w:rsidRPr="0074715B">
        <w:rPr>
          <w:rFonts w:asciiTheme="minorBidi" w:hAnsiTheme="minorBidi" w:cstheme="minorBidi"/>
          <w:sz w:val="20"/>
          <w:szCs w:val="20"/>
          <w:vertAlign w:val="superscript"/>
          <w:lang w:val="en-US"/>
        </w:rPr>
        <w:footnoteRef/>
      </w:r>
      <w:r w:rsidRPr="0074715B">
        <w:rPr>
          <w:rFonts w:asciiTheme="minorBidi" w:hAnsiTheme="minorBidi" w:cstheme="minorBidi"/>
          <w:sz w:val="20"/>
          <w:szCs w:val="20"/>
          <w:lang w:val="en-US"/>
        </w:rPr>
        <w:t xml:space="preserve"> </w:t>
      </w:r>
      <w:r w:rsidR="008F7700" w:rsidRPr="0074715B">
        <w:rPr>
          <w:rFonts w:asciiTheme="minorBidi" w:hAnsiTheme="minorBidi" w:cstheme="minorBidi"/>
          <w:sz w:val="20"/>
          <w:szCs w:val="20"/>
          <w:lang w:val="en-US"/>
        </w:rPr>
        <w:t xml:space="preserve">The murder of Breiner David Cucuñame, a 14-year-old environmental protector who was part of the Kiwe Thegna indigenous student guard in the Las Delicias reserve, part of the Northern Cauca Indigenous Council Association (ACIN), during an attack by FARC-EP dissidents on the group of defenders protecting the territory. This situation was condemned by the IACHR. </w:t>
      </w:r>
      <w:r w:rsidR="0074715B" w:rsidRPr="0074715B">
        <w:rPr>
          <w:rFonts w:asciiTheme="minorBidi" w:hAnsiTheme="minorBidi" w:cstheme="minorBidi"/>
          <w:sz w:val="20"/>
          <w:szCs w:val="20"/>
          <w:lang w:val="en-US"/>
        </w:rPr>
        <w:t>See:</w:t>
      </w:r>
      <w:r w:rsidRPr="0074715B">
        <w:rPr>
          <w:rFonts w:asciiTheme="minorBidi" w:hAnsiTheme="minorBidi" w:cstheme="minorBidi"/>
          <w:sz w:val="20"/>
          <w:szCs w:val="20"/>
          <w:lang w:val="en-US"/>
        </w:rPr>
        <w:t xml:space="preserve"> </w:t>
      </w:r>
      <w:hyperlink r:id="rId50">
        <w:r w:rsidRPr="0074715B">
          <w:rPr>
            <w:rFonts w:asciiTheme="minorBidi" w:hAnsiTheme="minorBidi" w:cstheme="minorBidi"/>
            <w:color w:val="1155CC"/>
            <w:sz w:val="20"/>
            <w:szCs w:val="20"/>
            <w:u w:val="single"/>
            <w:lang w:val="en-US"/>
          </w:rPr>
          <w:t>https://www.oas.org/es/cidh/jsForm/?File=/es/cidh/prensa/comunicados/2022/114.asp</w:t>
        </w:r>
      </w:hyperlink>
      <w:r w:rsidRPr="0074715B">
        <w:rPr>
          <w:rFonts w:asciiTheme="minorBidi" w:hAnsiTheme="minorBidi" w:cstheme="minorBidi"/>
          <w:sz w:val="20"/>
          <w:szCs w:val="20"/>
          <w:lang w:val="en-US"/>
        </w:rPr>
        <w:t xml:space="preserve"> </w:t>
      </w:r>
    </w:p>
  </w:footnote>
  <w:footnote w:id="50">
    <w:p w14:paraId="0000012F" w14:textId="62B52785" w:rsidR="00C60456" w:rsidRPr="008F7700" w:rsidRDefault="00A74445">
      <w:pPr>
        <w:spacing w:line="240" w:lineRule="auto"/>
        <w:rPr>
          <w:rFonts w:asciiTheme="minorBidi" w:hAnsiTheme="minorBidi" w:cstheme="minorBidi"/>
          <w:sz w:val="20"/>
          <w:szCs w:val="20"/>
          <w:lang w:val="en-US"/>
        </w:rPr>
      </w:pPr>
      <w:r w:rsidRPr="000231F9">
        <w:rPr>
          <w:rFonts w:asciiTheme="minorBidi" w:hAnsiTheme="minorBidi" w:cstheme="minorBidi"/>
          <w:sz w:val="20"/>
          <w:szCs w:val="20"/>
          <w:vertAlign w:val="superscript"/>
        </w:rPr>
        <w:footnoteRef/>
      </w:r>
      <w:r w:rsidRPr="008F7700">
        <w:rPr>
          <w:rFonts w:asciiTheme="minorBidi" w:hAnsiTheme="minorBidi" w:cstheme="minorBidi"/>
          <w:sz w:val="20"/>
          <w:szCs w:val="20"/>
          <w:lang w:val="en-US"/>
        </w:rPr>
        <w:t xml:space="preserve"> </w:t>
      </w:r>
      <w:r w:rsidR="008F7700" w:rsidRPr="008F7700">
        <w:rPr>
          <w:rFonts w:asciiTheme="minorBidi" w:hAnsiTheme="minorBidi" w:cstheme="minorBidi"/>
          <w:sz w:val="20"/>
          <w:szCs w:val="20"/>
        </w:rPr>
        <w:t>Pensamiento y Acción Social (PAS)</w:t>
      </w:r>
      <w:r w:rsidR="008F7700" w:rsidRPr="008F7700">
        <w:rPr>
          <w:rFonts w:asciiTheme="minorBidi" w:hAnsiTheme="minorBidi" w:cstheme="minorBidi"/>
          <w:sz w:val="20"/>
          <w:szCs w:val="20"/>
          <w:lang w:val="en-US"/>
        </w:rPr>
        <w:t xml:space="preserve"> – </w:t>
      </w:r>
      <w:r w:rsidR="008F7700" w:rsidRPr="008F7700">
        <w:rPr>
          <w:rFonts w:asciiTheme="minorBidi" w:hAnsiTheme="minorBidi" w:cstheme="minorBidi"/>
          <w:i/>
          <w:iCs/>
          <w:sz w:val="20"/>
          <w:szCs w:val="20"/>
          <w:lang w:val="en-US"/>
        </w:rPr>
        <w:t>Social Thinking and Action</w:t>
      </w:r>
      <w:r w:rsidR="008F7700" w:rsidRPr="008F7700">
        <w:rPr>
          <w:rFonts w:asciiTheme="minorBidi" w:hAnsiTheme="minorBidi" w:cstheme="minorBidi"/>
          <w:sz w:val="20"/>
          <w:szCs w:val="20"/>
        </w:rPr>
        <w:t>. Identities and Risks in the Children and Youth Environmental Defen</w:t>
      </w:r>
      <w:r w:rsidR="008F7700" w:rsidRPr="008F7700">
        <w:rPr>
          <w:rFonts w:asciiTheme="minorBidi" w:hAnsiTheme="minorBidi" w:cstheme="minorBidi"/>
          <w:sz w:val="20"/>
          <w:szCs w:val="20"/>
          <w:lang w:val="en-US"/>
        </w:rPr>
        <w:t>ders</w:t>
      </w:r>
      <w:r w:rsidR="008F7700" w:rsidRPr="008F7700">
        <w:rPr>
          <w:rFonts w:asciiTheme="minorBidi" w:hAnsiTheme="minorBidi" w:cstheme="minorBidi"/>
          <w:sz w:val="20"/>
          <w:szCs w:val="20"/>
        </w:rPr>
        <w:t xml:space="preserve"> in Colombia: Organizational Expressions, Risk Analysis, and Challenges for </w:t>
      </w:r>
      <w:r w:rsidR="008F7700" w:rsidRPr="008F7700">
        <w:rPr>
          <w:rFonts w:asciiTheme="minorBidi" w:hAnsiTheme="minorBidi" w:cstheme="minorBidi"/>
          <w:sz w:val="20"/>
          <w:szCs w:val="20"/>
          <w:lang w:val="en-US"/>
        </w:rPr>
        <w:t xml:space="preserve">its </w:t>
      </w:r>
      <w:r w:rsidR="008F7700" w:rsidRPr="008F7700">
        <w:rPr>
          <w:rFonts w:asciiTheme="minorBidi" w:hAnsiTheme="minorBidi" w:cstheme="minorBidi"/>
          <w:sz w:val="20"/>
          <w:szCs w:val="20"/>
        </w:rPr>
        <w:t>Protection. February 2023. Available at</w:t>
      </w:r>
      <w:r w:rsidRPr="008F7700">
        <w:rPr>
          <w:rFonts w:asciiTheme="minorBidi" w:hAnsiTheme="minorBidi" w:cstheme="minorBidi"/>
          <w:sz w:val="20"/>
          <w:szCs w:val="20"/>
          <w:lang w:val="en-US"/>
        </w:rPr>
        <w:t xml:space="preserve">: </w:t>
      </w:r>
      <w:hyperlink r:id="rId51">
        <w:r w:rsidR="00C60456" w:rsidRPr="008F7700">
          <w:rPr>
            <w:rFonts w:asciiTheme="minorBidi" w:hAnsiTheme="minorBidi" w:cstheme="minorBidi"/>
            <w:color w:val="1155CC"/>
            <w:sz w:val="20"/>
            <w:szCs w:val="20"/>
            <w:u w:val="single"/>
            <w:lang w:val="en-US"/>
          </w:rPr>
          <w:t>https://www.pas.org.co/_files/ugd/b432f9_bf0102c8dac042ebb162df5afbe8ea9f.pdf</w:t>
        </w:r>
      </w:hyperlink>
      <w:r w:rsidRPr="008F7700">
        <w:rPr>
          <w:rFonts w:asciiTheme="minorBidi" w:hAnsiTheme="minorBidi" w:cstheme="minorBidi"/>
          <w:sz w:val="20"/>
          <w:szCs w:val="20"/>
          <w:lang w:val="en-US"/>
        </w:rPr>
        <w:t xml:space="preserve"> </w:t>
      </w:r>
    </w:p>
  </w:footnote>
  <w:footnote w:id="51">
    <w:p w14:paraId="00000130" w14:textId="2DF0D1D4" w:rsidR="00C60456" w:rsidRPr="008F7700" w:rsidRDefault="00A74445">
      <w:pPr>
        <w:spacing w:line="240" w:lineRule="auto"/>
        <w:rPr>
          <w:rFonts w:asciiTheme="minorBidi" w:hAnsiTheme="minorBidi" w:cstheme="minorBidi"/>
          <w:sz w:val="20"/>
          <w:szCs w:val="20"/>
          <w:lang w:val="en-US"/>
        </w:rPr>
      </w:pPr>
      <w:r w:rsidRPr="000231F9">
        <w:rPr>
          <w:rFonts w:asciiTheme="minorBidi" w:hAnsiTheme="minorBidi" w:cstheme="minorBidi"/>
          <w:sz w:val="20"/>
          <w:szCs w:val="20"/>
          <w:vertAlign w:val="superscript"/>
        </w:rPr>
        <w:footnoteRef/>
      </w:r>
      <w:r w:rsidRPr="008F7700">
        <w:rPr>
          <w:rFonts w:asciiTheme="minorBidi" w:hAnsiTheme="minorBidi" w:cstheme="minorBidi"/>
          <w:sz w:val="20"/>
          <w:szCs w:val="20"/>
          <w:lang w:val="en-US"/>
        </w:rPr>
        <w:t xml:space="preserve">  Ibid.</w:t>
      </w:r>
    </w:p>
  </w:footnote>
  <w:footnote w:id="52">
    <w:p w14:paraId="00000104" w14:textId="5AA2A7C0" w:rsidR="00C60456" w:rsidRPr="0074715B" w:rsidRDefault="00A74445">
      <w:pPr>
        <w:spacing w:line="240" w:lineRule="auto"/>
        <w:rPr>
          <w:rFonts w:asciiTheme="minorBidi" w:hAnsiTheme="minorBidi" w:cstheme="minorBidi"/>
          <w:sz w:val="20"/>
          <w:szCs w:val="20"/>
          <w:lang w:val="en-US"/>
        </w:rPr>
      </w:pPr>
      <w:r w:rsidRPr="0074715B">
        <w:rPr>
          <w:rFonts w:asciiTheme="minorBidi" w:hAnsiTheme="minorBidi" w:cstheme="minorBidi"/>
          <w:sz w:val="20"/>
          <w:szCs w:val="20"/>
          <w:vertAlign w:val="superscript"/>
          <w:lang w:val="en-US"/>
        </w:rPr>
        <w:footnoteRef/>
      </w:r>
      <w:r w:rsidR="008F7700" w:rsidRPr="0074715B">
        <w:rPr>
          <w:rFonts w:asciiTheme="minorBidi" w:hAnsiTheme="minorBidi" w:cstheme="minorBidi"/>
          <w:sz w:val="20"/>
          <w:szCs w:val="20"/>
          <w:lang w:val="en-US"/>
        </w:rPr>
        <w:t xml:space="preserve">Committee on the Rights of the Child. Final </w:t>
      </w:r>
      <w:r w:rsidR="005D6FCC">
        <w:rPr>
          <w:rFonts w:asciiTheme="minorBidi" w:hAnsiTheme="minorBidi" w:cstheme="minorBidi"/>
          <w:sz w:val="20"/>
          <w:szCs w:val="20"/>
          <w:lang w:val="en-US"/>
        </w:rPr>
        <w:t>c</w:t>
      </w:r>
      <w:r w:rsidR="008F7700" w:rsidRPr="0074715B">
        <w:rPr>
          <w:rFonts w:asciiTheme="minorBidi" w:hAnsiTheme="minorBidi" w:cstheme="minorBidi"/>
          <w:sz w:val="20"/>
          <w:szCs w:val="20"/>
          <w:lang w:val="en-US"/>
        </w:rPr>
        <w:t>onclusions on the Sixth and Seventh Combined Periodic Reports of Chile. CRC/C/CHL/CO/6-7. June 22, 2022. Available at</w:t>
      </w:r>
      <w:r w:rsidRPr="0074715B">
        <w:rPr>
          <w:rFonts w:asciiTheme="minorBidi" w:hAnsiTheme="minorBidi" w:cstheme="minorBidi"/>
          <w:sz w:val="20"/>
          <w:szCs w:val="20"/>
          <w:lang w:val="en-US"/>
        </w:rPr>
        <w:t xml:space="preserve">: </w:t>
      </w:r>
      <w:hyperlink r:id="rId52">
        <w:r w:rsidR="00C60456" w:rsidRPr="0074715B">
          <w:rPr>
            <w:rFonts w:asciiTheme="minorBidi" w:hAnsiTheme="minorBidi" w:cstheme="minorBidi"/>
            <w:color w:val="1155CC"/>
            <w:sz w:val="20"/>
            <w:szCs w:val="20"/>
            <w:u w:val="single"/>
            <w:lang w:val="en-US"/>
          </w:rPr>
          <w:t>https://cutt.ly/9NzTOmV</w:t>
        </w:r>
      </w:hyperlink>
      <w:r w:rsidRPr="0074715B">
        <w:rPr>
          <w:rFonts w:asciiTheme="minorBidi" w:hAnsiTheme="minorBidi" w:cstheme="minorBidi"/>
          <w:sz w:val="20"/>
          <w:szCs w:val="20"/>
          <w:lang w:val="en-US"/>
        </w:rPr>
        <w:t xml:space="preserve"> </w:t>
      </w:r>
    </w:p>
  </w:footnote>
  <w:footnote w:id="53">
    <w:p w14:paraId="00000105" w14:textId="7F5DAEB4" w:rsidR="00C60456" w:rsidRPr="0074715B" w:rsidRDefault="00A74445">
      <w:pPr>
        <w:spacing w:line="240" w:lineRule="auto"/>
        <w:jc w:val="both"/>
        <w:rPr>
          <w:rFonts w:asciiTheme="minorBidi" w:hAnsiTheme="minorBidi" w:cstheme="minorBidi"/>
          <w:sz w:val="20"/>
          <w:szCs w:val="20"/>
          <w:lang w:val="en-US"/>
        </w:rPr>
      </w:pPr>
      <w:r w:rsidRPr="0074715B">
        <w:rPr>
          <w:rFonts w:asciiTheme="minorBidi" w:hAnsiTheme="minorBidi" w:cstheme="minorBidi"/>
          <w:sz w:val="20"/>
          <w:szCs w:val="20"/>
          <w:vertAlign w:val="superscript"/>
          <w:lang w:val="en-US"/>
        </w:rPr>
        <w:footnoteRef/>
      </w:r>
      <w:r w:rsidR="008F7700" w:rsidRPr="0074715B">
        <w:rPr>
          <w:rFonts w:asciiTheme="minorBidi" w:hAnsiTheme="minorBidi" w:cstheme="minorBidi"/>
          <w:sz w:val="20"/>
          <w:szCs w:val="20"/>
          <w:lang w:val="en-US"/>
        </w:rPr>
        <w:t xml:space="preserve">Committee on the Rights of the Child. Final </w:t>
      </w:r>
      <w:r w:rsidR="005D6FCC">
        <w:rPr>
          <w:rFonts w:asciiTheme="minorBidi" w:hAnsiTheme="minorBidi" w:cstheme="minorBidi"/>
          <w:sz w:val="20"/>
          <w:szCs w:val="20"/>
          <w:lang w:val="en-US"/>
        </w:rPr>
        <w:t>c</w:t>
      </w:r>
      <w:r w:rsidR="008F7700" w:rsidRPr="0074715B">
        <w:rPr>
          <w:rFonts w:asciiTheme="minorBidi" w:hAnsiTheme="minorBidi" w:cstheme="minorBidi"/>
          <w:sz w:val="20"/>
          <w:szCs w:val="20"/>
          <w:lang w:val="en-US"/>
        </w:rPr>
        <w:t>onclusions on the Third to Sixth Combined Periodic Reports of Cuba. CRC/C/CUB/CO/3-6. June 16, 2022. Available at</w:t>
      </w:r>
      <w:r w:rsidRPr="0074715B">
        <w:rPr>
          <w:rFonts w:asciiTheme="minorBidi" w:hAnsiTheme="minorBidi" w:cstheme="minorBidi"/>
          <w:sz w:val="20"/>
          <w:szCs w:val="20"/>
          <w:lang w:val="en-US"/>
        </w:rPr>
        <w:t xml:space="preserve">: </w:t>
      </w:r>
      <w:hyperlink r:id="rId53">
        <w:r w:rsidR="00C60456" w:rsidRPr="0074715B">
          <w:rPr>
            <w:rFonts w:asciiTheme="minorBidi" w:hAnsiTheme="minorBidi" w:cstheme="minorBidi"/>
            <w:color w:val="1155CC"/>
            <w:sz w:val="20"/>
            <w:szCs w:val="20"/>
            <w:u w:val="single"/>
            <w:lang w:val="en-US"/>
          </w:rPr>
          <w:t>https://cutt.ly/cNzYo6V</w:t>
        </w:r>
      </w:hyperlink>
      <w:r w:rsidRPr="0074715B">
        <w:rPr>
          <w:rFonts w:asciiTheme="minorBidi" w:hAnsiTheme="minorBidi" w:cstheme="minorBidi"/>
          <w:sz w:val="20"/>
          <w:szCs w:val="20"/>
          <w:lang w:val="en-US"/>
        </w:rPr>
        <w:t xml:space="preserve">. P. 54 </w:t>
      </w:r>
      <w:r w:rsidR="008F7700" w:rsidRPr="0074715B">
        <w:rPr>
          <w:rFonts w:asciiTheme="minorBidi" w:hAnsiTheme="minorBidi" w:cstheme="minorBidi"/>
          <w:sz w:val="20"/>
          <w:szCs w:val="20"/>
          <w:lang w:val="en-US"/>
        </w:rPr>
        <w:t>and</w:t>
      </w:r>
      <w:r w:rsidRPr="0074715B">
        <w:rPr>
          <w:rFonts w:asciiTheme="minorBidi" w:hAnsiTheme="minorBidi" w:cstheme="minorBidi"/>
          <w:sz w:val="20"/>
          <w:szCs w:val="20"/>
          <w:lang w:val="en-US"/>
        </w:rPr>
        <w:t xml:space="preserve"> 51. </w:t>
      </w:r>
    </w:p>
  </w:footnote>
  <w:footnote w:id="54">
    <w:p w14:paraId="00000108" w14:textId="367ECE28" w:rsidR="00C60456" w:rsidRPr="0074715B" w:rsidRDefault="00A74445" w:rsidP="008F7700">
      <w:pPr>
        <w:spacing w:line="240" w:lineRule="auto"/>
        <w:rPr>
          <w:rFonts w:asciiTheme="minorBidi" w:hAnsiTheme="minorBidi" w:cstheme="minorBidi"/>
          <w:sz w:val="20"/>
          <w:szCs w:val="20"/>
          <w:lang w:val="en-US"/>
        </w:rPr>
      </w:pPr>
      <w:r w:rsidRPr="0074715B">
        <w:rPr>
          <w:rFonts w:asciiTheme="minorBidi" w:hAnsiTheme="minorBidi" w:cstheme="minorBidi"/>
          <w:sz w:val="20"/>
          <w:szCs w:val="20"/>
          <w:vertAlign w:val="superscript"/>
          <w:lang w:val="en-US"/>
        </w:rPr>
        <w:footnoteRef/>
      </w:r>
      <w:r w:rsidRPr="0074715B">
        <w:rPr>
          <w:rFonts w:asciiTheme="minorBidi" w:hAnsiTheme="minorBidi" w:cstheme="minorBidi"/>
          <w:sz w:val="20"/>
          <w:szCs w:val="20"/>
          <w:lang w:val="en-US"/>
        </w:rPr>
        <w:t xml:space="preserve"> </w:t>
      </w:r>
      <w:r w:rsidR="008F7700" w:rsidRPr="0074715B">
        <w:rPr>
          <w:rFonts w:asciiTheme="minorBidi" w:hAnsiTheme="minorBidi" w:cstheme="minorBidi"/>
          <w:sz w:val="20"/>
          <w:szCs w:val="20"/>
          <w:lang w:val="en-US"/>
        </w:rPr>
        <w:t>Amnesty International. Press Release: Colombia: Repression Against Protesters. May 5, 2021. Available at</w:t>
      </w:r>
      <w:r w:rsidRPr="0074715B">
        <w:rPr>
          <w:rFonts w:asciiTheme="minorBidi" w:hAnsiTheme="minorBidi" w:cstheme="minorBidi"/>
          <w:sz w:val="20"/>
          <w:szCs w:val="20"/>
          <w:lang w:val="en-US"/>
        </w:rPr>
        <w:t xml:space="preserve">: </w:t>
      </w:r>
      <w:hyperlink r:id="rId54">
        <w:r w:rsidR="00C60456" w:rsidRPr="0074715B">
          <w:rPr>
            <w:rFonts w:asciiTheme="minorBidi" w:hAnsiTheme="minorBidi" w:cstheme="minorBidi"/>
            <w:color w:val="1155CC"/>
            <w:sz w:val="20"/>
            <w:szCs w:val="20"/>
            <w:u w:val="single"/>
            <w:lang w:val="en-US"/>
          </w:rPr>
          <w:t>https://www.amnesty.org/es/documents/amr23/4083/2021/es/</w:t>
        </w:r>
      </w:hyperlink>
      <w:r w:rsidRPr="0074715B">
        <w:rPr>
          <w:rFonts w:asciiTheme="minorBidi" w:hAnsiTheme="minorBidi" w:cstheme="minorBidi"/>
          <w:sz w:val="20"/>
          <w:szCs w:val="20"/>
          <w:lang w:val="en-US"/>
        </w:rPr>
        <w:t xml:space="preserve"> </w:t>
      </w:r>
      <w:r w:rsidR="008F7700" w:rsidRPr="0074715B">
        <w:rPr>
          <w:rFonts w:asciiTheme="minorBidi" w:hAnsiTheme="minorBidi" w:cstheme="minorBidi"/>
          <w:sz w:val="20"/>
          <w:szCs w:val="20"/>
          <w:lang w:val="en-US"/>
        </w:rPr>
        <w:t>Amnesty International. Report</w:t>
      </w:r>
      <w:r w:rsidRPr="0074715B">
        <w:rPr>
          <w:rFonts w:asciiTheme="minorBidi" w:hAnsiTheme="minorBidi" w:cstheme="minorBidi"/>
          <w:sz w:val="20"/>
          <w:szCs w:val="20"/>
          <w:lang w:val="en-US"/>
        </w:rPr>
        <w:t xml:space="preserve">: Cali, </w:t>
      </w:r>
      <w:r w:rsidR="008F7700" w:rsidRPr="0074715B">
        <w:rPr>
          <w:rFonts w:asciiTheme="minorBidi" w:hAnsiTheme="minorBidi" w:cstheme="minorBidi"/>
          <w:sz w:val="20"/>
          <w:szCs w:val="20"/>
          <w:lang w:val="en-US"/>
        </w:rPr>
        <w:t>The Epicenter of Repression. July 30, 2021. Available at</w:t>
      </w:r>
      <w:r w:rsidRPr="0074715B">
        <w:rPr>
          <w:rFonts w:asciiTheme="minorBidi" w:hAnsiTheme="minorBidi" w:cstheme="minorBidi"/>
          <w:sz w:val="20"/>
          <w:szCs w:val="20"/>
          <w:lang w:val="en-US"/>
        </w:rPr>
        <w:t xml:space="preserve">: </w:t>
      </w:r>
      <w:hyperlink r:id="rId55">
        <w:r w:rsidR="00C60456" w:rsidRPr="0074715B">
          <w:rPr>
            <w:rFonts w:asciiTheme="minorBidi" w:hAnsiTheme="minorBidi" w:cstheme="minorBidi"/>
            <w:color w:val="1155CC"/>
            <w:sz w:val="20"/>
            <w:szCs w:val="20"/>
            <w:u w:val="single"/>
            <w:lang w:val="en-US"/>
          </w:rPr>
          <w:t>https://www.amnesty.org/es/documents/amr23/4405/2021/es/</w:t>
        </w:r>
      </w:hyperlink>
      <w:r w:rsidRPr="0074715B">
        <w:rPr>
          <w:rFonts w:asciiTheme="minorBidi" w:hAnsiTheme="minorBidi" w:cstheme="minorBidi"/>
          <w:sz w:val="20"/>
          <w:szCs w:val="20"/>
          <w:lang w:val="en-US"/>
        </w:rPr>
        <w:t xml:space="preserve">. Human Rights Watch. Colombia: </w:t>
      </w:r>
      <w:r w:rsidR="008F7700" w:rsidRPr="004D33A6">
        <w:rPr>
          <w:rFonts w:asciiTheme="minorBidi" w:hAnsiTheme="minorBidi" w:cstheme="minorBidi"/>
          <w:sz w:val="20"/>
          <w:szCs w:val="20"/>
          <w:lang w:val="en-US"/>
        </w:rPr>
        <w:t>Police Brutality Against Protesters. June 9, 2021. Available at</w:t>
      </w:r>
      <w:r w:rsidRPr="0074715B">
        <w:rPr>
          <w:rFonts w:asciiTheme="minorBidi" w:hAnsiTheme="minorBidi" w:cstheme="minorBidi"/>
          <w:sz w:val="20"/>
          <w:szCs w:val="20"/>
          <w:lang w:val="en-US"/>
        </w:rPr>
        <w:t xml:space="preserve">: </w:t>
      </w:r>
      <w:hyperlink r:id="rId56">
        <w:r w:rsidR="00C60456" w:rsidRPr="0074715B">
          <w:rPr>
            <w:rFonts w:asciiTheme="minorBidi" w:hAnsiTheme="minorBidi" w:cstheme="minorBidi"/>
            <w:color w:val="1155CC"/>
            <w:sz w:val="20"/>
            <w:szCs w:val="20"/>
            <w:u w:val="single"/>
            <w:lang w:val="en-US"/>
          </w:rPr>
          <w:t>https://www.hrw.org/es/news/2021/06/09/colombia-brutalidad-policial-contra-manifestantes</w:t>
        </w:r>
      </w:hyperlink>
      <w:r w:rsidRPr="0074715B">
        <w:rPr>
          <w:rFonts w:asciiTheme="minorBidi" w:hAnsiTheme="minorBidi" w:cstheme="minorBidi"/>
          <w:sz w:val="20"/>
          <w:szCs w:val="20"/>
          <w:lang w:val="en-US"/>
        </w:rPr>
        <w:t>.</w:t>
      </w:r>
    </w:p>
  </w:footnote>
  <w:footnote w:id="55">
    <w:p w14:paraId="00000107" w14:textId="7A86AB57" w:rsidR="00C60456" w:rsidRPr="0074715B" w:rsidRDefault="00A74445">
      <w:pPr>
        <w:spacing w:line="240" w:lineRule="auto"/>
        <w:rPr>
          <w:rFonts w:asciiTheme="minorBidi" w:hAnsiTheme="minorBidi" w:cstheme="minorBidi"/>
          <w:sz w:val="20"/>
          <w:szCs w:val="20"/>
          <w:lang w:val="en-US"/>
        </w:rPr>
      </w:pPr>
      <w:r w:rsidRPr="0074715B">
        <w:rPr>
          <w:rFonts w:asciiTheme="minorBidi" w:hAnsiTheme="minorBidi" w:cstheme="minorBidi"/>
          <w:sz w:val="20"/>
          <w:szCs w:val="20"/>
          <w:vertAlign w:val="superscript"/>
          <w:lang w:val="en-US"/>
        </w:rPr>
        <w:footnoteRef/>
      </w:r>
      <w:r w:rsidRPr="0074715B">
        <w:rPr>
          <w:rFonts w:asciiTheme="minorBidi" w:hAnsiTheme="minorBidi" w:cstheme="minorBidi"/>
          <w:sz w:val="20"/>
          <w:szCs w:val="20"/>
          <w:lang w:val="en-US"/>
        </w:rPr>
        <w:t xml:space="preserve"> CIDH. </w:t>
      </w:r>
      <w:r w:rsidR="008F7700" w:rsidRPr="004D33A6">
        <w:rPr>
          <w:rFonts w:asciiTheme="minorBidi" w:hAnsiTheme="minorBidi" w:cstheme="minorBidi"/>
          <w:sz w:val="20"/>
          <w:szCs w:val="20"/>
          <w:lang w:val="en-US"/>
        </w:rPr>
        <w:t>Observations and Recommendations of the Working Visit to Colombia. June 8, 2021, para. 2. Available at</w:t>
      </w:r>
      <w:r w:rsidRPr="0074715B">
        <w:rPr>
          <w:rFonts w:asciiTheme="minorBidi" w:hAnsiTheme="minorBidi" w:cstheme="minorBidi"/>
          <w:sz w:val="20"/>
          <w:szCs w:val="20"/>
          <w:lang w:val="en-US"/>
        </w:rPr>
        <w:t>: https://</w:t>
      </w:r>
      <w:hyperlink r:id="rId57">
        <w:r w:rsidR="00C60456" w:rsidRPr="0074715B">
          <w:rPr>
            <w:rFonts w:asciiTheme="minorBidi" w:hAnsiTheme="minorBidi" w:cstheme="minorBidi"/>
            <w:color w:val="1155CC"/>
            <w:sz w:val="20"/>
            <w:szCs w:val="20"/>
            <w:u w:val="single"/>
            <w:lang w:val="en-US"/>
          </w:rPr>
          <w:t>www.oas.org/es/cidh/informes/pdfs/ObservacionesVisita_CIDH_Colombia_SPA.pdf</w:t>
        </w:r>
      </w:hyperlink>
      <w:r w:rsidRPr="0074715B">
        <w:rPr>
          <w:rFonts w:asciiTheme="minorBidi" w:hAnsiTheme="minorBidi" w:cstheme="minorBidi"/>
          <w:sz w:val="20"/>
          <w:szCs w:val="20"/>
          <w:lang w:val="en-US"/>
        </w:rPr>
        <w:t xml:space="preserve">.   </w:t>
      </w:r>
    </w:p>
  </w:footnote>
  <w:footnote w:id="56">
    <w:p w14:paraId="00000106" w14:textId="0844799C" w:rsidR="00C60456" w:rsidRPr="0074715B" w:rsidRDefault="00A74445">
      <w:pPr>
        <w:spacing w:line="240" w:lineRule="auto"/>
        <w:rPr>
          <w:rFonts w:asciiTheme="minorBidi" w:hAnsiTheme="minorBidi" w:cstheme="minorBidi"/>
          <w:sz w:val="20"/>
          <w:szCs w:val="20"/>
          <w:lang w:val="en-US"/>
        </w:rPr>
      </w:pPr>
      <w:r w:rsidRPr="0074715B">
        <w:rPr>
          <w:rFonts w:asciiTheme="minorBidi" w:hAnsiTheme="minorBidi" w:cstheme="minorBidi"/>
          <w:sz w:val="20"/>
          <w:szCs w:val="20"/>
          <w:vertAlign w:val="superscript"/>
          <w:lang w:val="en-US"/>
        </w:rPr>
        <w:footnoteRef/>
      </w:r>
      <w:r w:rsidRPr="0074715B">
        <w:rPr>
          <w:rFonts w:asciiTheme="minorBidi" w:hAnsiTheme="minorBidi" w:cstheme="minorBidi"/>
          <w:sz w:val="20"/>
          <w:szCs w:val="20"/>
          <w:lang w:val="en-US"/>
        </w:rPr>
        <w:t xml:space="preserve"> </w:t>
      </w:r>
      <w:r w:rsidR="008F7700" w:rsidRPr="004D33A6">
        <w:rPr>
          <w:rFonts w:asciiTheme="minorBidi" w:hAnsiTheme="minorBidi" w:cstheme="minorBidi"/>
          <w:sz w:val="20"/>
          <w:szCs w:val="20"/>
          <w:lang w:val="en-US"/>
        </w:rPr>
        <w:t xml:space="preserve">Campaign to Defend Freedom. Report on Violence Against </w:t>
      </w:r>
      <w:r w:rsidR="0074715B" w:rsidRPr="0074715B">
        <w:rPr>
          <w:rFonts w:asciiTheme="minorBidi" w:hAnsiTheme="minorBidi" w:cstheme="minorBidi"/>
          <w:sz w:val="20"/>
          <w:szCs w:val="20"/>
          <w:lang w:val="en-US"/>
        </w:rPr>
        <w:t>Boys</w:t>
      </w:r>
      <w:r w:rsidR="008F7700" w:rsidRPr="0074715B">
        <w:rPr>
          <w:rFonts w:asciiTheme="minorBidi" w:hAnsiTheme="minorBidi" w:cstheme="minorBidi"/>
          <w:sz w:val="20"/>
          <w:szCs w:val="20"/>
          <w:lang w:val="en-US"/>
        </w:rPr>
        <w:t>, Girls,</w:t>
      </w:r>
      <w:r w:rsidR="008F7700" w:rsidRPr="004D33A6">
        <w:rPr>
          <w:rFonts w:asciiTheme="minorBidi" w:hAnsiTheme="minorBidi" w:cstheme="minorBidi"/>
          <w:sz w:val="20"/>
          <w:szCs w:val="20"/>
          <w:lang w:val="en-US"/>
        </w:rPr>
        <w:t xml:space="preserve"> and Adolescents in the Context of the National Strike in Colombia. April 28, 2022. Available at</w:t>
      </w:r>
      <w:r w:rsidRPr="0074715B">
        <w:rPr>
          <w:rFonts w:asciiTheme="minorBidi" w:hAnsiTheme="minorBidi" w:cstheme="minorBidi"/>
          <w:sz w:val="20"/>
          <w:szCs w:val="20"/>
          <w:lang w:val="en-US"/>
        </w:rPr>
        <w:t xml:space="preserve">: </w:t>
      </w:r>
      <w:hyperlink r:id="rId58">
        <w:r w:rsidR="00C60456" w:rsidRPr="0074715B">
          <w:rPr>
            <w:rFonts w:asciiTheme="minorBidi" w:hAnsiTheme="minorBidi" w:cstheme="minorBidi"/>
            <w:color w:val="1155CC"/>
            <w:sz w:val="20"/>
            <w:szCs w:val="20"/>
            <w:u w:val="single"/>
            <w:lang w:val="en-US"/>
          </w:rPr>
          <w:t>https://acrobat.adobe.com/link/review?uri=urn%3Aaaid%3Ascds%3AUS%3Acbb454d4-60c4-41fc-8998-d74636de65ee</w:t>
        </w:r>
      </w:hyperlink>
      <w:r w:rsidRPr="0074715B">
        <w:rPr>
          <w:rFonts w:asciiTheme="minorBidi" w:hAnsiTheme="minorBidi" w:cstheme="minorBidi"/>
          <w:sz w:val="20"/>
          <w:szCs w:val="20"/>
          <w:lang w:val="en-US"/>
        </w:rPr>
        <w:t xml:space="preserve">. </w:t>
      </w:r>
    </w:p>
  </w:footnote>
  <w:footnote w:id="57">
    <w:p w14:paraId="772BAADF" w14:textId="5A2216D6" w:rsidR="00CC064B" w:rsidRPr="0074715B" w:rsidRDefault="00CC064B" w:rsidP="00CC064B">
      <w:pPr>
        <w:spacing w:line="240" w:lineRule="auto"/>
        <w:rPr>
          <w:rFonts w:asciiTheme="minorBidi" w:hAnsiTheme="minorBidi" w:cstheme="minorBidi"/>
          <w:sz w:val="20"/>
          <w:szCs w:val="20"/>
          <w:lang w:val="en-US"/>
        </w:rPr>
      </w:pPr>
      <w:r w:rsidRPr="0074715B">
        <w:rPr>
          <w:rFonts w:asciiTheme="minorBidi" w:hAnsiTheme="minorBidi" w:cstheme="minorBidi"/>
          <w:sz w:val="20"/>
          <w:szCs w:val="20"/>
          <w:vertAlign w:val="superscript"/>
          <w:lang w:val="en-US"/>
        </w:rPr>
        <w:footnoteRef/>
      </w:r>
      <w:r w:rsidRPr="0074715B">
        <w:rPr>
          <w:rFonts w:asciiTheme="minorBidi" w:hAnsiTheme="minorBidi" w:cstheme="minorBidi"/>
          <w:sz w:val="20"/>
          <w:szCs w:val="20"/>
          <w:lang w:val="en-US"/>
        </w:rPr>
        <w:t xml:space="preserve"> </w:t>
      </w:r>
      <w:r w:rsidR="008F7700" w:rsidRPr="004D33A6">
        <w:rPr>
          <w:rFonts w:asciiTheme="minorBidi" w:hAnsiTheme="minorBidi" w:cstheme="minorBidi"/>
          <w:sz w:val="20"/>
          <w:szCs w:val="20"/>
          <w:lang w:val="en-US"/>
        </w:rPr>
        <w:t>CIDH. Colombia: Observations and Recommendations. Working Visit to Colombia, June 2021. Available at</w:t>
      </w:r>
      <w:r w:rsidRPr="0074715B">
        <w:rPr>
          <w:rFonts w:asciiTheme="minorBidi" w:hAnsiTheme="minorBidi" w:cstheme="minorBidi"/>
          <w:sz w:val="20"/>
          <w:szCs w:val="20"/>
          <w:lang w:val="en-US"/>
        </w:rPr>
        <w:t>.</w:t>
      </w:r>
    </w:p>
    <w:p w14:paraId="61472C8A" w14:textId="77777777" w:rsidR="00CC064B" w:rsidRPr="0074715B" w:rsidRDefault="00CC064B" w:rsidP="00CC064B">
      <w:pPr>
        <w:spacing w:line="240" w:lineRule="auto"/>
        <w:rPr>
          <w:rFonts w:asciiTheme="minorBidi" w:hAnsiTheme="minorBidi" w:cstheme="minorBidi"/>
          <w:sz w:val="20"/>
          <w:szCs w:val="20"/>
          <w:lang w:val="en-US"/>
        </w:rPr>
      </w:pPr>
      <w:r w:rsidRPr="0074715B">
        <w:rPr>
          <w:rFonts w:asciiTheme="minorBidi" w:hAnsiTheme="minorBidi" w:cstheme="minorBidi"/>
          <w:sz w:val="20"/>
          <w:szCs w:val="20"/>
          <w:lang w:val="en-US"/>
        </w:rPr>
        <w:t xml:space="preserve"> </w:t>
      </w:r>
      <w:hyperlink r:id="rId59">
        <w:r w:rsidRPr="0074715B">
          <w:rPr>
            <w:rFonts w:asciiTheme="minorBidi" w:hAnsiTheme="minorBidi" w:cstheme="minorBidi"/>
            <w:color w:val="1155CC"/>
            <w:sz w:val="20"/>
            <w:szCs w:val="20"/>
            <w:u w:val="single"/>
            <w:lang w:val="en-US"/>
          </w:rPr>
          <w:t>https://www.oas.org/es/cidh/informes/pdfs/ObservacionesVisita_cidh_Colombia_spA.pdf</w:t>
        </w:r>
      </w:hyperlink>
      <w:r w:rsidRPr="0074715B">
        <w:rPr>
          <w:rFonts w:asciiTheme="minorBidi" w:hAnsiTheme="minorBidi" w:cstheme="minorBidi"/>
          <w:sz w:val="20"/>
          <w:szCs w:val="20"/>
          <w:lang w:val="en-US"/>
        </w:rPr>
        <w:t xml:space="preserve"> </w:t>
      </w:r>
    </w:p>
  </w:footnote>
  <w:footnote w:id="58">
    <w:p w14:paraId="00000109" w14:textId="2EB7B83F" w:rsidR="00C60456" w:rsidRPr="0074715B" w:rsidRDefault="00A74445">
      <w:pPr>
        <w:spacing w:line="240" w:lineRule="auto"/>
        <w:rPr>
          <w:rFonts w:asciiTheme="minorBidi" w:hAnsiTheme="minorBidi" w:cstheme="minorBidi"/>
          <w:sz w:val="20"/>
          <w:szCs w:val="20"/>
          <w:vertAlign w:val="superscript"/>
          <w:lang w:val="en-US"/>
        </w:rPr>
      </w:pPr>
      <w:r w:rsidRPr="0074715B">
        <w:rPr>
          <w:rFonts w:asciiTheme="minorBidi" w:hAnsiTheme="minorBidi" w:cstheme="minorBidi"/>
          <w:sz w:val="20"/>
          <w:szCs w:val="20"/>
          <w:vertAlign w:val="superscript"/>
          <w:lang w:val="en-US"/>
        </w:rPr>
        <w:footnoteRef/>
      </w:r>
      <w:r w:rsidRPr="0074715B">
        <w:rPr>
          <w:rFonts w:asciiTheme="minorBidi" w:hAnsiTheme="minorBidi" w:cstheme="minorBidi"/>
          <w:sz w:val="20"/>
          <w:szCs w:val="20"/>
          <w:vertAlign w:val="superscript"/>
          <w:lang w:val="en-US"/>
        </w:rPr>
        <w:t xml:space="preserve"> </w:t>
      </w:r>
      <w:r w:rsidR="008F7700" w:rsidRPr="004D33A6">
        <w:rPr>
          <w:rFonts w:asciiTheme="minorBidi" w:eastAsia="Calibri" w:hAnsiTheme="minorBidi" w:cstheme="minorBidi"/>
          <w:sz w:val="20"/>
          <w:szCs w:val="20"/>
          <w:lang w:val="en-US"/>
        </w:rPr>
        <w:t xml:space="preserve">Committee on Economic, Social, and Cultural Rights. </w:t>
      </w:r>
      <w:r w:rsidR="008F7700" w:rsidRPr="0074715B">
        <w:rPr>
          <w:rFonts w:asciiTheme="minorBidi" w:eastAsia="Calibri" w:hAnsiTheme="minorBidi" w:cstheme="minorBidi"/>
          <w:sz w:val="20"/>
          <w:szCs w:val="20"/>
          <w:lang w:val="en-US"/>
        </w:rPr>
        <w:t xml:space="preserve">Final </w:t>
      </w:r>
      <w:r w:rsidR="005D6FCC">
        <w:rPr>
          <w:rFonts w:asciiTheme="minorBidi" w:eastAsia="Calibri" w:hAnsiTheme="minorBidi" w:cstheme="minorBidi"/>
          <w:sz w:val="20"/>
          <w:szCs w:val="20"/>
          <w:lang w:val="en-US"/>
        </w:rPr>
        <w:t>c</w:t>
      </w:r>
      <w:r w:rsidR="008F7700" w:rsidRPr="0074715B">
        <w:rPr>
          <w:rFonts w:asciiTheme="minorBidi" w:eastAsia="Calibri" w:hAnsiTheme="minorBidi" w:cstheme="minorBidi"/>
          <w:sz w:val="20"/>
          <w:szCs w:val="20"/>
          <w:lang w:val="en-US"/>
        </w:rPr>
        <w:t xml:space="preserve">onclusions </w:t>
      </w:r>
      <w:r w:rsidR="008F7700" w:rsidRPr="004D33A6">
        <w:rPr>
          <w:rFonts w:asciiTheme="minorBidi" w:eastAsia="Calibri" w:hAnsiTheme="minorBidi" w:cstheme="minorBidi"/>
          <w:sz w:val="20"/>
          <w:szCs w:val="20"/>
          <w:lang w:val="en-US"/>
        </w:rPr>
        <w:t>on the Sixth Periodic Report of Colombia. Geneva. E/C.12/COL/CO/6. October 6, 2017, para</w:t>
      </w:r>
      <w:r w:rsidR="008F7700" w:rsidRPr="0074715B">
        <w:rPr>
          <w:rFonts w:asciiTheme="minorBidi" w:eastAsia="Calibri" w:hAnsiTheme="minorBidi" w:cstheme="minorBidi"/>
          <w:sz w:val="20"/>
          <w:szCs w:val="20"/>
          <w:lang w:val="en-US"/>
        </w:rPr>
        <w:t>g 36</w:t>
      </w:r>
      <w:r w:rsidRPr="0074715B">
        <w:rPr>
          <w:rFonts w:asciiTheme="minorBidi" w:eastAsia="Calibri" w:hAnsiTheme="minorBidi" w:cstheme="minorBidi"/>
          <w:sz w:val="20"/>
          <w:szCs w:val="20"/>
          <w:lang w:val="en-US"/>
        </w:rPr>
        <w:t xml:space="preserve">. </w:t>
      </w:r>
    </w:p>
  </w:footnote>
  <w:footnote w:id="59">
    <w:p w14:paraId="0000010A" w14:textId="5899A667" w:rsidR="00C60456" w:rsidRPr="0074715B" w:rsidRDefault="00A74445">
      <w:pPr>
        <w:spacing w:line="240" w:lineRule="auto"/>
        <w:rPr>
          <w:rFonts w:asciiTheme="minorBidi" w:hAnsiTheme="minorBidi" w:cstheme="minorBidi"/>
          <w:sz w:val="20"/>
          <w:szCs w:val="20"/>
          <w:vertAlign w:val="superscript"/>
          <w:lang w:val="en-US"/>
        </w:rPr>
      </w:pPr>
      <w:r w:rsidRPr="0074715B">
        <w:rPr>
          <w:rFonts w:asciiTheme="minorBidi" w:hAnsiTheme="minorBidi" w:cstheme="minorBidi"/>
          <w:sz w:val="20"/>
          <w:szCs w:val="20"/>
          <w:vertAlign w:val="superscript"/>
          <w:lang w:val="en-US"/>
        </w:rPr>
        <w:footnoteRef/>
      </w:r>
      <w:r w:rsidRPr="0074715B">
        <w:rPr>
          <w:rFonts w:asciiTheme="minorBidi" w:hAnsiTheme="minorBidi" w:cstheme="minorBidi"/>
          <w:sz w:val="20"/>
          <w:szCs w:val="20"/>
          <w:vertAlign w:val="superscript"/>
          <w:lang w:val="en-US"/>
        </w:rPr>
        <w:t xml:space="preserve"> </w:t>
      </w:r>
      <w:r w:rsidRPr="0074715B">
        <w:rPr>
          <w:rFonts w:asciiTheme="minorBidi" w:hAnsiTheme="minorBidi" w:cstheme="minorBidi"/>
          <w:sz w:val="20"/>
          <w:szCs w:val="20"/>
          <w:lang w:val="en-US"/>
        </w:rPr>
        <w:t>Ib</w:t>
      </w:r>
      <w:r w:rsidR="008F7700" w:rsidRPr="0074715B">
        <w:rPr>
          <w:rFonts w:asciiTheme="minorBidi" w:hAnsiTheme="minorBidi" w:cstheme="minorBidi"/>
          <w:sz w:val="20"/>
          <w:szCs w:val="20"/>
          <w:lang w:val="en-US"/>
        </w:rPr>
        <w:t>id.</w:t>
      </w:r>
      <w:r w:rsidRPr="0074715B">
        <w:rPr>
          <w:rFonts w:asciiTheme="minorBidi" w:hAnsiTheme="minorBidi" w:cstheme="minorBidi"/>
          <w:sz w:val="20"/>
          <w:szCs w:val="20"/>
          <w:lang w:val="en-US"/>
        </w:rPr>
        <w:t xml:space="preserve"> p</w:t>
      </w:r>
      <w:r w:rsidR="008F7700" w:rsidRPr="0074715B">
        <w:rPr>
          <w:rFonts w:asciiTheme="minorBidi" w:hAnsiTheme="minorBidi" w:cstheme="minorBidi"/>
          <w:sz w:val="20"/>
          <w:szCs w:val="20"/>
          <w:lang w:val="en-US"/>
        </w:rPr>
        <w:t>arag</w:t>
      </w:r>
      <w:r w:rsidRPr="0074715B">
        <w:rPr>
          <w:rFonts w:asciiTheme="minorBidi" w:hAnsiTheme="minorBidi" w:cstheme="minorBidi"/>
          <w:sz w:val="20"/>
          <w:szCs w:val="20"/>
          <w:lang w:val="en-US"/>
        </w:rPr>
        <w:t>. 58.</w:t>
      </w:r>
    </w:p>
  </w:footnote>
  <w:footnote w:id="60">
    <w:p w14:paraId="0000010B" w14:textId="3FE05690" w:rsidR="00C60456" w:rsidRPr="0074715B" w:rsidRDefault="00A74445">
      <w:pPr>
        <w:spacing w:line="240" w:lineRule="auto"/>
        <w:rPr>
          <w:rFonts w:asciiTheme="minorBidi" w:hAnsiTheme="minorBidi" w:cstheme="minorBidi"/>
          <w:sz w:val="20"/>
          <w:szCs w:val="20"/>
          <w:vertAlign w:val="superscript"/>
          <w:lang w:val="en-US"/>
        </w:rPr>
      </w:pPr>
      <w:r w:rsidRPr="0074715B">
        <w:rPr>
          <w:rFonts w:asciiTheme="minorBidi" w:hAnsiTheme="minorBidi" w:cstheme="minorBidi"/>
          <w:sz w:val="20"/>
          <w:szCs w:val="20"/>
          <w:vertAlign w:val="superscript"/>
          <w:lang w:val="en-US"/>
        </w:rPr>
        <w:footnoteRef/>
      </w:r>
      <w:r w:rsidRPr="0074715B">
        <w:rPr>
          <w:rFonts w:asciiTheme="minorBidi" w:eastAsia="Calibri" w:hAnsiTheme="minorBidi" w:cstheme="minorBidi"/>
          <w:sz w:val="20"/>
          <w:szCs w:val="20"/>
          <w:lang w:val="en-US"/>
        </w:rPr>
        <w:t xml:space="preserve"> </w:t>
      </w:r>
      <w:r w:rsidR="008F7700" w:rsidRPr="004D33A6">
        <w:rPr>
          <w:rFonts w:asciiTheme="minorBidi" w:eastAsia="Calibri" w:hAnsiTheme="minorBidi" w:cstheme="minorBidi"/>
          <w:sz w:val="20"/>
          <w:szCs w:val="20"/>
          <w:lang w:val="en-US"/>
        </w:rPr>
        <w:t xml:space="preserve">See: Ministry of National Education. Directorate of Coverage and Equity. Subdirectorate of Retention. </w:t>
      </w:r>
      <w:r w:rsidR="008F7700" w:rsidRPr="004D33A6">
        <w:rPr>
          <w:rFonts w:asciiTheme="minorBidi" w:eastAsia="Calibri" w:hAnsiTheme="minorBidi" w:cstheme="minorBidi"/>
          <w:b/>
          <w:bCs/>
          <w:sz w:val="20"/>
          <w:szCs w:val="20"/>
          <w:lang w:val="en-US"/>
        </w:rPr>
        <w:t>School Feeding Program. Operational Reports PAE. Period January – December 2019.</w:t>
      </w:r>
      <w:r w:rsidR="008F7700" w:rsidRPr="004D33A6">
        <w:rPr>
          <w:rFonts w:asciiTheme="minorBidi" w:eastAsia="Calibri" w:hAnsiTheme="minorBidi" w:cstheme="minorBidi"/>
          <w:sz w:val="20"/>
          <w:szCs w:val="20"/>
          <w:lang w:val="en-US"/>
        </w:rPr>
        <w:t xml:space="preserve"> Bogotá. 2019, p. 3. Available at</w:t>
      </w:r>
      <w:r w:rsidRPr="0074715B">
        <w:rPr>
          <w:rFonts w:asciiTheme="minorBidi" w:eastAsia="Calibri" w:hAnsiTheme="minorBidi" w:cstheme="minorBidi"/>
          <w:sz w:val="20"/>
          <w:szCs w:val="20"/>
          <w:lang w:val="en-US"/>
        </w:rPr>
        <w:t xml:space="preserve">: </w:t>
      </w:r>
      <w:hyperlink r:id="rId60">
        <w:r w:rsidR="00C60456" w:rsidRPr="0074715B">
          <w:rPr>
            <w:rFonts w:asciiTheme="minorBidi" w:eastAsia="Calibri" w:hAnsiTheme="minorBidi" w:cstheme="minorBidi"/>
            <w:color w:val="1155CC"/>
            <w:sz w:val="20"/>
            <w:szCs w:val="20"/>
            <w:u w:val="single"/>
            <w:lang w:val="en-US"/>
          </w:rPr>
          <w:t>https://www.mineducacion.gov.co/portal/micrositiospreescolar-basica-ymedia/Programa-de-Alimentacion-Escolar-PAE-/ETC/357467:Informes-Operacion-PAE</w:t>
        </w:r>
      </w:hyperlink>
      <w:r w:rsidRPr="0074715B">
        <w:rPr>
          <w:rFonts w:asciiTheme="minorBidi" w:eastAsia="Calibri" w:hAnsiTheme="minorBidi" w:cstheme="minorBidi"/>
          <w:sz w:val="20"/>
          <w:szCs w:val="20"/>
          <w:lang w:val="en-US"/>
        </w:rPr>
        <w:t xml:space="preserve">] </w:t>
      </w:r>
    </w:p>
  </w:footnote>
  <w:footnote w:id="61">
    <w:p w14:paraId="0000010C" w14:textId="5D31CD32" w:rsidR="00C60456" w:rsidRPr="0074715B" w:rsidRDefault="00A74445">
      <w:pPr>
        <w:spacing w:line="240" w:lineRule="auto"/>
        <w:rPr>
          <w:rFonts w:asciiTheme="minorBidi" w:hAnsiTheme="minorBidi" w:cstheme="minorBidi"/>
          <w:sz w:val="20"/>
          <w:szCs w:val="20"/>
          <w:vertAlign w:val="superscript"/>
          <w:lang w:val="en-US"/>
        </w:rPr>
      </w:pPr>
      <w:r w:rsidRPr="0074715B">
        <w:rPr>
          <w:rFonts w:asciiTheme="minorBidi" w:hAnsiTheme="minorBidi" w:cstheme="minorBidi"/>
          <w:sz w:val="20"/>
          <w:szCs w:val="20"/>
          <w:vertAlign w:val="superscript"/>
          <w:lang w:val="en-US"/>
        </w:rPr>
        <w:footnoteRef/>
      </w:r>
      <w:r w:rsidRPr="0074715B">
        <w:rPr>
          <w:rFonts w:asciiTheme="minorBidi" w:hAnsiTheme="minorBidi" w:cstheme="minorBidi"/>
          <w:sz w:val="20"/>
          <w:szCs w:val="20"/>
          <w:vertAlign w:val="superscript"/>
          <w:lang w:val="en-US"/>
        </w:rPr>
        <w:t xml:space="preserve"> </w:t>
      </w:r>
      <w:r w:rsidR="008F7700" w:rsidRPr="004D33A6">
        <w:rPr>
          <w:rFonts w:asciiTheme="minorBidi" w:eastAsia="Calibri" w:hAnsiTheme="minorBidi" w:cstheme="minorBidi"/>
          <w:sz w:val="20"/>
          <w:szCs w:val="20"/>
          <w:lang w:val="en-US"/>
        </w:rPr>
        <w:t>A Country Sinking in Hunger. Fourth Report on the Human Right to Adequate Food and Nutrition in Colombia/2021. Bogotá. Printed by Orlando Vaca Melo. 2021. Available at</w:t>
      </w:r>
      <w:r w:rsidRPr="0074715B">
        <w:rPr>
          <w:rFonts w:asciiTheme="minorBidi" w:eastAsia="Calibri" w:hAnsiTheme="minorBidi" w:cstheme="minorBidi"/>
          <w:sz w:val="20"/>
          <w:szCs w:val="20"/>
          <w:lang w:val="en-US"/>
        </w:rPr>
        <w:t xml:space="preserve">: </w:t>
      </w:r>
      <w:hyperlink r:id="rId61">
        <w:r w:rsidR="00C60456" w:rsidRPr="0074715B">
          <w:rPr>
            <w:rFonts w:asciiTheme="minorBidi" w:eastAsia="Calibri" w:hAnsiTheme="minorBidi" w:cstheme="minorBidi"/>
            <w:color w:val="1155CC"/>
            <w:sz w:val="20"/>
            <w:szCs w:val="20"/>
            <w:u w:val="single"/>
            <w:lang w:val="en-US"/>
          </w:rPr>
          <w:t>https://fiancolombia.org/wp-content/uploads/Cuarto-Informe-Alimentacio%CC%81n-2021.-Un-pai%CC%81s-que-se-hunde-en-el-hambre..pdf</w:t>
        </w:r>
      </w:hyperlink>
      <w:r w:rsidRPr="0074715B">
        <w:rPr>
          <w:rFonts w:asciiTheme="minorBidi" w:eastAsia="Calibri" w:hAnsiTheme="minorBidi" w:cstheme="minorBidi"/>
          <w:sz w:val="20"/>
          <w:szCs w:val="20"/>
          <w:lang w:val="en-US"/>
        </w:rPr>
        <w:t xml:space="preserve"> </w:t>
      </w:r>
    </w:p>
  </w:footnote>
  <w:footnote w:id="62">
    <w:p w14:paraId="00000128" w14:textId="7CDA6852" w:rsidR="00C60456" w:rsidRPr="0074715B" w:rsidRDefault="00A74445">
      <w:pPr>
        <w:spacing w:line="240" w:lineRule="auto"/>
        <w:rPr>
          <w:rFonts w:asciiTheme="minorBidi" w:hAnsiTheme="minorBidi" w:cstheme="minorBidi"/>
          <w:sz w:val="20"/>
          <w:szCs w:val="20"/>
          <w:vertAlign w:val="superscript"/>
          <w:lang w:val="en-US"/>
        </w:rPr>
      </w:pPr>
      <w:r w:rsidRPr="0074715B">
        <w:rPr>
          <w:rFonts w:asciiTheme="minorBidi" w:hAnsiTheme="minorBidi" w:cstheme="minorBidi"/>
          <w:sz w:val="20"/>
          <w:szCs w:val="20"/>
          <w:vertAlign w:val="superscript"/>
          <w:lang w:val="en-US"/>
        </w:rPr>
        <w:footnoteRef/>
      </w:r>
      <w:r w:rsidRPr="0074715B">
        <w:rPr>
          <w:rFonts w:asciiTheme="minorBidi" w:hAnsiTheme="minorBidi" w:cstheme="minorBidi"/>
          <w:sz w:val="20"/>
          <w:szCs w:val="20"/>
          <w:vertAlign w:val="superscript"/>
          <w:lang w:val="en-US"/>
        </w:rPr>
        <w:t xml:space="preserve"> </w:t>
      </w:r>
      <w:r w:rsidR="008F7700" w:rsidRPr="004D33A6">
        <w:rPr>
          <w:rFonts w:asciiTheme="minorBidi" w:eastAsia="Calibri" w:hAnsiTheme="minorBidi" w:cstheme="minorBidi"/>
          <w:sz w:val="20"/>
          <w:szCs w:val="20"/>
          <w:lang w:val="en-US"/>
        </w:rPr>
        <w:t xml:space="preserve">Government of Colombia. National Development Plan 2022-2026. Colombia, Life </w:t>
      </w:r>
      <w:r w:rsidR="008F7700" w:rsidRPr="0074715B">
        <w:rPr>
          <w:rFonts w:asciiTheme="minorBidi" w:eastAsia="Calibri" w:hAnsiTheme="minorBidi" w:cstheme="minorBidi"/>
          <w:sz w:val="20"/>
          <w:szCs w:val="20"/>
          <w:lang w:val="en-US"/>
        </w:rPr>
        <w:t xml:space="preserve">World </w:t>
      </w:r>
      <w:r w:rsidR="008F7700" w:rsidRPr="004D33A6">
        <w:rPr>
          <w:rFonts w:asciiTheme="minorBidi" w:eastAsia="Calibri" w:hAnsiTheme="minorBidi" w:cstheme="minorBidi"/>
          <w:sz w:val="20"/>
          <w:szCs w:val="20"/>
          <w:lang w:val="en-US"/>
        </w:rPr>
        <w:t>Power. Bogotá. May 2023, p. 159. Available at</w:t>
      </w:r>
      <w:r w:rsidRPr="0074715B">
        <w:rPr>
          <w:rFonts w:asciiTheme="minorBidi" w:eastAsia="Calibri" w:hAnsiTheme="minorBidi" w:cstheme="minorBidi"/>
          <w:sz w:val="20"/>
          <w:szCs w:val="20"/>
          <w:lang w:val="en-US"/>
        </w:rPr>
        <w:t xml:space="preserve">: </w:t>
      </w:r>
      <w:hyperlink r:id="rId62">
        <w:r w:rsidR="00C60456" w:rsidRPr="0074715B">
          <w:rPr>
            <w:rFonts w:asciiTheme="minorBidi" w:eastAsia="Calibri" w:hAnsiTheme="minorBidi" w:cstheme="minorBidi"/>
            <w:color w:val="1155CC"/>
            <w:sz w:val="20"/>
            <w:szCs w:val="20"/>
            <w:u w:val="single"/>
            <w:lang w:val="en-US"/>
          </w:rPr>
          <w:t>https://colaboracion.dnp.gov.co/CDT/Prensa/Publicaciones/plan-nacional-de-desarrollo-2022-2026-colombia-potencia-mundial-de-la-vida.pdf</w:t>
        </w:r>
      </w:hyperlink>
      <w:r w:rsidRPr="0074715B">
        <w:rPr>
          <w:rFonts w:asciiTheme="minorBidi" w:eastAsia="Calibri" w:hAnsiTheme="minorBidi" w:cstheme="minorBidi"/>
          <w:sz w:val="20"/>
          <w:szCs w:val="20"/>
          <w:lang w:val="en-US"/>
        </w:rPr>
        <w:t xml:space="preserve"> .</w:t>
      </w:r>
    </w:p>
  </w:footnote>
  <w:footnote w:id="63">
    <w:p w14:paraId="0000010D" w14:textId="45F94E5F" w:rsidR="00C60456" w:rsidRPr="0074715B" w:rsidRDefault="00A74445">
      <w:pPr>
        <w:spacing w:line="240" w:lineRule="auto"/>
        <w:rPr>
          <w:rFonts w:asciiTheme="minorBidi" w:eastAsia="Calibri" w:hAnsiTheme="minorBidi" w:cstheme="minorBidi"/>
          <w:sz w:val="20"/>
          <w:szCs w:val="20"/>
          <w:lang w:val="en-US"/>
        </w:rPr>
      </w:pPr>
      <w:r w:rsidRPr="0074715B">
        <w:rPr>
          <w:rFonts w:asciiTheme="minorBidi" w:hAnsiTheme="minorBidi" w:cstheme="minorBidi"/>
          <w:sz w:val="20"/>
          <w:szCs w:val="20"/>
          <w:vertAlign w:val="superscript"/>
          <w:lang w:val="en-US"/>
        </w:rPr>
        <w:footnoteRef/>
      </w:r>
      <w:r w:rsidRPr="0074715B">
        <w:rPr>
          <w:rFonts w:asciiTheme="minorBidi" w:hAnsiTheme="minorBidi" w:cstheme="minorBidi"/>
          <w:sz w:val="20"/>
          <w:szCs w:val="20"/>
          <w:vertAlign w:val="superscript"/>
          <w:lang w:val="en-US"/>
        </w:rPr>
        <w:t xml:space="preserve"> </w:t>
      </w:r>
      <w:r w:rsidR="008F7700" w:rsidRPr="004D33A6">
        <w:rPr>
          <w:rFonts w:asciiTheme="minorBidi" w:eastAsia="Calibri" w:hAnsiTheme="minorBidi" w:cstheme="minorBidi"/>
          <w:sz w:val="20"/>
          <w:szCs w:val="20"/>
          <w:lang w:val="en-US"/>
        </w:rPr>
        <w:t xml:space="preserve">Ministry of Health and Social Protection et al. </w:t>
      </w:r>
      <w:r w:rsidR="008F7700" w:rsidRPr="004D33A6">
        <w:rPr>
          <w:rFonts w:asciiTheme="minorBidi" w:eastAsia="Calibri" w:hAnsiTheme="minorBidi" w:cstheme="minorBidi"/>
          <w:b/>
          <w:bCs/>
          <w:sz w:val="20"/>
          <w:szCs w:val="20"/>
          <w:lang w:val="en-US"/>
        </w:rPr>
        <w:t>National Nutritional Status</w:t>
      </w:r>
      <w:r w:rsidR="008F7700" w:rsidRPr="0074715B">
        <w:rPr>
          <w:rFonts w:asciiTheme="minorBidi" w:eastAsia="Calibri" w:hAnsiTheme="minorBidi" w:cstheme="minorBidi"/>
          <w:b/>
          <w:bCs/>
          <w:sz w:val="20"/>
          <w:szCs w:val="20"/>
          <w:lang w:val="en-US"/>
        </w:rPr>
        <w:t xml:space="preserve"> </w:t>
      </w:r>
      <w:r w:rsidR="008F7700" w:rsidRPr="004D33A6">
        <w:rPr>
          <w:rFonts w:asciiTheme="minorBidi" w:eastAsia="Calibri" w:hAnsiTheme="minorBidi" w:cstheme="minorBidi"/>
          <w:b/>
          <w:bCs/>
          <w:sz w:val="20"/>
          <w:szCs w:val="20"/>
          <w:lang w:val="en-US"/>
        </w:rPr>
        <w:t>Survey. ENSIN 2015</w:t>
      </w:r>
      <w:r w:rsidR="008F7700" w:rsidRPr="004D33A6">
        <w:rPr>
          <w:rFonts w:asciiTheme="minorBidi" w:eastAsia="Calibri" w:hAnsiTheme="minorBidi" w:cstheme="minorBidi"/>
          <w:sz w:val="20"/>
          <w:szCs w:val="20"/>
          <w:lang w:val="en-US"/>
        </w:rPr>
        <w:t>. Bogotá. 2019. Version 2, p. 136. Available at</w:t>
      </w:r>
      <w:r w:rsidRPr="0074715B">
        <w:rPr>
          <w:rFonts w:asciiTheme="minorBidi" w:eastAsia="Calibri" w:hAnsiTheme="minorBidi" w:cstheme="minorBidi"/>
          <w:sz w:val="20"/>
          <w:szCs w:val="20"/>
          <w:lang w:val="en-US"/>
        </w:rPr>
        <w:t xml:space="preserve">: </w:t>
      </w:r>
      <w:hyperlink r:id="rId63">
        <w:r w:rsidR="00C60456" w:rsidRPr="0074715B">
          <w:rPr>
            <w:rFonts w:asciiTheme="minorBidi" w:eastAsia="Calibri" w:hAnsiTheme="minorBidi" w:cstheme="minorBidi"/>
            <w:color w:val="1155CC"/>
            <w:sz w:val="20"/>
            <w:szCs w:val="20"/>
            <w:u w:val="single"/>
            <w:lang w:val="en-US"/>
          </w:rPr>
          <w:t>https://www.minsalud.gov.co/sites/rid/Lists/BibliotecaDigital/RIDE/VS/ED/GCFI/documento-metodologico-ensin-2015.pdf</w:t>
        </w:r>
      </w:hyperlink>
      <w:r w:rsidRPr="0074715B">
        <w:rPr>
          <w:rFonts w:asciiTheme="minorBidi" w:eastAsia="Calibri" w:hAnsiTheme="minorBidi" w:cstheme="minorBidi"/>
          <w:sz w:val="20"/>
          <w:szCs w:val="20"/>
          <w:lang w:val="en-US"/>
        </w:rPr>
        <w:t xml:space="preserve">. </w:t>
      </w:r>
    </w:p>
  </w:footnote>
  <w:footnote w:id="64">
    <w:p w14:paraId="00000129" w14:textId="38CCF1E7" w:rsidR="00C60456" w:rsidRPr="0074715B" w:rsidRDefault="00A74445">
      <w:pPr>
        <w:spacing w:line="240" w:lineRule="auto"/>
        <w:rPr>
          <w:rFonts w:asciiTheme="minorBidi" w:hAnsiTheme="minorBidi" w:cstheme="minorBidi"/>
          <w:sz w:val="20"/>
          <w:szCs w:val="20"/>
          <w:vertAlign w:val="superscript"/>
          <w:lang w:val="en-US"/>
        </w:rPr>
      </w:pPr>
      <w:r w:rsidRPr="0074715B">
        <w:rPr>
          <w:rFonts w:asciiTheme="minorBidi" w:hAnsiTheme="minorBidi" w:cstheme="minorBidi"/>
          <w:sz w:val="20"/>
          <w:szCs w:val="20"/>
          <w:vertAlign w:val="superscript"/>
          <w:lang w:val="en-US"/>
        </w:rPr>
        <w:footnoteRef/>
      </w:r>
      <w:r w:rsidRPr="0074715B">
        <w:rPr>
          <w:rFonts w:asciiTheme="minorBidi" w:hAnsiTheme="minorBidi" w:cstheme="minorBidi"/>
          <w:sz w:val="20"/>
          <w:szCs w:val="20"/>
          <w:vertAlign w:val="superscript"/>
          <w:lang w:val="en-US"/>
        </w:rPr>
        <w:t xml:space="preserve"> </w:t>
      </w:r>
      <w:r w:rsidR="008F7700" w:rsidRPr="004D33A6">
        <w:rPr>
          <w:rFonts w:asciiTheme="minorBidi" w:eastAsia="Calibri" w:hAnsiTheme="minorBidi" w:cstheme="minorBidi"/>
          <w:sz w:val="20"/>
          <w:szCs w:val="20"/>
          <w:lang w:val="en-US"/>
        </w:rPr>
        <w:t xml:space="preserve">Government of Colombia. National Development Plan 2022-2026. </w:t>
      </w:r>
      <w:r w:rsidR="008F7700" w:rsidRPr="004D33A6">
        <w:rPr>
          <w:rFonts w:asciiTheme="minorBidi" w:eastAsia="Calibri" w:hAnsiTheme="minorBidi" w:cstheme="minorBidi"/>
          <w:i/>
          <w:iCs/>
          <w:sz w:val="20"/>
          <w:szCs w:val="20"/>
          <w:lang w:val="en-US"/>
        </w:rPr>
        <w:t>Op. Cit.</w:t>
      </w:r>
      <w:r w:rsidR="008F7700" w:rsidRPr="004D33A6">
        <w:rPr>
          <w:rFonts w:asciiTheme="minorBidi" w:eastAsia="Calibri" w:hAnsiTheme="minorBidi" w:cstheme="minorBidi"/>
          <w:sz w:val="20"/>
          <w:szCs w:val="20"/>
          <w:lang w:val="en-US"/>
        </w:rPr>
        <w:t>, pp. 751-752. Available at</w:t>
      </w:r>
      <w:r w:rsidRPr="0074715B">
        <w:rPr>
          <w:rFonts w:asciiTheme="minorBidi" w:eastAsia="Calibri" w:hAnsiTheme="minorBidi" w:cstheme="minorBidi"/>
          <w:sz w:val="20"/>
          <w:szCs w:val="20"/>
          <w:lang w:val="en-US"/>
        </w:rPr>
        <w:t xml:space="preserve">: </w:t>
      </w:r>
      <w:hyperlink r:id="rId64">
        <w:r w:rsidR="00C60456" w:rsidRPr="0074715B">
          <w:rPr>
            <w:rFonts w:asciiTheme="minorBidi" w:eastAsia="Calibri" w:hAnsiTheme="minorBidi" w:cstheme="minorBidi"/>
            <w:color w:val="1155CC"/>
            <w:sz w:val="20"/>
            <w:szCs w:val="20"/>
            <w:u w:val="single"/>
            <w:lang w:val="en-US"/>
          </w:rPr>
          <w:t>https://colaboracion.dnp.gov.co/CDT/Prensa/Publicaciones/plan-nacional-de-desarrollo-2022-2026-colombia-potencia-mundial-de-la-vida.pdf</w:t>
        </w:r>
      </w:hyperlink>
      <w:r w:rsidRPr="0074715B">
        <w:rPr>
          <w:rFonts w:asciiTheme="minorBidi" w:eastAsia="Calibri" w:hAnsiTheme="minorBidi" w:cstheme="minorBidi"/>
          <w:sz w:val="20"/>
          <w:szCs w:val="20"/>
          <w:lang w:val="en-US"/>
        </w:rPr>
        <w:t xml:space="preserve">. </w:t>
      </w:r>
    </w:p>
  </w:footnote>
  <w:footnote w:id="65">
    <w:p w14:paraId="0000012A" w14:textId="1511EB4D" w:rsidR="00C60456" w:rsidRPr="0074715B" w:rsidRDefault="00A74445">
      <w:pPr>
        <w:spacing w:line="240" w:lineRule="auto"/>
        <w:rPr>
          <w:rFonts w:asciiTheme="minorBidi" w:hAnsiTheme="minorBidi" w:cstheme="minorBidi"/>
          <w:sz w:val="20"/>
          <w:szCs w:val="20"/>
          <w:vertAlign w:val="superscript"/>
          <w:lang w:val="en-US"/>
        </w:rPr>
      </w:pPr>
      <w:r w:rsidRPr="0074715B">
        <w:rPr>
          <w:rFonts w:asciiTheme="minorBidi" w:hAnsiTheme="minorBidi" w:cstheme="minorBidi"/>
          <w:sz w:val="20"/>
          <w:szCs w:val="20"/>
          <w:vertAlign w:val="superscript"/>
          <w:lang w:val="en-US"/>
        </w:rPr>
        <w:footnoteRef/>
      </w:r>
      <w:r w:rsidRPr="0074715B">
        <w:rPr>
          <w:rFonts w:asciiTheme="minorBidi" w:eastAsia="Calibri" w:hAnsiTheme="minorBidi" w:cstheme="minorBidi"/>
          <w:sz w:val="20"/>
          <w:szCs w:val="20"/>
          <w:lang w:val="en-US"/>
        </w:rPr>
        <w:t xml:space="preserve"> </w:t>
      </w:r>
      <w:r w:rsidR="008F7700" w:rsidRPr="004D33A6">
        <w:rPr>
          <w:rFonts w:asciiTheme="minorBidi" w:eastAsia="Calibri" w:hAnsiTheme="minorBidi" w:cstheme="minorBidi"/>
          <w:sz w:val="20"/>
          <w:szCs w:val="20"/>
          <w:lang w:val="en-US"/>
        </w:rPr>
        <w:t>WFP. Food Security Evaluation for the Colombian Population 2024. Executive Summary, p. 2. Available at</w:t>
      </w:r>
      <w:r w:rsidRPr="0074715B">
        <w:rPr>
          <w:rFonts w:asciiTheme="minorBidi" w:eastAsia="Calibri" w:hAnsiTheme="minorBidi" w:cstheme="minorBidi"/>
          <w:sz w:val="20"/>
          <w:szCs w:val="20"/>
          <w:lang w:val="en-US"/>
        </w:rPr>
        <w:t xml:space="preserve">: </w:t>
      </w:r>
      <w:hyperlink r:id="rId65">
        <w:r w:rsidR="00C60456" w:rsidRPr="0074715B">
          <w:rPr>
            <w:rFonts w:asciiTheme="minorBidi" w:eastAsia="Calibri" w:hAnsiTheme="minorBidi" w:cstheme="minorBidi"/>
            <w:color w:val="1155CC"/>
            <w:sz w:val="20"/>
            <w:szCs w:val="20"/>
            <w:u w:val="single"/>
            <w:lang w:val="en-US"/>
          </w:rPr>
          <w:t>https://es.wfp.org/publicaciones/evaluacion-de-la-seguridad-alimentaria-para-la-poblacion-colombiana-2024</w:t>
        </w:r>
      </w:hyperlink>
      <w:r w:rsidRPr="0074715B">
        <w:rPr>
          <w:rFonts w:asciiTheme="minorBidi" w:eastAsia="Calibri" w:hAnsiTheme="minorBidi" w:cstheme="minorBidi"/>
          <w:sz w:val="20"/>
          <w:szCs w:val="20"/>
          <w:lang w:val="en-US"/>
        </w:rPr>
        <w:t xml:space="preserve"> </w:t>
      </w:r>
    </w:p>
  </w:footnote>
  <w:footnote w:id="66">
    <w:p w14:paraId="0000012B" w14:textId="61E7AA4E" w:rsidR="00C60456" w:rsidRPr="0074715B" w:rsidRDefault="00A74445">
      <w:pPr>
        <w:spacing w:line="240" w:lineRule="auto"/>
        <w:rPr>
          <w:rFonts w:asciiTheme="minorBidi" w:hAnsiTheme="minorBidi" w:cstheme="minorBidi"/>
          <w:sz w:val="20"/>
          <w:szCs w:val="20"/>
          <w:vertAlign w:val="superscript"/>
          <w:lang w:val="en-US"/>
        </w:rPr>
      </w:pPr>
      <w:r w:rsidRPr="0074715B">
        <w:rPr>
          <w:rFonts w:asciiTheme="minorBidi" w:hAnsiTheme="minorBidi" w:cstheme="minorBidi"/>
          <w:sz w:val="20"/>
          <w:szCs w:val="20"/>
          <w:vertAlign w:val="superscript"/>
          <w:lang w:val="en-US"/>
        </w:rPr>
        <w:footnoteRef/>
      </w:r>
      <w:r w:rsidRPr="0074715B">
        <w:rPr>
          <w:rFonts w:asciiTheme="minorBidi" w:eastAsia="Calibri" w:hAnsiTheme="minorBidi" w:cstheme="minorBidi"/>
          <w:sz w:val="20"/>
          <w:szCs w:val="20"/>
          <w:lang w:val="en-US"/>
        </w:rPr>
        <w:t xml:space="preserve"> </w:t>
      </w:r>
      <w:r w:rsidR="008F7700" w:rsidRPr="004D33A6">
        <w:rPr>
          <w:rFonts w:asciiTheme="minorBidi" w:eastAsia="Calibri" w:hAnsiTheme="minorBidi" w:cstheme="minorBidi"/>
          <w:sz w:val="20"/>
          <w:szCs w:val="20"/>
          <w:lang w:val="en-US"/>
        </w:rPr>
        <w:t>Office of the Attorney General of Colombia. The Attorney General Calls on Local Leaders to Address and Urgently Prevent Child Malnutrition in Colombia. Bulletin 197 of 2024. Available at</w:t>
      </w:r>
      <w:r w:rsidRPr="0074715B">
        <w:rPr>
          <w:rFonts w:asciiTheme="minorBidi" w:eastAsia="Calibri" w:hAnsiTheme="minorBidi" w:cstheme="minorBidi"/>
          <w:sz w:val="20"/>
          <w:szCs w:val="20"/>
          <w:lang w:val="en-US"/>
        </w:rPr>
        <w:t xml:space="preserve">: </w:t>
      </w:r>
      <w:hyperlink r:id="rId66" w:anchor=":~:text=244%20fallecimientos%20fueron%20confirmados%20por,(20)%20con%20m%C3%A1s%20reportes">
        <w:r w:rsidR="00C60456" w:rsidRPr="0074715B">
          <w:rPr>
            <w:rFonts w:asciiTheme="minorBidi" w:eastAsia="Calibri" w:hAnsiTheme="minorBidi" w:cstheme="minorBidi"/>
            <w:color w:val="1155CC"/>
            <w:sz w:val="20"/>
            <w:szCs w:val="20"/>
            <w:u w:val="single"/>
            <w:lang w:val="en-US"/>
          </w:rPr>
          <w:t>https://www.procuraduria.gov.co/Pages/procuraduria-pide-mandatarios-territoriales-atencion-prevencion-urgente-desnutricion-infantil-colombia.aspx#:~:text=244%20fallecimientos%20fueron%20confirmados%20por,(20)%20con%20más%20reportes</w:t>
        </w:r>
      </w:hyperlink>
      <w:r w:rsidRPr="0074715B">
        <w:rPr>
          <w:rFonts w:asciiTheme="minorBidi" w:eastAsia="Calibri" w:hAnsiTheme="minorBidi" w:cstheme="minorBidi"/>
          <w:sz w:val="20"/>
          <w:szCs w:val="20"/>
          <w:lang w:val="en-US"/>
        </w:rPr>
        <w:t>.</w:t>
      </w:r>
    </w:p>
  </w:footnote>
  <w:footnote w:id="67">
    <w:p w14:paraId="0000010E" w14:textId="2B057FF9" w:rsidR="00C60456" w:rsidRPr="0074715B" w:rsidRDefault="00A74445">
      <w:pPr>
        <w:spacing w:line="240" w:lineRule="auto"/>
        <w:rPr>
          <w:rFonts w:asciiTheme="minorBidi" w:hAnsiTheme="minorBidi" w:cstheme="minorBidi"/>
          <w:sz w:val="20"/>
          <w:szCs w:val="20"/>
          <w:vertAlign w:val="superscript"/>
          <w:lang w:val="en-US"/>
        </w:rPr>
      </w:pPr>
      <w:r w:rsidRPr="0074715B">
        <w:rPr>
          <w:rFonts w:asciiTheme="minorBidi" w:hAnsiTheme="minorBidi" w:cstheme="minorBidi"/>
          <w:sz w:val="20"/>
          <w:szCs w:val="20"/>
          <w:vertAlign w:val="superscript"/>
          <w:lang w:val="en-US"/>
        </w:rPr>
        <w:footnoteRef/>
      </w:r>
      <w:r w:rsidR="00F437CC" w:rsidRPr="004D33A6">
        <w:rPr>
          <w:rFonts w:asciiTheme="minorBidi" w:eastAsia="Calibri" w:hAnsiTheme="minorBidi" w:cstheme="minorBidi"/>
          <w:sz w:val="20"/>
          <w:szCs w:val="20"/>
          <w:lang w:val="en-US"/>
        </w:rPr>
        <w:t xml:space="preserve">Inter-American Commission on Human Rights. Resolution 60/2015. Precautionary Measures No. 51/15. Regarding </w:t>
      </w:r>
      <w:r w:rsidR="00F437CC" w:rsidRPr="0074715B">
        <w:rPr>
          <w:rFonts w:asciiTheme="minorBidi" w:eastAsia="Calibri" w:hAnsiTheme="minorBidi" w:cstheme="minorBidi"/>
          <w:sz w:val="20"/>
          <w:szCs w:val="20"/>
          <w:lang w:val="en-US"/>
        </w:rPr>
        <w:t xml:space="preserve">Boys, Girls, </w:t>
      </w:r>
      <w:r w:rsidR="00F437CC" w:rsidRPr="004D33A6">
        <w:rPr>
          <w:rFonts w:asciiTheme="minorBidi" w:eastAsia="Calibri" w:hAnsiTheme="minorBidi" w:cstheme="minorBidi"/>
          <w:sz w:val="20"/>
          <w:szCs w:val="20"/>
          <w:lang w:val="en-US"/>
        </w:rPr>
        <w:t>and Adolescents of the Wayúu Communities in Uribia, Manaure, Riohacha, and Maicao of the Wayúu people, in La Guajira Department, Colombia. December 11, 2015. Available at</w:t>
      </w:r>
      <w:r w:rsidRPr="0074715B">
        <w:rPr>
          <w:rFonts w:asciiTheme="minorBidi" w:eastAsia="Calibri" w:hAnsiTheme="minorBidi" w:cstheme="minorBidi"/>
          <w:sz w:val="20"/>
          <w:szCs w:val="20"/>
          <w:lang w:val="en-US"/>
        </w:rPr>
        <w:t xml:space="preserve">: </w:t>
      </w:r>
      <w:hyperlink r:id="rId67">
        <w:r w:rsidR="00C60456" w:rsidRPr="0074715B">
          <w:rPr>
            <w:rFonts w:asciiTheme="minorBidi" w:eastAsia="Calibri" w:hAnsiTheme="minorBidi" w:cstheme="minorBidi"/>
            <w:color w:val="1155CC"/>
            <w:sz w:val="20"/>
            <w:szCs w:val="20"/>
            <w:u w:val="single"/>
            <w:lang w:val="en-US"/>
          </w:rPr>
          <w:t>https://www.oas.org/es/cidh/decisiones/pdf/2015/MC51-15-Es.pdf</w:t>
        </w:r>
      </w:hyperlink>
      <w:r w:rsidRPr="0074715B">
        <w:rPr>
          <w:rFonts w:asciiTheme="minorBidi" w:eastAsia="Calibri" w:hAnsiTheme="minorBidi" w:cstheme="minorBidi"/>
          <w:sz w:val="20"/>
          <w:szCs w:val="20"/>
          <w:lang w:val="en-US"/>
        </w:rPr>
        <w:t xml:space="preserve"> </w:t>
      </w:r>
    </w:p>
  </w:footnote>
  <w:footnote w:id="68">
    <w:p w14:paraId="06FE5BF2" w14:textId="76AAA2AC" w:rsidR="00FC4E02" w:rsidRPr="0074715B" w:rsidRDefault="00FC4E02" w:rsidP="00FC4E02">
      <w:pPr>
        <w:spacing w:line="240" w:lineRule="auto"/>
        <w:rPr>
          <w:rFonts w:asciiTheme="minorBidi" w:eastAsia="Calibri" w:hAnsiTheme="minorBidi" w:cstheme="minorBidi"/>
          <w:sz w:val="20"/>
          <w:szCs w:val="20"/>
          <w:lang w:val="en-US"/>
        </w:rPr>
      </w:pPr>
      <w:r w:rsidRPr="0074715B">
        <w:rPr>
          <w:rFonts w:asciiTheme="minorBidi" w:hAnsiTheme="minorBidi" w:cstheme="minorBidi"/>
          <w:sz w:val="20"/>
          <w:szCs w:val="20"/>
          <w:vertAlign w:val="superscript"/>
          <w:lang w:val="en-US"/>
        </w:rPr>
        <w:footnoteRef/>
      </w:r>
      <w:r w:rsidRPr="0074715B">
        <w:rPr>
          <w:rFonts w:asciiTheme="minorBidi" w:hAnsiTheme="minorBidi" w:cstheme="minorBidi"/>
          <w:sz w:val="20"/>
          <w:szCs w:val="20"/>
          <w:vertAlign w:val="superscript"/>
          <w:lang w:val="en-US"/>
        </w:rPr>
        <w:t xml:space="preserve"> </w:t>
      </w:r>
      <w:r w:rsidR="00F437CC" w:rsidRPr="004D33A6">
        <w:rPr>
          <w:rFonts w:asciiTheme="minorBidi" w:eastAsia="Calibri" w:hAnsiTheme="minorBidi" w:cstheme="minorBidi"/>
          <w:sz w:val="20"/>
          <w:szCs w:val="20"/>
          <w:lang w:val="en-US"/>
        </w:rPr>
        <w:t>Inter-American Commission on Human Rights. Resolution 3/2017. Precautionary Measures No. 51/15. Expanding Beneficiaries to Include Pregnant and Lactating Women of the Wayúu Indigenous Community in the Municipalities of Manaure, Riohacha, and Uribia, Colombia. January 26, 2017</w:t>
      </w:r>
      <w:r w:rsidRPr="0074715B">
        <w:rPr>
          <w:rFonts w:asciiTheme="minorBidi" w:eastAsia="Calibri" w:hAnsiTheme="minorBidi" w:cstheme="minorBidi"/>
          <w:sz w:val="20"/>
          <w:szCs w:val="20"/>
          <w:lang w:val="en-US"/>
        </w:rPr>
        <w:t>.</w:t>
      </w:r>
    </w:p>
  </w:footnote>
  <w:footnote w:id="69">
    <w:p w14:paraId="00000110" w14:textId="16513AF3" w:rsidR="00C60456" w:rsidRPr="0074715B" w:rsidRDefault="00A74445">
      <w:pPr>
        <w:spacing w:line="240" w:lineRule="auto"/>
        <w:rPr>
          <w:rFonts w:asciiTheme="minorBidi" w:hAnsiTheme="minorBidi" w:cstheme="minorBidi"/>
          <w:sz w:val="20"/>
          <w:szCs w:val="20"/>
          <w:vertAlign w:val="superscript"/>
          <w:lang w:val="en-US"/>
        </w:rPr>
      </w:pPr>
      <w:r w:rsidRPr="0074715B">
        <w:rPr>
          <w:rFonts w:asciiTheme="minorBidi" w:hAnsiTheme="minorBidi" w:cstheme="minorBidi"/>
          <w:sz w:val="20"/>
          <w:szCs w:val="20"/>
          <w:vertAlign w:val="superscript"/>
          <w:lang w:val="en-US"/>
        </w:rPr>
        <w:footnoteRef/>
      </w:r>
      <w:r w:rsidRPr="0074715B">
        <w:rPr>
          <w:rFonts w:asciiTheme="minorBidi" w:hAnsiTheme="minorBidi" w:cstheme="minorBidi"/>
          <w:sz w:val="20"/>
          <w:szCs w:val="20"/>
          <w:vertAlign w:val="superscript"/>
          <w:lang w:val="en-US"/>
        </w:rPr>
        <w:t xml:space="preserve"> </w:t>
      </w:r>
      <w:r w:rsidR="00F437CC" w:rsidRPr="004D33A6">
        <w:rPr>
          <w:rFonts w:asciiTheme="minorBidi" w:eastAsia="Calibri" w:hAnsiTheme="minorBidi" w:cstheme="minorBidi"/>
          <w:sz w:val="20"/>
          <w:szCs w:val="20"/>
          <w:lang w:val="en-US"/>
        </w:rPr>
        <w:t xml:space="preserve">Constitutional Court of Colombia. </w:t>
      </w:r>
      <w:r w:rsidR="00F437CC" w:rsidRPr="0074715B">
        <w:rPr>
          <w:rFonts w:asciiTheme="minorBidi" w:eastAsia="Calibri" w:hAnsiTheme="minorBidi" w:cstheme="minorBidi"/>
          <w:sz w:val="20"/>
          <w:szCs w:val="20"/>
          <w:lang w:val="en-US"/>
        </w:rPr>
        <w:t>Ruling</w:t>
      </w:r>
      <w:r w:rsidR="00F437CC" w:rsidRPr="004D33A6">
        <w:rPr>
          <w:rFonts w:asciiTheme="minorBidi" w:eastAsia="Calibri" w:hAnsiTheme="minorBidi" w:cstheme="minorBidi"/>
          <w:sz w:val="20"/>
          <w:szCs w:val="20"/>
          <w:lang w:val="en-US"/>
        </w:rPr>
        <w:t xml:space="preserve"> T-302/17. May 8, 2017. Available at</w:t>
      </w:r>
      <w:r w:rsidRPr="0074715B">
        <w:rPr>
          <w:rFonts w:asciiTheme="minorBidi" w:eastAsia="Calibri" w:hAnsiTheme="minorBidi" w:cstheme="minorBidi"/>
          <w:sz w:val="20"/>
          <w:szCs w:val="20"/>
          <w:lang w:val="en-US"/>
        </w:rPr>
        <w:t xml:space="preserve">: </w:t>
      </w:r>
      <w:hyperlink r:id="rId68">
        <w:r w:rsidR="00C60456" w:rsidRPr="0074715B">
          <w:rPr>
            <w:rFonts w:asciiTheme="minorBidi" w:eastAsia="Calibri" w:hAnsiTheme="minorBidi" w:cstheme="minorBidi"/>
            <w:color w:val="1155CC"/>
            <w:sz w:val="20"/>
            <w:szCs w:val="20"/>
            <w:u w:val="single"/>
            <w:lang w:val="en-US"/>
          </w:rPr>
          <w:t>https://www.corteconstitucional.gov.co/relatoria/2017/t-302-17.htm</w:t>
        </w:r>
      </w:hyperlink>
      <w:r w:rsidRPr="0074715B">
        <w:rPr>
          <w:rFonts w:asciiTheme="minorBidi" w:eastAsia="Calibri" w:hAnsiTheme="minorBidi" w:cstheme="minorBidi"/>
          <w:sz w:val="20"/>
          <w:szCs w:val="20"/>
          <w:lang w:val="en-US"/>
        </w:rPr>
        <w:t xml:space="preserve"> </w:t>
      </w:r>
    </w:p>
  </w:footnote>
  <w:footnote w:id="70">
    <w:p w14:paraId="00000111" w14:textId="016B8B76" w:rsidR="00C60456" w:rsidRPr="0074715B" w:rsidRDefault="00A74445">
      <w:pPr>
        <w:spacing w:line="240" w:lineRule="auto"/>
        <w:rPr>
          <w:rFonts w:asciiTheme="minorBidi" w:hAnsiTheme="minorBidi" w:cstheme="minorBidi"/>
          <w:sz w:val="20"/>
          <w:szCs w:val="20"/>
          <w:vertAlign w:val="superscript"/>
          <w:lang w:val="en-US"/>
        </w:rPr>
      </w:pPr>
      <w:r w:rsidRPr="0074715B">
        <w:rPr>
          <w:rFonts w:asciiTheme="minorBidi" w:hAnsiTheme="minorBidi" w:cstheme="minorBidi"/>
          <w:sz w:val="20"/>
          <w:szCs w:val="20"/>
          <w:vertAlign w:val="superscript"/>
          <w:lang w:val="en-US"/>
        </w:rPr>
        <w:footnoteRef/>
      </w:r>
      <w:r w:rsidRPr="0074715B">
        <w:rPr>
          <w:rFonts w:asciiTheme="minorBidi" w:hAnsiTheme="minorBidi" w:cstheme="minorBidi"/>
          <w:sz w:val="20"/>
          <w:szCs w:val="20"/>
          <w:vertAlign w:val="superscript"/>
          <w:lang w:val="en-US"/>
        </w:rPr>
        <w:t xml:space="preserve"> </w:t>
      </w:r>
      <w:r w:rsidR="00F437CC" w:rsidRPr="004D33A6">
        <w:rPr>
          <w:rFonts w:asciiTheme="minorBidi" w:hAnsiTheme="minorBidi" w:cstheme="minorBidi"/>
          <w:sz w:val="20"/>
          <w:szCs w:val="20"/>
          <w:lang w:val="en-US"/>
        </w:rPr>
        <w:t>Constitutional Court of Colombia. Order 042/21, February 10, 2021. Available at</w:t>
      </w:r>
      <w:r w:rsidRPr="0074715B">
        <w:rPr>
          <w:rFonts w:asciiTheme="minorBidi" w:eastAsia="Calibri" w:hAnsiTheme="minorBidi" w:cstheme="minorBidi"/>
          <w:sz w:val="20"/>
          <w:szCs w:val="20"/>
          <w:lang w:val="en-US"/>
        </w:rPr>
        <w:t xml:space="preserve">: </w:t>
      </w:r>
      <w:hyperlink r:id="rId69">
        <w:r w:rsidR="00C60456" w:rsidRPr="0074715B">
          <w:rPr>
            <w:rFonts w:asciiTheme="minorBidi" w:hAnsiTheme="minorBidi" w:cstheme="minorBidi"/>
            <w:color w:val="1155CC"/>
            <w:sz w:val="20"/>
            <w:szCs w:val="20"/>
            <w:u w:val="single"/>
            <w:lang w:val="en-US"/>
          </w:rPr>
          <w:t>https://www.corteconstitucional.gov.co/Relatoria/autos/2021/A042-21.htm</w:t>
        </w:r>
      </w:hyperlink>
      <w:r w:rsidRPr="0074715B">
        <w:rPr>
          <w:rFonts w:asciiTheme="minorBidi" w:hAnsiTheme="minorBidi" w:cstheme="minorBidi"/>
          <w:sz w:val="20"/>
          <w:szCs w:val="20"/>
          <w:lang w:val="en-US"/>
        </w:rPr>
        <w:t>.</w:t>
      </w:r>
    </w:p>
  </w:footnote>
  <w:footnote w:id="71">
    <w:p w14:paraId="0000012C" w14:textId="2C664904" w:rsidR="00C60456" w:rsidRPr="0074715B" w:rsidRDefault="00A74445">
      <w:pPr>
        <w:spacing w:line="240" w:lineRule="auto"/>
        <w:rPr>
          <w:rFonts w:asciiTheme="minorBidi" w:hAnsiTheme="minorBidi" w:cstheme="minorBidi"/>
          <w:sz w:val="20"/>
          <w:szCs w:val="20"/>
          <w:vertAlign w:val="superscript"/>
          <w:lang w:val="en-US"/>
        </w:rPr>
      </w:pPr>
      <w:r w:rsidRPr="0074715B">
        <w:rPr>
          <w:rFonts w:asciiTheme="minorBidi" w:hAnsiTheme="minorBidi" w:cstheme="minorBidi"/>
          <w:sz w:val="20"/>
          <w:szCs w:val="20"/>
          <w:vertAlign w:val="superscript"/>
          <w:lang w:val="en-US"/>
        </w:rPr>
        <w:footnoteRef/>
      </w:r>
      <w:r w:rsidRPr="0074715B">
        <w:rPr>
          <w:rFonts w:asciiTheme="minorBidi" w:hAnsiTheme="minorBidi" w:cstheme="minorBidi"/>
          <w:sz w:val="20"/>
          <w:szCs w:val="20"/>
          <w:lang w:val="en-US"/>
        </w:rPr>
        <w:t xml:space="preserve"> El Universal. </w:t>
      </w:r>
      <w:r w:rsidR="00F437CC" w:rsidRPr="004D33A6">
        <w:rPr>
          <w:rFonts w:asciiTheme="minorBidi" w:hAnsiTheme="minorBidi" w:cstheme="minorBidi"/>
          <w:sz w:val="20"/>
          <w:szCs w:val="20"/>
          <w:lang w:val="en-US"/>
        </w:rPr>
        <w:t>El Universal. Constitutional Court Overturns Transfer to Address Malnutrition in La Guajira. December 11, 2023. Available at</w:t>
      </w:r>
      <w:r w:rsidRPr="0074715B">
        <w:rPr>
          <w:rFonts w:asciiTheme="minorBidi" w:hAnsiTheme="minorBidi" w:cstheme="minorBidi"/>
          <w:sz w:val="20"/>
          <w:szCs w:val="20"/>
          <w:lang w:val="en-US"/>
        </w:rPr>
        <w:t xml:space="preserve">: </w:t>
      </w:r>
      <w:hyperlink r:id="rId70">
        <w:r w:rsidR="00C60456" w:rsidRPr="0074715B">
          <w:rPr>
            <w:rFonts w:asciiTheme="minorBidi" w:hAnsiTheme="minorBidi" w:cstheme="minorBidi"/>
            <w:color w:val="1155CC"/>
            <w:sz w:val="20"/>
            <w:szCs w:val="20"/>
            <w:u w:val="single"/>
            <w:lang w:val="en-US"/>
          </w:rPr>
          <w:t>https://www.eluniversal.com.co/colombia/corte-constitucional-tumbo-transferencia-para-atender-desnutricion-en-la-guajira-AF9610398</w:t>
        </w:r>
      </w:hyperlink>
      <w:r w:rsidRPr="0074715B">
        <w:rPr>
          <w:rFonts w:asciiTheme="minorBidi" w:hAnsiTheme="minorBidi" w:cstheme="minorBidi"/>
          <w:sz w:val="20"/>
          <w:szCs w:val="20"/>
          <w:lang w:val="en-US"/>
        </w:rPr>
        <w:t>.</w:t>
      </w:r>
    </w:p>
  </w:footnote>
  <w:footnote w:id="72">
    <w:p w14:paraId="0000012D" w14:textId="3B1C8719" w:rsidR="00C60456" w:rsidRPr="0074715B" w:rsidRDefault="00A74445">
      <w:pPr>
        <w:spacing w:line="240" w:lineRule="auto"/>
        <w:rPr>
          <w:rFonts w:asciiTheme="minorBidi" w:eastAsia="Calibri" w:hAnsiTheme="minorBidi" w:cstheme="minorBidi"/>
          <w:sz w:val="20"/>
          <w:szCs w:val="20"/>
          <w:lang w:val="en-US"/>
        </w:rPr>
      </w:pPr>
      <w:r w:rsidRPr="0074715B">
        <w:rPr>
          <w:rFonts w:asciiTheme="minorBidi" w:hAnsiTheme="minorBidi" w:cstheme="minorBidi"/>
          <w:sz w:val="20"/>
          <w:szCs w:val="20"/>
          <w:vertAlign w:val="superscript"/>
          <w:lang w:val="en-US"/>
        </w:rPr>
        <w:footnoteRef/>
      </w:r>
      <w:r w:rsidRPr="0074715B">
        <w:rPr>
          <w:rFonts w:asciiTheme="minorBidi" w:hAnsiTheme="minorBidi" w:cstheme="minorBidi"/>
          <w:sz w:val="20"/>
          <w:szCs w:val="20"/>
          <w:vertAlign w:val="superscript"/>
          <w:lang w:val="en-US"/>
        </w:rPr>
        <w:t xml:space="preserve"> </w:t>
      </w:r>
      <w:r w:rsidRPr="0074715B">
        <w:rPr>
          <w:rFonts w:asciiTheme="minorBidi" w:eastAsia="Calibri" w:hAnsiTheme="minorBidi" w:cstheme="minorBidi"/>
          <w:sz w:val="20"/>
          <w:szCs w:val="20"/>
          <w:lang w:val="en-US"/>
        </w:rPr>
        <w:t xml:space="preserve"> </w:t>
      </w:r>
      <w:r w:rsidR="00F437CC" w:rsidRPr="004D33A6">
        <w:rPr>
          <w:rFonts w:asciiTheme="minorBidi" w:eastAsia="Calibri" w:hAnsiTheme="minorBidi" w:cstheme="minorBidi"/>
          <w:sz w:val="20"/>
          <w:szCs w:val="20"/>
          <w:lang w:val="en-US"/>
        </w:rPr>
        <w:t>WFP. Food Security Assessment: Migrants and Host Communities. Bogotá, 2023, pp. 37, 39, and 40. Available at</w:t>
      </w:r>
      <w:r w:rsidRPr="0074715B">
        <w:rPr>
          <w:rFonts w:asciiTheme="minorBidi" w:eastAsia="Calibri" w:hAnsiTheme="minorBidi" w:cstheme="minorBidi"/>
          <w:sz w:val="20"/>
          <w:szCs w:val="20"/>
          <w:lang w:val="en-US"/>
        </w:rPr>
        <w:t xml:space="preserve">: </w:t>
      </w:r>
      <w:hyperlink r:id="rId71">
        <w:r w:rsidR="00C60456" w:rsidRPr="0074715B">
          <w:rPr>
            <w:rFonts w:asciiTheme="minorBidi" w:eastAsia="Calibri" w:hAnsiTheme="minorBidi" w:cstheme="minorBidi"/>
            <w:sz w:val="20"/>
            <w:szCs w:val="20"/>
            <w:lang w:val="en-US"/>
          </w:rPr>
          <w:t>https://reliefweb.int/report/colombia/evaluacion-de-seguridad-alimentaria-migrantes-y-comunidades-de-acogida-colombia-mayo-2023</w:t>
        </w:r>
      </w:hyperlink>
      <w:r w:rsidRPr="0074715B">
        <w:rPr>
          <w:rFonts w:asciiTheme="minorBidi" w:eastAsia="Calibri" w:hAnsiTheme="minorBidi" w:cstheme="minorBidi"/>
          <w:sz w:val="20"/>
          <w:szCs w:val="20"/>
          <w:lang w:val="en-US"/>
        </w:rPr>
        <w:t xml:space="preserve">.  </w:t>
      </w:r>
    </w:p>
  </w:footnote>
  <w:footnote w:id="73">
    <w:p w14:paraId="0000011E" w14:textId="579E0683" w:rsidR="00C60456" w:rsidRPr="0074715B" w:rsidRDefault="00A74445">
      <w:pPr>
        <w:spacing w:line="240" w:lineRule="auto"/>
        <w:rPr>
          <w:rFonts w:asciiTheme="minorBidi" w:hAnsiTheme="minorBidi" w:cstheme="minorBidi"/>
          <w:sz w:val="20"/>
          <w:szCs w:val="20"/>
          <w:vertAlign w:val="superscript"/>
          <w:lang w:val="en-US"/>
        </w:rPr>
      </w:pPr>
      <w:r w:rsidRPr="0074715B">
        <w:rPr>
          <w:rFonts w:asciiTheme="minorBidi" w:hAnsiTheme="minorBidi" w:cstheme="minorBidi"/>
          <w:sz w:val="20"/>
          <w:szCs w:val="20"/>
          <w:vertAlign w:val="superscript"/>
          <w:lang w:val="en-US"/>
        </w:rPr>
        <w:footnoteRef/>
      </w:r>
      <w:r w:rsidRPr="0074715B">
        <w:rPr>
          <w:rFonts w:asciiTheme="minorBidi" w:hAnsiTheme="minorBidi" w:cstheme="minorBidi"/>
          <w:sz w:val="20"/>
          <w:szCs w:val="20"/>
          <w:vertAlign w:val="superscript"/>
          <w:lang w:val="en-US"/>
        </w:rPr>
        <w:t xml:space="preserve"> </w:t>
      </w:r>
      <w:r w:rsidR="00F437CC" w:rsidRPr="004D33A6">
        <w:rPr>
          <w:rFonts w:asciiTheme="minorBidi" w:eastAsia="Calibri" w:hAnsiTheme="minorBidi" w:cstheme="minorBidi"/>
          <w:sz w:val="20"/>
          <w:szCs w:val="20"/>
          <w:lang w:val="en-US"/>
        </w:rPr>
        <w:t xml:space="preserve">Ministry of Health and Social Protection et al. </w:t>
      </w:r>
      <w:r w:rsidR="00F437CC" w:rsidRPr="004D33A6">
        <w:rPr>
          <w:rFonts w:asciiTheme="minorBidi" w:eastAsia="Calibri" w:hAnsiTheme="minorBidi" w:cstheme="minorBidi"/>
          <w:b/>
          <w:bCs/>
          <w:sz w:val="20"/>
          <w:szCs w:val="20"/>
          <w:lang w:val="en-US"/>
        </w:rPr>
        <w:t>National Nutritional Status</w:t>
      </w:r>
      <w:r w:rsidR="00F437CC" w:rsidRPr="0074715B">
        <w:rPr>
          <w:rFonts w:asciiTheme="minorBidi" w:eastAsia="Calibri" w:hAnsiTheme="minorBidi" w:cstheme="minorBidi"/>
          <w:b/>
          <w:bCs/>
          <w:sz w:val="20"/>
          <w:szCs w:val="20"/>
          <w:lang w:val="en-US"/>
        </w:rPr>
        <w:t xml:space="preserve"> </w:t>
      </w:r>
      <w:r w:rsidR="00F437CC" w:rsidRPr="004D33A6">
        <w:rPr>
          <w:rFonts w:asciiTheme="minorBidi" w:eastAsia="Calibri" w:hAnsiTheme="minorBidi" w:cstheme="minorBidi"/>
          <w:b/>
          <w:bCs/>
          <w:sz w:val="20"/>
          <w:szCs w:val="20"/>
          <w:lang w:val="en-US"/>
        </w:rPr>
        <w:t>Survey. ENSIN 2015</w:t>
      </w:r>
      <w:r w:rsidR="00F437CC" w:rsidRPr="004D33A6">
        <w:rPr>
          <w:rFonts w:asciiTheme="minorBidi" w:eastAsia="Calibri" w:hAnsiTheme="minorBidi" w:cstheme="minorBidi"/>
          <w:sz w:val="20"/>
          <w:szCs w:val="20"/>
          <w:lang w:val="en-US"/>
        </w:rPr>
        <w:t xml:space="preserve">. </w:t>
      </w:r>
      <w:r w:rsidR="00F437CC" w:rsidRPr="004D33A6">
        <w:rPr>
          <w:rFonts w:asciiTheme="minorBidi" w:eastAsia="Calibri" w:hAnsiTheme="minorBidi" w:cstheme="minorBidi"/>
          <w:i/>
          <w:iCs/>
          <w:sz w:val="20"/>
          <w:szCs w:val="20"/>
          <w:lang w:val="en-US"/>
        </w:rPr>
        <w:t>Op. Cit.</w:t>
      </w:r>
      <w:r w:rsidR="00F437CC" w:rsidRPr="004D33A6">
        <w:rPr>
          <w:rFonts w:asciiTheme="minorBidi" w:eastAsia="Calibri" w:hAnsiTheme="minorBidi" w:cstheme="minorBidi"/>
          <w:sz w:val="20"/>
          <w:szCs w:val="20"/>
          <w:lang w:val="en-US"/>
        </w:rPr>
        <w:t>, pp. 407 and 433</w:t>
      </w:r>
      <w:r w:rsidRPr="0074715B">
        <w:rPr>
          <w:rFonts w:asciiTheme="minorBidi" w:eastAsia="Calibri" w:hAnsiTheme="minorBidi" w:cstheme="minorBidi"/>
          <w:sz w:val="20"/>
          <w:szCs w:val="20"/>
          <w:lang w:val="en-US"/>
        </w:rPr>
        <w:t>.</w:t>
      </w:r>
    </w:p>
  </w:footnote>
  <w:footnote w:id="74">
    <w:p w14:paraId="0000012E" w14:textId="3A85E3D5" w:rsidR="00C60456" w:rsidRPr="0074715B" w:rsidRDefault="00A74445">
      <w:pPr>
        <w:spacing w:line="240" w:lineRule="auto"/>
        <w:rPr>
          <w:rFonts w:asciiTheme="minorBidi" w:hAnsiTheme="minorBidi" w:cstheme="minorBidi"/>
          <w:sz w:val="20"/>
          <w:szCs w:val="20"/>
          <w:vertAlign w:val="superscript"/>
          <w:lang w:val="en-US"/>
        </w:rPr>
      </w:pPr>
      <w:r w:rsidRPr="0074715B">
        <w:rPr>
          <w:rFonts w:asciiTheme="minorBidi" w:hAnsiTheme="minorBidi" w:cstheme="minorBidi"/>
          <w:sz w:val="20"/>
          <w:szCs w:val="20"/>
          <w:vertAlign w:val="superscript"/>
          <w:lang w:val="en-US"/>
        </w:rPr>
        <w:footnoteRef/>
      </w:r>
      <w:r w:rsidRPr="0074715B">
        <w:rPr>
          <w:rFonts w:asciiTheme="minorBidi" w:hAnsiTheme="minorBidi" w:cstheme="minorBidi"/>
          <w:sz w:val="20"/>
          <w:szCs w:val="20"/>
          <w:vertAlign w:val="superscript"/>
          <w:lang w:val="en-US"/>
        </w:rPr>
        <w:t xml:space="preserve"> </w:t>
      </w:r>
      <w:r w:rsidR="00F437CC" w:rsidRPr="004D33A6">
        <w:rPr>
          <w:rFonts w:asciiTheme="minorBidi" w:eastAsia="Calibri" w:hAnsiTheme="minorBidi" w:cstheme="minorBidi"/>
          <w:sz w:val="20"/>
          <w:szCs w:val="20"/>
          <w:lang w:val="en-US"/>
        </w:rPr>
        <w:t xml:space="preserve">WFP. Food Security Assessment: Migrants and Host Communities. </w:t>
      </w:r>
      <w:r w:rsidR="00F437CC" w:rsidRPr="004D33A6">
        <w:rPr>
          <w:rFonts w:asciiTheme="minorBidi" w:eastAsia="Calibri" w:hAnsiTheme="minorBidi" w:cstheme="minorBidi"/>
          <w:i/>
          <w:iCs/>
          <w:sz w:val="20"/>
          <w:szCs w:val="20"/>
          <w:lang w:val="en-US"/>
        </w:rPr>
        <w:t>Op. Cit.</w:t>
      </w:r>
      <w:r w:rsidR="00F437CC" w:rsidRPr="004D33A6">
        <w:rPr>
          <w:rFonts w:asciiTheme="minorBidi" w:eastAsia="Calibri" w:hAnsiTheme="minorBidi" w:cstheme="minorBidi"/>
          <w:sz w:val="20"/>
          <w:szCs w:val="20"/>
          <w:lang w:val="en-US"/>
        </w:rPr>
        <w:t>, pp. 41 and 44</w:t>
      </w:r>
      <w:r w:rsidRPr="0074715B">
        <w:rPr>
          <w:rFonts w:asciiTheme="minorBidi" w:eastAsia="Calibri" w:hAnsiTheme="minorBidi" w:cstheme="minorBidi"/>
          <w:sz w:val="20"/>
          <w:szCs w:val="20"/>
          <w:lang w:val="en-US"/>
        </w:rPr>
        <w:t>.</w:t>
      </w:r>
    </w:p>
  </w:footnote>
  <w:footnote w:id="75">
    <w:p w14:paraId="00000112" w14:textId="264D5FDD" w:rsidR="00C60456" w:rsidRPr="0074715B" w:rsidRDefault="00A74445">
      <w:pPr>
        <w:spacing w:line="240" w:lineRule="auto"/>
        <w:jc w:val="both"/>
        <w:rPr>
          <w:rFonts w:asciiTheme="minorBidi" w:hAnsiTheme="minorBidi" w:cstheme="minorBidi"/>
          <w:sz w:val="20"/>
          <w:szCs w:val="20"/>
          <w:vertAlign w:val="superscript"/>
          <w:lang w:val="en-US"/>
        </w:rPr>
      </w:pPr>
      <w:r w:rsidRPr="0074715B">
        <w:rPr>
          <w:rFonts w:asciiTheme="minorBidi" w:hAnsiTheme="minorBidi" w:cstheme="minorBidi"/>
          <w:sz w:val="20"/>
          <w:szCs w:val="20"/>
          <w:vertAlign w:val="superscript"/>
          <w:lang w:val="en-US"/>
        </w:rPr>
        <w:footnoteRef/>
      </w:r>
      <w:r w:rsidRPr="0074715B">
        <w:rPr>
          <w:rFonts w:asciiTheme="minorBidi" w:hAnsiTheme="minorBidi" w:cstheme="minorBidi"/>
          <w:sz w:val="20"/>
          <w:szCs w:val="20"/>
          <w:vertAlign w:val="superscript"/>
          <w:lang w:val="en-US"/>
        </w:rPr>
        <w:t xml:space="preserve"> </w:t>
      </w:r>
      <w:r w:rsidR="00F437CC" w:rsidRPr="004D33A6">
        <w:rPr>
          <w:rFonts w:asciiTheme="minorBidi" w:hAnsiTheme="minorBidi" w:cstheme="minorBidi"/>
          <w:sz w:val="20"/>
          <w:szCs w:val="20"/>
          <w:lang w:val="en-US"/>
        </w:rPr>
        <w:t xml:space="preserve">Committee on the Rights of the Child. </w:t>
      </w:r>
      <w:r w:rsidR="00F437CC" w:rsidRPr="0074715B">
        <w:rPr>
          <w:rFonts w:asciiTheme="minorBidi" w:hAnsiTheme="minorBidi" w:cstheme="minorBidi"/>
          <w:sz w:val="20"/>
          <w:szCs w:val="20"/>
          <w:lang w:val="en-US"/>
        </w:rPr>
        <w:t xml:space="preserve">Final </w:t>
      </w:r>
      <w:r w:rsidR="006A0B46">
        <w:rPr>
          <w:rFonts w:asciiTheme="minorBidi" w:hAnsiTheme="minorBidi" w:cstheme="minorBidi"/>
          <w:sz w:val="20"/>
          <w:szCs w:val="20"/>
          <w:lang w:val="en-US"/>
        </w:rPr>
        <w:t>c</w:t>
      </w:r>
      <w:r w:rsidR="00F437CC" w:rsidRPr="0074715B">
        <w:rPr>
          <w:rFonts w:asciiTheme="minorBidi" w:hAnsiTheme="minorBidi" w:cstheme="minorBidi"/>
          <w:sz w:val="20"/>
          <w:szCs w:val="20"/>
          <w:lang w:val="en-US"/>
        </w:rPr>
        <w:t xml:space="preserve">onclusions </w:t>
      </w:r>
      <w:r w:rsidR="00F437CC" w:rsidRPr="004D33A6">
        <w:rPr>
          <w:rFonts w:asciiTheme="minorBidi" w:hAnsiTheme="minorBidi" w:cstheme="minorBidi"/>
          <w:sz w:val="20"/>
          <w:szCs w:val="20"/>
          <w:lang w:val="en-US"/>
        </w:rPr>
        <w:t>on the Fourth and Fifth Combined Periodic Reports of Colombia. CRC/C/COL/CO/4-5. March 6, 2015, recommendation 40.g</w:t>
      </w:r>
      <w:r w:rsidRPr="0074715B">
        <w:rPr>
          <w:rFonts w:asciiTheme="minorBidi" w:eastAsia="Times New Roman" w:hAnsiTheme="minorBidi" w:cstheme="minorBidi"/>
          <w:sz w:val="20"/>
          <w:szCs w:val="20"/>
          <w:lang w:val="en-US"/>
        </w:rPr>
        <w:t>.</w:t>
      </w:r>
    </w:p>
  </w:footnote>
  <w:footnote w:id="76">
    <w:p w14:paraId="729606CC" w14:textId="737A556B" w:rsidR="00FC4E02" w:rsidRPr="0074715B" w:rsidRDefault="00FC4E02" w:rsidP="00FC4E02">
      <w:pPr>
        <w:spacing w:line="240" w:lineRule="auto"/>
        <w:rPr>
          <w:rFonts w:asciiTheme="minorBidi" w:hAnsiTheme="minorBidi" w:cstheme="minorBidi"/>
          <w:sz w:val="20"/>
          <w:szCs w:val="20"/>
          <w:lang w:val="en-US"/>
        </w:rPr>
      </w:pPr>
      <w:r w:rsidRPr="0074715B">
        <w:rPr>
          <w:rFonts w:asciiTheme="minorBidi" w:hAnsiTheme="minorBidi" w:cstheme="minorBidi"/>
          <w:sz w:val="20"/>
          <w:szCs w:val="20"/>
          <w:vertAlign w:val="superscript"/>
          <w:lang w:val="en-US"/>
        </w:rPr>
        <w:footnoteRef/>
      </w:r>
      <w:r w:rsidRPr="0074715B">
        <w:rPr>
          <w:rFonts w:asciiTheme="minorBidi" w:hAnsiTheme="minorBidi" w:cstheme="minorBidi"/>
          <w:sz w:val="20"/>
          <w:szCs w:val="20"/>
          <w:lang w:val="en-US"/>
        </w:rPr>
        <w:t xml:space="preserve"> </w:t>
      </w:r>
      <w:r w:rsidR="00F437CC" w:rsidRPr="004D33A6">
        <w:rPr>
          <w:rFonts w:asciiTheme="minorBidi" w:eastAsia="Calibri" w:hAnsiTheme="minorBidi" w:cstheme="minorBidi"/>
          <w:sz w:val="20"/>
          <w:szCs w:val="20"/>
          <w:lang w:val="en-US"/>
        </w:rPr>
        <w:t xml:space="preserve">Committee on Economic, Social, and Cultural Rights. </w:t>
      </w:r>
      <w:r w:rsidR="00F437CC" w:rsidRPr="0074715B">
        <w:rPr>
          <w:rFonts w:asciiTheme="minorBidi" w:eastAsia="Calibri" w:hAnsiTheme="minorBidi" w:cstheme="minorBidi"/>
          <w:sz w:val="20"/>
          <w:szCs w:val="20"/>
          <w:lang w:val="en-US"/>
        </w:rPr>
        <w:t xml:space="preserve">Final </w:t>
      </w:r>
      <w:r w:rsidR="006A0B46">
        <w:rPr>
          <w:rFonts w:asciiTheme="minorBidi" w:eastAsia="Calibri" w:hAnsiTheme="minorBidi" w:cstheme="minorBidi"/>
          <w:sz w:val="20"/>
          <w:szCs w:val="20"/>
          <w:lang w:val="en-US"/>
        </w:rPr>
        <w:t>c</w:t>
      </w:r>
      <w:r w:rsidR="00F437CC" w:rsidRPr="0074715B">
        <w:rPr>
          <w:rFonts w:asciiTheme="minorBidi" w:eastAsia="Calibri" w:hAnsiTheme="minorBidi" w:cstheme="minorBidi"/>
          <w:sz w:val="20"/>
          <w:szCs w:val="20"/>
          <w:lang w:val="en-US"/>
        </w:rPr>
        <w:t xml:space="preserve">onclusions </w:t>
      </w:r>
      <w:r w:rsidR="00F437CC" w:rsidRPr="004D33A6">
        <w:rPr>
          <w:rFonts w:asciiTheme="minorBidi" w:eastAsia="Calibri" w:hAnsiTheme="minorBidi" w:cstheme="minorBidi"/>
          <w:sz w:val="20"/>
          <w:szCs w:val="20"/>
          <w:lang w:val="en-US"/>
        </w:rPr>
        <w:t>on the Sixth Periodic Report of Colombia. Geneva. E/C.12/COL/CO/6. October 6, 2017, para</w:t>
      </w:r>
      <w:r w:rsidR="00F437CC" w:rsidRPr="0074715B">
        <w:rPr>
          <w:rFonts w:asciiTheme="minorBidi" w:eastAsia="Calibri" w:hAnsiTheme="minorBidi" w:cstheme="minorBidi"/>
          <w:sz w:val="20"/>
          <w:szCs w:val="20"/>
          <w:lang w:val="en-US"/>
        </w:rPr>
        <w:t>g</w:t>
      </w:r>
      <w:r w:rsidR="00F437CC" w:rsidRPr="004D33A6">
        <w:rPr>
          <w:rFonts w:asciiTheme="minorBidi" w:eastAsia="Calibri" w:hAnsiTheme="minorBidi" w:cstheme="minorBidi"/>
          <w:sz w:val="20"/>
          <w:szCs w:val="20"/>
          <w:lang w:val="en-US"/>
        </w:rPr>
        <w:t xml:space="preserve">. </w:t>
      </w:r>
      <w:r w:rsidRPr="0074715B">
        <w:rPr>
          <w:rFonts w:asciiTheme="minorBidi" w:eastAsia="Calibri" w:hAnsiTheme="minorBidi" w:cstheme="minorBidi"/>
          <w:sz w:val="20"/>
          <w:szCs w:val="20"/>
          <w:lang w:val="en-US"/>
        </w:rPr>
        <w:t xml:space="preserve">36. </w:t>
      </w:r>
    </w:p>
  </w:footnote>
  <w:footnote w:id="77">
    <w:p w14:paraId="00000113" w14:textId="55F59B4B" w:rsidR="00C60456" w:rsidRPr="0074715B" w:rsidRDefault="00A74445">
      <w:pPr>
        <w:spacing w:line="240" w:lineRule="auto"/>
        <w:rPr>
          <w:rFonts w:asciiTheme="minorBidi" w:hAnsiTheme="minorBidi" w:cstheme="minorBidi"/>
          <w:sz w:val="20"/>
          <w:szCs w:val="20"/>
          <w:vertAlign w:val="superscript"/>
          <w:lang w:val="en-US"/>
        </w:rPr>
      </w:pPr>
      <w:r w:rsidRPr="0074715B">
        <w:rPr>
          <w:rFonts w:asciiTheme="minorBidi" w:hAnsiTheme="minorBidi" w:cstheme="minorBidi"/>
          <w:sz w:val="20"/>
          <w:szCs w:val="20"/>
          <w:vertAlign w:val="superscript"/>
          <w:lang w:val="en-US"/>
        </w:rPr>
        <w:footnoteRef/>
      </w:r>
      <w:r w:rsidRPr="0074715B">
        <w:rPr>
          <w:rFonts w:asciiTheme="minorBidi" w:hAnsiTheme="minorBidi" w:cstheme="minorBidi"/>
          <w:sz w:val="20"/>
          <w:szCs w:val="20"/>
          <w:vertAlign w:val="superscript"/>
          <w:lang w:val="en-US"/>
        </w:rPr>
        <w:t xml:space="preserve"> </w:t>
      </w:r>
      <w:r w:rsidR="00F437CC" w:rsidRPr="004D33A6">
        <w:rPr>
          <w:rFonts w:asciiTheme="minorBidi" w:hAnsiTheme="minorBidi" w:cstheme="minorBidi"/>
          <w:sz w:val="20"/>
          <w:szCs w:val="20"/>
          <w:lang w:val="en-US"/>
        </w:rPr>
        <w:t xml:space="preserve">Committee on the Rights of the Child. </w:t>
      </w:r>
      <w:r w:rsidR="00F437CC" w:rsidRPr="0074715B">
        <w:rPr>
          <w:rFonts w:asciiTheme="minorBidi" w:hAnsiTheme="minorBidi" w:cstheme="minorBidi"/>
          <w:sz w:val="20"/>
          <w:szCs w:val="20"/>
          <w:lang w:val="en-US"/>
        </w:rPr>
        <w:t xml:space="preserve">Final </w:t>
      </w:r>
      <w:r w:rsidR="006A0B46">
        <w:rPr>
          <w:rFonts w:asciiTheme="minorBidi" w:hAnsiTheme="minorBidi" w:cstheme="minorBidi"/>
          <w:sz w:val="20"/>
          <w:szCs w:val="20"/>
          <w:lang w:val="en-US"/>
        </w:rPr>
        <w:t>c</w:t>
      </w:r>
      <w:r w:rsidR="00F437CC" w:rsidRPr="0074715B">
        <w:rPr>
          <w:rFonts w:asciiTheme="minorBidi" w:hAnsiTheme="minorBidi" w:cstheme="minorBidi"/>
          <w:sz w:val="20"/>
          <w:szCs w:val="20"/>
          <w:lang w:val="en-US"/>
        </w:rPr>
        <w:t xml:space="preserve">onclusions </w:t>
      </w:r>
      <w:r w:rsidR="00F437CC" w:rsidRPr="004D33A6">
        <w:rPr>
          <w:rFonts w:asciiTheme="minorBidi" w:hAnsiTheme="minorBidi" w:cstheme="minorBidi"/>
          <w:sz w:val="20"/>
          <w:szCs w:val="20"/>
          <w:lang w:val="en-US"/>
        </w:rPr>
        <w:t>on the Fourth and Fifth Combined Periodic Reports of Colombia. CRC/C/COL/CO/4-5. March 6, 2015, recommendation 20.a</w:t>
      </w:r>
      <w:r w:rsidRPr="0074715B">
        <w:rPr>
          <w:rFonts w:asciiTheme="minorBidi" w:hAnsiTheme="minorBidi" w:cstheme="minorBidi"/>
          <w:sz w:val="20"/>
          <w:szCs w:val="20"/>
          <w:lang w:val="en-US"/>
        </w:rPr>
        <w:t>.</w:t>
      </w:r>
    </w:p>
  </w:footnote>
  <w:footnote w:id="78">
    <w:p w14:paraId="00000114" w14:textId="1A2A5246" w:rsidR="00C60456" w:rsidRPr="0074715B" w:rsidRDefault="00A74445">
      <w:pPr>
        <w:spacing w:line="240" w:lineRule="auto"/>
        <w:rPr>
          <w:rFonts w:asciiTheme="minorBidi" w:hAnsiTheme="minorBidi" w:cstheme="minorBidi"/>
          <w:sz w:val="20"/>
          <w:szCs w:val="20"/>
          <w:vertAlign w:val="superscript"/>
          <w:lang w:val="en-US"/>
        </w:rPr>
      </w:pPr>
      <w:r w:rsidRPr="0074715B">
        <w:rPr>
          <w:rFonts w:asciiTheme="minorBidi" w:hAnsiTheme="minorBidi" w:cstheme="minorBidi"/>
          <w:sz w:val="20"/>
          <w:szCs w:val="20"/>
          <w:vertAlign w:val="superscript"/>
          <w:lang w:val="en-US"/>
        </w:rPr>
        <w:footnoteRef/>
      </w:r>
      <w:r w:rsidRPr="0074715B">
        <w:rPr>
          <w:rFonts w:asciiTheme="minorBidi" w:hAnsiTheme="minorBidi" w:cstheme="minorBidi"/>
          <w:sz w:val="20"/>
          <w:szCs w:val="20"/>
          <w:vertAlign w:val="superscript"/>
          <w:lang w:val="en-US"/>
        </w:rPr>
        <w:t xml:space="preserve">  </w:t>
      </w:r>
      <w:r w:rsidRPr="0074715B">
        <w:rPr>
          <w:rFonts w:asciiTheme="minorBidi" w:eastAsia="Times New Roman" w:hAnsiTheme="minorBidi" w:cstheme="minorBidi"/>
          <w:sz w:val="20"/>
          <w:szCs w:val="20"/>
          <w:lang w:val="en-US"/>
        </w:rPr>
        <w:t>Ibid, recom</w:t>
      </w:r>
      <w:r w:rsidR="00F437CC" w:rsidRPr="0074715B">
        <w:rPr>
          <w:rFonts w:asciiTheme="minorBidi" w:eastAsia="Times New Roman" w:hAnsiTheme="minorBidi" w:cstheme="minorBidi"/>
          <w:sz w:val="20"/>
          <w:szCs w:val="20"/>
          <w:lang w:val="en-US"/>
        </w:rPr>
        <w:t>m</w:t>
      </w:r>
      <w:r w:rsidRPr="0074715B">
        <w:rPr>
          <w:rFonts w:asciiTheme="minorBidi" w:eastAsia="Times New Roman" w:hAnsiTheme="minorBidi" w:cstheme="minorBidi"/>
          <w:sz w:val="20"/>
          <w:szCs w:val="20"/>
          <w:lang w:val="en-US"/>
        </w:rPr>
        <w:t>enda</w:t>
      </w:r>
      <w:r w:rsidR="00F437CC" w:rsidRPr="0074715B">
        <w:rPr>
          <w:rFonts w:asciiTheme="minorBidi" w:eastAsia="Times New Roman" w:hAnsiTheme="minorBidi" w:cstheme="minorBidi"/>
          <w:sz w:val="20"/>
          <w:szCs w:val="20"/>
          <w:lang w:val="en-US"/>
        </w:rPr>
        <w:t>tio</w:t>
      </w:r>
      <w:r w:rsidRPr="0074715B">
        <w:rPr>
          <w:rFonts w:asciiTheme="minorBidi" w:eastAsia="Times New Roman" w:hAnsiTheme="minorBidi" w:cstheme="minorBidi"/>
          <w:sz w:val="20"/>
          <w:szCs w:val="20"/>
          <w:lang w:val="en-US"/>
        </w:rPr>
        <w:t xml:space="preserve">n 37.b. </w:t>
      </w:r>
    </w:p>
  </w:footnote>
  <w:footnote w:id="79">
    <w:p w14:paraId="00000115" w14:textId="4AACDA05" w:rsidR="00C60456" w:rsidRPr="0074715B" w:rsidRDefault="00A74445">
      <w:pPr>
        <w:spacing w:line="240" w:lineRule="auto"/>
        <w:rPr>
          <w:rFonts w:asciiTheme="minorBidi" w:hAnsiTheme="minorBidi" w:cstheme="minorBidi"/>
          <w:sz w:val="20"/>
          <w:szCs w:val="20"/>
          <w:vertAlign w:val="superscript"/>
          <w:lang w:val="en-US"/>
        </w:rPr>
      </w:pPr>
      <w:r w:rsidRPr="0074715B">
        <w:rPr>
          <w:rFonts w:asciiTheme="minorBidi" w:hAnsiTheme="minorBidi" w:cstheme="minorBidi"/>
          <w:sz w:val="20"/>
          <w:szCs w:val="20"/>
          <w:vertAlign w:val="superscript"/>
          <w:lang w:val="en-US"/>
        </w:rPr>
        <w:footnoteRef/>
      </w:r>
      <w:r w:rsidRPr="0074715B">
        <w:rPr>
          <w:rFonts w:asciiTheme="minorBidi" w:hAnsiTheme="minorBidi" w:cstheme="minorBidi"/>
          <w:sz w:val="20"/>
          <w:szCs w:val="20"/>
          <w:vertAlign w:val="superscript"/>
          <w:lang w:val="en-US"/>
        </w:rPr>
        <w:t xml:space="preserve">  </w:t>
      </w:r>
      <w:r w:rsidRPr="0074715B">
        <w:rPr>
          <w:rFonts w:asciiTheme="minorBidi" w:eastAsia="Times New Roman" w:hAnsiTheme="minorBidi" w:cstheme="minorBidi"/>
          <w:sz w:val="20"/>
          <w:szCs w:val="20"/>
          <w:lang w:val="en-US"/>
        </w:rPr>
        <w:t xml:space="preserve">Ibid, </w:t>
      </w:r>
      <w:r w:rsidR="00F437CC" w:rsidRPr="0074715B">
        <w:rPr>
          <w:rFonts w:asciiTheme="minorBidi" w:eastAsia="Times New Roman" w:hAnsiTheme="minorBidi" w:cstheme="minorBidi"/>
          <w:sz w:val="20"/>
          <w:szCs w:val="20"/>
          <w:lang w:val="en-US"/>
        </w:rPr>
        <w:t>recommendation</w:t>
      </w:r>
      <w:r w:rsidRPr="0074715B">
        <w:rPr>
          <w:rFonts w:asciiTheme="minorBidi" w:eastAsia="Times New Roman" w:hAnsiTheme="minorBidi" w:cstheme="minorBidi"/>
          <w:sz w:val="20"/>
          <w:szCs w:val="20"/>
          <w:lang w:val="en-US"/>
        </w:rPr>
        <w:t xml:space="preserve"> 52.a. </w:t>
      </w:r>
    </w:p>
  </w:footnote>
  <w:footnote w:id="80">
    <w:p w14:paraId="00000116" w14:textId="5A362987" w:rsidR="00C60456" w:rsidRPr="0074715B" w:rsidRDefault="00A74445">
      <w:pPr>
        <w:spacing w:line="240" w:lineRule="auto"/>
        <w:rPr>
          <w:rFonts w:asciiTheme="minorBidi" w:hAnsiTheme="minorBidi" w:cstheme="minorBidi"/>
          <w:sz w:val="20"/>
          <w:szCs w:val="20"/>
          <w:lang w:val="en-US"/>
        </w:rPr>
      </w:pPr>
      <w:r w:rsidRPr="0074715B">
        <w:rPr>
          <w:rFonts w:asciiTheme="minorBidi" w:hAnsiTheme="minorBidi" w:cstheme="minorBidi"/>
          <w:sz w:val="20"/>
          <w:szCs w:val="20"/>
          <w:vertAlign w:val="superscript"/>
          <w:lang w:val="en-US"/>
        </w:rPr>
        <w:footnoteRef/>
      </w:r>
      <w:r w:rsidRPr="0074715B">
        <w:rPr>
          <w:rFonts w:asciiTheme="minorBidi" w:hAnsiTheme="minorBidi" w:cstheme="minorBidi"/>
          <w:sz w:val="20"/>
          <w:szCs w:val="20"/>
          <w:lang w:val="en-US"/>
        </w:rPr>
        <w:t xml:space="preserve"> </w:t>
      </w:r>
      <w:r w:rsidRPr="0074715B">
        <w:rPr>
          <w:rFonts w:asciiTheme="minorBidi" w:hAnsiTheme="minorBidi" w:cstheme="minorBidi"/>
          <w:sz w:val="20"/>
          <w:szCs w:val="20"/>
          <w:vertAlign w:val="superscript"/>
          <w:lang w:val="en-US"/>
        </w:rPr>
        <w:t xml:space="preserve"> </w:t>
      </w:r>
      <w:r w:rsidRPr="0074715B">
        <w:rPr>
          <w:rFonts w:asciiTheme="minorBidi" w:eastAsia="Times New Roman" w:hAnsiTheme="minorBidi" w:cstheme="minorBidi"/>
          <w:sz w:val="20"/>
          <w:szCs w:val="20"/>
          <w:lang w:val="en-US"/>
        </w:rPr>
        <w:t xml:space="preserve">Ibid, </w:t>
      </w:r>
      <w:r w:rsidR="00F437CC" w:rsidRPr="0074715B">
        <w:rPr>
          <w:rFonts w:asciiTheme="minorBidi" w:eastAsia="Times New Roman" w:hAnsiTheme="minorBidi" w:cstheme="minorBidi"/>
          <w:sz w:val="20"/>
          <w:szCs w:val="20"/>
          <w:lang w:val="en-US"/>
        </w:rPr>
        <w:t>recommendation</w:t>
      </w:r>
      <w:r w:rsidRPr="0074715B">
        <w:rPr>
          <w:rFonts w:asciiTheme="minorBidi" w:eastAsia="Times New Roman" w:hAnsiTheme="minorBidi" w:cstheme="minorBidi"/>
          <w:sz w:val="20"/>
          <w:szCs w:val="20"/>
          <w:lang w:val="en-US"/>
        </w:rPr>
        <w:t xml:space="preserve"> 52. b.</w:t>
      </w:r>
    </w:p>
  </w:footnote>
  <w:footnote w:id="81">
    <w:p w14:paraId="00000117" w14:textId="48495583" w:rsidR="00C60456" w:rsidRPr="0074715B" w:rsidRDefault="00A74445">
      <w:pPr>
        <w:spacing w:line="240" w:lineRule="auto"/>
        <w:rPr>
          <w:rFonts w:asciiTheme="minorBidi" w:hAnsiTheme="minorBidi" w:cstheme="minorBidi"/>
          <w:sz w:val="20"/>
          <w:szCs w:val="20"/>
          <w:lang w:val="en-US"/>
        </w:rPr>
      </w:pPr>
      <w:r w:rsidRPr="0074715B">
        <w:rPr>
          <w:rFonts w:asciiTheme="minorBidi" w:hAnsiTheme="minorBidi" w:cstheme="minorBidi"/>
          <w:sz w:val="20"/>
          <w:szCs w:val="20"/>
          <w:vertAlign w:val="superscript"/>
          <w:lang w:val="en-US"/>
        </w:rPr>
        <w:footnoteRef/>
      </w:r>
      <w:r w:rsidRPr="0074715B">
        <w:rPr>
          <w:rFonts w:asciiTheme="minorBidi" w:hAnsiTheme="minorBidi" w:cstheme="minorBidi"/>
          <w:sz w:val="20"/>
          <w:szCs w:val="20"/>
          <w:lang w:val="en-US"/>
        </w:rPr>
        <w:t xml:space="preserve"> </w:t>
      </w:r>
      <w:r w:rsidRPr="0074715B">
        <w:rPr>
          <w:rFonts w:asciiTheme="minorBidi" w:hAnsiTheme="minorBidi" w:cstheme="minorBidi"/>
          <w:sz w:val="20"/>
          <w:szCs w:val="20"/>
          <w:vertAlign w:val="superscript"/>
          <w:lang w:val="en-US"/>
        </w:rPr>
        <w:t xml:space="preserve"> </w:t>
      </w:r>
      <w:r w:rsidRPr="0074715B">
        <w:rPr>
          <w:rFonts w:asciiTheme="minorBidi" w:eastAsia="Times New Roman" w:hAnsiTheme="minorBidi" w:cstheme="minorBidi"/>
          <w:sz w:val="20"/>
          <w:szCs w:val="20"/>
          <w:lang w:val="en-US"/>
        </w:rPr>
        <w:t xml:space="preserve">Ibid, </w:t>
      </w:r>
      <w:r w:rsidR="00F437CC" w:rsidRPr="0074715B">
        <w:rPr>
          <w:rFonts w:asciiTheme="minorBidi" w:eastAsia="Times New Roman" w:hAnsiTheme="minorBidi" w:cstheme="minorBidi"/>
          <w:sz w:val="20"/>
          <w:szCs w:val="20"/>
          <w:lang w:val="en-US"/>
        </w:rPr>
        <w:t>recommendation</w:t>
      </w:r>
      <w:r w:rsidRPr="0074715B">
        <w:rPr>
          <w:rFonts w:asciiTheme="minorBidi" w:eastAsia="Times New Roman" w:hAnsiTheme="minorBidi" w:cstheme="minorBidi"/>
          <w:sz w:val="20"/>
          <w:szCs w:val="20"/>
          <w:lang w:val="en-US"/>
        </w:rPr>
        <w:t xml:space="preserve"> 52. c. </w:t>
      </w:r>
    </w:p>
  </w:footnote>
  <w:footnote w:id="82">
    <w:p w14:paraId="00000118" w14:textId="215978A4" w:rsidR="00C60456" w:rsidRPr="0074715B" w:rsidRDefault="00A74445">
      <w:pPr>
        <w:spacing w:line="240" w:lineRule="auto"/>
        <w:rPr>
          <w:rFonts w:asciiTheme="minorBidi" w:hAnsiTheme="minorBidi" w:cstheme="minorBidi"/>
          <w:sz w:val="20"/>
          <w:szCs w:val="20"/>
          <w:lang w:val="en-US"/>
        </w:rPr>
      </w:pPr>
      <w:r w:rsidRPr="0074715B">
        <w:rPr>
          <w:rFonts w:asciiTheme="minorBidi" w:hAnsiTheme="minorBidi" w:cstheme="minorBidi"/>
          <w:sz w:val="20"/>
          <w:szCs w:val="20"/>
          <w:vertAlign w:val="superscript"/>
          <w:lang w:val="en-US"/>
        </w:rPr>
        <w:footnoteRef/>
      </w:r>
      <w:r w:rsidRPr="0074715B">
        <w:rPr>
          <w:rFonts w:asciiTheme="minorBidi" w:hAnsiTheme="minorBidi" w:cstheme="minorBidi"/>
          <w:sz w:val="20"/>
          <w:szCs w:val="20"/>
          <w:lang w:val="en-US"/>
        </w:rPr>
        <w:t xml:space="preserve"> </w:t>
      </w:r>
      <w:r w:rsidR="00F437CC" w:rsidRPr="004D33A6">
        <w:rPr>
          <w:rFonts w:asciiTheme="minorBidi" w:hAnsiTheme="minorBidi" w:cstheme="minorBidi"/>
          <w:sz w:val="20"/>
          <w:szCs w:val="20"/>
          <w:lang w:val="en-US"/>
        </w:rPr>
        <w:t>Government of Colombia. National Development Plan of President Iván Duque, p. 76. Available at</w:t>
      </w:r>
      <w:r w:rsidR="00F437CC" w:rsidRPr="0074715B">
        <w:rPr>
          <w:rFonts w:asciiTheme="minorBidi" w:eastAsia="Times New Roman" w:hAnsiTheme="minorBidi" w:cstheme="minorBidi"/>
          <w:sz w:val="20"/>
          <w:szCs w:val="20"/>
          <w:lang w:val="en-US"/>
        </w:rPr>
        <w:t>:</w:t>
      </w:r>
      <w:hyperlink r:id="rId72" w:history="1">
        <w:r w:rsidR="00F437CC" w:rsidRPr="0074715B">
          <w:rPr>
            <w:rStyle w:val="Hyperlink"/>
            <w:rFonts w:asciiTheme="minorBidi" w:eastAsia="Times New Roman" w:hAnsiTheme="minorBidi" w:cstheme="minorBidi"/>
            <w:sz w:val="20"/>
            <w:szCs w:val="20"/>
            <w:lang w:val="en-US"/>
          </w:rPr>
          <w:t xml:space="preserve"> </w:t>
        </w:r>
      </w:hyperlink>
      <w:hyperlink r:id="rId73">
        <w:r w:rsidR="00C60456" w:rsidRPr="0074715B">
          <w:rPr>
            <w:rFonts w:asciiTheme="minorBidi" w:eastAsia="Times New Roman" w:hAnsiTheme="minorBidi" w:cstheme="minorBidi"/>
            <w:color w:val="1155CC"/>
            <w:sz w:val="20"/>
            <w:szCs w:val="20"/>
            <w:u w:val="single"/>
            <w:lang w:val="en-US"/>
          </w:rPr>
          <w:t>https://colaboracion.dnp.gov.co/CDT/Prensa/Resumen-PND2018-2022-final.pdf</w:t>
        </w:r>
      </w:hyperlink>
    </w:p>
  </w:footnote>
  <w:footnote w:id="83">
    <w:p w14:paraId="00000119" w14:textId="476E442D" w:rsidR="00C60456" w:rsidRPr="0074715B" w:rsidRDefault="00A74445">
      <w:pPr>
        <w:spacing w:line="240" w:lineRule="auto"/>
        <w:rPr>
          <w:rFonts w:asciiTheme="minorBidi" w:hAnsiTheme="minorBidi" w:cstheme="minorBidi"/>
          <w:sz w:val="20"/>
          <w:szCs w:val="20"/>
          <w:vertAlign w:val="superscript"/>
          <w:lang w:val="en-US"/>
        </w:rPr>
      </w:pPr>
      <w:r w:rsidRPr="0074715B">
        <w:rPr>
          <w:rFonts w:asciiTheme="minorBidi" w:hAnsiTheme="minorBidi" w:cstheme="minorBidi"/>
          <w:sz w:val="20"/>
          <w:szCs w:val="20"/>
          <w:vertAlign w:val="superscript"/>
          <w:lang w:val="en-US"/>
        </w:rPr>
        <w:footnoteRef/>
      </w:r>
      <w:r w:rsidRPr="0074715B">
        <w:rPr>
          <w:rFonts w:asciiTheme="minorBidi" w:hAnsiTheme="minorBidi" w:cstheme="minorBidi"/>
          <w:sz w:val="20"/>
          <w:szCs w:val="20"/>
          <w:vertAlign w:val="superscript"/>
          <w:lang w:val="en-US"/>
        </w:rPr>
        <w:t xml:space="preserve"> </w:t>
      </w:r>
      <w:r w:rsidR="00F437CC" w:rsidRPr="004D33A6">
        <w:rPr>
          <w:rFonts w:asciiTheme="minorBidi" w:eastAsia="Times New Roman" w:hAnsiTheme="minorBidi" w:cstheme="minorBidi"/>
          <w:sz w:val="20"/>
          <w:szCs w:val="20"/>
          <w:lang w:val="en-US"/>
        </w:rPr>
        <w:t xml:space="preserve">Laboratory of Education Economics (LEE) of </w:t>
      </w:r>
      <w:r w:rsidR="00F437CC" w:rsidRPr="0074715B">
        <w:rPr>
          <w:rFonts w:asciiTheme="minorBidi" w:eastAsia="Times New Roman" w:hAnsiTheme="minorBidi" w:cstheme="minorBidi"/>
          <w:sz w:val="20"/>
          <w:szCs w:val="20"/>
          <w:lang w:val="en-US"/>
        </w:rPr>
        <w:t>Pontificia Universidad Javeriana</w:t>
      </w:r>
      <w:r w:rsidR="00F437CC" w:rsidRPr="004D33A6">
        <w:rPr>
          <w:rFonts w:asciiTheme="minorBidi" w:eastAsia="Times New Roman" w:hAnsiTheme="minorBidi" w:cstheme="minorBidi"/>
          <w:sz w:val="20"/>
          <w:szCs w:val="20"/>
          <w:lang w:val="en-US"/>
        </w:rPr>
        <w:t>. Pesquisa Javeriana. Virtual Education: Is the Challenge Only Technological? 2020. Available</w:t>
      </w:r>
      <w:r w:rsidR="00F437CC" w:rsidRPr="0074715B">
        <w:rPr>
          <w:rFonts w:asciiTheme="minorBidi" w:eastAsia="Times New Roman" w:hAnsiTheme="minorBidi" w:cstheme="minorBidi"/>
          <w:sz w:val="20"/>
          <w:szCs w:val="20"/>
          <w:lang w:val="en-US"/>
        </w:rPr>
        <w:t xml:space="preserve"> at</w:t>
      </w:r>
      <w:r w:rsidRPr="0074715B">
        <w:rPr>
          <w:rFonts w:asciiTheme="minorBidi" w:eastAsia="Times New Roman" w:hAnsiTheme="minorBidi" w:cstheme="minorBidi"/>
          <w:sz w:val="20"/>
          <w:szCs w:val="20"/>
          <w:lang w:val="en-US"/>
        </w:rPr>
        <w:t xml:space="preserve">: </w:t>
      </w:r>
      <w:hyperlink r:id="rId74">
        <w:r w:rsidR="00C60456" w:rsidRPr="0074715B">
          <w:rPr>
            <w:rFonts w:asciiTheme="minorBidi" w:eastAsia="Times New Roman" w:hAnsiTheme="minorBidi" w:cstheme="minorBidi"/>
            <w:color w:val="1155CC"/>
            <w:sz w:val="20"/>
            <w:szCs w:val="20"/>
            <w:u w:val="single"/>
            <w:lang w:val="en-US"/>
          </w:rPr>
          <w:t>https://www.javeriana.edu.co/pesquisa/tag/laboratorio-de-economia-de-la-educacion-puj/</w:t>
        </w:r>
      </w:hyperlink>
    </w:p>
  </w:footnote>
  <w:footnote w:id="84">
    <w:p w14:paraId="0000011A" w14:textId="7E634D05" w:rsidR="00C60456" w:rsidRPr="0074715B" w:rsidRDefault="00A74445">
      <w:pPr>
        <w:spacing w:line="240" w:lineRule="auto"/>
        <w:rPr>
          <w:rFonts w:asciiTheme="minorBidi" w:hAnsiTheme="minorBidi" w:cstheme="minorBidi"/>
          <w:sz w:val="20"/>
          <w:szCs w:val="20"/>
          <w:vertAlign w:val="superscript"/>
          <w:lang w:val="en-US"/>
        </w:rPr>
      </w:pPr>
      <w:r w:rsidRPr="0074715B">
        <w:rPr>
          <w:rFonts w:asciiTheme="minorBidi" w:hAnsiTheme="minorBidi" w:cstheme="minorBidi"/>
          <w:sz w:val="20"/>
          <w:szCs w:val="20"/>
          <w:vertAlign w:val="superscript"/>
          <w:lang w:val="en-US"/>
        </w:rPr>
        <w:footnoteRef/>
      </w:r>
      <w:r w:rsidRPr="0074715B">
        <w:rPr>
          <w:rFonts w:asciiTheme="minorBidi" w:hAnsiTheme="minorBidi" w:cstheme="minorBidi"/>
          <w:sz w:val="20"/>
          <w:szCs w:val="20"/>
          <w:vertAlign w:val="superscript"/>
          <w:lang w:val="en-US"/>
        </w:rPr>
        <w:t xml:space="preserve"> </w:t>
      </w:r>
      <w:r w:rsidRPr="0074715B">
        <w:rPr>
          <w:rFonts w:asciiTheme="minorBidi" w:eastAsia="Times New Roman" w:hAnsiTheme="minorBidi" w:cstheme="minorBidi"/>
          <w:sz w:val="20"/>
          <w:szCs w:val="20"/>
          <w:lang w:val="en-US"/>
        </w:rPr>
        <w:t xml:space="preserve"> </w:t>
      </w:r>
      <w:r w:rsidR="00F437CC" w:rsidRPr="004D33A6">
        <w:rPr>
          <w:rFonts w:asciiTheme="minorBidi" w:hAnsiTheme="minorBidi" w:cstheme="minorBidi"/>
          <w:sz w:val="20"/>
          <w:szCs w:val="20"/>
          <w:lang w:val="en-US"/>
        </w:rPr>
        <w:t xml:space="preserve">Committee on the Rights of the Child. </w:t>
      </w:r>
      <w:r w:rsidR="00F437CC" w:rsidRPr="0074715B">
        <w:rPr>
          <w:rFonts w:asciiTheme="minorBidi" w:hAnsiTheme="minorBidi" w:cstheme="minorBidi"/>
          <w:sz w:val="20"/>
          <w:szCs w:val="20"/>
          <w:lang w:val="en-US"/>
        </w:rPr>
        <w:t xml:space="preserve">Final </w:t>
      </w:r>
      <w:r w:rsidR="006A0B46">
        <w:rPr>
          <w:rFonts w:asciiTheme="minorBidi" w:hAnsiTheme="minorBidi" w:cstheme="minorBidi"/>
          <w:sz w:val="20"/>
          <w:szCs w:val="20"/>
          <w:lang w:val="en-US"/>
        </w:rPr>
        <w:t>c</w:t>
      </w:r>
      <w:r w:rsidR="00F437CC" w:rsidRPr="0074715B">
        <w:rPr>
          <w:rFonts w:asciiTheme="minorBidi" w:hAnsiTheme="minorBidi" w:cstheme="minorBidi"/>
          <w:sz w:val="20"/>
          <w:szCs w:val="20"/>
          <w:lang w:val="en-US"/>
        </w:rPr>
        <w:t xml:space="preserve">onclusions </w:t>
      </w:r>
      <w:r w:rsidR="00F437CC" w:rsidRPr="004D33A6">
        <w:rPr>
          <w:rFonts w:asciiTheme="minorBidi" w:hAnsiTheme="minorBidi" w:cstheme="minorBidi"/>
          <w:sz w:val="20"/>
          <w:szCs w:val="20"/>
          <w:lang w:val="en-US"/>
        </w:rPr>
        <w:t>on the Fourth and Fifth Combined Periodic Reports of Colombia. CRC/C/COL/CO/4-5. March 6, 2015, recommendation 52</w:t>
      </w:r>
      <w:r w:rsidRPr="0074715B">
        <w:rPr>
          <w:rFonts w:asciiTheme="minorBidi" w:eastAsia="Times New Roman" w:hAnsiTheme="minorBidi" w:cstheme="minorBidi"/>
          <w:sz w:val="20"/>
          <w:szCs w:val="20"/>
          <w:lang w:val="en-US"/>
        </w:rPr>
        <w:t>.a.</w:t>
      </w:r>
    </w:p>
  </w:footnote>
  <w:footnote w:id="85">
    <w:p w14:paraId="0000011C" w14:textId="010152AA" w:rsidR="00C60456" w:rsidRPr="0074715B" w:rsidRDefault="00A74445">
      <w:pPr>
        <w:spacing w:line="240" w:lineRule="auto"/>
        <w:jc w:val="both"/>
        <w:rPr>
          <w:rFonts w:asciiTheme="minorBidi" w:hAnsiTheme="minorBidi" w:cstheme="minorBidi"/>
          <w:sz w:val="20"/>
          <w:szCs w:val="20"/>
          <w:vertAlign w:val="superscript"/>
          <w:lang w:val="en-US"/>
        </w:rPr>
      </w:pPr>
      <w:r w:rsidRPr="0074715B">
        <w:rPr>
          <w:rFonts w:asciiTheme="minorBidi" w:hAnsiTheme="minorBidi" w:cstheme="minorBidi"/>
          <w:sz w:val="20"/>
          <w:szCs w:val="20"/>
          <w:vertAlign w:val="superscript"/>
          <w:lang w:val="en-US"/>
        </w:rPr>
        <w:footnoteRef/>
      </w:r>
      <w:r w:rsidRPr="0074715B">
        <w:rPr>
          <w:rFonts w:asciiTheme="minorBidi" w:hAnsiTheme="minorBidi" w:cstheme="minorBidi"/>
          <w:sz w:val="20"/>
          <w:szCs w:val="20"/>
          <w:vertAlign w:val="superscript"/>
          <w:lang w:val="en-US"/>
        </w:rPr>
        <w:t xml:space="preserve"> </w:t>
      </w:r>
      <w:r w:rsidRPr="0074715B">
        <w:rPr>
          <w:rFonts w:asciiTheme="minorBidi" w:eastAsia="Times New Roman" w:hAnsiTheme="minorBidi" w:cstheme="minorBidi"/>
          <w:sz w:val="20"/>
          <w:szCs w:val="20"/>
          <w:lang w:val="en-US"/>
        </w:rPr>
        <w:t>​</w:t>
      </w:r>
      <w:r w:rsidR="00F437CC" w:rsidRPr="004D33A6">
        <w:rPr>
          <w:rFonts w:asciiTheme="minorBidi" w:eastAsia="Times New Roman" w:hAnsiTheme="minorBidi" w:cstheme="minorBidi"/>
          <w:sz w:val="20"/>
          <w:szCs w:val="20"/>
          <w:lang w:val="en-US"/>
        </w:rPr>
        <w:t>Educational Quality, an Analysis from the Perspective of Violence in Colombia. Retrieved from</w:t>
      </w:r>
      <w:r w:rsidRPr="0074715B">
        <w:rPr>
          <w:rFonts w:asciiTheme="minorBidi" w:eastAsia="Times New Roman" w:hAnsiTheme="minorBidi" w:cstheme="minorBidi"/>
          <w:sz w:val="20"/>
          <w:szCs w:val="20"/>
          <w:lang w:val="en-US"/>
        </w:rPr>
        <w:t xml:space="preserve">: </w:t>
      </w:r>
      <w:hyperlink r:id="rId75">
        <w:r w:rsidR="00C60456" w:rsidRPr="0074715B">
          <w:rPr>
            <w:rFonts w:asciiTheme="minorBidi" w:eastAsia="Times New Roman" w:hAnsiTheme="minorBidi" w:cstheme="minorBidi"/>
            <w:color w:val="1155CC"/>
            <w:sz w:val="20"/>
            <w:szCs w:val="20"/>
            <w:u w:val="single"/>
            <w:lang w:val="en-US"/>
          </w:rPr>
          <w:t>https://www.revistaespacios.com/a20v41n18/a20v41n18p27.pdf</w:t>
        </w:r>
      </w:hyperlink>
    </w:p>
  </w:footnote>
  <w:footnote w:id="86">
    <w:p w14:paraId="0000011B" w14:textId="6A859A58" w:rsidR="00C60456" w:rsidRPr="0074715B" w:rsidRDefault="00A74445">
      <w:pPr>
        <w:spacing w:line="240" w:lineRule="auto"/>
        <w:jc w:val="both"/>
        <w:rPr>
          <w:rFonts w:asciiTheme="minorBidi" w:hAnsiTheme="minorBidi" w:cstheme="minorBidi"/>
          <w:sz w:val="20"/>
          <w:szCs w:val="20"/>
          <w:vertAlign w:val="superscript"/>
          <w:lang w:val="en-US"/>
        </w:rPr>
      </w:pPr>
      <w:r w:rsidRPr="0074715B">
        <w:rPr>
          <w:rFonts w:asciiTheme="minorBidi" w:hAnsiTheme="minorBidi" w:cstheme="minorBidi"/>
          <w:sz w:val="20"/>
          <w:szCs w:val="20"/>
          <w:vertAlign w:val="superscript"/>
          <w:lang w:val="en-US"/>
        </w:rPr>
        <w:footnoteRef/>
      </w:r>
      <w:r w:rsidRPr="0074715B">
        <w:rPr>
          <w:rFonts w:asciiTheme="minorBidi" w:hAnsiTheme="minorBidi" w:cstheme="minorBidi"/>
          <w:sz w:val="20"/>
          <w:szCs w:val="20"/>
          <w:vertAlign w:val="superscript"/>
          <w:lang w:val="en-US"/>
        </w:rPr>
        <w:t xml:space="preserve"> </w:t>
      </w:r>
      <w:r w:rsidR="00F437CC" w:rsidRPr="004D33A6">
        <w:rPr>
          <w:rFonts w:asciiTheme="minorBidi" w:hAnsiTheme="minorBidi" w:cstheme="minorBidi"/>
          <w:sz w:val="20"/>
          <w:szCs w:val="20"/>
          <w:lang w:val="en-US"/>
        </w:rPr>
        <w:t xml:space="preserve">Dejusticia. 2019. Access, Promotion, and Retention of Migrant </w:t>
      </w:r>
      <w:r w:rsidR="00F437CC" w:rsidRPr="0074715B">
        <w:rPr>
          <w:rFonts w:asciiTheme="minorBidi" w:hAnsiTheme="minorBidi" w:cstheme="minorBidi"/>
          <w:sz w:val="20"/>
          <w:szCs w:val="20"/>
          <w:lang w:val="en-US"/>
        </w:rPr>
        <w:t xml:space="preserve">Boys, Girls, </w:t>
      </w:r>
      <w:r w:rsidR="00F437CC" w:rsidRPr="004D33A6">
        <w:rPr>
          <w:rFonts w:asciiTheme="minorBidi" w:hAnsiTheme="minorBidi" w:cstheme="minorBidi"/>
          <w:sz w:val="20"/>
          <w:szCs w:val="20"/>
          <w:lang w:val="en-US"/>
        </w:rPr>
        <w:t>and Adolescents in the Colombian Education System: Progress, Challenges, and Recommendations. Available at</w:t>
      </w:r>
      <w:r w:rsidRPr="0074715B">
        <w:rPr>
          <w:rFonts w:asciiTheme="minorBidi" w:hAnsiTheme="minorBidi" w:cstheme="minorBidi"/>
          <w:sz w:val="20"/>
          <w:szCs w:val="20"/>
          <w:lang w:val="en-US"/>
        </w:rPr>
        <w:t xml:space="preserve">: </w:t>
      </w:r>
      <w:hyperlink r:id="rId76">
        <w:r w:rsidR="00C60456" w:rsidRPr="0074715B">
          <w:rPr>
            <w:rFonts w:asciiTheme="minorBidi" w:hAnsiTheme="minorBidi" w:cstheme="minorBidi"/>
            <w:color w:val="1155CC"/>
            <w:sz w:val="20"/>
            <w:szCs w:val="20"/>
            <w:u w:val="single"/>
            <w:lang w:val="en-US"/>
          </w:rPr>
          <w:t>https://www.dejusticia.org/publication/acceso-promocion-y-permanencia-de-ninos-ninas-y-adolescentes-migrantes-en-el-sistema-educativo-colombiano-avances-retos-y-recomendaciones/</w:t>
        </w:r>
      </w:hyperlink>
      <w:r w:rsidRPr="0074715B">
        <w:rPr>
          <w:rFonts w:asciiTheme="minorBidi" w:hAnsiTheme="minorBidi" w:cstheme="minorBidi"/>
          <w:sz w:val="20"/>
          <w:szCs w:val="20"/>
          <w:lang w:val="en-US"/>
        </w:rPr>
        <w:t xml:space="preserve"> </w:t>
      </w:r>
    </w:p>
  </w:footnote>
  <w:footnote w:id="87">
    <w:p w14:paraId="0000011D" w14:textId="0B1EF1C1" w:rsidR="00C60456" w:rsidRDefault="00A74445">
      <w:pPr>
        <w:spacing w:line="240" w:lineRule="auto"/>
        <w:rPr>
          <w:sz w:val="20"/>
          <w:szCs w:val="20"/>
          <w:vertAlign w:val="superscript"/>
        </w:rPr>
      </w:pPr>
      <w:r w:rsidRPr="0074715B">
        <w:rPr>
          <w:rFonts w:asciiTheme="minorBidi" w:hAnsiTheme="minorBidi" w:cstheme="minorBidi"/>
          <w:sz w:val="20"/>
          <w:szCs w:val="20"/>
          <w:vertAlign w:val="superscript"/>
          <w:lang w:val="en-US"/>
        </w:rPr>
        <w:footnoteRef/>
      </w:r>
      <w:r w:rsidRPr="0074715B">
        <w:rPr>
          <w:rFonts w:asciiTheme="minorBidi" w:hAnsiTheme="minorBidi" w:cstheme="minorBidi"/>
          <w:sz w:val="20"/>
          <w:szCs w:val="20"/>
          <w:vertAlign w:val="superscript"/>
          <w:lang w:val="en-US"/>
        </w:rPr>
        <w:t xml:space="preserve"> </w:t>
      </w:r>
      <w:r w:rsidR="00F437CC" w:rsidRPr="004D33A6">
        <w:rPr>
          <w:rFonts w:asciiTheme="minorBidi" w:hAnsiTheme="minorBidi" w:cstheme="minorBidi"/>
          <w:sz w:val="20"/>
          <w:szCs w:val="20"/>
          <w:lang w:val="en-US"/>
        </w:rPr>
        <w:t xml:space="preserve">Committee on the Rights of the Child. </w:t>
      </w:r>
      <w:r w:rsidR="00F437CC" w:rsidRPr="0074715B">
        <w:rPr>
          <w:rFonts w:asciiTheme="minorBidi" w:hAnsiTheme="minorBidi" w:cstheme="minorBidi"/>
          <w:sz w:val="20"/>
          <w:szCs w:val="20"/>
          <w:lang w:val="en-US"/>
        </w:rPr>
        <w:t xml:space="preserve">Final </w:t>
      </w:r>
      <w:r w:rsidR="0025143E">
        <w:rPr>
          <w:rFonts w:asciiTheme="minorBidi" w:hAnsiTheme="minorBidi" w:cstheme="minorBidi"/>
          <w:sz w:val="20"/>
          <w:szCs w:val="20"/>
          <w:lang w:val="en-US"/>
        </w:rPr>
        <w:t>c</w:t>
      </w:r>
      <w:r w:rsidR="00F437CC" w:rsidRPr="0074715B">
        <w:rPr>
          <w:rFonts w:asciiTheme="minorBidi" w:hAnsiTheme="minorBidi" w:cstheme="minorBidi"/>
          <w:sz w:val="20"/>
          <w:szCs w:val="20"/>
          <w:lang w:val="en-US"/>
        </w:rPr>
        <w:t xml:space="preserve">onclusions </w:t>
      </w:r>
      <w:r w:rsidR="00F437CC" w:rsidRPr="004D33A6">
        <w:rPr>
          <w:rFonts w:asciiTheme="minorBidi" w:hAnsiTheme="minorBidi" w:cstheme="minorBidi"/>
          <w:sz w:val="20"/>
          <w:szCs w:val="20"/>
          <w:lang w:val="en-US"/>
        </w:rPr>
        <w:t>on the Fourth and Fifth Combined Periodic</w:t>
      </w:r>
      <w:r w:rsidR="00F437CC" w:rsidRPr="004D33A6">
        <w:rPr>
          <w:rFonts w:asciiTheme="minorBidi" w:hAnsiTheme="minorBidi" w:cstheme="minorBidi"/>
          <w:sz w:val="20"/>
          <w:szCs w:val="20"/>
        </w:rPr>
        <w:t xml:space="preserve"> Reports of Colombia. CRC/C/COL/CO/4-5. March 6, 2015, recommendation 18</w:t>
      </w:r>
      <w:r>
        <w:rPr>
          <w:rFonts w:ascii="Times New Roman" w:eastAsia="Times New Roman" w:hAnsi="Times New Roman" w:cs="Times New Roman"/>
          <w:sz w:val="20"/>
          <w:szCs w:val="20"/>
        </w:rPr>
        <w:t>.d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FA4631"/>
    <w:multiLevelType w:val="hybridMultilevel"/>
    <w:tmpl w:val="280C9E8A"/>
    <w:lvl w:ilvl="0" w:tplc="3A36B0AC">
      <w:start w:val="1"/>
      <w:numFmt w:val="upperRoman"/>
      <w:lvlText w:val="%1."/>
      <w:lvlJc w:val="left"/>
      <w:pPr>
        <w:ind w:left="1080" w:hanging="72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7852FB"/>
    <w:multiLevelType w:val="multilevel"/>
    <w:tmpl w:val="526A22CA"/>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37F60A66"/>
    <w:multiLevelType w:val="hybridMultilevel"/>
    <w:tmpl w:val="8A44DC30"/>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 w15:restartNumberingAfterBreak="0">
    <w:nsid w:val="4AE02E4C"/>
    <w:multiLevelType w:val="multilevel"/>
    <w:tmpl w:val="BA76B1C8"/>
    <w:lvl w:ilvl="0">
      <w:start w:val="1"/>
      <w:numFmt w:val="decimal"/>
      <w:lvlText w:val="%1."/>
      <w:lvlJc w:val="left"/>
      <w:pPr>
        <w:ind w:left="720" w:hanging="360"/>
      </w:pPr>
      <w:rPr>
        <w:highlight w:val="yellow"/>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2108111082">
    <w:abstractNumId w:val="1"/>
  </w:num>
  <w:num w:numId="2" w16cid:durableId="1610236085">
    <w:abstractNumId w:val="3"/>
  </w:num>
  <w:num w:numId="3" w16cid:durableId="696270495">
    <w:abstractNumId w:val="0"/>
  </w:num>
  <w:num w:numId="4" w16cid:durableId="2853099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0456"/>
    <w:rsid w:val="00022967"/>
    <w:rsid w:val="000231F9"/>
    <w:rsid w:val="00103E4F"/>
    <w:rsid w:val="00146CB9"/>
    <w:rsid w:val="001650D2"/>
    <w:rsid w:val="001C3D09"/>
    <w:rsid w:val="001C3E31"/>
    <w:rsid w:val="0025143E"/>
    <w:rsid w:val="00253076"/>
    <w:rsid w:val="00296F3B"/>
    <w:rsid w:val="002B1D2C"/>
    <w:rsid w:val="003108F9"/>
    <w:rsid w:val="003923B2"/>
    <w:rsid w:val="00435A7F"/>
    <w:rsid w:val="00483CB2"/>
    <w:rsid w:val="004856EF"/>
    <w:rsid w:val="004D1399"/>
    <w:rsid w:val="004D6EBE"/>
    <w:rsid w:val="005315EF"/>
    <w:rsid w:val="0058047C"/>
    <w:rsid w:val="005843B9"/>
    <w:rsid w:val="005D6FCC"/>
    <w:rsid w:val="00620B54"/>
    <w:rsid w:val="0068314E"/>
    <w:rsid w:val="006A0B46"/>
    <w:rsid w:val="006B6DB3"/>
    <w:rsid w:val="00703C85"/>
    <w:rsid w:val="00721368"/>
    <w:rsid w:val="0074715B"/>
    <w:rsid w:val="00865848"/>
    <w:rsid w:val="00880BA9"/>
    <w:rsid w:val="008C49A0"/>
    <w:rsid w:val="008D2808"/>
    <w:rsid w:val="008F68A7"/>
    <w:rsid w:val="008F7700"/>
    <w:rsid w:val="00924EFA"/>
    <w:rsid w:val="00925E11"/>
    <w:rsid w:val="009558E2"/>
    <w:rsid w:val="009E1870"/>
    <w:rsid w:val="009F579B"/>
    <w:rsid w:val="00A571B1"/>
    <w:rsid w:val="00A74445"/>
    <w:rsid w:val="00B25F5B"/>
    <w:rsid w:val="00B763FA"/>
    <w:rsid w:val="00BB3AEE"/>
    <w:rsid w:val="00BD593D"/>
    <w:rsid w:val="00C60456"/>
    <w:rsid w:val="00C76D00"/>
    <w:rsid w:val="00CC064B"/>
    <w:rsid w:val="00E233A8"/>
    <w:rsid w:val="00E618CA"/>
    <w:rsid w:val="00EB6BCC"/>
    <w:rsid w:val="00EE5628"/>
    <w:rsid w:val="00F437CC"/>
    <w:rsid w:val="00FC4E02"/>
    <w:rsid w:val="00FD274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76765A"/>
  <w15:docId w15:val="{38A228E3-8D82-4CD0-9F4B-C659350E0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924EFA"/>
    <w:pPr>
      <w:keepNext/>
      <w:keepLines/>
      <w:spacing w:before="400" w:after="120"/>
      <w:outlineLvl w:val="0"/>
    </w:pPr>
    <w:rPr>
      <w:b/>
      <w:color w:val="365F91" w:themeColor="accent1" w:themeShade="BF"/>
      <w:sz w:val="24"/>
      <w:szCs w:val="40"/>
    </w:rPr>
  </w:style>
  <w:style w:type="paragraph" w:styleId="Heading2">
    <w:name w:val="heading 2"/>
    <w:basedOn w:val="Normal"/>
    <w:next w:val="Normal"/>
    <w:uiPriority w:val="9"/>
    <w:unhideWhenUsed/>
    <w:qFormat/>
    <w:rsid w:val="00924EFA"/>
    <w:pPr>
      <w:keepNext/>
      <w:keepLines/>
      <w:spacing w:before="360" w:after="120"/>
      <w:outlineLvl w:val="1"/>
    </w:pPr>
    <w:rPr>
      <w:b/>
      <w:color w:val="365F91" w:themeColor="accent1" w:themeShade="BF"/>
      <w:sz w:val="24"/>
      <w:szCs w:val="32"/>
    </w:rPr>
  </w:style>
  <w:style w:type="paragraph" w:styleId="Heading3">
    <w:name w:val="heading 3"/>
    <w:basedOn w:val="Normal"/>
    <w:next w:val="Normal"/>
    <w:uiPriority w:val="9"/>
    <w:unhideWhenUsed/>
    <w:qFormat/>
    <w:rsid w:val="00924EFA"/>
    <w:pPr>
      <w:keepNext/>
      <w:keepLines/>
      <w:spacing w:before="320" w:after="80"/>
      <w:outlineLvl w:val="2"/>
    </w:pPr>
    <w:rPr>
      <w:i/>
      <w:color w:val="365F91" w:themeColor="accent1" w:themeShade="BF"/>
      <w:sz w:val="24"/>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0231F9"/>
    <w:pPr>
      <w:keepNext/>
      <w:keepLines/>
      <w:spacing w:after="60"/>
    </w:pPr>
    <w:rPr>
      <w:b/>
      <w:color w:val="365F91" w:themeColor="accent1" w:themeShade="BF"/>
      <w:sz w:val="28"/>
      <w:szCs w:val="52"/>
    </w:rPr>
  </w:style>
  <w:style w:type="paragraph" w:styleId="Subtitle">
    <w:name w:val="Subtitle"/>
    <w:basedOn w:val="Normal"/>
    <w:next w:val="Normal"/>
    <w:uiPriority w:val="11"/>
    <w:qFormat/>
    <w:rsid w:val="000231F9"/>
    <w:pPr>
      <w:keepNext/>
      <w:keepLines/>
      <w:spacing w:after="320"/>
    </w:pPr>
    <w:rPr>
      <w:b/>
      <w:color w:val="365F91" w:themeColor="accent1" w:themeShade="BF"/>
      <w:sz w:val="24"/>
      <w:szCs w:val="30"/>
    </w:rPr>
  </w:style>
  <w:style w:type="paragraph" w:styleId="FootnoteText">
    <w:name w:val="footnote text"/>
    <w:basedOn w:val="Normal"/>
    <w:link w:val="FootnoteTextChar"/>
    <w:uiPriority w:val="99"/>
    <w:semiHidden/>
    <w:unhideWhenUsed/>
    <w:rsid w:val="000231F9"/>
    <w:pPr>
      <w:spacing w:line="240" w:lineRule="auto"/>
    </w:pPr>
    <w:rPr>
      <w:sz w:val="20"/>
      <w:szCs w:val="20"/>
    </w:rPr>
  </w:style>
  <w:style w:type="character" w:customStyle="1" w:styleId="FootnoteTextChar">
    <w:name w:val="Footnote Text Char"/>
    <w:basedOn w:val="DefaultParagraphFont"/>
    <w:link w:val="FootnoteText"/>
    <w:uiPriority w:val="99"/>
    <w:semiHidden/>
    <w:rsid w:val="000231F9"/>
    <w:rPr>
      <w:sz w:val="20"/>
      <w:szCs w:val="20"/>
    </w:rPr>
  </w:style>
  <w:style w:type="character" w:styleId="FootnoteReference">
    <w:name w:val="footnote reference"/>
    <w:basedOn w:val="DefaultParagraphFont"/>
    <w:uiPriority w:val="99"/>
    <w:semiHidden/>
    <w:unhideWhenUsed/>
    <w:rsid w:val="000231F9"/>
    <w:rPr>
      <w:vertAlign w:val="superscript"/>
    </w:rPr>
  </w:style>
  <w:style w:type="character" w:styleId="IntenseEmphasis">
    <w:name w:val="Intense Emphasis"/>
    <w:basedOn w:val="DefaultParagraphFont"/>
    <w:uiPriority w:val="21"/>
    <w:qFormat/>
    <w:rsid w:val="00924EFA"/>
    <w:rPr>
      <w:i/>
      <w:iCs/>
      <w:color w:val="4F81BD" w:themeColor="accent1"/>
    </w:rPr>
  </w:style>
  <w:style w:type="character" w:styleId="SubtleEmphasis">
    <w:name w:val="Subtle Emphasis"/>
    <w:basedOn w:val="DefaultParagraphFont"/>
    <w:uiPriority w:val="19"/>
    <w:qFormat/>
    <w:rsid w:val="00924EFA"/>
    <w:rPr>
      <w:i/>
      <w:iCs/>
      <w:color w:val="404040" w:themeColor="text1" w:themeTint="BF"/>
    </w:rPr>
  </w:style>
  <w:style w:type="character" w:styleId="Emphasis">
    <w:name w:val="Emphasis"/>
    <w:basedOn w:val="DefaultParagraphFont"/>
    <w:uiPriority w:val="20"/>
    <w:qFormat/>
    <w:rsid w:val="00924EFA"/>
    <w:rPr>
      <w:i/>
      <w:iCs/>
    </w:rPr>
  </w:style>
  <w:style w:type="paragraph" w:styleId="TOCHeading">
    <w:name w:val="TOC Heading"/>
    <w:basedOn w:val="Heading1"/>
    <w:next w:val="Normal"/>
    <w:uiPriority w:val="39"/>
    <w:unhideWhenUsed/>
    <w:qFormat/>
    <w:rsid w:val="00924EFA"/>
    <w:pPr>
      <w:spacing w:before="240" w:after="0" w:line="259" w:lineRule="auto"/>
      <w:outlineLvl w:val="9"/>
    </w:pPr>
    <w:rPr>
      <w:rFonts w:asciiTheme="majorHAnsi" w:eastAsiaTheme="majorEastAsia" w:hAnsiTheme="majorHAnsi" w:cstheme="majorBidi"/>
      <w:sz w:val="32"/>
      <w:szCs w:val="32"/>
      <w:lang w:val="en-US" w:eastAsia="en-US"/>
    </w:rPr>
  </w:style>
  <w:style w:type="paragraph" w:styleId="TOC2">
    <w:name w:val="toc 2"/>
    <w:basedOn w:val="Normal"/>
    <w:next w:val="Normal"/>
    <w:autoRedefine/>
    <w:uiPriority w:val="39"/>
    <w:unhideWhenUsed/>
    <w:rsid w:val="00924EFA"/>
    <w:pPr>
      <w:spacing w:after="100" w:line="259" w:lineRule="auto"/>
      <w:ind w:left="220"/>
    </w:pPr>
    <w:rPr>
      <w:rFonts w:asciiTheme="minorHAnsi" w:eastAsiaTheme="minorEastAsia" w:hAnsiTheme="minorHAnsi" w:cs="Times New Roman"/>
      <w:lang w:val="en-US" w:eastAsia="en-US"/>
    </w:rPr>
  </w:style>
  <w:style w:type="paragraph" w:styleId="TOC1">
    <w:name w:val="toc 1"/>
    <w:basedOn w:val="Normal"/>
    <w:next w:val="Normal"/>
    <w:autoRedefine/>
    <w:uiPriority w:val="39"/>
    <w:unhideWhenUsed/>
    <w:rsid w:val="00924EFA"/>
    <w:pPr>
      <w:spacing w:after="100" w:line="259" w:lineRule="auto"/>
    </w:pPr>
    <w:rPr>
      <w:rFonts w:asciiTheme="minorHAnsi" w:eastAsiaTheme="minorEastAsia" w:hAnsiTheme="minorHAnsi" w:cs="Times New Roman"/>
      <w:lang w:val="en-US" w:eastAsia="en-US"/>
    </w:rPr>
  </w:style>
  <w:style w:type="paragraph" w:styleId="TOC3">
    <w:name w:val="toc 3"/>
    <w:basedOn w:val="Normal"/>
    <w:next w:val="Normal"/>
    <w:autoRedefine/>
    <w:uiPriority w:val="39"/>
    <w:unhideWhenUsed/>
    <w:rsid w:val="00924EFA"/>
    <w:pPr>
      <w:spacing w:after="100" w:line="259" w:lineRule="auto"/>
      <w:ind w:left="440"/>
    </w:pPr>
    <w:rPr>
      <w:rFonts w:asciiTheme="minorHAnsi" w:eastAsiaTheme="minorEastAsia" w:hAnsiTheme="minorHAnsi" w:cs="Times New Roman"/>
      <w:lang w:val="en-US" w:eastAsia="en-US"/>
    </w:rPr>
  </w:style>
  <w:style w:type="character" w:styleId="Hyperlink">
    <w:name w:val="Hyperlink"/>
    <w:basedOn w:val="DefaultParagraphFont"/>
    <w:uiPriority w:val="99"/>
    <w:unhideWhenUsed/>
    <w:rsid w:val="00924EFA"/>
    <w:rPr>
      <w:color w:val="0000FF" w:themeColor="hyperlink"/>
      <w:u w:val="single"/>
    </w:rPr>
  </w:style>
  <w:style w:type="paragraph" w:styleId="ListParagraph">
    <w:name w:val="List Paragraph"/>
    <w:basedOn w:val="Normal"/>
    <w:uiPriority w:val="34"/>
    <w:qFormat/>
    <w:rsid w:val="00296F3B"/>
    <w:pPr>
      <w:ind w:left="720"/>
      <w:contextualSpacing/>
    </w:pPr>
  </w:style>
  <w:style w:type="paragraph" w:styleId="Header">
    <w:name w:val="header"/>
    <w:basedOn w:val="Normal"/>
    <w:link w:val="HeaderChar"/>
    <w:uiPriority w:val="99"/>
    <w:unhideWhenUsed/>
    <w:rsid w:val="00022967"/>
    <w:pPr>
      <w:tabs>
        <w:tab w:val="center" w:pos="4680"/>
        <w:tab w:val="right" w:pos="9360"/>
      </w:tabs>
      <w:spacing w:line="240" w:lineRule="auto"/>
    </w:pPr>
  </w:style>
  <w:style w:type="character" w:customStyle="1" w:styleId="HeaderChar">
    <w:name w:val="Header Char"/>
    <w:basedOn w:val="DefaultParagraphFont"/>
    <w:link w:val="Header"/>
    <w:uiPriority w:val="99"/>
    <w:rsid w:val="00022967"/>
  </w:style>
  <w:style w:type="paragraph" w:styleId="Footer">
    <w:name w:val="footer"/>
    <w:basedOn w:val="Normal"/>
    <w:link w:val="FooterChar"/>
    <w:uiPriority w:val="99"/>
    <w:unhideWhenUsed/>
    <w:rsid w:val="00022967"/>
    <w:pPr>
      <w:tabs>
        <w:tab w:val="center" w:pos="4680"/>
        <w:tab w:val="right" w:pos="9360"/>
      </w:tabs>
      <w:spacing w:line="240" w:lineRule="auto"/>
    </w:pPr>
  </w:style>
  <w:style w:type="character" w:customStyle="1" w:styleId="FooterChar">
    <w:name w:val="Footer Char"/>
    <w:basedOn w:val="DefaultParagraphFont"/>
    <w:link w:val="Footer"/>
    <w:uiPriority w:val="99"/>
    <w:rsid w:val="00022967"/>
  </w:style>
  <w:style w:type="character" w:styleId="PageNumber">
    <w:name w:val="page number"/>
    <w:basedOn w:val="DefaultParagraphFont"/>
    <w:uiPriority w:val="99"/>
    <w:semiHidden/>
    <w:unhideWhenUsed/>
    <w:rsid w:val="00022967"/>
  </w:style>
  <w:style w:type="paragraph" w:styleId="NormalWeb">
    <w:name w:val="Normal (Web)"/>
    <w:basedOn w:val="Normal"/>
    <w:uiPriority w:val="99"/>
    <w:semiHidden/>
    <w:unhideWhenUsed/>
    <w:rsid w:val="001C3D09"/>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F437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26" Type="http://schemas.openxmlformats.org/officeDocument/2006/relationships/hyperlink" Target="https://www.mapp-oea.org/wp-content/uploads/2024/06/Informe-Semestral-36-MAPPOEA-1.pdf" TargetMode="External"/><Relationship Id="rId21" Type="http://schemas.openxmlformats.org/officeDocument/2006/relationships/hyperlink" Target="http://scm.oas.org/pdfs/2018/CP39544S.PDF" TargetMode="External"/><Relationship Id="rId42" Type="http://schemas.openxmlformats.org/officeDocument/2006/relationships/hyperlink" Target="https://www.comisiondelaverdad.co/hallazgos-y-recomendaciones-1" TargetMode="External"/><Relationship Id="rId47" Type="http://schemas.openxmlformats.org/officeDocument/2006/relationships/hyperlink" Target="https://cutt.ly/fNzEFeX" TargetMode="External"/><Relationship Id="rId63" Type="http://schemas.openxmlformats.org/officeDocument/2006/relationships/hyperlink" Target="https://www.minsalud.gov.co/sites/rid/Lists/BibliotecaDigital/RIDE/VS/ED/GCFI/documento-metodologico-ensin-2015.pdf" TargetMode="External"/><Relationship Id="rId68" Type="http://schemas.openxmlformats.org/officeDocument/2006/relationships/hyperlink" Target="https://www.corteconstitucional.gov.co/relatoria/2017/t-302-17.htm" TargetMode="External"/><Relationship Id="rId2" Type="http://schemas.openxmlformats.org/officeDocument/2006/relationships/hyperlink" Target="https://news.un.org/es/story/2022/01/1503252" TargetMode="External"/><Relationship Id="rId16" Type="http://schemas.openxmlformats.org/officeDocument/2006/relationships/hyperlink" Target="https://www.mapp-oea.org/wp-content/uploads/2019/05/XXVI-Informe-Semestral-MAPPOEA.pdf" TargetMode="External"/><Relationship Id="rId29" Type="http://schemas.openxmlformats.org/officeDocument/2006/relationships/hyperlink" Target="https://www.mapp-oea.org/wp-content/uploads/2020/12/XXIX-Informe-Semestral.pdf" TargetMode="External"/><Relationship Id="rId11" Type="http://schemas.openxmlformats.org/officeDocument/2006/relationships/hyperlink" Target="https://www.mapp-oea.org/wp-content/uploads/2021/07/XXX-Informe-Semestral.pdf" TargetMode="External"/><Relationship Id="rId24" Type="http://schemas.openxmlformats.org/officeDocument/2006/relationships/hyperlink" Target="https://www.mapp-oea.org/wp-content/uploads/2024/06/Informe-Semestral-36-MAPPOEA-1.pdf" TargetMode="External"/><Relationship Id="rId32" Type="http://schemas.openxmlformats.org/officeDocument/2006/relationships/hyperlink" Target="https://repositorio.defensoria.gov.co/items/286752fc-93a2-4d22-804a-de5c1843d7d5" TargetMode="External"/><Relationship Id="rId37" Type="http://schemas.openxmlformats.org/officeDocument/2006/relationships/hyperlink" Target="https://cutt.ly/ZNzdCvK" TargetMode="External"/><Relationship Id="rId40" Type="http://schemas.openxmlformats.org/officeDocument/2006/relationships/hyperlink" Target="https://www.comisiondelaverdad.co/no-es-un-mal-menor" TargetMode="External"/><Relationship Id="rId45" Type="http://schemas.openxmlformats.org/officeDocument/2006/relationships/hyperlink" Target="https://www.smallarmssurvey.org/database/global-firearms-holdings" TargetMode="External"/><Relationship Id="rId53" Type="http://schemas.openxmlformats.org/officeDocument/2006/relationships/hyperlink" Target="https://cutt.ly/cNzYo6V" TargetMode="External"/><Relationship Id="rId58" Type="http://schemas.openxmlformats.org/officeDocument/2006/relationships/hyperlink" Target="https://acrobat.adobe.com/link/review?uri=urn%3Aaaid%3Ascds%3AUS%3Acbb454d4-60c4-41fc-8998-d74636de65ee" TargetMode="External"/><Relationship Id="rId66" Type="http://schemas.openxmlformats.org/officeDocument/2006/relationships/hyperlink" Target="https://www.procuraduria.gov.co/Pages/procuraduria-pide-mandatarios-territoriales-atencion-prevencion-urgente-desnutricion-infantil-colombia.aspx" TargetMode="External"/><Relationship Id="rId74" Type="http://schemas.openxmlformats.org/officeDocument/2006/relationships/hyperlink" Target="https://www.javeriana.edu.co/pesquisa/tag/laboratorio-de-economia-de-la-educacion-puj/" TargetMode="External"/><Relationship Id="rId5" Type="http://schemas.openxmlformats.org/officeDocument/2006/relationships/hyperlink" Target="https://indepaz.org.co/incertidumbres-de-la-paz-entre-el-incumplimiento-del-acuerdo-y-las-luchas-sociales-en-su-defensa/" TargetMode="External"/><Relationship Id="rId61" Type="http://schemas.openxmlformats.org/officeDocument/2006/relationships/hyperlink" Target="https://fiancolombia.org/wp-content/uploads/Cuarto-Informe-Alimentacio%CC%81n-2021.-Un-pai%CC%81s-que-se-hunde-en-el-hambre..pdf" TargetMode="External"/><Relationship Id="rId19" Type="http://schemas.openxmlformats.org/officeDocument/2006/relationships/hyperlink" Target="https://cutt.ly/2Nl2nvo" TargetMode="External"/><Relationship Id="rId14" Type="http://schemas.openxmlformats.org/officeDocument/2006/relationships/hyperlink" Target="https://cutt.ly/yNl0DH1" TargetMode="External"/><Relationship Id="rId22" Type="http://schemas.openxmlformats.org/officeDocument/2006/relationships/hyperlink" Target="http://scm.oas.org/pdfs/2018/CP39544S.PDF" TargetMode="External"/><Relationship Id="rId27" Type="http://schemas.openxmlformats.org/officeDocument/2006/relationships/hyperlink" Target="https://www.mapp-oea.org/wp-content/uploads/2019/07/XXI-Informe-sobre-la-MAPP-OEA.pdf" TargetMode="External"/><Relationship Id="rId30" Type="http://schemas.openxmlformats.org/officeDocument/2006/relationships/hyperlink" Target="https://undocs.org/es/S/2020/603" TargetMode="External"/><Relationship Id="rId35" Type="http://schemas.openxmlformats.org/officeDocument/2006/relationships/hyperlink" Target="https://www.camara.gov.co/sites/default/files/2020-10/INFORME%20RECLUTAMIENTO%20DEFENSORIA%20final%20final.pdf" TargetMode="External"/><Relationship Id="rId43" Type="http://schemas.openxmlformats.org/officeDocument/2006/relationships/hyperlink" Target="https://dapre.presidencia.gov.co/normativa/normativa/LEY%202081%20DEL%203%20DE%20FEBRERO%20DE%202021.pdf" TargetMode="External"/><Relationship Id="rId48" Type="http://schemas.openxmlformats.org/officeDocument/2006/relationships/hyperlink" Target="https://www.medicinalegal.gov.co/cifras-estadisticas/forensis" TargetMode="External"/><Relationship Id="rId56" Type="http://schemas.openxmlformats.org/officeDocument/2006/relationships/hyperlink" Target="https://www" TargetMode="External"/><Relationship Id="rId64" Type="http://schemas.openxmlformats.org/officeDocument/2006/relationships/hyperlink" Target="https://colaboracion.dnp.gov.co/CDT/Prensa/Publicaciones/plan-nacional-de-desarrollo-2022-2026-colombia-potencia-mundial-de-la-vida.pdf" TargetMode="External"/><Relationship Id="rId69" Type="http://schemas.openxmlformats.org/officeDocument/2006/relationships/hyperlink" Target="https://www.corteconstitucional.gov.co/Relatoria/autos/2021/A042-21.htm" TargetMode="External"/><Relationship Id="rId8" Type="http://schemas.openxmlformats.org/officeDocument/2006/relationships/hyperlink" Target="https://cutt.ly/PNl8rct" TargetMode="External"/><Relationship Id="rId51" Type="http://schemas.openxmlformats.org/officeDocument/2006/relationships/hyperlink" Target="https://www.pas.org.co/_files/ugd/b432f9_bf0102c8dac042ebb162df5afbe8ea9f.pdf" TargetMode="External"/><Relationship Id="rId72" Type="http://schemas.openxmlformats.org/officeDocument/2006/relationships/hyperlink" Target="file:///C:\Users\FUNSAREP%20-%20LENOVOIP3\Downloads\" TargetMode="External"/><Relationship Id="rId3" Type="http://schemas.openxmlformats.org/officeDocument/2006/relationships/hyperlink" Target="https://www.hchr.org.co/informes_anuales/informe-del-alto-comisionado-de-las-naciones-unidas-para-los-derechos-humanos-sobre-la-situacion-de-derechos-humanos-en-colombia-durante-el-ano2019/" TargetMode="External"/><Relationship Id="rId12" Type="http://schemas.openxmlformats.org/officeDocument/2006/relationships/hyperlink" Target="https://cutt.ly/jNl0mh5" TargetMode="External"/><Relationship Id="rId17" Type="http://schemas.openxmlformats.org/officeDocument/2006/relationships/hyperlink" Target="https://cutt.ly/KNl2swS" TargetMode="External"/><Relationship Id="rId25" Type="http://schemas.openxmlformats.org/officeDocument/2006/relationships/hyperlink" Target="https://www.mapp-oea.org/wp-content/uploads/2023/05/INFORME-XXXIV-Esp-1.pdf" TargetMode="External"/><Relationship Id="rId33" Type="http://schemas.openxmlformats.org/officeDocument/2006/relationships/hyperlink" Target="https://repositorio.defensoria.gov.co/items/286752fc-93a2-4d22-804a-de5c1843d7d5" TargetMode="External"/><Relationship Id="rId38" Type="http://schemas.openxmlformats.org/officeDocument/2006/relationships/hyperlink" Target="https://www.colectivodeabogados.org/las-ninas-y-ninos-no-son-maquinas-de-guerra/" TargetMode="External"/><Relationship Id="rId46" Type="http://schemas.openxmlformats.org/officeDocument/2006/relationships/hyperlink" Target="https://www.smallarmssurvey.org/database/global-firearms-holdings" TargetMode="External"/><Relationship Id="rId59" Type="http://schemas.openxmlformats.org/officeDocument/2006/relationships/hyperlink" Target="https://www.oas.org/es/cidh/informes/pdfs/ObservacionesVisita_cidh_Colombia_spA.pdf" TargetMode="External"/><Relationship Id="rId67" Type="http://schemas.openxmlformats.org/officeDocument/2006/relationships/hyperlink" Target="https://www.oas.org/es/cidh/decisiones/pdf/2015/MC51-15-Es.pdf" TargetMode="External"/><Relationship Id="rId20" Type="http://schemas.openxmlformats.org/officeDocument/2006/relationships/hyperlink" Target="https://cutt.ly/rNl2Wem" TargetMode="External"/><Relationship Id="rId41" Type="http://schemas.openxmlformats.org/officeDocument/2006/relationships/hyperlink" Target="https://www.comisiondelaverdad.co/hallazgos-y-recomendaciones-1" TargetMode="External"/><Relationship Id="rId54" Type="http://schemas.openxmlformats.org/officeDocument/2006/relationships/hyperlink" Target="https://www.amnesty.org/es/documents/amr23/4083/2021/es/" TargetMode="External"/><Relationship Id="rId62" Type="http://schemas.openxmlformats.org/officeDocument/2006/relationships/hyperlink" Target="https://colaboracion.dnp.gov.co/CDT/Prensa/Publicaciones/plan-nacional-de-desarrollo-2022-2026-colombia-potencia-mundial-de-la-vida.pdf" TargetMode="External"/><Relationship Id="rId70" Type="http://schemas.openxmlformats.org/officeDocument/2006/relationships/hyperlink" Target="https://www.eluniversal.com.co/colombia/corte-constitucional-tumbo-transferencia-para-atender-desnutricion-en-la-guajira-AF9610398" TargetMode="External"/><Relationship Id="rId75" Type="http://schemas.openxmlformats.org/officeDocument/2006/relationships/hyperlink" Target="https://www.revistaespacios.com/a20v41n18/a20v41n18p27.pdf" TargetMode="External"/><Relationship Id="rId1" Type="http://schemas.openxmlformats.org/officeDocument/2006/relationships/hyperlink" Target="https://news.un.org/es/story/2022/01/1503252" TargetMode="External"/><Relationship Id="rId6" Type="http://schemas.openxmlformats.org/officeDocument/2006/relationships/hyperlink" Target="https://www.ohchr.org/sites/default/files/documents/hrbodies/hrcouncil/sessions-regular/session55/advance-versions/A-HRC-55-18-sp-AdvanceUneditedVersion.pdf" TargetMode="External"/><Relationship Id="rId15" Type="http://schemas.openxmlformats.org/officeDocument/2006/relationships/hyperlink" Target="https://cutt.ly/rNl0LSV" TargetMode="External"/><Relationship Id="rId23" Type="http://schemas.openxmlformats.org/officeDocument/2006/relationships/hyperlink" Target="https://cutt.ly/wNl0U1N" TargetMode="External"/><Relationship Id="rId28" Type="http://schemas.openxmlformats.org/officeDocument/2006/relationships/hyperlink" Target="https://www.mapp-oea.org/wp-content/uploads/2020/12/XXIX-Informe-Semestral.pdf" TargetMode="External"/><Relationship Id="rId36" Type="http://schemas.openxmlformats.org/officeDocument/2006/relationships/hyperlink" Target="https://cutt.ly/zNzlKJy" TargetMode="External"/><Relationship Id="rId49" Type="http://schemas.openxmlformats.org/officeDocument/2006/relationships/hyperlink" Target="https://www.pas.org.co/_files/ugd/b432f9_bf0102c8dac042ebb162df5afbe8ea9f.pdf" TargetMode="External"/><Relationship Id="rId57" Type="http://schemas.openxmlformats.org/officeDocument/2006/relationships/hyperlink" Target="http://www.oas.org/es/cidh/informes/pdfs/ObservacionesVisita_CIDH_Colombia_SPA.pdf" TargetMode="External"/><Relationship Id="rId10" Type="http://schemas.openxmlformats.org/officeDocument/2006/relationships/hyperlink" Target="https://cutt.ly/cNl4SRv" TargetMode="External"/><Relationship Id="rId31" Type="http://schemas.openxmlformats.org/officeDocument/2006/relationships/hyperlink" Target="https://undocs.org/es/S/2020/603" TargetMode="External"/><Relationship Id="rId44" Type="http://schemas.openxmlformats.org/officeDocument/2006/relationships/hyperlink" Target="https://www.mintrabajo.gov.co/politica-publica-para-la-prevencion-y-erradicacion-de-la-explotacion-sexual-comercial-de-ninas-ninos-y-adolescentes" TargetMode="External"/><Relationship Id="rId52" Type="http://schemas.openxmlformats.org/officeDocument/2006/relationships/hyperlink" Target="https://cutt.ly/9NzTOmV" TargetMode="External"/><Relationship Id="rId60" Type="http://schemas.openxmlformats.org/officeDocument/2006/relationships/hyperlink" Target="https://www.mineducacion.gov.co/portal/micrositiospreescolar-basica-ymedia/Programa-de-Alimentacion-Escolar-PAE-/ETC/357467:Informes-Operacion-PAE" TargetMode="External"/><Relationship Id="rId65" Type="http://schemas.openxmlformats.org/officeDocument/2006/relationships/hyperlink" Target="https://es.wfp.org/publicaciones/evaluacion-de-la-seguridad-alimentaria-para-la-poblacion-colombiana-2024" TargetMode="External"/><Relationship Id="rId73" Type="http://schemas.openxmlformats.org/officeDocument/2006/relationships/hyperlink" Target="https://colaboracion.dnp.gov.co/CDT/Prensa/Resumen-PND2018-2022-final.pdf" TargetMode="External"/><Relationship Id="rId4" Type="http://schemas.openxmlformats.org/officeDocument/2006/relationships/hyperlink" Target="https://indepaz.org.co/incertidumbres-de-la-paz-entre-el-incumplimiento-del-acuerdo-y-las-luchas-sociales-en-su-defensa/" TargetMode="External"/><Relationship Id="rId9" Type="http://schemas.openxmlformats.org/officeDocument/2006/relationships/hyperlink" Target="https://cutt.ly/iNl8LvI" TargetMode="External"/><Relationship Id="rId13" Type="http://schemas.openxmlformats.org/officeDocument/2006/relationships/hyperlink" Target="https://cutt.ly/wNl0U1N" TargetMode="External"/><Relationship Id="rId18" Type="http://schemas.openxmlformats.org/officeDocument/2006/relationships/hyperlink" Target="https://cutt.ly/BNl2jHp" TargetMode="External"/><Relationship Id="rId39" Type="http://schemas.openxmlformats.org/officeDocument/2006/relationships/hyperlink" Target="https://www.comisiondelaverdad.co/no-es-un-mal-menor" TargetMode="External"/><Relationship Id="rId34" Type="http://schemas.openxmlformats.org/officeDocument/2006/relationships/hyperlink" Target="https://daccess-ods.un.org/tmp/7809658.64658356.html" TargetMode="External"/><Relationship Id="rId50" Type="http://schemas.openxmlformats.org/officeDocument/2006/relationships/hyperlink" Target="https://www.oas.org/es/cidh/jsForm/?File=/es/cidh/prensa/comunicados/2022/114.asp" TargetMode="External"/><Relationship Id="rId55" Type="http://schemas.openxmlformats.org/officeDocument/2006/relationships/hyperlink" Target="https://www.amnesty.org/es/documents/amr23/4405/2021/es/" TargetMode="External"/><Relationship Id="rId76" Type="http://schemas.openxmlformats.org/officeDocument/2006/relationships/hyperlink" Target="https://www.dejusticia.org/publication/acceso-promocion-y-permanencia-de-ninos-ninas-y-adolescentes-migrantes-en-el-sistema-educativo-colombiano-avances-retos-y-recomendaciones/" TargetMode="External"/><Relationship Id="rId7" Type="http://schemas.openxmlformats.org/officeDocument/2006/relationships/hyperlink" Target="https://www.defensoria.gov.co/-/defensor%C3%ADa-del-pueblo-registr%C3%B3-184-casos-de-reclutamiento-de-menores-en-2023" TargetMode="External"/><Relationship Id="rId71" Type="http://schemas.openxmlformats.org/officeDocument/2006/relationships/hyperlink" Target="https://reliefweb.int/report/colombia/evaluacion-de-seguridad-alimentaria-migrantes-y-comunidades-de-acogida-colombia-mayo-20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D696E3-78AF-4428-B908-6EA8E41998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36</Pages>
  <Words>8815</Words>
  <Characters>51467</Characters>
  <Application>Microsoft Office Word</Application>
  <DocSecurity>0</DocSecurity>
  <Lines>428</Lines>
  <Paragraphs>120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60162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BOIT James</dc:creator>
  <cp:lastModifiedBy>James Boit</cp:lastModifiedBy>
  <cp:revision>2</cp:revision>
  <dcterms:created xsi:type="dcterms:W3CDTF">2025-01-17T09:11:00Z</dcterms:created>
  <dcterms:modified xsi:type="dcterms:W3CDTF">2025-01-17T09:11:00Z</dcterms:modified>
</cp:coreProperties>
</file>