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95930275"/>
        <w:docPartObj>
          <w:docPartGallery w:val="Cover Pages"/>
          <w:docPartUnique/>
        </w:docPartObj>
      </w:sdtPr>
      <w:sdtEndPr>
        <w:rPr>
          <w:sz w:val="30"/>
          <w:szCs w:val="30"/>
        </w:rPr>
      </w:sdtEndPr>
      <w:sdtContent>
        <w:p w14:paraId="3A3D8E5E" w14:textId="6FEAB0A2" w:rsidR="00F85218" w:rsidRPr="00E675AB" w:rsidRDefault="002A321E" w:rsidP="00E675AB">
          <w:r>
            <w:rPr>
              <w:noProof/>
            </w:rPr>
            <w:drawing>
              <wp:anchor distT="0" distB="0" distL="114300" distR="114300" simplePos="0" relativeHeight="251658240" behindDoc="0" locked="0" layoutInCell="1" allowOverlap="1" wp14:anchorId="6E7F5F29" wp14:editId="056EB2C8">
                <wp:simplePos x="0" y="0"/>
                <wp:positionH relativeFrom="page">
                  <wp:align>left</wp:align>
                </wp:positionH>
                <wp:positionV relativeFrom="page">
                  <wp:align>bottom</wp:align>
                </wp:positionV>
                <wp:extent cx="7594600" cy="10763250"/>
                <wp:effectExtent l="0" t="0" r="635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7">
                          <a:extLst>
                            <a:ext uri="{28A0092B-C50C-407E-A947-70E740481C1C}">
                              <a14:useLocalDpi xmlns:a14="http://schemas.microsoft.com/office/drawing/2010/main" val="0"/>
                            </a:ext>
                          </a:extLst>
                        </a:blip>
                        <a:stretch>
                          <a:fillRect/>
                        </a:stretch>
                      </pic:blipFill>
                      <pic:spPr>
                        <a:xfrm>
                          <a:off x="0" y="0"/>
                          <a:ext cx="7594600" cy="10763250"/>
                        </a:xfrm>
                        <a:prstGeom prst="rect">
                          <a:avLst/>
                        </a:prstGeom>
                      </pic:spPr>
                    </pic:pic>
                  </a:graphicData>
                </a:graphic>
                <wp14:sizeRelH relativeFrom="page">
                  <wp14:pctWidth>0</wp14:pctWidth>
                </wp14:sizeRelH>
                <wp14:sizeRelV relativeFrom="page">
                  <wp14:pctHeight>0</wp14:pctHeight>
                </wp14:sizeRelV>
              </wp:anchor>
            </w:drawing>
          </w:r>
        </w:p>
      </w:sdtContent>
    </w:sdt>
    <w:p w14:paraId="57313AE9" w14:textId="2561F696" w:rsidR="00675C2F" w:rsidRDefault="00675C2F" w:rsidP="00675C2F">
      <w:pPr>
        <w:pStyle w:val="Heading1"/>
        <w:ind w:left="0" w:firstLine="0"/>
      </w:pPr>
      <w:r>
        <w:rPr>
          <w:sz w:val="30"/>
          <w:szCs w:val="30"/>
        </w:rPr>
        <w:lastRenderedPageBreak/>
        <w:t>INTRODUCTION </w:t>
      </w:r>
    </w:p>
    <w:p w14:paraId="16ADDE21" w14:textId="07945FAD" w:rsidR="00675C2F" w:rsidRDefault="00675C2F" w:rsidP="00675C2F">
      <w:pPr>
        <w:pStyle w:val="NormalWeb"/>
        <w:spacing w:before="0" w:beforeAutospacing="0" w:after="0" w:afterAutospacing="0"/>
        <w:jc w:val="both"/>
      </w:pPr>
      <w:r>
        <w:rPr>
          <w:rFonts w:ascii="Calibri" w:hAnsi="Calibri" w:cs="Calibri"/>
          <w:color w:val="000000"/>
          <w:sz w:val="22"/>
          <w:szCs w:val="22"/>
        </w:rPr>
        <w:t xml:space="preserve">Manushya Foundation and the Thai CSOs Coalition for the Universal Periodic Review (UPR) respectfully present this report for your consideration for the adoption of List of Issues by the Committee for the Elimination of Discrimination against Women during the pre-sessional working group for its 85th session (31 October to 4 November 2022). This report relates to </w:t>
      </w:r>
      <w:r w:rsidRPr="005A2CCE">
        <w:rPr>
          <w:rFonts w:ascii="Calibri" w:hAnsi="Calibri" w:cs="Calibri"/>
          <w:b/>
          <w:bCs/>
          <w:color w:val="000000"/>
          <w:sz w:val="22"/>
          <w:szCs w:val="22"/>
        </w:rPr>
        <w:t xml:space="preserve">Articles 1 to </w:t>
      </w:r>
      <w:r w:rsidR="00245C41" w:rsidRPr="005A2CCE">
        <w:rPr>
          <w:rFonts w:ascii="Calibri" w:hAnsi="Calibri" w:cs="Calibri"/>
          <w:b/>
          <w:bCs/>
          <w:color w:val="000000"/>
          <w:sz w:val="22"/>
          <w:szCs w:val="22"/>
        </w:rPr>
        <w:t>5</w:t>
      </w:r>
      <w:r>
        <w:rPr>
          <w:rFonts w:ascii="Calibri" w:hAnsi="Calibri" w:cs="Calibri"/>
          <w:color w:val="000000"/>
          <w:sz w:val="22"/>
          <w:szCs w:val="22"/>
        </w:rPr>
        <w:t xml:space="preserve"> of the Convention and provides an inclusive and accurate overview of the most challenging issues faced by women and marginalized women in Thailand – including women with disabilities; older women; indigenous, ethnic and religious minority women; Malay Muslim women; migrant stateless, refugee and asylum-seeking women; women living with HIV; women sex workers; migrant workers; and LBTIQ+ women – with respect to gender-based discrimination in their daily life, but as well during the COVID-19 pandemic. </w:t>
      </w:r>
      <w:r w:rsidR="00245C41" w:rsidRPr="00245C41">
        <w:rPr>
          <w:rFonts w:ascii="Calibri" w:hAnsi="Calibri" w:cs="Calibri"/>
          <w:color w:val="000000"/>
          <w:sz w:val="22"/>
          <w:szCs w:val="22"/>
        </w:rPr>
        <w:t>A</w:t>
      </w:r>
      <w:r w:rsidRPr="00245C41">
        <w:rPr>
          <w:rFonts w:ascii="Calibri" w:hAnsi="Calibri" w:cs="Calibri"/>
          <w:color w:val="000000"/>
          <w:sz w:val="22"/>
          <w:szCs w:val="22"/>
        </w:rPr>
        <w:t xml:space="preserve"> set of recommendations is </w:t>
      </w:r>
      <w:r w:rsidR="00245C41" w:rsidRPr="00245C41">
        <w:rPr>
          <w:rFonts w:ascii="Calibri" w:hAnsi="Calibri" w:cs="Calibri"/>
          <w:color w:val="000000"/>
          <w:sz w:val="22"/>
          <w:szCs w:val="22"/>
        </w:rPr>
        <w:t>also provided</w:t>
      </w:r>
      <w:r w:rsidRPr="00245C41">
        <w:rPr>
          <w:rFonts w:ascii="Calibri" w:hAnsi="Calibri" w:cs="Calibri"/>
          <w:color w:val="000000"/>
          <w:sz w:val="22"/>
          <w:szCs w:val="22"/>
        </w:rPr>
        <w:t>.</w:t>
      </w:r>
      <w:r>
        <w:rPr>
          <w:rFonts w:ascii="Calibri" w:hAnsi="Calibri" w:cs="Calibri"/>
          <w:color w:val="000000"/>
          <w:sz w:val="22"/>
          <w:szCs w:val="22"/>
        </w:rPr>
        <w:t> </w:t>
      </w:r>
    </w:p>
    <w:p w14:paraId="272F5788" w14:textId="77777777" w:rsidR="00675C2F" w:rsidRDefault="00675C2F" w:rsidP="00675C2F"/>
    <w:p w14:paraId="5E3DB114" w14:textId="347607C9" w:rsidR="00675C2F" w:rsidRDefault="00675C2F" w:rsidP="00675C2F">
      <w:pPr>
        <w:pStyle w:val="NormalWeb"/>
        <w:spacing w:before="0" w:beforeAutospacing="0" w:after="0" w:afterAutospacing="0"/>
        <w:jc w:val="both"/>
      </w:pPr>
      <w:r>
        <w:rPr>
          <w:rFonts w:ascii="Calibri" w:hAnsi="Calibri" w:cs="Calibri"/>
          <w:color w:val="000000"/>
          <w:sz w:val="22"/>
          <w:szCs w:val="22"/>
        </w:rPr>
        <w:t>This List of Issues is informed by communities on the ground facing and representing women who face gender-based discrimination, particularly by members of the Thai CSOs Coalition for the UPR. The submission also includes information sourced from various authorities including UN human rights mechanisms and entities, government notifications, intergovernmental bodies, submissions by civil society, news articles, reports, studies, and other analysis. </w:t>
      </w:r>
    </w:p>
    <w:p w14:paraId="459CF3FA" w14:textId="2F157C11" w:rsidR="00675C2F" w:rsidRDefault="00675C2F"/>
    <w:p w14:paraId="5A71475A" w14:textId="77777777" w:rsidR="00675C2F" w:rsidRDefault="00000000" w:rsidP="00675C2F">
      <w:r>
        <w:rPr>
          <w:noProof/>
        </w:rPr>
        <w:pict w14:anchorId="20579780">
          <v:rect id="_x0000_i1025" alt="" style="width:451.3pt;height:.05pt;mso-width-percent:0;mso-height-percent:0;mso-width-percent:0;mso-height-percent:0" o:hralign="center" o:hrstd="t" o:hr="t" fillcolor="#a0a0a0" stroked="f"/>
        </w:pict>
      </w:r>
    </w:p>
    <w:p w14:paraId="46CB364A" w14:textId="77777777" w:rsidR="00675C2F" w:rsidRDefault="00675C2F" w:rsidP="00675C2F">
      <w:pPr>
        <w:pStyle w:val="NormalWeb"/>
        <w:spacing w:before="0" w:beforeAutospacing="0" w:after="0" w:afterAutospacing="0"/>
        <w:jc w:val="both"/>
      </w:pPr>
      <w:r>
        <w:rPr>
          <w:rFonts w:ascii="Calibri" w:hAnsi="Calibri" w:cs="Calibri"/>
          <w:b/>
          <w:bCs/>
          <w:color w:val="DD3382"/>
        </w:rPr>
        <w:t>About Manushya Foundation</w:t>
      </w:r>
    </w:p>
    <w:p w14:paraId="7CEE929D" w14:textId="5BA8F1D5" w:rsidR="00675C2F" w:rsidRDefault="00675C2F" w:rsidP="005A2CCE">
      <w:pPr>
        <w:pStyle w:val="NormalWeb"/>
        <w:spacing w:before="0" w:beforeAutospacing="0" w:after="0" w:afterAutospacing="0"/>
        <w:jc w:val="both"/>
        <w:rPr>
          <w:rFonts w:ascii="Calibri" w:hAnsi="Calibri" w:cs="Calibri"/>
          <w:color w:val="000000"/>
          <w:sz w:val="22"/>
          <w:szCs w:val="22"/>
        </w:rPr>
      </w:pPr>
      <w:r>
        <w:rPr>
          <w:rFonts w:ascii="Calibri" w:hAnsi="Calibri" w:cs="Calibri"/>
          <w:color w:val="000000"/>
          <w:sz w:val="22"/>
          <w:szCs w:val="22"/>
        </w:rPr>
        <w:t xml:space="preserve">Manushya Foundation was founded in 2017 with the vision to build a movement of Equal Human Beings </w:t>
      </w:r>
      <w:r>
        <w:rPr>
          <w:rFonts w:ascii="Calibri" w:hAnsi="Calibri" w:cs="Calibri"/>
          <w:i/>
          <w:iCs/>
          <w:color w:val="000000"/>
          <w:sz w:val="22"/>
          <w:szCs w:val="22"/>
        </w:rPr>
        <w:t>#WeAreManushyan</w:t>
      </w:r>
      <w:r>
        <w:rPr>
          <w:rFonts w:ascii="Calibri" w:hAnsi="Calibri" w:cs="Calibri"/>
          <w:color w:val="000000"/>
          <w:sz w:val="22"/>
          <w:szCs w:val="22"/>
        </w:rPr>
        <w:t>. Manushya is an intersectional feminist human rights organization reinforcing the power of humans, in particular women, human rights defenders, indigenous peoples, forest-dependent communities, environmental defenders, LGBTI groups, and Youth, to be at the heart of decision-making processes that concern them and to speak truth to power at the forefront of their fight for Human Rights, Equality, Social Justice and Peace. Through coalition building, capacity building, community-led research, advocacy and campaigning, and sub-granting, local communities become Agents of Change fighting for their rights and providing solutions to improve their lives and livelihoods, pushing back on authoritarian governments and harmful corporations. Manushya defends local communities and seeks justice with them before the United Nations, focusing on women’s rights and gender equality, digital rights, climate &amp; environmental justice, and corporate accountability across Asia. For further information on the work of Manushya Foundation, visit:</w:t>
      </w:r>
      <w:r w:rsidR="00301B46">
        <w:rPr>
          <w:rFonts w:ascii="Calibri" w:hAnsi="Calibri" w:cs="Calibri"/>
          <w:color w:val="000000"/>
          <w:sz w:val="22"/>
          <w:szCs w:val="22"/>
        </w:rPr>
        <w:t xml:space="preserve"> </w:t>
      </w:r>
    </w:p>
    <w:p w14:paraId="7B525C41" w14:textId="21AA2EB0" w:rsidR="005A2CCE" w:rsidRPr="005A2CCE" w:rsidRDefault="00000000" w:rsidP="005A2CCE">
      <w:pPr>
        <w:pStyle w:val="NormalWeb"/>
        <w:spacing w:before="0" w:beforeAutospacing="0" w:after="0" w:afterAutospacing="0"/>
        <w:jc w:val="both"/>
        <w:rPr>
          <w:rFonts w:ascii="Calibri" w:hAnsi="Calibri" w:cs="Calibri"/>
          <w:color w:val="000000"/>
          <w:sz w:val="22"/>
          <w:szCs w:val="22"/>
        </w:rPr>
      </w:pPr>
      <w:hyperlink r:id="rId8" w:history="1">
        <w:r w:rsidR="005A2CCE" w:rsidRPr="00140DF1">
          <w:rPr>
            <w:rStyle w:val="Hyperlink"/>
            <w:rFonts w:ascii="Calibri" w:hAnsi="Calibri" w:cs="Calibri"/>
            <w:sz w:val="22"/>
            <w:szCs w:val="22"/>
          </w:rPr>
          <w:t>https://www.manushyafoundation.org/</w:t>
        </w:r>
      </w:hyperlink>
      <w:r w:rsidR="005A2CCE">
        <w:rPr>
          <w:rFonts w:ascii="Calibri" w:hAnsi="Calibri" w:cs="Calibri"/>
          <w:color w:val="000000"/>
          <w:sz w:val="22"/>
          <w:szCs w:val="22"/>
        </w:rPr>
        <w:t> </w:t>
      </w:r>
    </w:p>
    <w:p w14:paraId="677B9A27" w14:textId="77777777" w:rsidR="00675C2F" w:rsidRDefault="00675C2F" w:rsidP="00675C2F">
      <w:pPr>
        <w:pStyle w:val="NormalWeb"/>
        <w:spacing w:before="240" w:beforeAutospacing="0" w:after="0" w:afterAutospacing="0"/>
        <w:jc w:val="both"/>
      </w:pPr>
      <w:r>
        <w:rPr>
          <w:rFonts w:ascii="Calibri" w:hAnsi="Calibri" w:cs="Calibri"/>
          <w:b/>
          <w:bCs/>
          <w:color w:val="DD3382"/>
        </w:rPr>
        <w:t>About the Thai CSOs Coalition for the UPR</w:t>
      </w:r>
    </w:p>
    <w:p w14:paraId="0BD5B398" w14:textId="404D45E6" w:rsidR="00675C2F" w:rsidRDefault="00675C2F" w:rsidP="00675C2F">
      <w:pPr>
        <w:pStyle w:val="NormalWeb"/>
        <w:spacing w:before="0" w:beforeAutospacing="0" w:after="0" w:afterAutospacing="0"/>
        <w:jc w:val="both"/>
        <w:rPr>
          <w:rFonts w:ascii="Calibri" w:hAnsi="Calibri" w:cs="Calibri"/>
          <w:color w:val="000000"/>
          <w:sz w:val="22"/>
          <w:szCs w:val="22"/>
        </w:rPr>
      </w:pPr>
      <w:r>
        <w:rPr>
          <w:rFonts w:ascii="Calibri" w:hAnsi="Calibri" w:cs="Calibri"/>
          <w:color w:val="000000"/>
          <w:sz w:val="22"/>
          <w:szCs w:val="22"/>
        </w:rPr>
        <w:t>Created in February 2016, the Thai CSOs Coalition for the UPR comprises local communities and national civil society organizations from all human rights sectors and across Thailand. The coalition is as of today the widest coalition of Thai CSOs ever brought together to contribute to the UPR process and other UN human rights monitoring mechanisms as well as development obligations. The formation of the Thai CSOs Coalition for the UPR has enabled local communities from different regions of Thailand, experiencing similar challenges (such as land evictions, land grabbing, abusive working conditions), to meet each other and build solidarity, creating momentum and commitment to work together as a strong national movement to hold the government accountable on its international human rights obligations. The Thai CSOs Coalition for the UPR engages in a constructive manner by proposing solutions rather than naming and shaming.</w:t>
      </w:r>
    </w:p>
    <w:p w14:paraId="6F7F6A7C" w14:textId="77777777" w:rsidR="003B02EA" w:rsidRDefault="003B02EA" w:rsidP="00675C2F">
      <w:pPr>
        <w:pStyle w:val="NormalWeb"/>
        <w:spacing w:before="0" w:beforeAutospacing="0" w:after="0" w:afterAutospacing="0"/>
        <w:jc w:val="both"/>
      </w:pPr>
    </w:p>
    <w:p w14:paraId="66456E0B" w14:textId="026F8F0F" w:rsidR="00675C2F" w:rsidRDefault="00000000">
      <w:pPr>
        <w:spacing w:line="240" w:lineRule="auto"/>
      </w:pPr>
      <w:r>
        <w:rPr>
          <w:noProof/>
        </w:rPr>
        <w:pict w14:anchorId="0CCFD9A4">
          <v:rect id="_x0000_i1026" alt="" style="width:451.3pt;height:.05pt;mso-width-percent:0;mso-height-percent:0;mso-width-percent:0;mso-height-percent:0" o:hralign="center" o:hrstd="t" o:hr="t" fillcolor="#a0a0a0" stroked="f"/>
        </w:pict>
      </w:r>
    </w:p>
    <w:p w14:paraId="7AC65FEF" w14:textId="77777777" w:rsidR="00675C2F" w:rsidRDefault="00675C2F" w:rsidP="00675C2F">
      <w:pPr>
        <w:pStyle w:val="NormalWeb"/>
        <w:spacing w:before="0" w:beforeAutospacing="0" w:after="0" w:afterAutospacing="0"/>
        <w:jc w:val="both"/>
      </w:pPr>
      <w:r>
        <w:rPr>
          <w:rFonts w:ascii="Calibri" w:hAnsi="Calibri" w:cs="Calibri"/>
          <w:b/>
          <w:bCs/>
          <w:color w:val="000000"/>
        </w:rPr>
        <w:t>For more information, please contact:</w:t>
      </w:r>
    </w:p>
    <w:p w14:paraId="734009D7" w14:textId="61043321" w:rsidR="00675C2F" w:rsidRDefault="00675C2F" w:rsidP="00675C2F">
      <w:pPr>
        <w:rPr>
          <w:rStyle w:val="Hyperlink"/>
          <w:rFonts w:ascii="Calibri" w:hAnsi="Calibri" w:cs="Calibri"/>
          <w:color w:val="1155CC"/>
        </w:rPr>
      </w:pPr>
      <w:r>
        <w:rPr>
          <w:rFonts w:ascii="Calibri" w:hAnsi="Calibri" w:cs="Calibri"/>
          <w:color w:val="000000"/>
        </w:rPr>
        <w:t xml:space="preserve">Ms. Emilie Palamy Pradichit, Founder and Executive Director of Manushya Foundation </w:t>
      </w:r>
      <w:hyperlink r:id="rId9" w:history="1">
        <w:r>
          <w:rPr>
            <w:rStyle w:val="Hyperlink"/>
            <w:rFonts w:ascii="Calibri" w:hAnsi="Calibri" w:cs="Calibri"/>
            <w:color w:val="1155CC"/>
          </w:rPr>
          <w:t>emilie@manushyafoundation.org</w:t>
        </w:r>
      </w:hyperlink>
    </w:p>
    <w:p w14:paraId="6E87899C" w14:textId="0E2907EF" w:rsidR="00675C2F" w:rsidRDefault="00000000" w:rsidP="00675C2F">
      <w:pPr>
        <w:pStyle w:val="Heading1"/>
        <w:ind w:firstLine="0"/>
        <w:jc w:val="left"/>
      </w:pPr>
      <w:r>
        <w:rPr>
          <w:noProof/>
        </w:rPr>
        <w:lastRenderedPageBreak/>
        <w:pict w14:anchorId="57220FE6">
          <v:rect id="_x0000_i1027" alt="" style="width:424.65pt;height:.05pt;mso-width-percent:0;mso-height-percent:0;mso-width-percent:0;mso-height-percent:0" o:hrpct="941" o:hralign="center" o:hrstd="t" o:hr="t" fillcolor="#a0a0a0" stroked="f"/>
        </w:pict>
      </w:r>
    </w:p>
    <w:p w14:paraId="60B720ED" w14:textId="0340AC13" w:rsidR="00675C2F" w:rsidRDefault="00675C2F" w:rsidP="00675C2F">
      <w:pPr>
        <w:pStyle w:val="Heading1"/>
        <w:numPr>
          <w:ilvl w:val="0"/>
          <w:numId w:val="1"/>
        </w:numPr>
        <w:tabs>
          <w:tab w:val="num" w:pos="360"/>
        </w:tabs>
        <w:jc w:val="left"/>
        <w:rPr>
          <w:sz w:val="26"/>
          <w:szCs w:val="26"/>
        </w:rPr>
      </w:pPr>
      <w:bookmarkStart w:id="0" w:name="_9hwhspt84c31" w:colFirst="0" w:colLast="0"/>
      <w:bookmarkEnd w:id="0"/>
      <w:r>
        <w:t>ARTICLE 1: DEFINITION OF DISCRIMINATION</w:t>
      </w:r>
      <w:r w:rsidR="00000000">
        <w:rPr>
          <w:noProof/>
        </w:rPr>
        <w:pict w14:anchorId="39A45EEB">
          <v:rect id="_x0000_i1028" alt="" style="width:424.65pt;height:.05pt;mso-width-percent:0;mso-height-percent:0;mso-width-percent:0;mso-height-percent:0" o:hrpct="941" o:hralign="center" o:hrstd="t" o:hr="t" fillcolor="#a0a0a0" stroked="f"/>
        </w:pict>
      </w:r>
    </w:p>
    <w:p w14:paraId="6C771CA8" w14:textId="77777777" w:rsidR="00675C2F" w:rsidRDefault="00675C2F" w:rsidP="00675C2F">
      <w:pPr>
        <w:jc w:val="both"/>
        <w:rPr>
          <w:rFonts w:ascii="Calibri" w:eastAsia="Calibri" w:hAnsi="Calibri" w:cs="Calibri"/>
        </w:rPr>
      </w:pPr>
      <w:r>
        <w:rPr>
          <w:rFonts w:ascii="Calibri" w:eastAsia="Calibri" w:hAnsi="Calibri" w:cs="Calibri"/>
          <w:b/>
        </w:rPr>
        <w:t>The Gender Equality Act of 2015</w:t>
      </w:r>
      <w:r>
        <w:rPr>
          <w:rFonts w:ascii="Calibri" w:eastAsia="Calibri" w:hAnsi="Calibri" w:cs="Calibri"/>
        </w:rPr>
        <w:t xml:space="preserve"> defines direct and indirect discrimination and prohibits it. However, under section 17 (2), exceptions are allowed with regard to the prohibition of discrimination on the basis of gender, namely on grounds of religious principles and national security.</w:t>
      </w:r>
      <w:r>
        <w:rPr>
          <w:rFonts w:ascii="Calibri" w:eastAsia="Calibri" w:hAnsi="Calibri" w:cs="Calibri"/>
          <w:vertAlign w:val="superscript"/>
        </w:rPr>
        <w:endnoteReference w:id="1"/>
      </w:r>
      <w:r>
        <w:rPr>
          <w:rFonts w:ascii="Calibri" w:eastAsia="Calibri" w:hAnsi="Calibri" w:cs="Calibri"/>
          <w:i/>
        </w:rPr>
        <w:t xml:space="preserve"> </w:t>
      </w:r>
      <w:r>
        <w:rPr>
          <w:rFonts w:ascii="Calibri" w:eastAsia="Calibri" w:hAnsi="Calibri" w:cs="Calibri"/>
        </w:rPr>
        <w:t>Cases have been reported on the use of this exception to justify discrimination of transgender women, such as barring them from using the female bathroom to protect the safety of others.</w:t>
      </w:r>
      <w:r>
        <w:rPr>
          <w:rFonts w:ascii="Calibri" w:eastAsia="Calibri" w:hAnsi="Calibri" w:cs="Calibri"/>
          <w:vertAlign w:val="superscript"/>
        </w:rPr>
        <w:endnoteReference w:id="2"/>
      </w:r>
      <w:r>
        <w:rPr>
          <w:rFonts w:ascii="Calibri" w:eastAsia="Calibri" w:hAnsi="Calibri" w:cs="Calibri"/>
        </w:rPr>
        <w:t xml:space="preserve"> The Act fails to explicitly protect from discrimination based on sexual orientation,</w:t>
      </w:r>
      <w:r>
        <w:rPr>
          <w:rFonts w:ascii="Calibri" w:eastAsia="Calibri" w:hAnsi="Calibri" w:cs="Calibri"/>
          <w:vertAlign w:val="superscript"/>
        </w:rPr>
        <w:endnoteReference w:id="3"/>
      </w:r>
      <w:r>
        <w:rPr>
          <w:rFonts w:ascii="Calibri" w:eastAsia="Calibri" w:hAnsi="Calibri" w:cs="Calibri"/>
        </w:rPr>
        <w:t xml:space="preserve"> and permit discrimination of women with disabilities in specific cases.</w:t>
      </w:r>
      <w:r>
        <w:rPr>
          <w:rFonts w:ascii="Calibri" w:eastAsia="Calibri" w:hAnsi="Calibri" w:cs="Calibri"/>
          <w:vertAlign w:val="superscript"/>
        </w:rPr>
        <w:endnoteReference w:id="4"/>
      </w:r>
      <w:r>
        <w:rPr>
          <w:rFonts w:ascii="Calibri" w:eastAsia="Calibri" w:hAnsi="Calibri" w:cs="Calibri"/>
        </w:rPr>
        <w:t xml:space="preserve"> The prohibition of discrimination on the basis of gender does not apply in the Southern Border Provinces (SBPs), where special emergency laws are applied. </w:t>
      </w:r>
    </w:p>
    <w:p w14:paraId="30933CD6" w14:textId="77777777" w:rsidR="00675C2F" w:rsidRDefault="00675C2F" w:rsidP="00675C2F">
      <w:pPr>
        <w:jc w:val="both"/>
        <w:rPr>
          <w:rFonts w:ascii="Calibri" w:eastAsia="Calibri" w:hAnsi="Calibri" w:cs="Calibri"/>
        </w:rPr>
      </w:pPr>
    </w:p>
    <w:p w14:paraId="1B91B57C" w14:textId="77777777" w:rsidR="00675C2F" w:rsidRDefault="00675C2F" w:rsidP="00675C2F">
      <w:pPr>
        <w:jc w:val="both"/>
        <w:rPr>
          <w:rFonts w:ascii="Calibri" w:eastAsia="Calibri" w:hAnsi="Calibri" w:cs="Calibri"/>
        </w:rPr>
      </w:pPr>
      <w:r>
        <w:rPr>
          <w:rFonts w:ascii="Calibri" w:eastAsia="Calibri" w:hAnsi="Calibri" w:cs="Calibri"/>
        </w:rPr>
        <w:t xml:space="preserve">Discrimination as laid out in Section 27 of the </w:t>
      </w:r>
      <w:r>
        <w:rPr>
          <w:rFonts w:ascii="Calibri" w:eastAsia="Calibri" w:hAnsi="Calibri" w:cs="Calibri"/>
          <w:b/>
        </w:rPr>
        <w:t>2017 Constitution of Thailand</w:t>
      </w:r>
      <w:r>
        <w:rPr>
          <w:rFonts w:ascii="Calibri" w:eastAsia="Calibri" w:hAnsi="Calibri" w:cs="Calibri"/>
        </w:rPr>
        <w:t xml:space="preserve"> is left undefined and is not inclusive of all grounds, leaving out discrimination based on color, descent, national and ethnic origin.</w:t>
      </w:r>
      <w:r>
        <w:rPr>
          <w:rFonts w:ascii="Calibri" w:eastAsia="Calibri" w:hAnsi="Calibri" w:cs="Calibri"/>
          <w:vertAlign w:val="superscript"/>
        </w:rPr>
        <w:endnoteReference w:id="5"/>
      </w:r>
      <w:r>
        <w:rPr>
          <w:rFonts w:ascii="Calibri" w:eastAsia="Calibri" w:hAnsi="Calibri" w:cs="Calibri"/>
        </w:rPr>
        <w:t xml:space="preserve"> A distinction is also made between “just” and “unjust” discrimination, with no restrictions placed on the type of "just" discrimination. Despite of Section 4 stipulating that everyone shall be treated equally before the law, the prohibition of discrimination on the basis of gender does not apply in the SPBs.</w:t>
      </w:r>
      <w:r>
        <w:rPr>
          <w:rFonts w:ascii="Calibri" w:eastAsia="Calibri" w:hAnsi="Calibri" w:cs="Calibri"/>
          <w:vertAlign w:val="superscript"/>
        </w:rPr>
        <w:endnoteReference w:id="6"/>
      </w:r>
    </w:p>
    <w:p w14:paraId="5A22C732" w14:textId="77777777" w:rsidR="00495CAC" w:rsidRDefault="00495CAC" w:rsidP="00495CAC">
      <w:pPr>
        <w:pStyle w:val="Heading1"/>
        <w:ind w:left="0" w:firstLine="0"/>
      </w:pPr>
      <w:bookmarkStart w:id="1" w:name="_mmkv13t9f0ol" w:colFirst="0" w:colLast="0"/>
      <w:bookmarkEnd w:id="1"/>
    </w:p>
    <w:p w14:paraId="613E1CEC" w14:textId="038D2DCD" w:rsidR="00675C2F" w:rsidRDefault="00000000" w:rsidP="00495CAC">
      <w:pPr>
        <w:pStyle w:val="Heading1"/>
        <w:ind w:left="0" w:firstLine="0"/>
      </w:pPr>
      <w:r>
        <w:rPr>
          <w:noProof/>
        </w:rPr>
        <w:pict w14:anchorId="56A6C752">
          <v:rect id="_x0000_i1029" alt="" style="width:428.75pt;height:.05pt;mso-width-percent:0;mso-height-percent:0;mso-width-percent:0;mso-height-percent:0" o:hrpct="950" o:hralign="center" o:hrstd="t" o:hr="t" fillcolor="#a0a0a0" stroked="f"/>
        </w:pict>
      </w:r>
    </w:p>
    <w:p w14:paraId="26E873D6" w14:textId="77777777" w:rsidR="00675C2F" w:rsidRDefault="00675C2F" w:rsidP="00675C2F">
      <w:pPr>
        <w:pStyle w:val="Heading1"/>
        <w:numPr>
          <w:ilvl w:val="0"/>
          <w:numId w:val="1"/>
        </w:numPr>
        <w:tabs>
          <w:tab w:val="num" w:pos="360"/>
        </w:tabs>
      </w:pPr>
      <w:bookmarkStart w:id="2" w:name="_lnu68c7jtnz0" w:colFirst="0" w:colLast="0"/>
      <w:bookmarkEnd w:id="2"/>
      <w:r>
        <w:t>ARTICLE 2: POLICY MEASURES TO BE UNDERTAKEN TO ELIMINATE DISCRIMINATION</w:t>
      </w:r>
    </w:p>
    <w:p w14:paraId="3EB09403" w14:textId="77777777" w:rsidR="00675C2F" w:rsidRDefault="00000000" w:rsidP="00675C2F">
      <w:pPr>
        <w:pStyle w:val="Heading1"/>
        <w:ind w:left="0" w:firstLine="0"/>
      </w:pPr>
      <w:bookmarkStart w:id="3" w:name="_fyv9y5mpw65e" w:colFirst="0" w:colLast="0"/>
      <w:bookmarkEnd w:id="3"/>
      <w:r>
        <w:rPr>
          <w:noProof/>
        </w:rPr>
        <w:pict w14:anchorId="21251BDB">
          <v:rect id="_x0000_i1030" alt="" style="width:451.3pt;height:.05pt;mso-width-percent:0;mso-height-percent:0;mso-width-percent:0;mso-height-percent:0" o:hralign="center" o:hrstd="t" o:hr="t" fillcolor="#a0a0a0" stroked="f"/>
        </w:pict>
      </w:r>
    </w:p>
    <w:p w14:paraId="172B0492" w14:textId="77777777" w:rsidR="00675C2F" w:rsidRDefault="00675C2F" w:rsidP="00675C2F">
      <w:pPr>
        <w:jc w:val="both"/>
        <w:rPr>
          <w:rFonts w:ascii="Calibri" w:eastAsia="Calibri" w:hAnsi="Calibri" w:cs="Calibri"/>
        </w:rPr>
      </w:pPr>
      <w:r>
        <w:rPr>
          <w:rFonts w:ascii="Calibri" w:eastAsia="Calibri" w:hAnsi="Calibri" w:cs="Calibri"/>
        </w:rPr>
        <w:t>CEDAW provisions have not been properly incorporated into Thailand’s domestic law. Community members in Northern Thailand pointed out the lack of awareness of CEDAW</w:t>
      </w:r>
      <w:r>
        <w:rPr>
          <w:rFonts w:ascii="Calibri" w:eastAsia="Calibri" w:hAnsi="Calibri" w:cs="Calibri"/>
          <w:vertAlign w:val="superscript"/>
        </w:rPr>
        <w:endnoteReference w:id="7"/>
      </w:r>
      <w:r>
        <w:rPr>
          <w:rFonts w:ascii="Calibri" w:eastAsia="Calibri" w:hAnsi="Calibri" w:cs="Calibri"/>
        </w:rPr>
        <w:t xml:space="preserve"> and its applicability in practice. Despite efforts by ethnic civil society organizations (CSOs) to improve the situation, there has been little to no tangible progress in the implementation of CEDAW at all levels of society. Training and awareness-raising initiatives launched by the Ministry of Social Development seldom involve ethnic or Indigenous groups and migrant women who are the least informed on the women’s rights discourse.</w:t>
      </w:r>
      <w:r>
        <w:rPr>
          <w:rFonts w:ascii="Calibri" w:eastAsia="Calibri" w:hAnsi="Calibri" w:cs="Calibri"/>
          <w:vertAlign w:val="superscript"/>
        </w:rPr>
        <w:endnoteReference w:id="8"/>
      </w:r>
      <w:r>
        <w:rPr>
          <w:rFonts w:ascii="Calibri" w:eastAsia="Calibri" w:hAnsi="Calibri" w:cs="Calibri"/>
        </w:rPr>
        <w:t xml:space="preserve"> </w:t>
      </w:r>
    </w:p>
    <w:p w14:paraId="685B0178" w14:textId="77777777" w:rsidR="00675C2F" w:rsidRDefault="00675C2F" w:rsidP="00675C2F">
      <w:pPr>
        <w:jc w:val="both"/>
        <w:rPr>
          <w:rFonts w:ascii="Calibri" w:eastAsia="Calibri" w:hAnsi="Calibri" w:cs="Calibri"/>
        </w:rPr>
      </w:pPr>
    </w:p>
    <w:p w14:paraId="06544DC9" w14:textId="77777777" w:rsidR="00675C2F" w:rsidRDefault="00675C2F" w:rsidP="00675C2F">
      <w:pPr>
        <w:jc w:val="both"/>
        <w:rPr>
          <w:rFonts w:ascii="Calibri" w:eastAsia="Calibri" w:hAnsi="Calibri" w:cs="Calibri"/>
        </w:rPr>
      </w:pPr>
      <w:r>
        <w:rPr>
          <w:rFonts w:ascii="Calibri" w:eastAsia="Calibri" w:hAnsi="Calibri" w:cs="Calibri"/>
        </w:rPr>
        <w:t>The Gender Equality Act fails to provide comprehensive protection and genuine safeguards to ensure gender equality, especially when it is intersected with other factors. The exceptions under which gender-based discrimination is accepted pose a particular challenge for specific groups who face multi-layers of discrimination, such as marginalized women as the vulnerabilities they face as women are compounded by vulnerabilities which stem from their identity, race, ethnicity, disability etc. Under these realities, a stand-alone legislation is needed to tackle issues of discrimination in all cases, especially in order to prohibit multiple and intersectional discrimination.</w:t>
      </w:r>
    </w:p>
    <w:p w14:paraId="6B38CECA" w14:textId="77777777" w:rsidR="00675C2F" w:rsidRDefault="00675C2F" w:rsidP="00675C2F">
      <w:pPr>
        <w:jc w:val="both"/>
        <w:rPr>
          <w:rFonts w:ascii="Calibri" w:eastAsia="Calibri" w:hAnsi="Calibri" w:cs="Calibri"/>
        </w:rPr>
      </w:pPr>
    </w:p>
    <w:p w14:paraId="7D62131D" w14:textId="77777777" w:rsidR="00675C2F" w:rsidRDefault="00675C2F" w:rsidP="00675C2F">
      <w:pPr>
        <w:jc w:val="both"/>
        <w:rPr>
          <w:rFonts w:ascii="Calibri" w:eastAsia="Calibri" w:hAnsi="Calibri" w:cs="Calibri"/>
        </w:rPr>
      </w:pPr>
      <w:r>
        <w:rPr>
          <w:rFonts w:ascii="Calibri" w:eastAsia="Calibri" w:hAnsi="Calibri" w:cs="Calibri"/>
        </w:rPr>
        <w:t>There has been little attempt from the government to raise awareness about the existence of the Gender Equality Act, or to bring CEDAW into use to empower women human rights defenders (WHRDs) in the making of decisions, their political participation, or to protect them against harassment.</w:t>
      </w:r>
      <w:r>
        <w:rPr>
          <w:rFonts w:ascii="Calibri" w:eastAsia="Calibri" w:hAnsi="Calibri" w:cs="Calibri"/>
          <w:vertAlign w:val="superscript"/>
        </w:rPr>
        <w:endnoteReference w:id="9"/>
      </w:r>
      <w:r>
        <w:rPr>
          <w:rFonts w:ascii="Calibri" w:eastAsia="Calibri" w:hAnsi="Calibri" w:cs="Calibri"/>
        </w:rPr>
        <w:t xml:space="preserve"> The support given by the government was only surface-level and not sustainable.</w:t>
      </w:r>
      <w:r>
        <w:rPr>
          <w:rFonts w:ascii="Calibri" w:eastAsia="Calibri" w:hAnsi="Calibri" w:cs="Calibri"/>
          <w:vertAlign w:val="superscript"/>
        </w:rPr>
        <w:endnoteReference w:id="10"/>
      </w:r>
      <w:r>
        <w:rPr>
          <w:rFonts w:ascii="Calibri" w:eastAsia="Calibri" w:hAnsi="Calibri" w:cs="Calibri"/>
        </w:rPr>
        <w:t xml:space="preserve"> This is partly caused by the minimum understanding of CEDAW among government officials, and law enforcement authorities at the State and regional levels.</w:t>
      </w:r>
      <w:r>
        <w:rPr>
          <w:rFonts w:ascii="Calibri" w:eastAsia="Calibri" w:hAnsi="Calibri" w:cs="Calibri"/>
          <w:vertAlign w:val="superscript"/>
        </w:rPr>
        <w:endnoteReference w:id="11"/>
      </w:r>
      <w:r>
        <w:rPr>
          <w:rFonts w:ascii="Calibri" w:eastAsia="Calibri" w:hAnsi="Calibri" w:cs="Calibri"/>
        </w:rPr>
        <w:t xml:space="preserve"> Moreover, there were allegations that the </w:t>
      </w:r>
      <w:r>
        <w:rPr>
          <w:rFonts w:ascii="Calibri" w:eastAsia="Calibri" w:hAnsi="Calibri" w:cs="Calibri"/>
        </w:rPr>
        <w:lastRenderedPageBreak/>
        <w:t>government purposefully gate-keeps knowledge. The onus of spreading awareness and knowledge about gender equality and women’s rights fall upon women human rights activists instead. However, their scope of work is limited and the lack of active cooperation at the governmental level leads to generations of women not being aware of their rights and how to claim such.</w:t>
      </w:r>
      <w:r>
        <w:rPr>
          <w:rFonts w:ascii="Calibri" w:eastAsia="Calibri" w:hAnsi="Calibri" w:cs="Calibri"/>
          <w:vertAlign w:val="superscript"/>
        </w:rPr>
        <w:endnoteReference w:id="12"/>
      </w:r>
      <w:r>
        <w:rPr>
          <w:rFonts w:ascii="Calibri" w:eastAsia="Calibri" w:hAnsi="Calibri" w:cs="Calibri"/>
        </w:rPr>
        <w:t xml:space="preserve"> Members of the SBP communities claim that the government has not been able to educate the public on gender equality and diversity given the many ways in which it contradicts religious teachings, which could exacerbate tension in the conflict-prone region. Religious leaders are equally passive on the subject.</w:t>
      </w:r>
      <w:r>
        <w:rPr>
          <w:rFonts w:ascii="Calibri" w:eastAsia="Calibri" w:hAnsi="Calibri" w:cs="Calibri"/>
          <w:vertAlign w:val="superscript"/>
        </w:rPr>
        <w:endnoteReference w:id="13"/>
      </w:r>
    </w:p>
    <w:p w14:paraId="368449EE" w14:textId="77777777" w:rsidR="00675C2F" w:rsidRDefault="00675C2F" w:rsidP="00675C2F">
      <w:pPr>
        <w:jc w:val="both"/>
        <w:rPr>
          <w:rFonts w:ascii="Calibri" w:eastAsia="Calibri" w:hAnsi="Calibri" w:cs="Calibri"/>
        </w:rPr>
      </w:pPr>
    </w:p>
    <w:p w14:paraId="0C14F5D2" w14:textId="77777777" w:rsidR="00675C2F" w:rsidRDefault="00675C2F" w:rsidP="00675C2F">
      <w:pPr>
        <w:jc w:val="both"/>
        <w:rPr>
          <w:rFonts w:ascii="Calibri" w:eastAsia="Calibri" w:hAnsi="Calibri" w:cs="Calibri"/>
        </w:rPr>
      </w:pPr>
      <w:r>
        <w:rPr>
          <w:rFonts w:ascii="Calibri" w:eastAsia="Calibri" w:hAnsi="Calibri" w:cs="Calibri"/>
        </w:rPr>
        <w:t>There were reports of no support being given to youth activists working on gender equality or LGBTIQ+ issues, and no incentive taken from the government to incorporate gender studies into school curriculums or to support gender studies programs at university level.</w:t>
      </w:r>
      <w:r>
        <w:rPr>
          <w:rFonts w:ascii="Calibri" w:eastAsia="Calibri" w:hAnsi="Calibri" w:cs="Calibri"/>
          <w:vertAlign w:val="superscript"/>
        </w:rPr>
        <w:endnoteReference w:id="14"/>
      </w:r>
    </w:p>
    <w:p w14:paraId="1B274246" w14:textId="77777777" w:rsidR="00675C2F" w:rsidRDefault="00675C2F" w:rsidP="00675C2F">
      <w:pPr>
        <w:jc w:val="both"/>
        <w:rPr>
          <w:rFonts w:ascii="Calibri" w:eastAsia="Calibri" w:hAnsi="Calibri" w:cs="Calibri"/>
          <w:shd w:val="clear" w:color="auto" w:fill="F4CCCC"/>
        </w:rPr>
      </w:pPr>
    </w:p>
    <w:p w14:paraId="4C2627C2" w14:textId="77777777" w:rsidR="00675C2F" w:rsidRDefault="00675C2F" w:rsidP="00675C2F">
      <w:pPr>
        <w:jc w:val="both"/>
        <w:rPr>
          <w:rFonts w:ascii="Calibri" w:eastAsia="Calibri" w:hAnsi="Calibri" w:cs="Calibri"/>
        </w:rPr>
      </w:pPr>
      <w:r w:rsidRPr="00C1286B">
        <w:rPr>
          <w:rFonts w:ascii="Calibri" w:eastAsia="Calibri" w:hAnsi="Calibri" w:cs="Calibri"/>
        </w:rPr>
        <w:t>The institutional level's ability to address gender-based violence and discrimination is severely constrained. Authorities working with such cases are not well prepared, as the training they receive is not effective and the curriculum is not regularly updated. A CSO representative providing seminars to address the insensitivity of police and investigators observed little improvement in this area compared to when</w:t>
      </w:r>
      <w:r>
        <w:rPr>
          <w:rFonts w:ascii="Calibri" w:eastAsia="Calibri" w:hAnsi="Calibri" w:cs="Calibri"/>
        </w:rPr>
        <w:t xml:space="preserve"> they first started working o</w:t>
      </w:r>
      <w:r w:rsidRPr="00C1286B">
        <w:rPr>
          <w:rFonts w:ascii="Calibri" w:eastAsia="Calibri" w:hAnsi="Calibri" w:cs="Calibri"/>
        </w:rPr>
        <w:t>n the issues many years ago</w:t>
      </w:r>
      <w:r>
        <w:rPr>
          <w:rFonts w:ascii="Calibri" w:eastAsia="Calibri" w:hAnsi="Calibri" w:cs="Calibri"/>
        </w:rPr>
        <w:t>.</w:t>
      </w:r>
      <w:r w:rsidRPr="00C1286B">
        <w:rPr>
          <w:rFonts w:ascii="Calibri" w:eastAsia="Calibri" w:hAnsi="Calibri" w:cs="Calibri"/>
          <w:vertAlign w:val="superscript"/>
        </w:rPr>
        <w:endnoteReference w:id="15"/>
      </w:r>
    </w:p>
    <w:p w14:paraId="6ED01D62" w14:textId="77777777" w:rsidR="00675C2F" w:rsidRDefault="00675C2F" w:rsidP="00675C2F">
      <w:pPr>
        <w:jc w:val="both"/>
        <w:rPr>
          <w:rFonts w:ascii="Calibri" w:eastAsia="Calibri" w:hAnsi="Calibri" w:cs="Calibri"/>
        </w:rPr>
      </w:pPr>
    </w:p>
    <w:p w14:paraId="4104259F" w14:textId="77777777" w:rsidR="00675C2F" w:rsidRDefault="00675C2F" w:rsidP="00675C2F">
      <w:pPr>
        <w:jc w:val="both"/>
        <w:rPr>
          <w:rFonts w:ascii="Calibri" w:eastAsia="Calibri" w:hAnsi="Calibri" w:cs="Calibri"/>
        </w:rPr>
      </w:pPr>
      <w:r>
        <w:rPr>
          <w:rFonts w:ascii="Calibri" w:eastAsia="Calibri" w:hAnsi="Calibri" w:cs="Calibri"/>
        </w:rPr>
        <w:t>Since the military coup in 2014, drastic funding cuts in the government’s women protection programs resulted in insensitive and inactive responses to gender-based violence cases. The lack of comprehensive protection against gender discrimination coupled with law enforcement institutions discriminating against women highly undermine the efforts to achieve gender equality in the country.</w:t>
      </w:r>
    </w:p>
    <w:p w14:paraId="572429B0" w14:textId="77777777" w:rsidR="00675C2F" w:rsidRDefault="00675C2F" w:rsidP="00675C2F">
      <w:pPr>
        <w:jc w:val="both"/>
        <w:rPr>
          <w:rFonts w:ascii="Calibri" w:eastAsia="Calibri" w:hAnsi="Calibri" w:cs="Calibri"/>
        </w:rPr>
      </w:pPr>
    </w:p>
    <w:p w14:paraId="2160387B" w14:textId="77777777" w:rsidR="00675C2F" w:rsidRDefault="00000000" w:rsidP="00675C2F">
      <w:pPr>
        <w:jc w:val="both"/>
        <w:rPr>
          <w:rFonts w:ascii="Calibri" w:eastAsia="Calibri" w:hAnsi="Calibri" w:cs="Calibri"/>
        </w:rPr>
      </w:pPr>
      <w:r>
        <w:rPr>
          <w:noProof/>
        </w:rPr>
        <w:pict w14:anchorId="4DF63CF7">
          <v:rect id="_x0000_i1031" alt="" style="width:451.3pt;height:.05pt;mso-width-percent:0;mso-height-percent:0;mso-width-percent:0;mso-height-percent:0" o:hralign="center" o:hrstd="t" o:hr="t" fillcolor="#a0a0a0" stroked="f"/>
        </w:pict>
      </w:r>
    </w:p>
    <w:p w14:paraId="03637D9C" w14:textId="77777777" w:rsidR="00675C2F" w:rsidRDefault="00675C2F" w:rsidP="00675C2F">
      <w:pPr>
        <w:pStyle w:val="Heading1"/>
        <w:numPr>
          <w:ilvl w:val="0"/>
          <w:numId w:val="1"/>
        </w:numPr>
        <w:tabs>
          <w:tab w:val="num" w:pos="360"/>
        </w:tabs>
      </w:pPr>
      <w:bookmarkStart w:id="4" w:name="_8n69ct845av7" w:colFirst="0" w:colLast="0"/>
      <w:bookmarkEnd w:id="4"/>
      <w:r>
        <w:t>ARTICLE 3: GUARANTEE OF BASIC HUMAN RIGHTS AND FUNDAMENTAL FREEDOMS</w:t>
      </w:r>
    </w:p>
    <w:p w14:paraId="1AD6829F" w14:textId="77777777" w:rsidR="00675C2F" w:rsidRDefault="00000000" w:rsidP="00675C2F">
      <w:pPr>
        <w:ind w:left="90"/>
        <w:jc w:val="both"/>
        <w:rPr>
          <w:rFonts w:ascii="Calibri" w:eastAsia="Calibri" w:hAnsi="Calibri" w:cs="Calibri"/>
          <w:b/>
          <w:color w:val="FF6D00"/>
          <w:sz w:val="24"/>
          <w:szCs w:val="24"/>
        </w:rPr>
      </w:pPr>
      <w:r>
        <w:rPr>
          <w:noProof/>
        </w:rPr>
        <w:pict w14:anchorId="280273F6">
          <v:rect id="_x0000_i1032" alt="" style="width:442.35pt;height:.05pt;mso-width-percent:0;mso-height-percent:0;mso-width-percent:0;mso-height-percent:0" o:hrpct="990" o:hralign="center" o:hrstd="t" o:hr="t" fillcolor="#a0a0a0" stroked="f"/>
        </w:pict>
      </w:r>
    </w:p>
    <w:p w14:paraId="325DC309" w14:textId="77777777" w:rsidR="00675C2F" w:rsidRDefault="00675C2F" w:rsidP="00675C2F">
      <w:pPr>
        <w:jc w:val="both"/>
        <w:rPr>
          <w:rFonts w:ascii="Calibri" w:eastAsia="Calibri" w:hAnsi="Calibri" w:cs="Calibri"/>
          <w:highlight w:val="white"/>
          <w:vertAlign w:val="superscript"/>
        </w:rPr>
      </w:pPr>
      <w:r>
        <w:rPr>
          <w:rFonts w:ascii="Calibri" w:eastAsia="Calibri" w:hAnsi="Calibri" w:cs="Calibri"/>
        </w:rPr>
        <w:t>T</w:t>
      </w:r>
      <w:r>
        <w:rPr>
          <w:rFonts w:ascii="Calibri" w:eastAsia="Calibri" w:hAnsi="Calibri" w:cs="Calibri"/>
          <w:highlight w:val="white"/>
        </w:rPr>
        <w:t>he legal framework in place to safeguard women’s rights is weak. Gender-based discrimination against women, including marginalized women, is still widespread and generally caused by gender-blind policies or programs.</w:t>
      </w:r>
      <w:r>
        <w:rPr>
          <w:rFonts w:ascii="Calibri" w:eastAsia="Calibri" w:hAnsi="Calibri" w:cs="Calibri"/>
          <w:highlight w:val="white"/>
          <w:vertAlign w:val="superscript"/>
        </w:rPr>
        <w:endnoteReference w:id="16"/>
      </w:r>
      <w:r>
        <w:rPr>
          <w:rFonts w:ascii="Calibri" w:eastAsia="Calibri" w:hAnsi="Calibri" w:cs="Calibri"/>
          <w:highlight w:val="white"/>
        </w:rPr>
        <w:t xml:space="preserve"> </w:t>
      </w:r>
      <w:r>
        <w:rPr>
          <w:rFonts w:ascii="Calibri" w:eastAsia="Calibri" w:hAnsi="Calibri" w:cs="Calibri"/>
        </w:rPr>
        <w:t xml:space="preserve">National machineries that address gender equality include </w:t>
      </w:r>
      <w:r>
        <w:rPr>
          <w:rFonts w:ascii="Calibri" w:eastAsia="Calibri" w:hAnsi="Calibri" w:cs="Calibri"/>
          <w:highlight w:val="white"/>
        </w:rPr>
        <w:t xml:space="preserve">the </w:t>
      </w:r>
      <w:proofErr w:type="spellStart"/>
      <w:r>
        <w:rPr>
          <w:rFonts w:ascii="Calibri" w:eastAsia="Calibri" w:hAnsi="Calibri" w:cs="Calibri"/>
        </w:rPr>
        <w:t>The</w:t>
      </w:r>
      <w:proofErr w:type="spellEnd"/>
      <w:r>
        <w:rPr>
          <w:rFonts w:ascii="Calibri" w:eastAsia="Calibri" w:hAnsi="Calibri" w:cs="Calibri"/>
        </w:rPr>
        <w:t xml:space="preserve"> </w:t>
      </w:r>
      <w:r>
        <w:rPr>
          <w:rFonts w:ascii="Calibri" w:eastAsia="Calibri" w:hAnsi="Calibri" w:cs="Calibri"/>
          <w:highlight w:val="white"/>
        </w:rPr>
        <w:t>National Commission on Women's Affairs (1989),</w:t>
      </w:r>
      <w:r>
        <w:rPr>
          <w:rFonts w:ascii="Calibri" w:eastAsia="Calibri" w:hAnsi="Calibri" w:cs="Calibri"/>
          <w:highlight w:val="white"/>
          <w:vertAlign w:val="superscript"/>
        </w:rPr>
        <w:endnoteReference w:id="17"/>
      </w:r>
      <w:r>
        <w:rPr>
          <w:rFonts w:ascii="Calibri" w:eastAsia="Calibri" w:hAnsi="Calibri" w:cs="Calibri"/>
          <w:highlight w:val="white"/>
        </w:rPr>
        <w:t xml:space="preserve"> and the Office of Women's Affairs and Family Development (2015).</w:t>
      </w:r>
      <w:r>
        <w:rPr>
          <w:rFonts w:ascii="Calibri" w:eastAsia="Calibri" w:hAnsi="Calibri" w:cs="Calibri"/>
          <w:highlight w:val="white"/>
          <w:vertAlign w:val="superscript"/>
        </w:rPr>
        <w:endnoteReference w:id="18"/>
      </w:r>
    </w:p>
    <w:p w14:paraId="52100FBA" w14:textId="77777777" w:rsidR="00675C2F" w:rsidRDefault="00675C2F" w:rsidP="00675C2F">
      <w:pPr>
        <w:jc w:val="both"/>
        <w:rPr>
          <w:rFonts w:ascii="Calibri" w:eastAsia="Calibri" w:hAnsi="Calibri" w:cs="Calibri"/>
          <w:highlight w:val="white"/>
          <w:vertAlign w:val="superscript"/>
        </w:rPr>
      </w:pPr>
    </w:p>
    <w:p w14:paraId="4D383C25" w14:textId="77777777" w:rsidR="00675C2F" w:rsidRDefault="00675C2F" w:rsidP="00675C2F">
      <w:pPr>
        <w:jc w:val="both"/>
        <w:rPr>
          <w:rFonts w:ascii="Calibri" w:eastAsia="Calibri" w:hAnsi="Calibri" w:cs="Calibri"/>
        </w:rPr>
      </w:pPr>
      <w:r>
        <w:rPr>
          <w:rFonts w:ascii="Calibri" w:eastAsia="Calibri" w:hAnsi="Calibri" w:cs="Calibri"/>
        </w:rPr>
        <w:t>The 12th National Economic and Social Development Plan (2017-2021) contains provisions to create a just society and reduce inequalities.</w:t>
      </w:r>
      <w:r>
        <w:rPr>
          <w:rFonts w:ascii="Calibri" w:eastAsia="Calibri" w:hAnsi="Calibri" w:cs="Calibri"/>
          <w:vertAlign w:val="superscript"/>
        </w:rPr>
        <w:endnoteReference w:id="19"/>
      </w:r>
      <w:r>
        <w:rPr>
          <w:rFonts w:ascii="Calibri" w:eastAsia="Calibri" w:hAnsi="Calibri" w:cs="Calibri"/>
        </w:rPr>
        <w:t xml:space="preserve"> Throughout the document, women’s struggles are equated to those of the elderly and people with disabilities, groups which are tied together under the umbrella of the “disadvantaged group”, as a homogenous group, when it is far from being one. The Thai government takes a top-down approach which fails to address the needs of diverse heterogeneous groups</w:t>
      </w:r>
      <w:r>
        <w:rPr>
          <w:rFonts w:ascii="Calibri" w:eastAsia="Calibri" w:hAnsi="Calibri" w:cs="Calibri"/>
          <w:vertAlign w:val="superscript"/>
        </w:rPr>
        <w:endnoteReference w:id="20"/>
      </w:r>
      <w:r>
        <w:rPr>
          <w:rFonts w:ascii="Calibri" w:eastAsia="Calibri" w:hAnsi="Calibri" w:cs="Calibri"/>
        </w:rPr>
        <w:t xml:space="preserve"> and completely omits to apply a much-needed gendered lens that could help better understand and address gendered discriminations that put women at a disadvantage. No specific women’s development plan is set and women, especially those from indigenous or ethnic backgrounds are excluded from key decision-making processes.</w:t>
      </w:r>
      <w:r>
        <w:rPr>
          <w:rFonts w:ascii="Calibri" w:eastAsia="Calibri" w:hAnsi="Calibri" w:cs="Calibri"/>
          <w:vertAlign w:val="superscript"/>
        </w:rPr>
        <w:endnoteReference w:id="21"/>
      </w:r>
    </w:p>
    <w:p w14:paraId="01682EA9" w14:textId="77777777" w:rsidR="00675C2F" w:rsidRDefault="00675C2F" w:rsidP="00675C2F">
      <w:pPr>
        <w:jc w:val="both"/>
        <w:rPr>
          <w:rFonts w:ascii="Calibri" w:eastAsia="Calibri" w:hAnsi="Calibri" w:cs="Calibri"/>
          <w:highlight w:val="white"/>
        </w:rPr>
      </w:pPr>
      <w:r>
        <w:rPr>
          <w:rFonts w:ascii="Calibri" w:eastAsia="Calibri" w:hAnsi="Calibri" w:cs="Calibri"/>
          <w:shd w:val="clear" w:color="auto" w:fill="C9DAF8"/>
        </w:rPr>
        <w:br/>
      </w:r>
      <w:r>
        <w:rPr>
          <w:rFonts w:ascii="Calibri" w:eastAsia="Calibri" w:hAnsi="Calibri" w:cs="Calibri"/>
          <w:highlight w:val="white"/>
        </w:rPr>
        <w:t xml:space="preserve">The National Action Plan (NAP) on Business and Human Rights (BHR) fails to include an effective gender lens, and only sees women as victims of human rights violations, and not rights holders. Additionally, it does not properly address discrimination faced by marginalized groups and ignores the </w:t>
      </w:r>
      <w:r>
        <w:rPr>
          <w:rFonts w:ascii="Calibri" w:eastAsia="Calibri" w:hAnsi="Calibri" w:cs="Calibri"/>
          <w:highlight w:val="white"/>
        </w:rPr>
        <w:lastRenderedPageBreak/>
        <w:t>plight of WHRDs, failing to guarantee appropriate protections and remedies against the infringement of their rights.</w:t>
      </w:r>
      <w:r>
        <w:rPr>
          <w:rFonts w:ascii="Calibri" w:eastAsia="Calibri" w:hAnsi="Calibri" w:cs="Calibri"/>
          <w:highlight w:val="white"/>
          <w:vertAlign w:val="superscript"/>
        </w:rPr>
        <w:endnoteReference w:id="22"/>
      </w:r>
    </w:p>
    <w:p w14:paraId="14D2CD5C" w14:textId="77777777" w:rsidR="00675C2F" w:rsidRDefault="00675C2F" w:rsidP="00675C2F">
      <w:pPr>
        <w:jc w:val="both"/>
        <w:rPr>
          <w:rFonts w:ascii="Calibri" w:eastAsia="Calibri" w:hAnsi="Calibri" w:cs="Calibri"/>
          <w:color w:val="1D1C1D"/>
          <w:highlight w:val="white"/>
        </w:rPr>
      </w:pPr>
    </w:p>
    <w:p w14:paraId="761CEC3B" w14:textId="77777777" w:rsidR="00675C2F" w:rsidRDefault="00675C2F" w:rsidP="00675C2F">
      <w:pPr>
        <w:jc w:val="both"/>
        <w:rPr>
          <w:rFonts w:ascii="Calibri" w:eastAsia="Calibri" w:hAnsi="Calibri" w:cs="Calibri"/>
          <w:highlight w:val="yellow"/>
        </w:rPr>
      </w:pPr>
      <w:r>
        <w:rPr>
          <w:rFonts w:ascii="Calibri" w:eastAsia="Calibri" w:hAnsi="Calibri" w:cs="Calibri"/>
          <w:highlight w:val="white"/>
        </w:rPr>
        <w:t xml:space="preserve">Owing to the fact that </w:t>
      </w:r>
      <w:r>
        <w:rPr>
          <w:rFonts w:ascii="Calibri" w:eastAsia="Calibri" w:hAnsi="Calibri" w:cs="Calibri"/>
        </w:rPr>
        <w:t xml:space="preserve">gender-based discrimination is permitted if it serves religious principles, </w:t>
      </w:r>
      <w:r>
        <w:rPr>
          <w:rFonts w:ascii="Calibri" w:eastAsia="Calibri" w:hAnsi="Calibri" w:cs="Calibri"/>
          <w:b/>
        </w:rPr>
        <w:t>Malay Muslim women</w:t>
      </w:r>
      <w:r>
        <w:rPr>
          <w:rFonts w:ascii="Calibri" w:eastAsia="Calibri" w:hAnsi="Calibri" w:cs="Calibri"/>
        </w:rPr>
        <w:t xml:space="preserve"> are negatively affected. The adoption of a multicultural jurisprudence and justice system, coupled with discriminatory practices, makes it difficult for women to access their rights and fundamental freedoms. The SPBs are governed by the Islamic Family and Inheritance Law of 1946,</w:t>
      </w:r>
      <w:r>
        <w:rPr>
          <w:rFonts w:ascii="Calibri" w:eastAsia="Calibri" w:hAnsi="Calibri" w:cs="Calibri"/>
          <w:vertAlign w:val="superscript"/>
        </w:rPr>
        <w:endnoteReference w:id="23"/>
      </w:r>
      <w:r>
        <w:rPr>
          <w:rFonts w:ascii="Calibri" w:eastAsia="Calibri" w:hAnsi="Calibri" w:cs="Calibri"/>
        </w:rPr>
        <w:t xml:space="preserve"> a law that provides decision-making power to men and is applied in an inconsistent manner, often discriminating against women’s rights, for example in cases of divorce, polygamy, and spousal violence. On the other hand, </w:t>
      </w:r>
      <w:r>
        <w:rPr>
          <w:rFonts w:ascii="Calibri" w:eastAsia="Calibri" w:hAnsi="Calibri" w:cs="Calibri"/>
          <w:b/>
        </w:rPr>
        <w:t>Malay Muslim women with disabilities</w:t>
      </w:r>
      <w:r>
        <w:rPr>
          <w:rFonts w:ascii="Calibri" w:eastAsia="Calibri" w:hAnsi="Calibri" w:cs="Calibri"/>
        </w:rPr>
        <w:t xml:space="preserve"> are particularly vulnerable, owing to multiple and intersecting discrimination on the basis of gender, ethnicity, language, religion, and disability. Although Thailand has taken steps to address the situation of Malay women in the SBPs,</w:t>
      </w:r>
      <w:r>
        <w:rPr>
          <w:rFonts w:ascii="Calibri" w:eastAsia="Calibri" w:hAnsi="Calibri" w:cs="Calibri"/>
          <w:vertAlign w:val="superscript"/>
        </w:rPr>
        <w:endnoteReference w:id="24"/>
      </w:r>
      <w:r>
        <w:rPr>
          <w:rFonts w:ascii="Calibri" w:eastAsia="Calibri" w:hAnsi="Calibri" w:cs="Calibri"/>
        </w:rPr>
        <w:t xml:space="preserve"> there is little evidence that Malay Muslim women with disabilities are included or considered as part of these initiatives. Sexual violence against them is pervasive, yet significantly under-reported. Barriers to protection and recourse to justice are furthered by inaccessibility of the justice system for women with disabilities and lack of government assistance. They are often treated as if they have no control or should have no control over their sexual and reproductive rights. Sterilization without informed consent is frequently employed by families as a tactic to ostensibly dissuade sexual abuse and potential pregnancies in women with disabilities.</w:t>
      </w:r>
      <w:r>
        <w:rPr>
          <w:rFonts w:ascii="Calibri" w:eastAsia="Calibri" w:hAnsi="Calibri" w:cs="Calibri"/>
          <w:vertAlign w:val="superscript"/>
        </w:rPr>
        <w:endnoteReference w:id="25"/>
      </w:r>
    </w:p>
    <w:p w14:paraId="4E9F8669" w14:textId="77777777" w:rsidR="00675C2F" w:rsidRDefault="00675C2F" w:rsidP="00675C2F">
      <w:pPr>
        <w:jc w:val="both"/>
        <w:rPr>
          <w:rFonts w:ascii="Calibri" w:eastAsia="Calibri" w:hAnsi="Calibri" w:cs="Calibri"/>
          <w:highlight w:val="yellow"/>
        </w:rPr>
      </w:pPr>
    </w:p>
    <w:p w14:paraId="58F44CD3" w14:textId="77777777" w:rsidR="00675C2F" w:rsidRPr="00C1286B" w:rsidRDefault="00675C2F" w:rsidP="00675C2F">
      <w:pPr>
        <w:jc w:val="both"/>
        <w:rPr>
          <w:rFonts w:ascii="Calibri" w:eastAsia="Calibri" w:hAnsi="Calibri" w:cs="Calibri"/>
        </w:rPr>
      </w:pPr>
      <w:r>
        <w:rPr>
          <w:rFonts w:ascii="Calibri" w:eastAsia="Calibri" w:hAnsi="Calibri" w:cs="Calibri"/>
          <w:b/>
        </w:rPr>
        <w:t>Indigenous women</w:t>
      </w:r>
      <w:r>
        <w:rPr>
          <w:rFonts w:ascii="Calibri" w:eastAsia="Calibri" w:hAnsi="Calibri" w:cs="Calibri"/>
        </w:rPr>
        <w:t xml:space="preserve"> are not better off than Malay Muslim women. Apart from</w:t>
      </w:r>
      <w:r>
        <w:rPr>
          <w:rFonts w:ascii="Calibri" w:eastAsia="Calibri" w:hAnsi="Calibri" w:cs="Calibri"/>
          <w:highlight w:val="white"/>
        </w:rPr>
        <w:t xml:space="preserve"> not being afforded the same nationality rights as their male counterparts,</w:t>
      </w:r>
      <w:r>
        <w:rPr>
          <w:rFonts w:ascii="Calibri" w:eastAsia="Calibri" w:hAnsi="Calibri" w:cs="Calibri"/>
          <w:highlight w:val="white"/>
          <w:vertAlign w:val="superscript"/>
        </w:rPr>
        <w:endnoteReference w:id="26"/>
      </w:r>
      <w:r>
        <w:rPr>
          <w:rFonts w:ascii="Calibri" w:eastAsia="Calibri" w:hAnsi="Calibri" w:cs="Calibri"/>
          <w:highlight w:val="white"/>
        </w:rPr>
        <w:t xml:space="preserve"> Indigenous women belonging to more than one category suffer from multiple layers and forms of discrimination on the grounds of indigeneity and gender. To illustrate, indigenous women living with HIV, experience discrimination in all areas of their lives.</w:t>
      </w:r>
      <w:r>
        <w:rPr>
          <w:rFonts w:ascii="Calibri" w:eastAsia="Calibri" w:hAnsi="Calibri" w:cs="Calibri"/>
          <w:highlight w:val="white"/>
          <w:vertAlign w:val="superscript"/>
        </w:rPr>
        <w:endnoteReference w:id="27"/>
      </w:r>
      <w:r>
        <w:rPr>
          <w:rFonts w:ascii="Calibri" w:eastAsia="Calibri" w:hAnsi="Calibri" w:cs="Calibri"/>
          <w:highlight w:val="white"/>
        </w:rPr>
        <w:t xml:space="preserve"> Moreover, the COVID-19 pandemic has adversely affected Indigenous women's lives, as the government’s response has been neither gender responsive nor gender sensitive.</w:t>
      </w:r>
      <w:r>
        <w:rPr>
          <w:rFonts w:ascii="Calibri" w:eastAsia="Calibri" w:hAnsi="Calibri" w:cs="Calibri"/>
          <w:highlight w:val="white"/>
          <w:vertAlign w:val="superscript"/>
        </w:rPr>
        <w:endnoteReference w:id="28"/>
      </w:r>
      <w:r>
        <w:rPr>
          <w:rFonts w:ascii="Calibri" w:eastAsia="Calibri" w:hAnsi="Calibri" w:cs="Calibri"/>
          <w:highlight w:val="white"/>
        </w:rPr>
        <w:t xml:space="preserve"> </w:t>
      </w:r>
      <w:r>
        <w:rPr>
          <w:rFonts w:ascii="Calibri" w:eastAsia="Calibri" w:hAnsi="Calibri" w:cs="Calibri"/>
        </w:rPr>
        <w:t>The information provided by the government on COVID-19 preventative measures and treatment options is only available in Thai and neglectful of the circumstances of Indigenous women. Men alone have had access to it because of their higher level of education, leaving the women to turn to misleading news circulated in their communities.</w:t>
      </w:r>
      <w:r>
        <w:rPr>
          <w:rFonts w:ascii="Calibri" w:eastAsia="Calibri" w:hAnsi="Calibri" w:cs="Calibri"/>
          <w:vertAlign w:val="superscript"/>
        </w:rPr>
        <w:endnoteReference w:id="29"/>
      </w:r>
      <w:r>
        <w:rPr>
          <w:rFonts w:ascii="Calibri" w:eastAsia="Calibri" w:hAnsi="Calibri" w:cs="Calibri"/>
        </w:rPr>
        <w:t xml:space="preserve"> Indigenous </w:t>
      </w:r>
      <w:r w:rsidRPr="00C1286B">
        <w:rPr>
          <w:rFonts w:ascii="Calibri" w:eastAsia="Calibri" w:hAnsi="Calibri" w:cs="Calibri"/>
        </w:rPr>
        <w:t>women’s right to dignity is also breached, as hate speech against them is a widespread phenomenon. The government does little to stop it and, in fact, it encourages the spread of such stereotypes, putting Indigenous peoples at risk of losing their cultural identity. This has an extraordinary negative impact on the process of formulation of laws, programs, and policies that affect them.</w:t>
      </w:r>
    </w:p>
    <w:p w14:paraId="2F341CF6" w14:textId="77777777" w:rsidR="00675C2F" w:rsidRPr="00C1286B" w:rsidRDefault="00675C2F" w:rsidP="00675C2F">
      <w:pPr>
        <w:jc w:val="both"/>
        <w:rPr>
          <w:rFonts w:ascii="Calibri" w:eastAsia="Calibri" w:hAnsi="Calibri" w:cs="Calibri"/>
        </w:rPr>
      </w:pPr>
    </w:p>
    <w:p w14:paraId="7D47C8D4" w14:textId="77777777" w:rsidR="00675C2F" w:rsidRPr="00C1286B" w:rsidRDefault="00675C2F" w:rsidP="00675C2F">
      <w:pPr>
        <w:jc w:val="both"/>
        <w:rPr>
          <w:rFonts w:ascii="Calibri" w:eastAsia="Calibri" w:hAnsi="Calibri" w:cs="Calibri"/>
        </w:rPr>
      </w:pPr>
      <w:r w:rsidRPr="00C1286B">
        <w:rPr>
          <w:rFonts w:ascii="Calibri" w:eastAsia="Calibri" w:hAnsi="Calibri" w:cs="Calibri"/>
        </w:rPr>
        <w:t xml:space="preserve">LGBTIQ+ people experience discrimination, harassment and hostility in many parts of everyday life. For </w:t>
      </w:r>
      <w:r w:rsidRPr="00C1286B">
        <w:rPr>
          <w:rFonts w:ascii="Calibri" w:eastAsia="Calibri" w:hAnsi="Calibri" w:cs="Calibri"/>
          <w:b/>
        </w:rPr>
        <w:t>LGBTIQ+ women</w:t>
      </w:r>
      <w:r w:rsidRPr="00C1286B">
        <w:rPr>
          <w:rFonts w:ascii="Calibri" w:eastAsia="Calibri" w:hAnsi="Calibri" w:cs="Calibri"/>
        </w:rPr>
        <w:t xml:space="preserve"> who are </w:t>
      </w:r>
      <w:r w:rsidRPr="00C1286B">
        <w:rPr>
          <w:rFonts w:ascii="Calibri" w:eastAsia="Calibri" w:hAnsi="Calibri" w:cs="Calibri"/>
          <w:b/>
        </w:rPr>
        <w:t>refugees and migrants</w:t>
      </w:r>
      <w:r w:rsidRPr="00C1286B">
        <w:rPr>
          <w:rFonts w:ascii="Calibri" w:eastAsia="Calibri" w:hAnsi="Calibri" w:cs="Calibri"/>
        </w:rPr>
        <w:t>, the vulnerabilities they face as LGBTIQ+ are compounded by vulnerabilities which stem from their legal status, or absence thereof.</w:t>
      </w:r>
      <w:r w:rsidRPr="00C1286B">
        <w:rPr>
          <w:rFonts w:ascii="Calibri" w:eastAsia="Calibri" w:hAnsi="Calibri" w:cs="Calibri"/>
          <w:vertAlign w:val="superscript"/>
        </w:rPr>
        <w:endnoteReference w:id="30"/>
      </w:r>
      <w:r w:rsidRPr="00C1286B">
        <w:rPr>
          <w:rFonts w:ascii="Calibri" w:eastAsia="Calibri" w:hAnsi="Calibri" w:cs="Calibri"/>
        </w:rPr>
        <w:t xml:space="preserve"> When apprehended, they are likely to be subjected to inadequate vulnerability screenings, nongender-appropriate searches, forced nudity, verbal and psychological abuse, physical and sexual violence, and a general lack of medical treatment. They face harassment and discrimination in detention centers,</w:t>
      </w:r>
      <w:r w:rsidRPr="00C1286B">
        <w:rPr>
          <w:rFonts w:ascii="Calibri" w:eastAsia="Calibri" w:hAnsi="Calibri" w:cs="Calibri"/>
          <w:vertAlign w:val="superscript"/>
        </w:rPr>
        <w:endnoteReference w:id="31"/>
      </w:r>
      <w:r w:rsidRPr="00C1286B">
        <w:rPr>
          <w:rFonts w:ascii="Calibri" w:eastAsia="Calibri" w:hAnsi="Calibri" w:cs="Calibri"/>
        </w:rPr>
        <w:t xml:space="preserve"> being frequently kept in wards that do not correspond to their self-identified gender.</w:t>
      </w:r>
      <w:r w:rsidRPr="00C1286B">
        <w:rPr>
          <w:rFonts w:ascii="Calibri" w:eastAsia="Calibri" w:hAnsi="Calibri" w:cs="Calibri"/>
          <w:vertAlign w:val="superscript"/>
        </w:rPr>
        <w:endnoteReference w:id="32"/>
      </w:r>
      <w:r w:rsidRPr="00C1286B">
        <w:rPr>
          <w:rFonts w:ascii="Calibri" w:eastAsia="Calibri" w:hAnsi="Calibri" w:cs="Calibri"/>
        </w:rPr>
        <w:t xml:space="preserve"> In addition, access to the medical treatment required by them is very limited and hormone replacement therapy and other treatment associated with gender affirming care are prohibited.</w:t>
      </w:r>
      <w:r w:rsidRPr="00C1286B">
        <w:rPr>
          <w:rFonts w:ascii="Calibri" w:eastAsia="Calibri" w:hAnsi="Calibri" w:cs="Calibri"/>
          <w:vertAlign w:val="superscript"/>
        </w:rPr>
        <w:endnoteReference w:id="33"/>
      </w:r>
    </w:p>
    <w:p w14:paraId="45F06773" w14:textId="77777777" w:rsidR="00675C2F" w:rsidRDefault="00675C2F" w:rsidP="00675C2F">
      <w:pPr>
        <w:jc w:val="both"/>
        <w:rPr>
          <w:rFonts w:ascii="Calibri" w:eastAsia="Calibri" w:hAnsi="Calibri" w:cs="Calibri"/>
          <w:highlight w:val="yellow"/>
        </w:rPr>
      </w:pPr>
    </w:p>
    <w:p w14:paraId="32BD7920" w14:textId="77777777" w:rsidR="00675C2F" w:rsidRDefault="00000000" w:rsidP="00675C2F">
      <w:pPr>
        <w:jc w:val="both"/>
        <w:rPr>
          <w:rFonts w:ascii="Calibri" w:eastAsia="Calibri" w:hAnsi="Calibri" w:cs="Calibri"/>
        </w:rPr>
      </w:pPr>
      <w:r>
        <w:rPr>
          <w:noProof/>
        </w:rPr>
        <w:lastRenderedPageBreak/>
        <w:pict w14:anchorId="62699133">
          <v:rect id="_x0000_i1033" alt="" style="width:451.3pt;height:.05pt;mso-width-percent:0;mso-height-percent:0;mso-width-percent:0;mso-height-percent:0" o:hralign="center" o:hrstd="t" o:hr="t" fillcolor="#a0a0a0" stroked="f"/>
        </w:pict>
      </w:r>
    </w:p>
    <w:p w14:paraId="29DC8C01" w14:textId="23FACB2E" w:rsidR="00675C2F" w:rsidRDefault="00675C2F" w:rsidP="00675C2F">
      <w:pPr>
        <w:pStyle w:val="Heading1"/>
        <w:numPr>
          <w:ilvl w:val="0"/>
          <w:numId w:val="1"/>
        </w:numPr>
        <w:tabs>
          <w:tab w:val="num" w:pos="360"/>
        </w:tabs>
        <w:jc w:val="left"/>
      </w:pPr>
      <w:bookmarkStart w:id="5" w:name="_xqpqmh2mt6wu" w:colFirst="0" w:colLast="0"/>
      <w:bookmarkEnd w:id="5"/>
      <w:r>
        <w:t>ARTICLE 4: TEMPORARY SPECIAL MEASURES TO ACHIEVE EQUALITY</w:t>
      </w:r>
      <w:r w:rsidR="00000000">
        <w:rPr>
          <w:noProof/>
        </w:rPr>
        <w:pict w14:anchorId="67516605">
          <v:rect id="_x0000_i1034" alt="" style="width:446.8pt;height:.05pt;mso-width-percent:0;mso-height-percent:0;mso-width-percent:0;mso-height-percent:0" o:hrpct="990" o:hralign="center" o:hrstd="t" o:hr="t" fillcolor="#a0a0a0" stroked="f"/>
        </w:pict>
      </w:r>
    </w:p>
    <w:p w14:paraId="0CF3D1DE" w14:textId="77777777" w:rsidR="00675C2F" w:rsidRDefault="00675C2F" w:rsidP="00675C2F">
      <w:pPr>
        <w:jc w:val="both"/>
        <w:rPr>
          <w:rFonts w:ascii="Calibri" w:eastAsia="Calibri" w:hAnsi="Calibri" w:cs="Calibri"/>
        </w:rPr>
      </w:pPr>
      <w:r>
        <w:rPr>
          <w:rFonts w:ascii="Calibri" w:eastAsia="Calibri" w:hAnsi="Calibri" w:cs="Calibri"/>
        </w:rPr>
        <w:t>No temporary special measures have been adopted to achieve substantive equality of women and men in all areas where women are underrepresented or disadvantaged, in spite of the concluding observations received from the Committee in 2017.</w:t>
      </w:r>
    </w:p>
    <w:p w14:paraId="00C6DA6A" w14:textId="77777777" w:rsidR="00675C2F" w:rsidRDefault="00675C2F" w:rsidP="00675C2F">
      <w:pPr>
        <w:jc w:val="both"/>
        <w:rPr>
          <w:rFonts w:ascii="Calibri" w:eastAsia="Calibri" w:hAnsi="Calibri" w:cs="Calibri"/>
        </w:rPr>
      </w:pPr>
    </w:p>
    <w:p w14:paraId="67B5C0CA" w14:textId="7B36E5E3" w:rsidR="00675C2F" w:rsidRDefault="00000000" w:rsidP="00495CAC">
      <w:pPr>
        <w:pStyle w:val="Heading1"/>
        <w:ind w:left="0" w:firstLine="0"/>
      </w:pPr>
      <w:bookmarkStart w:id="6" w:name="_4apk5gjt3vsi" w:colFirst="0" w:colLast="0"/>
      <w:bookmarkEnd w:id="6"/>
      <w:r>
        <w:rPr>
          <w:noProof/>
        </w:rPr>
        <w:pict w14:anchorId="041E2A35">
          <v:rect id="_x0000_i1035" alt="" style="width:451.3pt;height:.05pt;mso-width-percent:0;mso-height-percent:0;mso-width-percent:0;mso-height-percent:0" o:hralign="center" o:hrstd="t" o:hr="t" fillcolor="#a0a0a0" stroked="f"/>
        </w:pict>
      </w:r>
    </w:p>
    <w:p w14:paraId="42B1ECA3" w14:textId="7F8596EE" w:rsidR="00675C2F" w:rsidRDefault="00675C2F" w:rsidP="00675C2F">
      <w:pPr>
        <w:pStyle w:val="Heading1"/>
        <w:numPr>
          <w:ilvl w:val="0"/>
          <w:numId w:val="1"/>
        </w:numPr>
        <w:tabs>
          <w:tab w:val="num" w:pos="360"/>
        </w:tabs>
        <w:jc w:val="left"/>
      </w:pPr>
      <w:bookmarkStart w:id="7" w:name="_duvwnm63cy5r" w:colFirst="0" w:colLast="0"/>
      <w:bookmarkStart w:id="8" w:name="_x9ckvwd2amkm" w:colFirst="0" w:colLast="0"/>
      <w:bookmarkEnd w:id="7"/>
      <w:bookmarkEnd w:id="8"/>
      <w:r>
        <w:t>ARTICLE 5: SEX ROLES AND STEREOTYPING</w:t>
      </w:r>
      <w:r w:rsidR="00000000">
        <w:rPr>
          <w:noProof/>
        </w:rPr>
        <w:pict w14:anchorId="42FC24C4">
          <v:rect id="_x0000_i1036" alt="" style="width:446.8pt;height:.05pt;mso-width-percent:0;mso-height-percent:0;mso-width-percent:0;mso-height-percent:0" o:hrpct="990" o:hralign="center" o:hrstd="t" o:hr="t" fillcolor="#a0a0a0" stroked="f"/>
        </w:pict>
      </w:r>
    </w:p>
    <w:p w14:paraId="3ECFF3B2" w14:textId="77777777" w:rsidR="00675C2F" w:rsidRDefault="00675C2F" w:rsidP="00675C2F">
      <w:pPr>
        <w:jc w:val="both"/>
        <w:rPr>
          <w:rFonts w:ascii="Calibri" w:eastAsia="Calibri" w:hAnsi="Calibri" w:cs="Calibri"/>
          <w:highlight w:val="yellow"/>
        </w:rPr>
      </w:pPr>
      <w:r>
        <w:rPr>
          <w:rFonts w:ascii="Calibri" w:eastAsia="Calibri" w:hAnsi="Calibri" w:cs="Calibri"/>
        </w:rPr>
        <w:t>Women and girls are often represented in an inferior position to men in terms of roles, functions, duties, and activities. Men are depicted as having leadership and professional roles while women are confined to being wives and mothers, and assuming a minor role in society</w:t>
      </w:r>
      <w:r w:rsidRPr="00C1286B">
        <w:rPr>
          <w:rFonts w:ascii="Calibri" w:eastAsia="Calibri" w:hAnsi="Calibri" w:cs="Calibri"/>
        </w:rPr>
        <w:t>.</w:t>
      </w:r>
      <w:r w:rsidRPr="00C1286B">
        <w:rPr>
          <w:rFonts w:ascii="Calibri" w:eastAsia="Calibri" w:hAnsi="Calibri" w:cs="Calibri"/>
          <w:vertAlign w:val="superscript"/>
        </w:rPr>
        <w:endnoteReference w:id="34"/>
      </w:r>
      <w:r w:rsidRPr="00C1286B">
        <w:rPr>
          <w:rFonts w:ascii="Calibri" w:eastAsia="Calibri" w:hAnsi="Calibri" w:cs="Calibri"/>
        </w:rPr>
        <w:t xml:space="preserve"> For this reason, whether or not they are employed, women are the primary caretakers, and there is generally no fair sharing of household duties.</w:t>
      </w:r>
      <w:r w:rsidRPr="00C1286B">
        <w:rPr>
          <w:rFonts w:ascii="Calibri" w:eastAsia="Calibri" w:hAnsi="Calibri" w:cs="Calibri"/>
          <w:vertAlign w:val="superscript"/>
        </w:rPr>
        <w:endnoteReference w:id="35"/>
      </w:r>
      <w:r w:rsidRPr="00C1286B">
        <w:rPr>
          <w:rFonts w:ascii="Calibri" w:eastAsia="Calibri" w:hAnsi="Calibri" w:cs="Calibri"/>
        </w:rPr>
        <w:t xml:space="preserve"> Having to carry the burden of work both inside and outside the home, women are more likely to experience depression. In addition to their regular jobs, they have to take care of their children and occasionally the elderly. The social and legal systems continue to fail to adequately safeguard women.</w:t>
      </w:r>
      <w:r w:rsidRPr="00C1286B">
        <w:rPr>
          <w:rFonts w:ascii="Calibri" w:eastAsia="Calibri" w:hAnsi="Calibri" w:cs="Calibri"/>
          <w:vertAlign w:val="superscript"/>
        </w:rPr>
        <w:endnoteReference w:id="36"/>
      </w:r>
      <w:r w:rsidRPr="00C1286B">
        <w:rPr>
          <w:rFonts w:ascii="Calibri" w:eastAsia="Calibri" w:hAnsi="Calibri" w:cs="Calibri"/>
        </w:rPr>
        <w:t xml:space="preserve"> </w:t>
      </w:r>
    </w:p>
    <w:p w14:paraId="4AC4BC45" w14:textId="77777777" w:rsidR="00675C2F" w:rsidRDefault="00675C2F" w:rsidP="00675C2F">
      <w:pPr>
        <w:jc w:val="both"/>
        <w:rPr>
          <w:rFonts w:ascii="Calibri" w:eastAsia="Calibri" w:hAnsi="Calibri" w:cs="Calibri"/>
        </w:rPr>
      </w:pPr>
    </w:p>
    <w:p w14:paraId="78777D47" w14:textId="77777777" w:rsidR="00675C2F" w:rsidRDefault="00675C2F" w:rsidP="00675C2F">
      <w:pPr>
        <w:jc w:val="both"/>
        <w:rPr>
          <w:rFonts w:ascii="Calibri" w:eastAsia="Calibri" w:hAnsi="Calibri" w:cs="Calibri"/>
        </w:rPr>
      </w:pPr>
      <w:r>
        <w:rPr>
          <w:rFonts w:ascii="Calibri" w:eastAsia="Calibri" w:hAnsi="Calibri" w:cs="Calibri"/>
        </w:rPr>
        <w:t xml:space="preserve">Due to their vulnerabilities, marginalized women are exposed to further oppression and rights violations. Thailand is noted for being a male-dominated patriarchal society. </w:t>
      </w:r>
      <w:r>
        <w:rPr>
          <w:rFonts w:ascii="Calibri" w:eastAsia="Calibri" w:hAnsi="Calibri" w:cs="Calibri"/>
          <w:b/>
        </w:rPr>
        <w:t>Indigenous women</w:t>
      </w:r>
      <w:r>
        <w:rPr>
          <w:rFonts w:ascii="Calibri" w:eastAsia="Calibri" w:hAnsi="Calibri" w:cs="Calibri"/>
        </w:rPr>
        <w:t xml:space="preserve"> are more vulnerable to gender-based violence due to patriarchal traditions and customs that encourage gender-based discrimination against them. They do not enjoy equal rights as men,</w:t>
      </w:r>
      <w:r>
        <w:rPr>
          <w:rFonts w:ascii="Calibri" w:eastAsia="Calibri" w:hAnsi="Calibri" w:cs="Calibri"/>
          <w:vertAlign w:val="superscript"/>
        </w:rPr>
        <w:endnoteReference w:id="37"/>
      </w:r>
      <w:r>
        <w:rPr>
          <w:rFonts w:ascii="Calibri" w:eastAsia="Calibri" w:hAnsi="Calibri" w:cs="Calibri"/>
        </w:rPr>
        <w:t xml:space="preserve"> and are restricted from making decisions that affect their lives, including but not limited to education, work, marriage, and sexual and reproductive health, and from participating in dispute resolution mechanisms, even when the dispute concerns them.</w:t>
      </w:r>
      <w:r>
        <w:rPr>
          <w:rFonts w:ascii="Calibri" w:eastAsia="Calibri" w:hAnsi="Calibri" w:cs="Calibri"/>
          <w:vertAlign w:val="superscript"/>
        </w:rPr>
        <w:endnoteReference w:id="38"/>
      </w:r>
      <w:r>
        <w:rPr>
          <w:rFonts w:ascii="Calibri" w:eastAsia="Calibri" w:hAnsi="Calibri" w:cs="Calibri"/>
        </w:rPr>
        <w:t xml:space="preserve"> </w:t>
      </w:r>
    </w:p>
    <w:p w14:paraId="1B0E014F" w14:textId="77777777" w:rsidR="00675C2F" w:rsidRDefault="00675C2F" w:rsidP="00675C2F">
      <w:pPr>
        <w:jc w:val="both"/>
        <w:rPr>
          <w:rFonts w:ascii="Calibri" w:eastAsia="Calibri" w:hAnsi="Calibri" w:cs="Calibri"/>
        </w:rPr>
      </w:pPr>
    </w:p>
    <w:p w14:paraId="0354F890" w14:textId="77777777" w:rsidR="00675C2F" w:rsidRDefault="00675C2F" w:rsidP="00675C2F">
      <w:pPr>
        <w:jc w:val="both"/>
        <w:rPr>
          <w:rFonts w:ascii="Calibri" w:eastAsia="Calibri" w:hAnsi="Calibri" w:cs="Calibri"/>
        </w:rPr>
      </w:pPr>
      <w:r>
        <w:rPr>
          <w:rFonts w:ascii="Calibri" w:eastAsia="Calibri" w:hAnsi="Calibri" w:cs="Calibri"/>
        </w:rPr>
        <w:t xml:space="preserve">The Thai government actively promotes prejudice and stereotyping against Indigenous and ethnic groups. </w:t>
      </w:r>
      <w:proofErr w:type="spellStart"/>
      <w:r>
        <w:rPr>
          <w:rFonts w:ascii="Calibri" w:eastAsia="Calibri" w:hAnsi="Calibri" w:cs="Calibri"/>
          <w:b/>
        </w:rPr>
        <w:t>Isaan</w:t>
      </w:r>
      <w:proofErr w:type="spellEnd"/>
      <w:r>
        <w:rPr>
          <w:rFonts w:ascii="Calibri" w:eastAsia="Calibri" w:hAnsi="Calibri" w:cs="Calibri"/>
          <w:b/>
        </w:rPr>
        <w:t xml:space="preserve"> women</w:t>
      </w:r>
      <w:r>
        <w:rPr>
          <w:rFonts w:ascii="Calibri" w:eastAsia="Calibri" w:hAnsi="Calibri" w:cs="Calibri"/>
        </w:rPr>
        <w:t xml:space="preserve"> have been the target of widespread prejudice for decades, and people, including Thai authorities, refer to them as ‘</w:t>
      </w:r>
      <w:proofErr w:type="spellStart"/>
      <w:r>
        <w:rPr>
          <w:rFonts w:ascii="Calibri" w:eastAsia="Calibri" w:hAnsi="Calibri" w:cs="Calibri"/>
        </w:rPr>
        <w:t>mia</w:t>
      </w:r>
      <w:proofErr w:type="spellEnd"/>
      <w:r>
        <w:rPr>
          <w:rFonts w:ascii="Calibri" w:eastAsia="Calibri" w:hAnsi="Calibri" w:cs="Calibri"/>
        </w:rPr>
        <w:t xml:space="preserve"> </w:t>
      </w:r>
      <w:proofErr w:type="spellStart"/>
      <w:r>
        <w:rPr>
          <w:rFonts w:ascii="Calibri" w:eastAsia="Calibri" w:hAnsi="Calibri" w:cs="Calibri"/>
        </w:rPr>
        <w:t>farang</w:t>
      </w:r>
      <w:proofErr w:type="spellEnd"/>
      <w:r>
        <w:rPr>
          <w:rFonts w:ascii="Calibri" w:eastAsia="Calibri" w:hAnsi="Calibri" w:cs="Calibri"/>
        </w:rPr>
        <w:t>’ (white foreigners’ wife).</w:t>
      </w:r>
      <w:r>
        <w:rPr>
          <w:rFonts w:ascii="Calibri" w:eastAsia="Calibri" w:hAnsi="Calibri" w:cs="Calibri"/>
          <w:vertAlign w:val="superscript"/>
        </w:rPr>
        <w:endnoteReference w:id="39"/>
      </w:r>
      <w:r>
        <w:rPr>
          <w:rFonts w:ascii="Calibri" w:eastAsia="Calibri" w:hAnsi="Calibri" w:cs="Calibri"/>
        </w:rPr>
        <w:t xml:space="preserve"> In August 2018, the Ministry of Social Development and Human Security opened an education center for </w:t>
      </w:r>
      <w:proofErr w:type="spellStart"/>
      <w:r>
        <w:rPr>
          <w:rFonts w:ascii="Calibri" w:eastAsia="Calibri" w:hAnsi="Calibri" w:cs="Calibri"/>
        </w:rPr>
        <w:t>Isaan</w:t>
      </w:r>
      <w:proofErr w:type="spellEnd"/>
      <w:r>
        <w:rPr>
          <w:rFonts w:ascii="Calibri" w:eastAsia="Calibri" w:hAnsi="Calibri" w:cs="Calibri"/>
        </w:rPr>
        <w:t xml:space="preserve"> ‘</w:t>
      </w:r>
      <w:proofErr w:type="spellStart"/>
      <w:r>
        <w:rPr>
          <w:rFonts w:ascii="Calibri" w:eastAsia="Calibri" w:hAnsi="Calibri" w:cs="Calibri"/>
        </w:rPr>
        <w:t>mia</w:t>
      </w:r>
      <w:proofErr w:type="spellEnd"/>
      <w:r>
        <w:rPr>
          <w:rFonts w:ascii="Calibri" w:eastAsia="Calibri" w:hAnsi="Calibri" w:cs="Calibri"/>
        </w:rPr>
        <w:t xml:space="preserve"> </w:t>
      </w:r>
      <w:proofErr w:type="spellStart"/>
      <w:r>
        <w:rPr>
          <w:rFonts w:ascii="Calibri" w:eastAsia="Calibri" w:hAnsi="Calibri" w:cs="Calibri"/>
        </w:rPr>
        <w:t>farang</w:t>
      </w:r>
      <w:proofErr w:type="spellEnd"/>
      <w:r>
        <w:rPr>
          <w:rFonts w:ascii="Calibri" w:eastAsia="Calibri" w:hAnsi="Calibri" w:cs="Calibri"/>
        </w:rPr>
        <w:t xml:space="preserve">’ in Khon Kaen, which “especially targets </w:t>
      </w:r>
      <w:proofErr w:type="spellStart"/>
      <w:r>
        <w:rPr>
          <w:rFonts w:ascii="Calibri" w:eastAsia="Calibri" w:hAnsi="Calibri" w:cs="Calibri"/>
        </w:rPr>
        <w:t>Isaan</w:t>
      </w:r>
      <w:proofErr w:type="spellEnd"/>
      <w:r>
        <w:rPr>
          <w:rFonts w:ascii="Calibri" w:eastAsia="Calibri" w:hAnsi="Calibri" w:cs="Calibri"/>
        </w:rPr>
        <w:t xml:space="preserve"> women and girls who do not value studying but like to work in bars and massage parlors instead.”</w:t>
      </w:r>
      <w:r>
        <w:rPr>
          <w:rFonts w:ascii="Calibri" w:eastAsia="Calibri" w:hAnsi="Calibri" w:cs="Calibri"/>
          <w:vertAlign w:val="superscript"/>
        </w:rPr>
        <w:endnoteReference w:id="40"/>
      </w:r>
      <w:r>
        <w:rPr>
          <w:rFonts w:ascii="Calibri" w:eastAsia="Calibri" w:hAnsi="Calibri" w:cs="Calibri"/>
        </w:rPr>
        <w:t xml:space="preserve"> </w:t>
      </w:r>
    </w:p>
    <w:p w14:paraId="6DD05D03" w14:textId="77777777" w:rsidR="00675C2F" w:rsidRDefault="00675C2F" w:rsidP="00675C2F">
      <w:pPr>
        <w:jc w:val="both"/>
        <w:rPr>
          <w:rFonts w:ascii="Calibri" w:eastAsia="Calibri" w:hAnsi="Calibri" w:cs="Calibri"/>
        </w:rPr>
      </w:pPr>
    </w:p>
    <w:p w14:paraId="6D8D3ED7" w14:textId="77777777" w:rsidR="00675C2F" w:rsidRDefault="00675C2F" w:rsidP="00675C2F">
      <w:pPr>
        <w:jc w:val="both"/>
        <w:rPr>
          <w:rFonts w:ascii="Calibri" w:eastAsia="Calibri" w:hAnsi="Calibri" w:cs="Calibri"/>
        </w:rPr>
      </w:pPr>
      <w:r>
        <w:rPr>
          <w:rFonts w:ascii="Calibri" w:eastAsia="Calibri" w:hAnsi="Calibri" w:cs="Calibri"/>
        </w:rPr>
        <w:t xml:space="preserve">Gender-based violence (GBV) is perpetuated by patriarchy, harmful attitudes and assumptions, and reinforced and normalized by laws and institutions. </w:t>
      </w:r>
      <w:r>
        <w:rPr>
          <w:rFonts w:ascii="Calibri" w:eastAsia="Calibri" w:hAnsi="Calibri" w:cs="Calibri"/>
          <w:b/>
        </w:rPr>
        <w:t>Survivors of GBV</w:t>
      </w:r>
      <w:r>
        <w:rPr>
          <w:rFonts w:ascii="Calibri" w:eastAsia="Calibri" w:hAnsi="Calibri" w:cs="Calibri"/>
        </w:rPr>
        <w:t xml:space="preserve"> frequently experience victim-blaming and stigmatization when they speak out or seek justice. Thailand replaced the Domestic Violence Victim Protection Act of 2007 with the Promotion of Development and Protection of Family Institution Act (</w:t>
      </w:r>
      <w:r>
        <w:rPr>
          <w:rFonts w:ascii="Calibri" w:eastAsia="Calibri" w:hAnsi="Calibri" w:cs="Calibri"/>
          <w:color w:val="1D1D23"/>
          <w:highlight w:val="white"/>
        </w:rPr>
        <w:t xml:space="preserve">FDPA) </w:t>
      </w:r>
      <w:r>
        <w:rPr>
          <w:rFonts w:ascii="Calibri" w:eastAsia="Calibri" w:hAnsi="Calibri" w:cs="Calibri"/>
        </w:rPr>
        <w:t>of May 2019.</w:t>
      </w:r>
      <w:r>
        <w:rPr>
          <w:rFonts w:ascii="Calibri" w:eastAsia="Calibri" w:hAnsi="Calibri" w:cs="Calibri"/>
          <w:vertAlign w:val="superscript"/>
        </w:rPr>
        <w:endnoteReference w:id="41"/>
      </w:r>
      <w:r>
        <w:rPr>
          <w:rFonts w:ascii="Calibri" w:eastAsia="Calibri" w:hAnsi="Calibri" w:cs="Calibri"/>
        </w:rPr>
        <w:t xml:space="preserve"> However, the FDPA lacks gendered lens to understand domestic violence as disproportionately affecting women. It prioritizes family institutions over the rights of survivors of domestic violence, with focus given on mediation and reconciliation procedures without prioritizing the best interests of survivors. Such practices go against the human rights norms that safeguard women's legal protection rights and freedom from torture.</w:t>
      </w:r>
      <w:r>
        <w:rPr>
          <w:rFonts w:ascii="Calibri" w:eastAsia="Calibri" w:hAnsi="Calibri" w:cs="Calibri"/>
          <w:vertAlign w:val="superscript"/>
        </w:rPr>
        <w:endnoteReference w:id="42"/>
      </w:r>
      <w:r>
        <w:rPr>
          <w:rFonts w:ascii="Calibri" w:eastAsia="Calibri" w:hAnsi="Calibri" w:cs="Calibri"/>
        </w:rPr>
        <w:t xml:space="preserve"> Moreover, Thai law enforcement institutions discriminate against women. In addition to failing to register all allegations </w:t>
      </w:r>
      <w:r>
        <w:rPr>
          <w:rFonts w:ascii="Calibri" w:eastAsia="Calibri" w:hAnsi="Calibri" w:cs="Calibri"/>
        </w:rPr>
        <w:lastRenderedPageBreak/>
        <w:t>of GBV against women, police frequently mislabel occurrences of gender-based discrimination under other types of discrimination.</w:t>
      </w:r>
      <w:r>
        <w:rPr>
          <w:rFonts w:ascii="Calibri" w:eastAsia="Calibri" w:hAnsi="Calibri" w:cs="Calibri"/>
          <w:vertAlign w:val="superscript"/>
        </w:rPr>
        <w:endnoteReference w:id="43"/>
      </w:r>
      <w:r>
        <w:rPr>
          <w:rFonts w:ascii="Calibri" w:eastAsia="Calibri" w:hAnsi="Calibri" w:cs="Calibri"/>
        </w:rPr>
        <w:t xml:space="preserve"> The matricide case at Bang </w:t>
      </w:r>
      <w:proofErr w:type="spellStart"/>
      <w:r>
        <w:rPr>
          <w:rFonts w:ascii="Calibri" w:eastAsia="Calibri" w:hAnsi="Calibri" w:cs="Calibri"/>
        </w:rPr>
        <w:t>Phrom</w:t>
      </w:r>
      <w:proofErr w:type="spellEnd"/>
      <w:r>
        <w:rPr>
          <w:rFonts w:ascii="Calibri" w:eastAsia="Calibri" w:hAnsi="Calibri" w:cs="Calibri"/>
        </w:rPr>
        <w:t xml:space="preserve"> demonstrates the inaction of the authorities to protect women.</w:t>
      </w:r>
      <w:r>
        <w:rPr>
          <w:rFonts w:ascii="Calibri" w:eastAsia="Calibri" w:hAnsi="Calibri" w:cs="Calibri"/>
          <w:vertAlign w:val="superscript"/>
        </w:rPr>
        <w:endnoteReference w:id="44"/>
      </w:r>
      <w:r>
        <w:rPr>
          <w:rFonts w:ascii="Calibri" w:eastAsia="Calibri" w:hAnsi="Calibri" w:cs="Calibri"/>
        </w:rPr>
        <w:t xml:space="preserve"> The COVID-19 outbreak resulted in an upsurge of GBV against women;</w:t>
      </w:r>
      <w:r>
        <w:rPr>
          <w:rFonts w:ascii="Calibri" w:eastAsia="Calibri" w:hAnsi="Calibri" w:cs="Calibri"/>
          <w:vertAlign w:val="superscript"/>
        </w:rPr>
        <w:endnoteReference w:id="45"/>
      </w:r>
      <w:r>
        <w:rPr>
          <w:rFonts w:ascii="Calibri" w:eastAsia="Calibri" w:hAnsi="Calibri" w:cs="Calibri"/>
        </w:rPr>
        <w:t xml:space="preserve"> yet, survivors of domestic violence and GBV had poor access to services, and survivors of GBV belonging to marginalized groups have been particularly affected. </w:t>
      </w:r>
    </w:p>
    <w:p w14:paraId="5EB0AD86" w14:textId="77777777" w:rsidR="00675C2F" w:rsidRDefault="00675C2F" w:rsidP="00675C2F">
      <w:pPr>
        <w:jc w:val="both"/>
        <w:rPr>
          <w:rFonts w:ascii="Calibri" w:eastAsia="Calibri" w:hAnsi="Calibri" w:cs="Calibri"/>
        </w:rPr>
      </w:pPr>
    </w:p>
    <w:p w14:paraId="3AFDCB6A" w14:textId="77777777" w:rsidR="00675C2F" w:rsidRPr="00C1286B" w:rsidRDefault="00675C2F" w:rsidP="00675C2F">
      <w:pPr>
        <w:jc w:val="both"/>
        <w:rPr>
          <w:rFonts w:ascii="Calibri" w:eastAsia="Calibri" w:hAnsi="Calibri" w:cs="Calibri"/>
        </w:rPr>
      </w:pPr>
      <w:r w:rsidRPr="00C1286B">
        <w:rPr>
          <w:rFonts w:ascii="Calibri" w:eastAsia="Calibri" w:hAnsi="Calibri" w:cs="Calibri"/>
        </w:rPr>
        <w:t>In addition, GBV and hate speech against women, WHRDs, and gender non-conforming activists have increased and even become more commonplace in recent years. Due to their advocacy, they are subjected to very negative comments online and cyberbullying.</w:t>
      </w:r>
      <w:r w:rsidRPr="00C1286B">
        <w:rPr>
          <w:rFonts w:ascii="Calibri" w:eastAsia="Calibri" w:hAnsi="Calibri" w:cs="Calibri"/>
          <w:vertAlign w:val="superscript"/>
        </w:rPr>
        <w:endnoteReference w:id="46"/>
      </w:r>
      <w:r w:rsidRPr="00C1286B">
        <w:rPr>
          <w:rFonts w:ascii="Calibri" w:eastAsia="Calibri" w:hAnsi="Calibri" w:cs="Calibri"/>
        </w:rPr>
        <w:t xml:space="preserve"> For instance, pro-democracy activist P.S. faced gendered backlash on social media for strongly criticizing a pro-military politician. Queer activist S.C. and transgender activist C.N. reported experiencing online attacks aimed at their identities and appearances.</w:t>
      </w:r>
      <w:r w:rsidRPr="00C1286B">
        <w:rPr>
          <w:rFonts w:ascii="Calibri" w:eastAsia="Calibri" w:hAnsi="Calibri" w:cs="Calibri"/>
          <w:vertAlign w:val="superscript"/>
        </w:rPr>
        <w:endnoteReference w:id="47"/>
      </w:r>
      <w:r w:rsidRPr="00C1286B">
        <w:rPr>
          <w:rFonts w:ascii="Calibri" w:eastAsia="Calibri" w:hAnsi="Calibri" w:cs="Calibri"/>
        </w:rPr>
        <w:t xml:space="preserve"> Many other HRDs and activists who are vocal in their work, especially those who use the digital space to advocate and fight for their causes, have faced similar issues. N.C., LGBTIQ+ rights activist for more than 15 years, faced transphobic death threats in February 2021 for assisting a transgender woman seeking justice. Through messages and phone calls, N.C. was warned by the journalist (the man who harassed the woman) to ‘stay out of his business.’ Her mental health was severely affected, as a consequence.</w:t>
      </w:r>
      <w:r w:rsidRPr="00C1286B">
        <w:rPr>
          <w:rFonts w:ascii="Calibri" w:eastAsia="Calibri" w:hAnsi="Calibri" w:cs="Calibri"/>
          <w:vertAlign w:val="superscript"/>
        </w:rPr>
        <w:endnoteReference w:id="48"/>
      </w:r>
      <w:r w:rsidRPr="00C1286B">
        <w:rPr>
          <w:rFonts w:ascii="Calibri" w:eastAsia="Calibri" w:hAnsi="Calibri" w:cs="Calibri"/>
        </w:rPr>
        <w:t xml:space="preserve"> Women belonging to marginalized groups are even more impacted, oftentimes due to lack of knowledge in digital literacy and ICT skills.</w:t>
      </w:r>
      <w:r w:rsidRPr="00C1286B">
        <w:rPr>
          <w:rFonts w:ascii="Calibri" w:eastAsia="Calibri" w:hAnsi="Calibri" w:cs="Calibri"/>
          <w:vertAlign w:val="superscript"/>
        </w:rPr>
        <w:endnoteReference w:id="49"/>
      </w:r>
      <w:r w:rsidRPr="00C1286B">
        <w:rPr>
          <w:rFonts w:ascii="Calibri" w:eastAsia="Calibri" w:hAnsi="Calibri" w:cs="Calibri"/>
        </w:rPr>
        <w:t xml:space="preserve"> The government not only did nothing to prevent the proliferation of hate speech, but was even one of the offenders. The case of WHRDs A.N. and A.H. is emblematic. For exposing officials’ wrongdoing and denouncing human rights violations, they became victims of Thai authorities' smear and disinformation online campaign. Thailand’s Army Information Operation (IO) spread hatred against them, affecting their reputation, dignity and mental health. They submitted a complaint against the Office of the Prime Minister and the Royal Thai Army, involved in the campaign.</w:t>
      </w:r>
      <w:r w:rsidRPr="00C1286B">
        <w:rPr>
          <w:rFonts w:ascii="Calibri" w:eastAsia="Calibri" w:hAnsi="Calibri" w:cs="Calibri"/>
          <w:vertAlign w:val="superscript"/>
        </w:rPr>
        <w:endnoteReference w:id="50"/>
      </w:r>
      <w:r w:rsidRPr="00C1286B">
        <w:rPr>
          <w:rFonts w:ascii="Calibri" w:eastAsia="Calibri" w:hAnsi="Calibri" w:cs="Calibri"/>
        </w:rPr>
        <w:t xml:space="preserve"> The trial is ongoing; the defense witness hearings are set to take place in October and November 2022.</w:t>
      </w:r>
      <w:r w:rsidRPr="00C1286B">
        <w:rPr>
          <w:rFonts w:ascii="Calibri" w:eastAsia="Calibri" w:hAnsi="Calibri" w:cs="Calibri"/>
          <w:vertAlign w:val="superscript"/>
        </w:rPr>
        <w:endnoteReference w:id="51"/>
      </w:r>
    </w:p>
    <w:p w14:paraId="35718444" w14:textId="77777777" w:rsidR="00675C2F" w:rsidRDefault="00675C2F" w:rsidP="00675C2F">
      <w:pPr>
        <w:jc w:val="both"/>
        <w:rPr>
          <w:rFonts w:ascii="Calibri" w:eastAsia="Calibri" w:hAnsi="Calibri" w:cs="Calibri"/>
          <w:color w:val="0B5394"/>
        </w:rPr>
      </w:pPr>
    </w:p>
    <w:p w14:paraId="5EEBE79D" w14:textId="77777777" w:rsidR="00675C2F" w:rsidRDefault="00675C2F" w:rsidP="00675C2F">
      <w:pPr>
        <w:jc w:val="both"/>
        <w:rPr>
          <w:rFonts w:ascii="Calibri" w:eastAsia="Calibri" w:hAnsi="Calibri" w:cs="Calibri"/>
        </w:rPr>
      </w:pPr>
      <w:r>
        <w:rPr>
          <w:rFonts w:ascii="Calibri" w:eastAsia="Calibri" w:hAnsi="Calibri" w:cs="Calibri"/>
        </w:rPr>
        <w:t xml:space="preserve">Lockdowns and border closures have trapped </w:t>
      </w:r>
      <w:r>
        <w:rPr>
          <w:rFonts w:ascii="Calibri" w:eastAsia="Calibri" w:hAnsi="Calibri" w:cs="Calibri"/>
          <w:b/>
        </w:rPr>
        <w:t>migrant women</w:t>
      </w:r>
      <w:r>
        <w:rPr>
          <w:rFonts w:ascii="Calibri" w:eastAsia="Calibri" w:hAnsi="Calibri" w:cs="Calibri"/>
        </w:rPr>
        <w:t xml:space="preserve"> with perpetrators of gender-based violence, with little to no access to support services. There have also been reports of migrants being sexually harassed by their employers under the guise of “closeness” “familiarity” or “intimacy”, with many female migrants not aware that they are facing gender-based violence.</w:t>
      </w:r>
      <w:r>
        <w:rPr>
          <w:rFonts w:ascii="Calibri" w:eastAsia="Calibri" w:hAnsi="Calibri" w:cs="Calibri"/>
          <w:vertAlign w:val="superscript"/>
        </w:rPr>
        <w:endnoteReference w:id="52"/>
      </w:r>
      <w:r>
        <w:rPr>
          <w:rFonts w:ascii="Calibri" w:eastAsia="Calibri" w:hAnsi="Calibri" w:cs="Calibri"/>
        </w:rPr>
        <w:t xml:space="preserve"> Migrant communities are still very much living in a patriarchal environment. Women who are abused are afraid to speak up because they fear being shamed by families and communities.</w:t>
      </w:r>
      <w:r>
        <w:rPr>
          <w:rFonts w:ascii="Calibri" w:eastAsia="Calibri" w:hAnsi="Calibri" w:cs="Calibri"/>
          <w:vertAlign w:val="superscript"/>
        </w:rPr>
        <w:endnoteReference w:id="53"/>
      </w:r>
      <w:r>
        <w:rPr>
          <w:rFonts w:ascii="Calibri" w:eastAsia="Calibri" w:hAnsi="Calibri" w:cs="Calibri"/>
        </w:rPr>
        <w:t xml:space="preserve"> Shelters for survivors of domestic violence only welcome migrants with legal documents.</w:t>
      </w:r>
      <w:r>
        <w:rPr>
          <w:rFonts w:ascii="Calibri" w:eastAsia="Calibri" w:hAnsi="Calibri" w:cs="Calibri"/>
          <w:vertAlign w:val="superscript"/>
        </w:rPr>
        <w:endnoteReference w:id="54"/>
      </w:r>
      <w:r>
        <w:rPr>
          <w:rFonts w:ascii="Calibri" w:eastAsia="Calibri" w:hAnsi="Calibri" w:cs="Calibri"/>
        </w:rPr>
        <w:t xml:space="preserve"> They generally have little, if any, possibilities to seek justice and receive fair compensation.</w:t>
      </w:r>
      <w:r>
        <w:rPr>
          <w:rFonts w:ascii="Calibri" w:eastAsia="Calibri" w:hAnsi="Calibri" w:cs="Calibri"/>
          <w:vertAlign w:val="superscript"/>
        </w:rPr>
        <w:endnoteReference w:id="55"/>
      </w:r>
    </w:p>
    <w:p w14:paraId="1B2153BF" w14:textId="77777777" w:rsidR="00675C2F" w:rsidRDefault="00675C2F" w:rsidP="00675C2F">
      <w:pPr>
        <w:jc w:val="both"/>
        <w:rPr>
          <w:rFonts w:ascii="Calibri" w:eastAsia="Calibri" w:hAnsi="Calibri" w:cs="Calibri"/>
        </w:rPr>
      </w:pPr>
    </w:p>
    <w:p w14:paraId="68967477" w14:textId="77777777" w:rsidR="00675C2F" w:rsidRDefault="00675C2F" w:rsidP="00675C2F">
      <w:pPr>
        <w:jc w:val="both"/>
        <w:rPr>
          <w:rFonts w:ascii="Calibri" w:eastAsia="Calibri" w:hAnsi="Calibri" w:cs="Calibri"/>
        </w:rPr>
      </w:pPr>
      <w:r>
        <w:rPr>
          <w:rFonts w:ascii="Calibri" w:eastAsia="Calibri" w:hAnsi="Calibri" w:cs="Calibri"/>
          <w:b/>
        </w:rPr>
        <w:t>Malay Muslim women</w:t>
      </w:r>
      <w:r>
        <w:rPr>
          <w:rFonts w:ascii="Calibri" w:eastAsia="Calibri" w:hAnsi="Calibri" w:cs="Calibri"/>
        </w:rPr>
        <w:t xml:space="preserve"> in the SPBs also face hardship to report domestic and gender-based violence to the police; when they do so, the police exclusively refer them to Islamic Provincial Council as an issue under the Islamic Family law.</w:t>
      </w:r>
      <w:r>
        <w:rPr>
          <w:rFonts w:ascii="Calibri" w:eastAsia="Calibri" w:hAnsi="Calibri" w:cs="Calibri"/>
          <w:vertAlign w:val="superscript"/>
        </w:rPr>
        <w:endnoteReference w:id="56"/>
      </w:r>
      <w:r>
        <w:rPr>
          <w:rFonts w:ascii="Calibri" w:eastAsia="Calibri" w:hAnsi="Calibri" w:cs="Calibri"/>
        </w:rPr>
        <w:t xml:space="preserve"> Women in the SBPs are generally unaware of the existence of the FDPA as well as the role of the Ministry of Social Development and Human Security in assisting survivors of domestic violence.</w:t>
      </w:r>
      <w:r>
        <w:rPr>
          <w:rFonts w:ascii="Calibri" w:eastAsia="Calibri" w:hAnsi="Calibri" w:cs="Calibri"/>
          <w:vertAlign w:val="superscript"/>
        </w:rPr>
        <w:endnoteReference w:id="57"/>
      </w:r>
      <w:r>
        <w:rPr>
          <w:rFonts w:ascii="Calibri" w:eastAsia="Calibri" w:hAnsi="Calibri" w:cs="Calibri"/>
        </w:rPr>
        <w:t xml:space="preserve"> Neither are they informed of the presence of emergency shelters and where these are situated. Mediations conducted for married couples with domestic issues are overseen and facilitated by religious leaders in their community.</w:t>
      </w:r>
      <w:r>
        <w:rPr>
          <w:rFonts w:ascii="Calibri" w:eastAsia="Calibri" w:hAnsi="Calibri" w:cs="Calibri"/>
          <w:vertAlign w:val="superscript"/>
        </w:rPr>
        <w:endnoteReference w:id="58"/>
      </w:r>
    </w:p>
    <w:p w14:paraId="6EFEEE44" w14:textId="77777777" w:rsidR="00675C2F" w:rsidRDefault="00675C2F" w:rsidP="00675C2F">
      <w:pPr>
        <w:jc w:val="both"/>
        <w:rPr>
          <w:rFonts w:ascii="Calibri" w:eastAsia="Calibri" w:hAnsi="Calibri" w:cs="Calibri"/>
        </w:rPr>
      </w:pPr>
    </w:p>
    <w:p w14:paraId="45079C44" w14:textId="77777777" w:rsidR="00675C2F" w:rsidRDefault="00675C2F" w:rsidP="00675C2F">
      <w:pPr>
        <w:jc w:val="both"/>
        <w:rPr>
          <w:rFonts w:ascii="Calibri" w:eastAsia="Calibri" w:hAnsi="Calibri" w:cs="Calibri"/>
          <w:highlight w:val="yellow"/>
        </w:rPr>
      </w:pPr>
      <w:r>
        <w:rPr>
          <w:rFonts w:ascii="Calibri" w:eastAsia="Calibri" w:hAnsi="Calibri" w:cs="Calibri"/>
        </w:rPr>
        <w:t xml:space="preserve">The media plays an important role in shaping and perpetuating the current climate towards women in Thailand. Indeed, it contributes to the spread of negative stereotypes on ethnic and marginalized </w:t>
      </w:r>
      <w:r>
        <w:rPr>
          <w:rFonts w:ascii="Calibri" w:eastAsia="Calibri" w:hAnsi="Calibri" w:cs="Calibri"/>
        </w:rPr>
        <w:lastRenderedPageBreak/>
        <w:t>groups, without facing any punishment for doing so.</w:t>
      </w:r>
      <w:r>
        <w:rPr>
          <w:rFonts w:ascii="Calibri" w:eastAsia="Calibri" w:hAnsi="Calibri" w:cs="Calibri"/>
          <w:vertAlign w:val="superscript"/>
        </w:rPr>
        <w:endnoteReference w:id="59"/>
      </w:r>
      <w:r>
        <w:rPr>
          <w:rFonts w:ascii="Calibri" w:eastAsia="Calibri" w:hAnsi="Calibri" w:cs="Calibri"/>
        </w:rPr>
        <w:t xml:space="preserve"> Additionally, media misrepresentation or underrepresentation of women, including marginalized women, feed prejudice against them. News stories in the media often do not include the voices of LGBTIQ+ women and represent them in particular ways that harmfully distinguish them from non-LGBTIQ people,</w:t>
      </w:r>
      <w:r>
        <w:rPr>
          <w:rFonts w:ascii="Calibri" w:eastAsia="Calibri" w:hAnsi="Calibri" w:cs="Calibri"/>
          <w:vertAlign w:val="superscript"/>
        </w:rPr>
        <w:endnoteReference w:id="60"/>
      </w:r>
      <w:r>
        <w:rPr>
          <w:rFonts w:ascii="Calibri" w:eastAsia="Calibri" w:hAnsi="Calibri" w:cs="Calibri"/>
        </w:rPr>
        <w:t xml:space="preserve"> whereas </w:t>
      </w:r>
      <w:r>
        <w:rPr>
          <w:rFonts w:ascii="Calibri" w:eastAsia="Calibri" w:hAnsi="Calibri" w:cs="Calibri"/>
          <w:b/>
        </w:rPr>
        <w:t>women migrant workers</w:t>
      </w:r>
      <w:r>
        <w:rPr>
          <w:rFonts w:ascii="Calibri" w:eastAsia="Calibri" w:hAnsi="Calibri" w:cs="Calibri"/>
        </w:rPr>
        <w:t xml:space="preserve"> are stigmatized by xenophobic elements in the media.</w:t>
      </w:r>
      <w:r>
        <w:rPr>
          <w:rFonts w:ascii="Calibri" w:eastAsia="Calibri" w:hAnsi="Calibri" w:cs="Calibri"/>
          <w:vertAlign w:val="superscript"/>
        </w:rPr>
        <w:endnoteReference w:id="61"/>
      </w:r>
      <w:r>
        <w:rPr>
          <w:rFonts w:ascii="Calibri" w:eastAsia="Calibri" w:hAnsi="Calibri" w:cs="Calibri"/>
        </w:rPr>
        <w:t xml:space="preserve">  </w:t>
      </w:r>
    </w:p>
    <w:p w14:paraId="5002B664" w14:textId="77777777" w:rsidR="00675C2F" w:rsidRDefault="00675C2F" w:rsidP="00675C2F">
      <w:pPr>
        <w:jc w:val="both"/>
        <w:rPr>
          <w:rFonts w:ascii="Calibri" w:eastAsia="Calibri" w:hAnsi="Calibri" w:cs="Calibri"/>
          <w:highlight w:val="yellow"/>
        </w:rPr>
      </w:pPr>
    </w:p>
    <w:p w14:paraId="08371E26" w14:textId="76DB54A2" w:rsidR="00675C2F" w:rsidRDefault="00000000" w:rsidP="00675C2F">
      <w:pPr>
        <w:pStyle w:val="Heading1"/>
        <w:ind w:left="0" w:firstLine="0"/>
        <w:jc w:val="left"/>
        <w:rPr>
          <w:sz w:val="28"/>
          <w:szCs w:val="28"/>
        </w:rPr>
      </w:pPr>
      <w:bookmarkStart w:id="9" w:name="_bfmzzqq86am8" w:colFirst="0" w:colLast="0"/>
      <w:bookmarkEnd w:id="9"/>
      <w:r>
        <w:rPr>
          <w:noProof/>
        </w:rPr>
        <w:pict w14:anchorId="49835702">
          <v:rect id="_x0000_i1037" alt="" style="width:451.3pt;height:.05pt;mso-width-percent:0;mso-height-percent:0;mso-width-percent:0;mso-height-percent:0" o:hralign="center" o:hrstd="t" o:hr="t" fillcolor="#a0a0a0" stroked="f"/>
        </w:pict>
      </w:r>
      <w:r w:rsidR="00675C2F">
        <w:rPr>
          <w:sz w:val="28"/>
          <w:szCs w:val="28"/>
        </w:rPr>
        <w:t>RECOMMENDATIONS</w:t>
      </w:r>
      <w:r>
        <w:rPr>
          <w:noProof/>
        </w:rPr>
        <w:pict w14:anchorId="7CCA939E">
          <v:rect id="_x0000_i1038" alt="" style="width:451.3pt;height:.05pt;mso-width-percent:0;mso-height-percent:0;mso-width-percent:0;mso-height-percent:0" o:hralign="center" o:hrstd="t" o:hr="t" fillcolor="#a0a0a0" stroked="f"/>
        </w:pict>
      </w:r>
    </w:p>
    <w:p w14:paraId="458C4A62" w14:textId="77777777" w:rsidR="00675C2F" w:rsidRDefault="00675C2F" w:rsidP="00675C2F">
      <w:pPr>
        <w:rPr>
          <w:rFonts w:ascii="Calibri" w:eastAsia="Calibri" w:hAnsi="Calibri" w:cs="Calibri"/>
          <w:b/>
          <w:sz w:val="24"/>
          <w:szCs w:val="24"/>
        </w:rPr>
      </w:pPr>
    </w:p>
    <w:p w14:paraId="320E5C62" w14:textId="77777777" w:rsidR="00675C2F" w:rsidRDefault="00675C2F" w:rsidP="00675C2F">
      <w:pPr>
        <w:rPr>
          <w:rFonts w:ascii="Calibri" w:eastAsia="Calibri" w:hAnsi="Calibri" w:cs="Calibri"/>
          <w:b/>
          <w:sz w:val="24"/>
          <w:szCs w:val="24"/>
        </w:rPr>
      </w:pPr>
      <w:r>
        <w:rPr>
          <w:rFonts w:ascii="Calibri" w:eastAsia="Calibri" w:hAnsi="Calibri" w:cs="Calibri"/>
          <w:b/>
          <w:sz w:val="24"/>
          <w:szCs w:val="24"/>
        </w:rPr>
        <w:t xml:space="preserve">Article 1: Definition of discrimination </w:t>
      </w:r>
    </w:p>
    <w:p w14:paraId="6BFAD9B7" w14:textId="77777777" w:rsidR="00675C2F" w:rsidRDefault="00675C2F" w:rsidP="00675C2F">
      <w:pPr>
        <w:numPr>
          <w:ilvl w:val="0"/>
          <w:numId w:val="6"/>
        </w:numPr>
        <w:jc w:val="both"/>
        <w:rPr>
          <w:rFonts w:ascii="Calibri" w:eastAsia="Calibri" w:hAnsi="Calibri" w:cs="Calibri"/>
        </w:rPr>
      </w:pPr>
      <w:r>
        <w:rPr>
          <w:rFonts w:ascii="Calibri" w:eastAsia="Calibri" w:hAnsi="Calibri" w:cs="Calibri"/>
        </w:rPr>
        <w:t>Adopt a comprehensive anti-discrimination law that prohibits discrimination on all grounds, including sexual orientation and gender identity, in line with the 2015 Concluding Observations of the Committee on Economic, Social and Cultural Rights to Thailand;</w:t>
      </w:r>
    </w:p>
    <w:p w14:paraId="117F3194" w14:textId="77777777" w:rsidR="00675C2F" w:rsidRDefault="00675C2F" w:rsidP="00675C2F">
      <w:pPr>
        <w:numPr>
          <w:ilvl w:val="0"/>
          <w:numId w:val="6"/>
        </w:numPr>
        <w:jc w:val="both"/>
        <w:rPr>
          <w:rFonts w:ascii="Calibri" w:eastAsia="Calibri" w:hAnsi="Calibri" w:cs="Calibri"/>
        </w:rPr>
      </w:pPr>
      <w:r>
        <w:rPr>
          <w:rFonts w:ascii="Calibri" w:eastAsia="Calibri" w:hAnsi="Calibri" w:cs="Calibri"/>
        </w:rPr>
        <w:t>Amend the 2015 Gender Equality Act to eliminate any limitation on the protection against gender-based discrimination, including gender-harassment and gender-based hate speech and hate crimes, in line with the 2017 Concluding Observations of the Human Rights Committee to Thailand. Intensify measures to ensure LGBTIQ+ women do not suffer from discrimination and violence, can fully exercise their rights to freedom of expression, freedom of peaceful assembly and association and freedom from arbitrary arrests; and guarantee LGBTIQ+ women have access to effective remedy while perpetrators are held into account.</w:t>
      </w:r>
    </w:p>
    <w:p w14:paraId="579DA40D" w14:textId="77777777" w:rsidR="00675C2F" w:rsidRDefault="00675C2F" w:rsidP="00675C2F">
      <w:pPr>
        <w:pStyle w:val="Heading1"/>
        <w:ind w:left="0" w:firstLine="0"/>
      </w:pPr>
      <w:bookmarkStart w:id="10" w:name="_4paydheuz63p" w:colFirst="0" w:colLast="0"/>
      <w:bookmarkEnd w:id="10"/>
    </w:p>
    <w:p w14:paraId="55AB63C8" w14:textId="77777777" w:rsidR="00675C2F" w:rsidRDefault="00675C2F" w:rsidP="00675C2F">
      <w:pPr>
        <w:rPr>
          <w:rFonts w:ascii="Calibri" w:eastAsia="Calibri" w:hAnsi="Calibri" w:cs="Calibri"/>
          <w:b/>
          <w:sz w:val="24"/>
          <w:szCs w:val="24"/>
        </w:rPr>
      </w:pPr>
      <w:r>
        <w:rPr>
          <w:rFonts w:ascii="Calibri" w:eastAsia="Calibri" w:hAnsi="Calibri" w:cs="Calibri"/>
          <w:b/>
          <w:sz w:val="24"/>
          <w:szCs w:val="24"/>
        </w:rPr>
        <w:t>Article 2: Policy measures to be undertaken to eliminate discrimination</w:t>
      </w:r>
    </w:p>
    <w:p w14:paraId="2B1FE06D" w14:textId="77777777" w:rsidR="00675C2F" w:rsidRDefault="00675C2F" w:rsidP="00675C2F">
      <w:pPr>
        <w:numPr>
          <w:ilvl w:val="0"/>
          <w:numId w:val="7"/>
        </w:numPr>
        <w:jc w:val="both"/>
        <w:rPr>
          <w:rFonts w:ascii="Calibri" w:eastAsia="Calibri" w:hAnsi="Calibri" w:cs="Calibri"/>
        </w:rPr>
      </w:pPr>
      <w:r>
        <w:rPr>
          <w:rFonts w:ascii="Calibri" w:eastAsia="Calibri" w:hAnsi="Calibri" w:cs="Calibri"/>
        </w:rPr>
        <w:t>Revise Section 17(2) of the Gender Equality Act to ensure the elimination of exceptions to the prohibition of gender-based discrimination provided thereunder, in line with the 2017 Concluding Observations of the Committee on the Elimination of Discrimination against Women;</w:t>
      </w:r>
    </w:p>
    <w:p w14:paraId="00F1773D" w14:textId="77777777" w:rsidR="00675C2F" w:rsidRDefault="00675C2F" w:rsidP="00675C2F">
      <w:pPr>
        <w:numPr>
          <w:ilvl w:val="0"/>
          <w:numId w:val="7"/>
        </w:numPr>
        <w:jc w:val="both"/>
        <w:rPr>
          <w:rFonts w:ascii="Calibri" w:eastAsia="Calibri" w:hAnsi="Calibri" w:cs="Calibri"/>
        </w:rPr>
      </w:pPr>
      <w:r>
        <w:rPr>
          <w:rFonts w:ascii="Calibri" w:eastAsia="Calibri" w:hAnsi="Calibri" w:cs="Calibri"/>
        </w:rPr>
        <w:t>Create a comprehensive policy and action plan to abolish harmful practices against women and men from all socioeconomic and cultural backgrounds, especially those among traditional communities, to eliminate all forms of patriarchy and gender stereotype which facilitate the discriminatory distinction of roles and responsibilities between men and women;</w:t>
      </w:r>
    </w:p>
    <w:p w14:paraId="4A781722" w14:textId="77777777" w:rsidR="00675C2F" w:rsidRDefault="00675C2F" w:rsidP="00675C2F">
      <w:pPr>
        <w:numPr>
          <w:ilvl w:val="0"/>
          <w:numId w:val="7"/>
        </w:numPr>
        <w:jc w:val="both"/>
        <w:rPr>
          <w:rFonts w:ascii="Calibri" w:eastAsia="Calibri" w:hAnsi="Calibri" w:cs="Calibri"/>
        </w:rPr>
      </w:pPr>
      <w:r>
        <w:rPr>
          <w:rFonts w:ascii="Calibri" w:eastAsia="Calibri" w:hAnsi="Calibri" w:cs="Calibri"/>
        </w:rPr>
        <w:t xml:space="preserve">Ensure the voices of different categories of women and the LGBTIQ+ community are included in the drafting of laws and policy processes; </w:t>
      </w:r>
    </w:p>
    <w:p w14:paraId="7C1C4120" w14:textId="77777777" w:rsidR="00675C2F" w:rsidRDefault="00675C2F" w:rsidP="00675C2F">
      <w:pPr>
        <w:numPr>
          <w:ilvl w:val="0"/>
          <w:numId w:val="7"/>
        </w:numPr>
        <w:jc w:val="both"/>
        <w:rPr>
          <w:rFonts w:ascii="Calibri" w:eastAsia="Calibri" w:hAnsi="Calibri" w:cs="Calibri"/>
        </w:rPr>
      </w:pPr>
      <w:r>
        <w:rPr>
          <w:rFonts w:ascii="Calibri" w:eastAsia="Calibri" w:hAnsi="Calibri" w:cs="Calibri"/>
        </w:rPr>
        <w:t>Revise the Promotion of Development and Protection of Family Institution Act (</w:t>
      </w:r>
      <w:r>
        <w:rPr>
          <w:rFonts w:ascii="Calibri" w:eastAsia="Calibri" w:hAnsi="Calibri" w:cs="Calibri"/>
          <w:color w:val="1D1D23"/>
        </w:rPr>
        <w:t>FDPA)</w:t>
      </w:r>
      <w:r>
        <w:rPr>
          <w:rFonts w:ascii="Calibri" w:eastAsia="Calibri" w:hAnsi="Calibri" w:cs="Calibri"/>
        </w:rPr>
        <w:t xml:space="preserve"> by integrating a survivor-centered approach to domestic violence law and eliminating family-centric policies;</w:t>
      </w:r>
    </w:p>
    <w:p w14:paraId="62FB62C2" w14:textId="77777777" w:rsidR="00675C2F" w:rsidRDefault="00675C2F" w:rsidP="00675C2F">
      <w:pPr>
        <w:numPr>
          <w:ilvl w:val="0"/>
          <w:numId w:val="7"/>
        </w:numPr>
        <w:jc w:val="both"/>
        <w:rPr>
          <w:rFonts w:ascii="Calibri" w:eastAsia="Calibri" w:hAnsi="Calibri" w:cs="Calibri"/>
        </w:rPr>
      </w:pPr>
      <w:r>
        <w:rPr>
          <w:rFonts w:ascii="Calibri" w:eastAsia="Calibri" w:hAnsi="Calibri" w:cs="Calibri"/>
        </w:rPr>
        <w:t>Provide training and capacity building programs for media workers and outlets to enhance understanding in gender-sensitive reporting and refrain from engaging in practices that enable the harmful stereotyping of women;</w:t>
      </w:r>
    </w:p>
    <w:p w14:paraId="61088950" w14:textId="77777777" w:rsidR="00675C2F" w:rsidRDefault="00675C2F" w:rsidP="00675C2F">
      <w:pPr>
        <w:numPr>
          <w:ilvl w:val="0"/>
          <w:numId w:val="7"/>
        </w:numPr>
        <w:jc w:val="both"/>
        <w:rPr>
          <w:rFonts w:ascii="Calibri" w:eastAsia="Calibri" w:hAnsi="Calibri" w:cs="Calibri"/>
        </w:rPr>
      </w:pPr>
      <w:r>
        <w:rPr>
          <w:rFonts w:ascii="Calibri" w:eastAsia="Calibri" w:hAnsi="Calibri" w:cs="Calibri"/>
        </w:rPr>
        <w:t xml:space="preserve">Provide gender-sensitive training and training on CEDAW to government workers at all levels, including the police; Enforce penalties for government officials who discriminate against certain characteristics or do not offer equal services; </w:t>
      </w:r>
    </w:p>
    <w:p w14:paraId="1F889DED" w14:textId="77777777" w:rsidR="00675C2F" w:rsidRDefault="00675C2F" w:rsidP="00675C2F">
      <w:pPr>
        <w:numPr>
          <w:ilvl w:val="0"/>
          <w:numId w:val="7"/>
        </w:numPr>
        <w:jc w:val="both"/>
        <w:rPr>
          <w:rFonts w:ascii="Calibri" w:eastAsia="Calibri" w:hAnsi="Calibri" w:cs="Calibri"/>
        </w:rPr>
      </w:pPr>
      <w:r>
        <w:rPr>
          <w:rFonts w:ascii="Calibri" w:eastAsia="Calibri" w:hAnsi="Calibri" w:cs="Calibri"/>
        </w:rPr>
        <w:t xml:space="preserve">Improve the institutional and legal framework necessary to address gender-based violence cases, including by ensuring adequate access to crisis centers, shelters, and protective </w:t>
      </w:r>
      <w:r>
        <w:rPr>
          <w:rFonts w:ascii="Calibri" w:eastAsia="Calibri" w:hAnsi="Calibri" w:cs="Calibri"/>
        </w:rPr>
        <w:lastRenderedPageBreak/>
        <w:t>measures and grievance mechanisms. Strengthen the capacity of law enforcement authorities to implement existing guidelines applicable to the effective investigation and prosecution of such cases in line with international human rights standards;</w:t>
      </w:r>
    </w:p>
    <w:p w14:paraId="571F5B19" w14:textId="77777777" w:rsidR="00675C2F" w:rsidRDefault="00675C2F" w:rsidP="00675C2F">
      <w:pPr>
        <w:numPr>
          <w:ilvl w:val="0"/>
          <w:numId w:val="7"/>
        </w:numPr>
        <w:jc w:val="both"/>
        <w:rPr>
          <w:rFonts w:ascii="Calibri" w:eastAsia="Calibri" w:hAnsi="Calibri" w:cs="Calibri"/>
        </w:rPr>
      </w:pPr>
      <w:r>
        <w:rPr>
          <w:rFonts w:ascii="Calibri" w:eastAsia="Calibri" w:hAnsi="Calibri" w:cs="Calibri"/>
        </w:rPr>
        <w:t>Set up programs targeted at enhancing women’s access to education, employment and adequate healthcare. Remove barriers to access the same services and benefits for transgender women by developing a specific guideline on the proper identification of LGBTIQ+ persons and the rights they are entitled to, as well as disseminate such guideline to private entities and government agents, and caseworkers;</w:t>
      </w:r>
    </w:p>
    <w:p w14:paraId="68F6AB4A" w14:textId="77777777" w:rsidR="00675C2F" w:rsidRDefault="00675C2F" w:rsidP="00675C2F">
      <w:pPr>
        <w:numPr>
          <w:ilvl w:val="0"/>
          <w:numId w:val="7"/>
        </w:numPr>
        <w:jc w:val="both"/>
        <w:rPr>
          <w:rFonts w:ascii="Calibri" w:eastAsia="Calibri" w:hAnsi="Calibri" w:cs="Calibri"/>
        </w:rPr>
      </w:pPr>
      <w:r>
        <w:rPr>
          <w:rFonts w:ascii="Calibri" w:eastAsia="Calibri" w:hAnsi="Calibri" w:cs="Calibri"/>
        </w:rPr>
        <w:t>Prioritize the implementation of LGBTI-sensitive screening procedures that allow LGBTIQ+ persons to promptly disclose their gender identity in a safe, dignified and confidential manner;</w:t>
      </w:r>
    </w:p>
    <w:p w14:paraId="5A163496" w14:textId="77777777" w:rsidR="00675C2F" w:rsidRDefault="00675C2F" w:rsidP="00675C2F">
      <w:pPr>
        <w:numPr>
          <w:ilvl w:val="0"/>
          <w:numId w:val="7"/>
        </w:numPr>
        <w:jc w:val="both"/>
        <w:rPr>
          <w:rFonts w:ascii="Calibri" w:eastAsia="Calibri" w:hAnsi="Calibri" w:cs="Calibri"/>
        </w:rPr>
      </w:pPr>
      <w:r>
        <w:rPr>
          <w:rFonts w:ascii="Calibri" w:eastAsia="Calibri" w:hAnsi="Calibri" w:cs="Calibri"/>
        </w:rPr>
        <w:t xml:space="preserve">End the immigration detention of LGBTIQ+ persons and explore, develop and implement LGBTI-sensitive alternatives to detention; </w:t>
      </w:r>
    </w:p>
    <w:p w14:paraId="20EC3E41" w14:textId="77777777" w:rsidR="00675C2F" w:rsidRDefault="00675C2F" w:rsidP="00675C2F">
      <w:pPr>
        <w:numPr>
          <w:ilvl w:val="0"/>
          <w:numId w:val="7"/>
        </w:numPr>
        <w:jc w:val="both"/>
        <w:rPr>
          <w:rFonts w:ascii="Calibri" w:eastAsia="Calibri" w:hAnsi="Calibri" w:cs="Calibri"/>
        </w:rPr>
      </w:pPr>
      <w:r>
        <w:rPr>
          <w:rFonts w:ascii="Calibri" w:eastAsia="Calibri" w:hAnsi="Calibri" w:cs="Calibri"/>
        </w:rPr>
        <w:t>The National Human Rights Commission (NHRC) of Thailand should bear the duty and responsibility to educate marginalized or rural communities about their rights, and enact a proactive strategy to raise awareness of gender-based discrimination;</w:t>
      </w:r>
    </w:p>
    <w:p w14:paraId="221CFC56" w14:textId="77777777" w:rsidR="00675C2F" w:rsidRDefault="00675C2F" w:rsidP="00675C2F">
      <w:pPr>
        <w:numPr>
          <w:ilvl w:val="0"/>
          <w:numId w:val="7"/>
        </w:numPr>
        <w:jc w:val="both"/>
        <w:rPr>
          <w:rFonts w:ascii="Calibri" w:eastAsia="Calibri" w:hAnsi="Calibri" w:cs="Calibri"/>
        </w:rPr>
      </w:pPr>
      <w:r>
        <w:rPr>
          <w:rFonts w:ascii="Calibri" w:eastAsia="Calibri" w:hAnsi="Calibri" w:cs="Calibri"/>
        </w:rPr>
        <w:t>Enact mechanisms to properly monitor if CEDAW is being incorporated and install a system of checks and reports to monitor progress;</w:t>
      </w:r>
    </w:p>
    <w:p w14:paraId="4D0935F9" w14:textId="77777777" w:rsidR="00675C2F" w:rsidRDefault="00675C2F" w:rsidP="00675C2F">
      <w:pPr>
        <w:numPr>
          <w:ilvl w:val="0"/>
          <w:numId w:val="7"/>
        </w:numPr>
        <w:jc w:val="both"/>
        <w:rPr>
          <w:rFonts w:ascii="Calibri" w:eastAsia="Calibri" w:hAnsi="Calibri" w:cs="Calibri"/>
        </w:rPr>
      </w:pPr>
      <w:r>
        <w:rPr>
          <w:rFonts w:ascii="Calibri" w:eastAsia="Calibri" w:hAnsi="Calibri" w:cs="Calibri"/>
        </w:rPr>
        <w:t>Explore collaboration opportunities with CSOS all over Thailand and Islamic committees to initiate discussions on gender equality and CEDAW application. Provide a safe space for CSOs to operate in these areas and conduct dialogue with religious organizations;</w:t>
      </w:r>
    </w:p>
    <w:p w14:paraId="75687D47" w14:textId="77777777" w:rsidR="00675C2F" w:rsidRDefault="00675C2F" w:rsidP="00675C2F">
      <w:pPr>
        <w:jc w:val="both"/>
        <w:rPr>
          <w:rFonts w:ascii="Calibri" w:eastAsia="Calibri" w:hAnsi="Calibri" w:cs="Calibri"/>
        </w:rPr>
      </w:pPr>
    </w:p>
    <w:p w14:paraId="449AF53E" w14:textId="77777777" w:rsidR="00675C2F" w:rsidRDefault="00675C2F" w:rsidP="00675C2F">
      <w:pPr>
        <w:rPr>
          <w:rFonts w:ascii="Calibri" w:eastAsia="Calibri" w:hAnsi="Calibri" w:cs="Calibri"/>
          <w:b/>
          <w:sz w:val="24"/>
          <w:szCs w:val="24"/>
        </w:rPr>
      </w:pPr>
      <w:r>
        <w:rPr>
          <w:rFonts w:ascii="Calibri" w:eastAsia="Calibri" w:hAnsi="Calibri" w:cs="Calibri"/>
          <w:b/>
          <w:sz w:val="24"/>
          <w:szCs w:val="24"/>
        </w:rPr>
        <w:t>Article 3: Guarantee of basic human rights and fundamental freedoms</w:t>
      </w:r>
    </w:p>
    <w:p w14:paraId="07BF2D75" w14:textId="77777777" w:rsidR="00675C2F" w:rsidRDefault="00675C2F" w:rsidP="00675C2F">
      <w:pPr>
        <w:numPr>
          <w:ilvl w:val="0"/>
          <w:numId w:val="4"/>
        </w:numPr>
        <w:jc w:val="both"/>
        <w:rPr>
          <w:rFonts w:ascii="Calibri" w:eastAsia="Calibri" w:hAnsi="Calibri" w:cs="Calibri"/>
        </w:rPr>
      </w:pPr>
      <w:r>
        <w:rPr>
          <w:rFonts w:ascii="Calibri" w:eastAsia="Calibri" w:hAnsi="Calibri" w:cs="Calibri"/>
        </w:rPr>
        <w:t>Clearly delineate women’s rights and the development measures guaranteed to women in the 13th National Economic and Social Development Plan for 2023-2027, in addition to setting up the necessary mechanisms at all government levels to effectively implement the terms of the Development Plan;</w:t>
      </w:r>
    </w:p>
    <w:p w14:paraId="4C3FA47D" w14:textId="77777777" w:rsidR="00675C2F" w:rsidRDefault="00675C2F" w:rsidP="00675C2F">
      <w:pPr>
        <w:numPr>
          <w:ilvl w:val="0"/>
          <w:numId w:val="4"/>
        </w:numPr>
        <w:jc w:val="both"/>
        <w:rPr>
          <w:rFonts w:ascii="Calibri" w:eastAsia="Calibri" w:hAnsi="Calibri" w:cs="Calibri"/>
        </w:rPr>
      </w:pPr>
      <w:r>
        <w:rPr>
          <w:rFonts w:ascii="Calibri" w:eastAsia="Calibri" w:hAnsi="Calibri" w:cs="Calibri"/>
        </w:rPr>
        <w:t>Adopt a gender-based approach in its development projects and establish participatory mechanisms to secure the free, prior and informed consent of affected communities, including women belonging to indigenous groups and the LGBTIQ+ spectrum;</w:t>
      </w:r>
    </w:p>
    <w:p w14:paraId="40963816" w14:textId="77777777" w:rsidR="00675C2F" w:rsidRDefault="00675C2F" w:rsidP="00675C2F">
      <w:pPr>
        <w:numPr>
          <w:ilvl w:val="0"/>
          <w:numId w:val="4"/>
        </w:numPr>
        <w:jc w:val="both"/>
        <w:rPr>
          <w:rFonts w:ascii="Calibri" w:eastAsia="Calibri" w:hAnsi="Calibri" w:cs="Calibri"/>
        </w:rPr>
      </w:pPr>
      <w:r>
        <w:rPr>
          <w:rFonts w:ascii="Calibri" w:eastAsia="Calibri" w:hAnsi="Calibri" w:cs="Calibri"/>
        </w:rPr>
        <w:t>Provide proper training for law enforcement officials on CEDAW implementation and enhance collaboration with civil society in identifying the specific needs of communities;</w:t>
      </w:r>
    </w:p>
    <w:p w14:paraId="5DF27450" w14:textId="77777777" w:rsidR="00675C2F" w:rsidRDefault="00675C2F" w:rsidP="00675C2F">
      <w:pPr>
        <w:numPr>
          <w:ilvl w:val="0"/>
          <w:numId w:val="4"/>
        </w:numPr>
        <w:jc w:val="both"/>
        <w:rPr>
          <w:rFonts w:ascii="Calibri" w:eastAsia="Calibri" w:hAnsi="Calibri" w:cs="Calibri"/>
        </w:rPr>
      </w:pPr>
      <w:r>
        <w:rPr>
          <w:rFonts w:ascii="Calibri" w:eastAsia="Calibri" w:hAnsi="Calibri" w:cs="Calibri"/>
        </w:rPr>
        <w:t>Review the Criminal and Civil Procedure Code, as well as create a standalone legislation, to address the issue of judicial harassment of women human rights defenders and members of marginalized groups in the course of defending themselves from harmful corporate activities and development projects;</w:t>
      </w:r>
    </w:p>
    <w:p w14:paraId="3965167A" w14:textId="77777777" w:rsidR="00675C2F" w:rsidRDefault="00675C2F" w:rsidP="00675C2F">
      <w:pPr>
        <w:numPr>
          <w:ilvl w:val="0"/>
          <w:numId w:val="4"/>
        </w:numPr>
        <w:jc w:val="both"/>
        <w:rPr>
          <w:rFonts w:ascii="Calibri" w:eastAsia="Calibri" w:hAnsi="Calibri" w:cs="Calibri"/>
        </w:rPr>
      </w:pPr>
      <w:r>
        <w:rPr>
          <w:rFonts w:ascii="Calibri" w:eastAsia="Calibri" w:hAnsi="Calibri" w:cs="Calibri"/>
        </w:rPr>
        <w:t>Harmonize norms and practices of religious and traditional institutions with state legislation and the Convention, provide capacity building programs and information dissemination sessions with traditional and religious leaders on women’s empowerment and gender-progressive methods of reinforcing their values;</w:t>
      </w:r>
    </w:p>
    <w:p w14:paraId="761C11FF" w14:textId="77777777" w:rsidR="00675C2F" w:rsidRDefault="00675C2F" w:rsidP="00675C2F">
      <w:pPr>
        <w:numPr>
          <w:ilvl w:val="0"/>
          <w:numId w:val="4"/>
        </w:numPr>
        <w:jc w:val="both"/>
        <w:rPr>
          <w:rFonts w:ascii="Calibri" w:eastAsia="Calibri" w:hAnsi="Calibri" w:cs="Calibri"/>
        </w:rPr>
      </w:pPr>
      <w:r>
        <w:rPr>
          <w:rFonts w:ascii="Calibri" w:eastAsia="Calibri" w:hAnsi="Calibri" w:cs="Calibri"/>
        </w:rPr>
        <w:t>Simplify reporting procedure of gender-based violence cases for women from rural and indigenous backgrounds, as well as women with disabilities, and enhance access to ancillary apparatus including psychosocial support, health-testing and legal aid;</w:t>
      </w:r>
    </w:p>
    <w:p w14:paraId="2DEB4F03" w14:textId="77777777" w:rsidR="00675C2F" w:rsidRDefault="00675C2F" w:rsidP="00675C2F">
      <w:pPr>
        <w:numPr>
          <w:ilvl w:val="0"/>
          <w:numId w:val="4"/>
        </w:numPr>
        <w:jc w:val="both"/>
        <w:rPr>
          <w:rFonts w:ascii="Calibri" w:eastAsia="Calibri" w:hAnsi="Calibri" w:cs="Calibri"/>
        </w:rPr>
      </w:pPr>
      <w:r>
        <w:rPr>
          <w:rFonts w:ascii="Calibri" w:eastAsia="Calibri" w:hAnsi="Calibri" w:cs="Calibri"/>
        </w:rPr>
        <w:t xml:space="preserve">Take steps to improve its pandemic response with a gender lens. Set up sufficient healthcare facilities and safehouses for survivors of domestic abuse in rural and marginalized areas. Ensure the provision of educational materials on the pandemic and health protocols in an </w:t>
      </w:r>
      <w:r>
        <w:rPr>
          <w:rFonts w:ascii="Calibri" w:eastAsia="Calibri" w:hAnsi="Calibri" w:cs="Calibri"/>
        </w:rPr>
        <w:lastRenderedPageBreak/>
        <w:t>accessible language and format for women residing in these areas and response communication centers to aid in the dissemination of accurate information to community members and leaders;</w:t>
      </w:r>
    </w:p>
    <w:p w14:paraId="3742E4CE" w14:textId="77777777" w:rsidR="00675C2F" w:rsidRDefault="00675C2F" w:rsidP="00675C2F">
      <w:pPr>
        <w:numPr>
          <w:ilvl w:val="0"/>
          <w:numId w:val="4"/>
        </w:numPr>
        <w:jc w:val="both"/>
        <w:rPr>
          <w:rFonts w:ascii="Calibri" w:eastAsia="Calibri" w:hAnsi="Calibri" w:cs="Calibri"/>
        </w:rPr>
      </w:pPr>
      <w:r>
        <w:rPr>
          <w:rFonts w:ascii="Calibri" w:eastAsia="Calibri" w:hAnsi="Calibri" w:cs="Calibri"/>
        </w:rPr>
        <w:t>When LGBTIQ+ refugees and migrants are put into detention centers, provide access to LGBTI-sensitive medical and authorize treatments associated with gender affirming care, making sure that every transgender detainee can access them.</w:t>
      </w:r>
    </w:p>
    <w:p w14:paraId="1C508DF4" w14:textId="77777777" w:rsidR="00675C2F" w:rsidRDefault="00675C2F" w:rsidP="00675C2F">
      <w:pPr>
        <w:ind w:left="720"/>
        <w:jc w:val="both"/>
        <w:rPr>
          <w:rFonts w:ascii="Calibri" w:eastAsia="Calibri" w:hAnsi="Calibri" w:cs="Calibri"/>
        </w:rPr>
      </w:pPr>
    </w:p>
    <w:p w14:paraId="59627852" w14:textId="77777777" w:rsidR="00675C2F" w:rsidRDefault="00675C2F" w:rsidP="00675C2F">
      <w:pPr>
        <w:ind w:left="90"/>
        <w:rPr>
          <w:rFonts w:ascii="Calibri" w:eastAsia="Calibri" w:hAnsi="Calibri" w:cs="Calibri"/>
          <w:b/>
          <w:sz w:val="24"/>
          <w:szCs w:val="24"/>
        </w:rPr>
      </w:pPr>
      <w:r>
        <w:rPr>
          <w:rFonts w:ascii="Calibri" w:eastAsia="Calibri" w:hAnsi="Calibri" w:cs="Calibri"/>
          <w:b/>
          <w:sz w:val="24"/>
          <w:szCs w:val="24"/>
        </w:rPr>
        <w:t>Article 4: Temporary special measures to achieve equality</w:t>
      </w:r>
    </w:p>
    <w:p w14:paraId="31AEC1D9" w14:textId="77777777" w:rsidR="00675C2F" w:rsidRDefault="00675C2F" w:rsidP="00675C2F">
      <w:pPr>
        <w:numPr>
          <w:ilvl w:val="0"/>
          <w:numId w:val="3"/>
        </w:numPr>
        <w:jc w:val="both"/>
        <w:rPr>
          <w:rFonts w:ascii="Calibri" w:eastAsia="Calibri" w:hAnsi="Calibri" w:cs="Calibri"/>
        </w:rPr>
      </w:pPr>
      <w:r>
        <w:rPr>
          <w:rFonts w:ascii="Calibri" w:eastAsia="Calibri" w:hAnsi="Calibri" w:cs="Calibri"/>
        </w:rPr>
        <w:t>Introduce temporary special measures to accelerate the realization of women’s substantive equality with men in all areas, in particular with regard to women’s participation in decision making bodies, targeting marginalized women.</w:t>
      </w:r>
    </w:p>
    <w:p w14:paraId="184F766E" w14:textId="77777777" w:rsidR="00675C2F" w:rsidRDefault="00675C2F" w:rsidP="00675C2F">
      <w:pPr>
        <w:jc w:val="both"/>
        <w:rPr>
          <w:rFonts w:ascii="Calibri" w:eastAsia="Calibri" w:hAnsi="Calibri" w:cs="Calibri"/>
        </w:rPr>
      </w:pPr>
    </w:p>
    <w:p w14:paraId="3B7F1036" w14:textId="77777777" w:rsidR="00675C2F" w:rsidRDefault="00675C2F" w:rsidP="00675C2F">
      <w:pPr>
        <w:ind w:left="90"/>
        <w:rPr>
          <w:rFonts w:ascii="Calibri" w:eastAsia="Calibri" w:hAnsi="Calibri" w:cs="Calibri"/>
          <w:b/>
          <w:i/>
        </w:rPr>
      </w:pPr>
      <w:r>
        <w:rPr>
          <w:rFonts w:ascii="Calibri" w:eastAsia="Calibri" w:hAnsi="Calibri" w:cs="Calibri"/>
          <w:b/>
          <w:sz w:val="24"/>
          <w:szCs w:val="24"/>
        </w:rPr>
        <w:t>Article 5: Sex roles and stereotyping</w:t>
      </w:r>
    </w:p>
    <w:p w14:paraId="149DAE94" w14:textId="77777777" w:rsidR="00675C2F" w:rsidRDefault="00675C2F" w:rsidP="00675C2F">
      <w:pPr>
        <w:numPr>
          <w:ilvl w:val="0"/>
          <w:numId w:val="5"/>
        </w:numPr>
        <w:jc w:val="both"/>
        <w:rPr>
          <w:rFonts w:ascii="Calibri" w:eastAsia="Calibri" w:hAnsi="Calibri" w:cs="Calibri"/>
        </w:rPr>
      </w:pPr>
      <w:r>
        <w:rPr>
          <w:rFonts w:ascii="Calibri" w:eastAsia="Calibri" w:hAnsi="Calibri" w:cs="Calibri"/>
        </w:rPr>
        <w:t>Adopt a comprehensive strategy with proactive and sustained measures that target women and men at all levels of society, including religious and traditional leaders, to eliminate stereotypes and patriarchal attitudes concerning the roles and responsibilities of women and men in the family and society and harmful practices that are discriminatory to women, in line with section 19 of the Concluding observation on the combined sixth and seventh periodic reports of Thailand of 24 July 2017;</w:t>
      </w:r>
    </w:p>
    <w:p w14:paraId="003F17C5" w14:textId="77777777" w:rsidR="00675C2F" w:rsidRDefault="00675C2F" w:rsidP="00675C2F">
      <w:pPr>
        <w:numPr>
          <w:ilvl w:val="0"/>
          <w:numId w:val="5"/>
        </w:numPr>
        <w:jc w:val="both"/>
        <w:rPr>
          <w:rFonts w:ascii="Calibri" w:eastAsia="Calibri" w:hAnsi="Calibri" w:cs="Calibri"/>
        </w:rPr>
      </w:pPr>
      <w:r>
        <w:rPr>
          <w:rFonts w:ascii="Calibri" w:eastAsia="Calibri" w:hAnsi="Calibri" w:cs="Calibri"/>
        </w:rPr>
        <w:t>Take all appropriate measures to modify the social and cultural patterns of conduct of men towards women, with a view to achieving the elimination of prejudices and customary and all other practices which are based on the idea of the inferiority or the superiority of either of the sexes or on stereotyped roles for men and women;</w:t>
      </w:r>
    </w:p>
    <w:p w14:paraId="0F7F964B" w14:textId="77777777" w:rsidR="00675C2F" w:rsidRDefault="00675C2F" w:rsidP="00675C2F">
      <w:pPr>
        <w:numPr>
          <w:ilvl w:val="0"/>
          <w:numId w:val="5"/>
        </w:numPr>
        <w:jc w:val="both"/>
        <w:rPr>
          <w:rFonts w:ascii="Calibri" w:eastAsia="Calibri" w:hAnsi="Calibri" w:cs="Calibri"/>
        </w:rPr>
      </w:pPr>
      <w:r>
        <w:rPr>
          <w:rFonts w:ascii="Calibri" w:eastAsia="Calibri" w:hAnsi="Calibri" w:cs="Calibri"/>
        </w:rPr>
        <w:t>Take concrete measures to ensure the safety and protection of women survivors subjected to all forms of domestic violence and gender-based violence by increasing the effectiveness of restraining orders as well as criminal offenses against perpetrators. Ensure that survivors of domestic violence have adequate access to shelters, crisis centers, protection orders, as well as legal remedies, instead of reconciliation and mediation;</w:t>
      </w:r>
    </w:p>
    <w:p w14:paraId="2CB577CB" w14:textId="77777777" w:rsidR="00675C2F" w:rsidRPr="00C1286B" w:rsidRDefault="00675C2F" w:rsidP="00675C2F">
      <w:pPr>
        <w:numPr>
          <w:ilvl w:val="0"/>
          <w:numId w:val="5"/>
        </w:numPr>
        <w:jc w:val="both"/>
        <w:rPr>
          <w:rFonts w:ascii="Calibri" w:eastAsia="Calibri" w:hAnsi="Calibri" w:cs="Calibri"/>
        </w:rPr>
      </w:pPr>
      <w:r w:rsidRPr="00C1286B">
        <w:rPr>
          <w:rFonts w:ascii="Calibri" w:eastAsia="Calibri" w:hAnsi="Calibri" w:cs="Calibri"/>
        </w:rPr>
        <w:t xml:space="preserve">Ensure professionally trained and equipped female police officers deal with gender-based and domestic violence cases; Police response to violence against women and girls must be provided with due diligence and must not cause further harm or secondary victimization to survivors; </w:t>
      </w:r>
    </w:p>
    <w:p w14:paraId="48C15F99" w14:textId="77777777" w:rsidR="00675C2F" w:rsidRDefault="00675C2F" w:rsidP="00675C2F">
      <w:pPr>
        <w:numPr>
          <w:ilvl w:val="0"/>
          <w:numId w:val="5"/>
        </w:numPr>
        <w:jc w:val="both"/>
        <w:rPr>
          <w:rFonts w:ascii="Calibri" w:eastAsia="Calibri" w:hAnsi="Calibri" w:cs="Calibri"/>
        </w:rPr>
      </w:pPr>
      <w:r>
        <w:rPr>
          <w:rFonts w:ascii="Calibri" w:eastAsia="Calibri" w:hAnsi="Calibri" w:cs="Calibri"/>
        </w:rPr>
        <w:t>Establish help centers dedicated to women who face gender-based violence;</w:t>
      </w:r>
    </w:p>
    <w:p w14:paraId="3D7D4D1E" w14:textId="77777777" w:rsidR="00675C2F" w:rsidRDefault="00675C2F" w:rsidP="00675C2F">
      <w:pPr>
        <w:numPr>
          <w:ilvl w:val="0"/>
          <w:numId w:val="5"/>
        </w:numPr>
        <w:jc w:val="both"/>
        <w:rPr>
          <w:rFonts w:ascii="Calibri" w:eastAsia="Calibri" w:hAnsi="Calibri" w:cs="Calibri"/>
        </w:rPr>
      </w:pPr>
      <w:r>
        <w:rPr>
          <w:rFonts w:ascii="Calibri" w:eastAsia="Calibri" w:hAnsi="Calibri" w:cs="Calibri"/>
        </w:rPr>
        <w:t>Support awareness-raising programs on gender-based violence for migrant workers so that they can name the violence they experience and report it;</w:t>
      </w:r>
    </w:p>
    <w:p w14:paraId="0B045E41" w14:textId="77777777" w:rsidR="00675C2F" w:rsidRDefault="00675C2F" w:rsidP="00675C2F">
      <w:pPr>
        <w:numPr>
          <w:ilvl w:val="0"/>
          <w:numId w:val="5"/>
        </w:numPr>
        <w:jc w:val="both"/>
        <w:rPr>
          <w:rFonts w:ascii="Calibri" w:eastAsia="Calibri" w:hAnsi="Calibri" w:cs="Calibri"/>
        </w:rPr>
      </w:pPr>
      <w:r>
        <w:rPr>
          <w:rFonts w:ascii="Calibri" w:eastAsia="Calibri" w:hAnsi="Calibri" w:cs="Calibri"/>
        </w:rPr>
        <w:t>Expand assistance to civil society organizations working in gender-based violence issues to enable their work;</w:t>
      </w:r>
    </w:p>
    <w:p w14:paraId="41A09BBC" w14:textId="77777777" w:rsidR="00675C2F" w:rsidRDefault="00675C2F" w:rsidP="00675C2F">
      <w:pPr>
        <w:numPr>
          <w:ilvl w:val="0"/>
          <w:numId w:val="5"/>
        </w:numPr>
        <w:jc w:val="both"/>
        <w:rPr>
          <w:rFonts w:ascii="Calibri" w:eastAsia="Calibri" w:hAnsi="Calibri" w:cs="Calibri"/>
        </w:rPr>
      </w:pPr>
      <w:r>
        <w:rPr>
          <w:rFonts w:ascii="Calibri" w:eastAsia="Calibri" w:hAnsi="Calibri" w:cs="Calibri"/>
        </w:rPr>
        <w:t>Support the adoption of UN resolutions that denounce gender-based violence, and take active steps to ensure their dissemination among communities and effective implementation.</w:t>
      </w:r>
    </w:p>
    <w:p w14:paraId="32EA8EE5" w14:textId="1A9EF69F" w:rsidR="00675C2F" w:rsidRDefault="00675C2F" w:rsidP="00675C2F"/>
    <w:p w14:paraId="5F67EF5A" w14:textId="31563560" w:rsidR="00245C41" w:rsidRDefault="00245C41" w:rsidP="00675C2F"/>
    <w:p w14:paraId="534A6A02" w14:textId="68D1A92A" w:rsidR="00245C41" w:rsidRDefault="00245C41" w:rsidP="00675C2F"/>
    <w:p w14:paraId="4E539350" w14:textId="774742D8" w:rsidR="00245C41" w:rsidRDefault="00245C41" w:rsidP="00675C2F"/>
    <w:p w14:paraId="03DC500F" w14:textId="35F7FF08" w:rsidR="00245C41" w:rsidRDefault="00245C41" w:rsidP="00675C2F"/>
    <w:p w14:paraId="05FF9680" w14:textId="393D4FA4" w:rsidR="00245C41" w:rsidRDefault="00245C41" w:rsidP="00675C2F"/>
    <w:p w14:paraId="002527B0" w14:textId="4E27EF02" w:rsidR="00245C41" w:rsidRPr="005A2CCE" w:rsidRDefault="005A2CCE" w:rsidP="00675C2F">
      <w:pPr>
        <w:rPr>
          <w:rFonts w:asciiTheme="minorHAnsi" w:hAnsiTheme="minorHAnsi" w:cstheme="minorHAnsi"/>
          <w:b/>
          <w:bCs/>
          <w:color w:val="FF6D00"/>
          <w:sz w:val="28"/>
          <w:szCs w:val="28"/>
        </w:rPr>
      </w:pPr>
      <w:r w:rsidRPr="005A2CCE">
        <w:rPr>
          <w:rFonts w:asciiTheme="minorHAnsi" w:hAnsiTheme="minorHAnsi" w:cstheme="minorHAnsi"/>
          <w:b/>
          <w:bCs/>
          <w:color w:val="FF6D00"/>
          <w:sz w:val="28"/>
          <w:szCs w:val="28"/>
        </w:rPr>
        <w:lastRenderedPageBreak/>
        <w:t xml:space="preserve">Annex 1: </w:t>
      </w:r>
      <w:r w:rsidR="00245C41" w:rsidRPr="005A2CCE">
        <w:rPr>
          <w:rFonts w:asciiTheme="minorHAnsi" w:hAnsiTheme="minorHAnsi" w:cstheme="minorHAnsi"/>
          <w:b/>
          <w:bCs/>
          <w:color w:val="FF6D00"/>
          <w:sz w:val="28"/>
          <w:szCs w:val="28"/>
        </w:rPr>
        <w:t>Endnotes</w:t>
      </w:r>
    </w:p>
    <w:sectPr w:rsidR="00245C41" w:rsidRPr="005A2CCE" w:rsidSect="00F85218">
      <w:headerReference w:type="default" r:id="rId10"/>
      <w:footerReference w:type="even" r:id="rId11"/>
      <w:footerReference w:type="default" r:id="rId12"/>
      <w:endnotePr>
        <w:numFmt w:val="decimal"/>
      </w:endnotePr>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290D4" w14:textId="77777777" w:rsidR="00BA018D" w:rsidRDefault="00BA018D" w:rsidP="00675C2F">
      <w:pPr>
        <w:spacing w:line="240" w:lineRule="auto"/>
      </w:pPr>
      <w:r>
        <w:separator/>
      </w:r>
    </w:p>
  </w:endnote>
  <w:endnote w:type="continuationSeparator" w:id="0">
    <w:p w14:paraId="570ED190" w14:textId="77777777" w:rsidR="00BA018D" w:rsidRDefault="00BA018D" w:rsidP="00675C2F">
      <w:pPr>
        <w:spacing w:line="240" w:lineRule="auto"/>
      </w:pPr>
      <w:r>
        <w:continuationSeparator/>
      </w:r>
    </w:p>
  </w:endnote>
  <w:endnote w:id="1">
    <w:p w14:paraId="075DF9B2" w14:textId="77777777" w:rsidR="00675C2F" w:rsidRPr="00245C41" w:rsidRDefault="00675C2F" w:rsidP="00675C2F">
      <w:pPr>
        <w:spacing w:line="240" w:lineRule="auto"/>
        <w:ind w:left="360" w:hanging="360"/>
        <w:rPr>
          <w:rFonts w:asciiTheme="minorHAnsi" w:hAnsiTheme="minorHAnsi" w:cstheme="minorHAnsi"/>
          <w:sz w:val="20"/>
          <w:szCs w:val="20"/>
        </w:rPr>
      </w:pPr>
      <w:r w:rsidRPr="00256030">
        <w:rPr>
          <w:rFonts w:asciiTheme="majorHAnsi" w:hAnsiTheme="majorHAnsi" w:cstheme="majorHAnsi"/>
          <w:vertAlign w:val="superscript"/>
        </w:rPr>
        <w:endnoteRef/>
      </w:r>
      <w:r w:rsidRPr="00256030">
        <w:rPr>
          <w:rFonts w:asciiTheme="majorHAnsi" w:eastAsia="Calibri" w:hAnsiTheme="majorHAnsi" w:cstheme="majorHAnsi"/>
          <w:sz w:val="20"/>
          <w:szCs w:val="20"/>
        </w:rPr>
        <w:t xml:space="preserve"> </w:t>
      </w:r>
      <w:r>
        <w:rPr>
          <w:rFonts w:asciiTheme="majorHAnsi" w:eastAsia="Calibri" w:hAnsiTheme="majorHAnsi" w:cstheme="majorHAnsi"/>
          <w:sz w:val="20"/>
          <w:szCs w:val="20"/>
        </w:rPr>
        <w:tab/>
      </w:r>
      <w:r w:rsidRPr="00245C41">
        <w:rPr>
          <w:rFonts w:asciiTheme="minorHAnsi" w:eastAsia="Calibri" w:hAnsiTheme="minorHAnsi" w:cstheme="minorHAnsi"/>
          <w:sz w:val="20"/>
          <w:szCs w:val="20"/>
        </w:rPr>
        <w:t xml:space="preserve">“The implementation of paragraph one to eliminate the obstacles or to encourage the persons to exercise their rights and freedom as other persons, or for protection of the persons’ safety and welfare, or for the compliance with religious principles, or for the national security shall not be deemed unfair gender discrimination.” Gender Equality Act, B.E. 2558 (2015), available at: </w:t>
      </w:r>
      <w:hyperlink r:id="rId1">
        <w:r w:rsidRPr="00245C41">
          <w:rPr>
            <w:rFonts w:asciiTheme="minorHAnsi" w:eastAsia="Calibri" w:hAnsiTheme="minorHAnsi" w:cstheme="minorHAnsi"/>
            <w:color w:val="1155CC"/>
            <w:sz w:val="20"/>
            <w:szCs w:val="20"/>
            <w:u w:val="single"/>
          </w:rPr>
          <w:t>https://www.ilo.org/dyn/natlex/natlex4.detail?p_lang=en&amp;p_isn=100442&amp;p_country=THA&amp;p_count=441</w:t>
        </w:r>
      </w:hyperlink>
      <w:r w:rsidRPr="00245C41">
        <w:rPr>
          <w:rFonts w:asciiTheme="minorHAnsi" w:hAnsiTheme="minorHAnsi" w:cstheme="minorHAnsi"/>
          <w:sz w:val="20"/>
          <w:szCs w:val="20"/>
        </w:rPr>
        <w:t xml:space="preserve"> </w:t>
      </w:r>
    </w:p>
  </w:endnote>
  <w:endnote w:id="2">
    <w:p w14:paraId="3B40D6A4"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 xml:space="preserve">Manushya Foundation, </w:t>
      </w:r>
      <w:r w:rsidRPr="00245C41">
        <w:rPr>
          <w:rFonts w:asciiTheme="minorHAnsi" w:eastAsia="Calibri" w:hAnsiTheme="minorHAnsi" w:cstheme="minorHAnsi"/>
          <w:i/>
          <w:sz w:val="20"/>
          <w:szCs w:val="20"/>
        </w:rPr>
        <w:t xml:space="preserve">The Rights of Marginalized Women in Thailand: Joint Submission to the UN Universal Periodic Review (UPR) for Thailand's Third UPR Cycle 39th Session of the UPR Working Group, </w:t>
      </w:r>
      <w:r w:rsidRPr="00245C41">
        <w:rPr>
          <w:rFonts w:asciiTheme="minorHAnsi" w:eastAsia="Calibri" w:hAnsiTheme="minorHAnsi" w:cstheme="minorHAnsi"/>
          <w:sz w:val="20"/>
          <w:szCs w:val="20"/>
        </w:rPr>
        <w:t xml:space="preserve">(21 March 2021), available at: </w:t>
      </w:r>
      <w:hyperlink r:id="rId2">
        <w:r w:rsidRPr="00245C41">
          <w:rPr>
            <w:rFonts w:asciiTheme="minorHAnsi" w:eastAsia="Calibri" w:hAnsiTheme="minorHAnsi" w:cstheme="minorHAnsi"/>
            <w:color w:val="1155CC"/>
            <w:sz w:val="20"/>
            <w:szCs w:val="20"/>
            <w:u w:val="single"/>
          </w:rPr>
          <w:t>https://www.manushyafoundation.org/joint-upr-submission-marginalzed</w:t>
        </w:r>
      </w:hyperlink>
      <w:r w:rsidRPr="00245C41">
        <w:rPr>
          <w:rFonts w:asciiTheme="minorHAnsi" w:eastAsia="Calibri" w:hAnsiTheme="minorHAnsi" w:cstheme="minorHAnsi"/>
          <w:sz w:val="20"/>
          <w:szCs w:val="20"/>
        </w:rPr>
        <w:t xml:space="preserve"> </w:t>
      </w:r>
    </w:p>
  </w:endnote>
  <w:endnote w:id="3">
    <w:p w14:paraId="4177152A"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 xml:space="preserve">Manushya Foundation, </w:t>
      </w:r>
      <w:r w:rsidRPr="00245C41">
        <w:rPr>
          <w:rFonts w:asciiTheme="minorHAnsi" w:eastAsia="Calibri" w:hAnsiTheme="minorHAnsi" w:cstheme="minorHAnsi"/>
          <w:i/>
          <w:sz w:val="20"/>
          <w:szCs w:val="20"/>
        </w:rPr>
        <w:t>Sexual Orientation, Gender Identity And Expression, And Sex Characteristics (SOGIESC) Rights In Thailand: Joint Submission To The UN Universal Periodic Review (UPR) For Thailand's Third Upr Cycle, 39th Session Of The UPR Working Group</w:t>
      </w:r>
      <w:r w:rsidRPr="00245C41">
        <w:rPr>
          <w:rFonts w:asciiTheme="minorHAnsi" w:eastAsia="Calibri" w:hAnsiTheme="minorHAnsi" w:cstheme="minorHAnsi"/>
          <w:sz w:val="20"/>
          <w:szCs w:val="20"/>
        </w:rPr>
        <w:t xml:space="preserve">, (25 March 2021), available at: </w:t>
      </w:r>
      <w:hyperlink r:id="rId3">
        <w:r w:rsidRPr="00245C41">
          <w:rPr>
            <w:rFonts w:asciiTheme="minorHAnsi" w:eastAsia="Calibri" w:hAnsiTheme="minorHAnsi" w:cstheme="minorHAnsi"/>
            <w:color w:val="1155CC"/>
            <w:sz w:val="20"/>
            <w:szCs w:val="20"/>
            <w:u w:val="single"/>
          </w:rPr>
          <w:t>https://www.manushyafoundation.org/joint-upr-submission-sogiesc</w:t>
        </w:r>
      </w:hyperlink>
      <w:r w:rsidRPr="00245C41">
        <w:rPr>
          <w:rFonts w:asciiTheme="minorHAnsi" w:eastAsia="Calibri" w:hAnsiTheme="minorHAnsi" w:cstheme="minorHAnsi"/>
          <w:sz w:val="20"/>
          <w:szCs w:val="20"/>
        </w:rPr>
        <w:t xml:space="preserve"> </w:t>
      </w:r>
    </w:p>
  </w:endnote>
  <w:endnote w:id="4">
    <w:p w14:paraId="1073BFF5"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 xml:space="preserve">OHCHR, </w:t>
      </w:r>
      <w:r w:rsidRPr="00245C41">
        <w:rPr>
          <w:rFonts w:asciiTheme="minorHAnsi" w:eastAsia="Calibri" w:hAnsiTheme="minorHAnsi" w:cstheme="minorHAnsi"/>
          <w:i/>
          <w:sz w:val="20"/>
          <w:szCs w:val="20"/>
        </w:rPr>
        <w:t>Concluding observations of the Committee on the Rights of Persons with Disabilities on the initial report of Thailand</w:t>
      </w:r>
      <w:r w:rsidRPr="00245C41">
        <w:rPr>
          <w:rFonts w:asciiTheme="minorHAnsi" w:eastAsia="Calibri" w:hAnsiTheme="minorHAnsi" w:cstheme="minorHAnsi"/>
          <w:sz w:val="20"/>
          <w:szCs w:val="20"/>
        </w:rPr>
        <w:t xml:space="preserve">, (12 May 2016), available at: </w:t>
      </w:r>
      <w:hyperlink r:id="rId4">
        <w:r w:rsidRPr="00245C41">
          <w:rPr>
            <w:rFonts w:asciiTheme="minorHAnsi" w:eastAsia="Calibri" w:hAnsiTheme="minorHAnsi" w:cstheme="minorHAnsi"/>
            <w:color w:val="1155CC"/>
            <w:sz w:val="20"/>
            <w:szCs w:val="20"/>
            <w:u w:val="single"/>
          </w:rPr>
          <w:t>https://www.ohchr.org/en/documents/concluding-observations/crpdcthaco1-concluding-observations-committee-rights-persons</w:t>
        </w:r>
      </w:hyperlink>
      <w:r w:rsidRPr="00245C41">
        <w:rPr>
          <w:rFonts w:asciiTheme="minorHAnsi" w:eastAsia="Calibri" w:hAnsiTheme="minorHAnsi" w:cstheme="minorHAnsi"/>
          <w:sz w:val="20"/>
          <w:szCs w:val="20"/>
        </w:rPr>
        <w:t xml:space="preserve"> </w:t>
      </w:r>
    </w:p>
  </w:endnote>
  <w:endnote w:id="5">
    <w:p w14:paraId="4397C95C"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 xml:space="preserve">Constitution of the Kingdom of Thailand (2017), available at: </w:t>
      </w:r>
      <w:hyperlink r:id="rId5">
        <w:r w:rsidRPr="00245C41">
          <w:rPr>
            <w:rFonts w:asciiTheme="minorHAnsi" w:eastAsia="Calibri" w:hAnsiTheme="minorHAnsi" w:cstheme="minorHAnsi"/>
            <w:color w:val="1155CC"/>
            <w:sz w:val="20"/>
            <w:szCs w:val="20"/>
            <w:u w:val="single"/>
          </w:rPr>
          <w:t>http://www.constitutionalcourt.or.th/occ_en/download/article_20170410173022.pdf</w:t>
        </w:r>
      </w:hyperlink>
      <w:r w:rsidRPr="00245C41">
        <w:rPr>
          <w:rFonts w:asciiTheme="minorHAnsi" w:eastAsia="Calibri" w:hAnsiTheme="minorHAnsi" w:cstheme="minorHAnsi"/>
          <w:sz w:val="20"/>
          <w:szCs w:val="20"/>
        </w:rPr>
        <w:t xml:space="preserve"> </w:t>
      </w:r>
    </w:p>
  </w:endnote>
  <w:endnote w:id="6">
    <w:p w14:paraId="3114A078"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 xml:space="preserve">Manushya Foundation, </w:t>
      </w:r>
      <w:r w:rsidRPr="00245C41">
        <w:rPr>
          <w:rFonts w:asciiTheme="minorHAnsi" w:eastAsia="Calibri" w:hAnsiTheme="minorHAnsi" w:cstheme="minorHAnsi"/>
          <w:i/>
          <w:sz w:val="20"/>
          <w:szCs w:val="20"/>
        </w:rPr>
        <w:t>Joint Civil Society Shadow Report On The Implementation Of ICERD, Replies to the List of Themes CERD/C/THA/Q/4-8 105th CERD session (15 November - 3 December)</w:t>
      </w:r>
      <w:r w:rsidRPr="00245C41">
        <w:rPr>
          <w:rFonts w:asciiTheme="minorHAnsi" w:eastAsia="Calibri" w:hAnsiTheme="minorHAnsi" w:cstheme="minorHAnsi"/>
          <w:sz w:val="20"/>
          <w:szCs w:val="20"/>
        </w:rPr>
        <w:t xml:space="preserve">, (25 October 2021), available at: </w:t>
      </w:r>
    </w:p>
    <w:p w14:paraId="7F5CF175" w14:textId="77777777" w:rsidR="00675C2F" w:rsidRPr="00245C41" w:rsidRDefault="00000000" w:rsidP="00675C2F">
      <w:pPr>
        <w:spacing w:line="240" w:lineRule="auto"/>
        <w:ind w:left="360"/>
        <w:rPr>
          <w:rFonts w:asciiTheme="minorHAnsi" w:eastAsia="Calibri" w:hAnsiTheme="minorHAnsi" w:cstheme="minorHAnsi"/>
          <w:sz w:val="20"/>
          <w:szCs w:val="20"/>
        </w:rPr>
      </w:pPr>
      <w:hyperlink r:id="rId6" w:history="1">
        <w:r w:rsidR="00675C2F" w:rsidRPr="00245C41">
          <w:rPr>
            <w:rStyle w:val="Hyperlink"/>
            <w:rFonts w:asciiTheme="minorHAnsi" w:eastAsia="Calibri" w:hAnsiTheme="minorHAnsi" w:cstheme="minorHAnsi"/>
            <w:sz w:val="20"/>
            <w:szCs w:val="20"/>
          </w:rPr>
          <w:t>https://www.manushyafoundation.org/joint-civil-society-cerd-shadow-report</w:t>
        </w:r>
      </w:hyperlink>
      <w:r w:rsidR="00675C2F" w:rsidRPr="00245C41">
        <w:rPr>
          <w:rFonts w:asciiTheme="minorHAnsi" w:eastAsia="Calibri" w:hAnsiTheme="minorHAnsi" w:cstheme="minorHAnsi"/>
          <w:sz w:val="20"/>
          <w:szCs w:val="20"/>
        </w:rPr>
        <w:t xml:space="preserve">; Manushya Foundation, </w:t>
      </w:r>
      <w:r w:rsidR="00675C2F" w:rsidRPr="00245C41">
        <w:rPr>
          <w:rFonts w:asciiTheme="minorHAnsi" w:eastAsia="Calibri" w:hAnsiTheme="minorHAnsi" w:cstheme="minorHAnsi"/>
          <w:i/>
          <w:sz w:val="20"/>
          <w:szCs w:val="20"/>
        </w:rPr>
        <w:t>Armed Conflicts and the Human Rights Situation in the Southern Border Provinces of Thailand: Thailand's Third Universal Periodic Review Cycle</w:t>
      </w:r>
      <w:r w:rsidR="00675C2F" w:rsidRPr="00245C41">
        <w:rPr>
          <w:rFonts w:asciiTheme="minorHAnsi" w:eastAsia="Calibri" w:hAnsiTheme="minorHAnsi" w:cstheme="minorHAnsi"/>
          <w:sz w:val="20"/>
          <w:szCs w:val="20"/>
        </w:rPr>
        <w:t xml:space="preserve">, ( 9 September 2021), available at: </w:t>
      </w:r>
      <w:hyperlink r:id="rId7">
        <w:r w:rsidR="00675C2F" w:rsidRPr="00245C41">
          <w:rPr>
            <w:rFonts w:asciiTheme="minorHAnsi" w:eastAsia="Calibri" w:hAnsiTheme="minorHAnsi" w:cstheme="minorHAnsi"/>
            <w:color w:val="1155CC"/>
            <w:sz w:val="20"/>
            <w:szCs w:val="20"/>
            <w:u w:val="single"/>
          </w:rPr>
          <w:t>https://www.manushyafoundation.org/thailand-third-upr-cycle-factsheet-armed-conflicts</w:t>
        </w:r>
      </w:hyperlink>
      <w:r w:rsidR="00675C2F" w:rsidRPr="00245C41">
        <w:rPr>
          <w:rFonts w:asciiTheme="minorHAnsi" w:eastAsia="Calibri" w:hAnsiTheme="minorHAnsi" w:cstheme="minorHAnsi"/>
          <w:sz w:val="20"/>
          <w:szCs w:val="20"/>
        </w:rPr>
        <w:t xml:space="preserve">; OHCHR, UN Human Rights Committee, </w:t>
      </w:r>
      <w:r w:rsidR="00675C2F" w:rsidRPr="00245C41">
        <w:rPr>
          <w:rFonts w:asciiTheme="minorHAnsi" w:eastAsia="Calibri" w:hAnsiTheme="minorHAnsi" w:cstheme="minorHAnsi"/>
          <w:i/>
          <w:sz w:val="20"/>
          <w:szCs w:val="20"/>
        </w:rPr>
        <w:t>Concluding observations on the second periodic report of Thailand,</w:t>
      </w:r>
      <w:r w:rsidR="00675C2F" w:rsidRPr="00245C41">
        <w:rPr>
          <w:rFonts w:asciiTheme="minorHAnsi" w:eastAsia="Calibri" w:hAnsiTheme="minorHAnsi" w:cstheme="minorHAnsi"/>
          <w:sz w:val="20"/>
          <w:szCs w:val="20"/>
        </w:rPr>
        <w:t xml:space="preserve"> (25 April 2017), available at: </w:t>
      </w:r>
      <w:hyperlink r:id="rId8">
        <w:r w:rsidR="00675C2F" w:rsidRPr="00245C41">
          <w:rPr>
            <w:rFonts w:asciiTheme="minorHAnsi" w:eastAsia="Calibri" w:hAnsiTheme="minorHAnsi" w:cstheme="minorHAnsi"/>
            <w:color w:val="1155CC"/>
            <w:sz w:val="20"/>
            <w:szCs w:val="20"/>
            <w:u w:val="single"/>
          </w:rPr>
          <w:t>https://tbinternet.ohchr.org/_layouts/15/treatybodyexternal/TBSearch.aspx?Lang=en&amp;TreatyID=8&amp;DocTypeID=5</w:t>
        </w:r>
      </w:hyperlink>
      <w:r w:rsidR="00675C2F" w:rsidRPr="00245C41">
        <w:rPr>
          <w:rFonts w:asciiTheme="minorHAnsi" w:eastAsia="Calibri" w:hAnsiTheme="minorHAnsi" w:cstheme="minorHAnsi"/>
          <w:sz w:val="20"/>
          <w:szCs w:val="20"/>
        </w:rPr>
        <w:t xml:space="preserve"> </w:t>
      </w:r>
    </w:p>
  </w:endnote>
  <w:endnote w:id="7">
    <w:p w14:paraId="2BA81BDA"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One representative of migrant workers groups reported that when employees from the Department of Labor Protection were asked about CEDAW, they responded they have not heard of it and do not know any details. Information obtained from interviews conducted by Manushya Foundation to inform this report, (August-September 2022)</w:t>
      </w:r>
    </w:p>
  </w:endnote>
  <w:endnote w:id="8">
    <w:p w14:paraId="6B4147E5" w14:textId="77777777" w:rsidR="00675C2F" w:rsidRPr="00245C41" w:rsidRDefault="00675C2F" w:rsidP="00675C2F">
      <w:pPr>
        <w:spacing w:line="240" w:lineRule="auto"/>
        <w:ind w:left="360" w:hanging="360"/>
        <w:rPr>
          <w:rFonts w:asciiTheme="minorHAns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Information obtained from interviews conducted by Manushya Foundation to inform this report, (August-September 2022)</w:t>
      </w:r>
    </w:p>
  </w:endnote>
  <w:endnote w:id="9">
    <w:p w14:paraId="427003E4"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Information obtained from interviews conducted by Manushya Foundation to inform this report, (August-September 2022)</w:t>
      </w:r>
    </w:p>
  </w:endnote>
  <w:endnote w:id="10">
    <w:p w14:paraId="5E522AA7"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For instance, interviewees informed us of the government’s appointment of a committee of women to implement CEDAW in the country. However, the committee still receives instructions from male-dominated government bodies in fulfilling their role. Information obtained from interviews conducted by Manushya Foundation to inform this report, (August-September 2022)</w:t>
      </w:r>
    </w:p>
  </w:endnote>
  <w:endnote w:id="11">
    <w:p w14:paraId="113B26EE"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Information obtained from interviews conducted by Manushya Foundation to inform this report, (August-September 2022)</w:t>
      </w:r>
    </w:p>
  </w:endnote>
  <w:endnote w:id="12">
    <w:p w14:paraId="25513F45"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Information obtained from interviews conducted by Manushya Foundation to inform this report, (August-September 2022)</w:t>
      </w:r>
    </w:p>
  </w:endnote>
  <w:endnote w:id="13">
    <w:p w14:paraId="38F5067E"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Information obtained from interviews conducted by Manushya Foundation to inform this report, (August-September 2022)</w:t>
      </w:r>
    </w:p>
  </w:endnote>
  <w:endnote w:id="14">
    <w:p w14:paraId="2B06F41B"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r>
      <w:r w:rsidRPr="00245C41">
        <w:rPr>
          <w:rFonts w:asciiTheme="minorHAnsi" w:eastAsia="Calibri" w:hAnsiTheme="minorHAnsi" w:cstheme="minorHAnsi"/>
          <w:color w:val="1D1C1D"/>
          <w:sz w:val="20"/>
          <w:szCs w:val="20"/>
        </w:rPr>
        <w:t xml:space="preserve">Information obtained from interviews conducted by Manushya Foundation to inform this report, </w:t>
      </w:r>
      <w:r w:rsidRPr="00245C41">
        <w:rPr>
          <w:rFonts w:asciiTheme="minorHAnsi" w:eastAsia="Calibri" w:hAnsiTheme="minorHAnsi" w:cstheme="minorHAnsi"/>
          <w:sz w:val="20"/>
          <w:szCs w:val="20"/>
        </w:rPr>
        <w:t>(August-September 2022)</w:t>
      </w:r>
      <w:r w:rsidRPr="00245C41">
        <w:rPr>
          <w:rFonts w:asciiTheme="minorHAnsi" w:eastAsia="Calibri" w:hAnsiTheme="minorHAnsi" w:cstheme="minorHAnsi"/>
          <w:color w:val="1D1C1D"/>
          <w:sz w:val="20"/>
          <w:szCs w:val="20"/>
        </w:rPr>
        <w:t xml:space="preserve"> </w:t>
      </w:r>
    </w:p>
  </w:endnote>
  <w:endnote w:id="15">
    <w:p w14:paraId="44CF6B9A" w14:textId="77777777" w:rsidR="00675C2F" w:rsidRPr="00245C41" w:rsidRDefault="00675C2F" w:rsidP="00675C2F">
      <w:pPr>
        <w:spacing w:line="240" w:lineRule="auto"/>
        <w:ind w:left="360" w:hanging="360"/>
        <w:rPr>
          <w:rFonts w:asciiTheme="minorHAns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Information obtained from interviews conducted by Manushya Foundation to inform this report, (August-September 2022)</w:t>
      </w:r>
    </w:p>
  </w:endnote>
  <w:endnote w:id="16">
    <w:p w14:paraId="645FCAD6"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 xml:space="preserve">Stakeholders and communities affected are not involved in the meetings on the designs of national action plans. </w:t>
      </w:r>
      <w:r w:rsidRPr="00245C41">
        <w:rPr>
          <w:rFonts w:asciiTheme="minorHAnsi" w:eastAsia="Calibri" w:hAnsiTheme="minorHAnsi" w:cstheme="minorHAnsi"/>
          <w:color w:val="1D1C1D"/>
          <w:sz w:val="20"/>
          <w:szCs w:val="20"/>
        </w:rPr>
        <w:t xml:space="preserve">Information obtained from interviews conducted by Manushya Foundation to inform this report, </w:t>
      </w:r>
      <w:r w:rsidRPr="00245C41">
        <w:rPr>
          <w:rFonts w:asciiTheme="minorHAnsi" w:eastAsia="Calibri" w:hAnsiTheme="minorHAnsi" w:cstheme="minorHAnsi"/>
          <w:sz w:val="20"/>
          <w:szCs w:val="20"/>
        </w:rPr>
        <w:t>(August-September 2022)</w:t>
      </w:r>
    </w:p>
  </w:endnote>
  <w:endnote w:id="17">
    <w:p w14:paraId="49F5500E" w14:textId="77777777" w:rsidR="00675C2F" w:rsidRPr="00245C41" w:rsidRDefault="00675C2F" w:rsidP="00675C2F">
      <w:pPr>
        <w:spacing w:line="240" w:lineRule="auto"/>
        <w:ind w:left="360" w:hanging="360"/>
        <w:rPr>
          <w:rFonts w:asciiTheme="minorHAns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r>
      <w:r w:rsidRPr="00245C41">
        <w:rPr>
          <w:rFonts w:asciiTheme="minorHAnsi" w:eastAsia="Calibri" w:hAnsiTheme="minorHAnsi" w:cstheme="minorHAnsi"/>
          <w:sz w:val="20"/>
          <w:szCs w:val="20"/>
          <w:highlight w:val="white"/>
        </w:rPr>
        <w:t xml:space="preserve">It aims to increase gender awareness and support the growth of women </w:t>
      </w:r>
    </w:p>
  </w:endnote>
  <w:endnote w:id="18">
    <w:p w14:paraId="630CFA88"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It has the responsibility to explicitly address the concerns of women's empowerment and gender equality</w:t>
      </w:r>
    </w:p>
  </w:endnote>
  <w:endnote w:id="19">
    <w:p w14:paraId="03F41E42"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 xml:space="preserve">Office of the National Economic and Social Development Board Office of the Prime Minister, </w:t>
      </w:r>
      <w:r w:rsidRPr="00245C41">
        <w:rPr>
          <w:rFonts w:asciiTheme="minorHAnsi" w:eastAsia="Calibri" w:hAnsiTheme="minorHAnsi" w:cstheme="minorHAnsi"/>
          <w:i/>
          <w:sz w:val="20"/>
          <w:szCs w:val="20"/>
        </w:rPr>
        <w:t>The Twelfth National Economic And Social Development Plan</w:t>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i/>
          <w:sz w:val="20"/>
          <w:szCs w:val="20"/>
        </w:rPr>
        <w:t>(2017-2021)</w:t>
      </w:r>
      <w:r w:rsidRPr="00245C41">
        <w:rPr>
          <w:rFonts w:asciiTheme="minorHAnsi" w:eastAsia="Calibri" w:hAnsiTheme="minorHAnsi" w:cstheme="minorHAnsi"/>
          <w:sz w:val="20"/>
          <w:szCs w:val="20"/>
        </w:rPr>
        <w:t xml:space="preserve">, available at: </w:t>
      </w:r>
      <w:hyperlink r:id="rId9">
        <w:r w:rsidRPr="00245C41">
          <w:rPr>
            <w:rFonts w:asciiTheme="minorHAnsi" w:eastAsia="Calibri" w:hAnsiTheme="minorHAnsi" w:cstheme="minorHAnsi"/>
            <w:color w:val="1155CC"/>
            <w:sz w:val="20"/>
            <w:szCs w:val="20"/>
            <w:u w:val="single"/>
          </w:rPr>
          <w:t>https://www.oneplanetnetwork.org/sites/default/files/thailand_national_economic_and_social_development_plan_nesdp.pdf</w:t>
        </w:r>
      </w:hyperlink>
      <w:r w:rsidRPr="00245C41">
        <w:rPr>
          <w:rFonts w:asciiTheme="minorHAnsi" w:eastAsia="Calibri" w:hAnsiTheme="minorHAnsi" w:cstheme="minorHAnsi"/>
          <w:sz w:val="20"/>
          <w:szCs w:val="20"/>
        </w:rPr>
        <w:t xml:space="preserve"> </w:t>
      </w:r>
    </w:p>
  </w:endnote>
  <w:endnote w:id="20">
    <w:p w14:paraId="47397E34"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Phanthuwongpakdee, N. et al., Proceeding Paper Localizing SDGs in Thailand: Towards a More Inclusive National Science, Research, and Innovation (SRI) Plan,</w:t>
      </w:r>
      <w:r w:rsidRPr="00245C41">
        <w:rPr>
          <w:rFonts w:asciiTheme="minorHAnsi" w:eastAsia="Calibri" w:hAnsiTheme="minorHAnsi" w:cstheme="minorHAnsi"/>
          <w:i/>
          <w:sz w:val="20"/>
          <w:szCs w:val="20"/>
        </w:rPr>
        <w:t xml:space="preserve"> Environmental Sciences Proceedings</w:t>
      </w:r>
      <w:r w:rsidRPr="00245C41">
        <w:rPr>
          <w:rFonts w:asciiTheme="minorHAnsi" w:eastAsia="Calibri" w:hAnsiTheme="minorHAnsi" w:cstheme="minorHAnsi"/>
          <w:sz w:val="20"/>
          <w:szCs w:val="20"/>
        </w:rPr>
        <w:t xml:space="preserve">, (13 April 2022), available at: </w:t>
      </w:r>
      <w:hyperlink r:id="rId10">
        <w:r w:rsidRPr="00245C41">
          <w:rPr>
            <w:rFonts w:asciiTheme="minorHAnsi" w:eastAsia="Calibri" w:hAnsiTheme="minorHAnsi" w:cstheme="minorHAnsi"/>
            <w:color w:val="1155CC"/>
            <w:sz w:val="20"/>
            <w:szCs w:val="20"/>
            <w:u w:val="single"/>
          </w:rPr>
          <w:t>https://www.mdpi.com/2673-4931/15/1/15</w:t>
        </w:r>
      </w:hyperlink>
      <w:r w:rsidRPr="00245C41">
        <w:rPr>
          <w:rFonts w:asciiTheme="minorHAnsi" w:eastAsia="Calibri" w:hAnsiTheme="minorHAnsi" w:cstheme="minorHAnsi"/>
          <w:sz w:val="20"/>
          <w:szCs w:val="20"/>
        </w:rPr>
        <w:t xml:space="preserve"> </w:t>
      </w:r>
    </w:p>
  </w:endnote>
  <w:endnote w:id="21">
    <w:p w14:paraId="03AB5B86"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Information obtained from interviews conducted by Manushya Foundation to inform this report, (August-September 2022)</w:t>
      </w:r>
    </w:p>
  </w:endnote>
  <w:endnote w:id="22">
    <w:p w14:paraId="5FE2D3DB"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 xml:space="preserve">Manushya Foundation, </w:t>
      </w:r>
      <w:r w:rsidRPr="00245C41">
        <w:rPr>
          <w:rFonts w:asciiTheme="minorHAnsi" w:eastAsia="Calibri" w:hAnsiTheme="minorHAnsi" w:cstheme="minorHAnsi"/>
          <w:i/>
          <w:sz w:val="20"/>
          <w:szCs w:val="20"/>
        </w:rPr>
        <w:t>Comments on the Final Draft National Action Plan (NAP) On Business And Human Rights (BHR) In Thailand</w:t>
      </w:r>
      <w:r w:rsidRPr="00245C41">
        <w:rPr>
          <w:rFonts w:asciiTheme="minorHAnsi" w:eastAsia="Calibri" w:hAnsiTheme="minorHAnsi" w:cstheme="minorHAnsi"/>
          <w:sz w:val="20"/>
          <w:szCs w:val="20"/>
        </w:rPr>
        <w:t xml:space="preserve">, available at: </w:t>
      </w:r>
      <w:hyperlink r:id="rId11">
        <w:r w:rsidRPr="00245C41">
          <w:rPr>
            <w:rFonts w:asciiTheme="minorHAnsi" w:eastAsia="Calibri" w:hAnsiTheme="minorHAnsi" w:cstheme="minorHAnsi"/>
            <w:color w:val="1155CC"/>
            <w:sz w:val="20"/>
            <w:szCs w:val="20"/>
            <w:u w:val="single"/>
          </w:rPr>
          <w:t>https://www.manushyafoundation.org/comments-on-the-nap-on-bhr</w:t>
        </w:r>
      </w:hyperlink>
      <w:r w:rsidRPr="00245C41">
        <w:rPr>
          <w:rFonts w:asciiTheme="minorHAnsi" w:eastAsia="Calibri" w:hAnsiTheme="minorHAnsi" w:cstheme="minorHAnsi"/>
          <w:sz w:val="20"/>
          <w:szCs w:val="20"/>
        </w:rPr>
        <w:t xml:space="preserve"> </w:t>
      </w:r>
    </w:p>
  </w:endnote>
  <w:endnote w:id="23">
    <w:p w14:paraId="1BE670E5"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The law has not officially been passed by the Parliament. Its contents and administration remains unknown; however, the government has not made any attempt to review and reform its content. Instead, the Ministry of Justice ordered this law to be applied in cases involving family and inheritance matters, with the assistance of Islamic scholars, who can only be men</w:t>
      </w:r>
    </w:p>
  </w:endnote>
  <w:endnote w:id="24">
    <w:p w14:paraId="7285D017"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 xml:space="preserve">Initiatives taken include the Strategic Plan for Children, Women and Families in the SBPs B.E. 2562–2564 (2019–2021); the National Women’s Development Strategy (2017–2021); and Coordination Centers for Women and Children Affairs in the SBPs. </w:t>
      </w:r>
      <w:r w:rsidRPr="00245C41">
        <w:rPr>
          <w:rFonts w:asciiTheme="minorHAnsi" w:eastAsia="Calibri" w:hAnsiTheme="minorHAnsi" w:cstheme="minorHAnsi"/>
          <w:i/>
          <w:sz w:val="20"/>
          <w:szCs w:val="20"/>
        </w:rPr>
        <w:t>See</w:t>
      </w:r>
      <w:r w:rsidRPr="00245C41">
        <w:rPr>
          <w:rFonts w:asciiTheme="minorHAnsi" w:eastAsia="Calibri" w:hAnsiTheme="minorHAnsi" w:cstheme="minorHAnsi"/>
          <w:sz w:val="20"/>
          <w:szCs w:val="20"/>
        </w:rPr>
        <w:t xml:space="preserve"> Minority Rights Group International, </w:t>
      </w:r>
      <w:r w:rsidRPr="00245C41">
        <w:rPr>
          <w:rFonts w:asciiTheme="minorHAnsi" w:eastAsia="Calibri" w:hAnsiTheme="minorHAnsi" w:cstheme="minorHAnsi"/>
          <w:i/>
          <w:sz w:val="20"/>
          <w:szCs w:val="20"/>
        </w:rPr>
        <w:t>Minority and Disability Rights in Thailand’s Deep South</w:t>
      </w:r>
      <w:r w:rsidRPr="00245C41">
        <w:rPr>
          <w:rFonts w:asciiTheme="minorHAnsi" w:eastAsia="Calibri" w:hAnsiTheme="minorHAnsi" w:cstheme="minorHAnsi"/>
          <w:sz w:val="20"/>
          <w:szCs w:val="20"/>
        </w:rPr>
        <w:t xml:space="preserve">, (13 July 2022), available at: </w:t>
      </w:r>
      <w:hyperlink r:id="rId12">
        <w:r w:rsidRPr="00245C41">
          <w:rPr>
            <w:rFonts w:asciiTheme="minorHAnsi" w:eastAsia="Calibri" w:hAnsiTheme="minorHAnsi" w:cstheme="minorHAnsi"/>
            <w:color w:val="1155CC"/>
            <w:sz w:val="20"/>
            <w:szCs w:val="20"/>
            <w:u w:val="single"/>
          </w:rPr>
          <w:t>https://minorityrights.org/publications/disability-thailand/</w:t>
        </w:r>
      </w:hyperlink>
      <w:r w:rsidRPr="00245C41">
        <w:rPr>
          <w:rFonts w:asciiTheme="minorHAnsi" w:eastAsia="Calibri" w:hAnsiTheme="minorHAnsi" w:cstheme="minorHAnsi"/>
          <w:sz w:val="20"/>
          <w:szCs w:val="20"/>
        </w:rPr>
        <w:t xml:space="preserve"> </w:t>
      </w:r>
    </w:p>
  </w:endnote>
  <w:endnote w:id="25">
    <w:p w14:paraId="128CE676"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 xml:space="preserve">Minority Rights Group International, </w:t>
      </w:r>
      <w:r w:rsidRPr="00245C41">
        <w:rPr>
          <w:rFonts w:asciiTheme="minorHAnsi" w:eastAsia="Calibri" w:hAnsiTheme="minorHAnsi" w:cstheme="minorHAnsi"/>
          <w:i/>
          <w:sz w:val="20"/>
          <w:szCs w:val="20"/>
        </w:rPr>
        <w:t>Minority and Disability Rights in Thailand’s Deep South</w:t>
      </w:r>
      <w:r w:rsidRPr="00245C41">
        <w:rPr>
          <w:rFonts w:asciiTheme="minorHAnsi" w:eastAsia="Calibri" w:hAnsiTheme="minorHAnsi" w:cstheme="minorHAnsi"/>
          <w:sz w:val="20"/>
          <w:szCs w:val="20"/>
        </w:rPr>
        <w:t xml:space="preserve">, (13 July 2022), available at: </w:t>
      </w:r>
      <w:hyperlink r:id="rId13">
        <w:r w:rsidRPr="00245C41">
          <w:rPr>
            <w:rFonts w:asciiTheme="minorHAnsi" w:eastAsia="Calibri" w:hAnsiTheme="minorHAnsi" w:cstheme="minorHAnsi"/>
            <w:color w:val="1155CC"/>
            <w:sz w:val="20"/>
            <w:szCs w:val="20"/>
            <w:u w:val="single"/>
          </w:rPr>
          <w:t>https://minorityrights.org/publications/disability-thailand/</w:t>
        </w:r>
      </w:hyperlink>
      <w:r w:rsidRPr="00245C41">
        <w:rPr>
          <w:rFonts w:asciiTheme="minorHAnsi" w:eastAsia="Calibri" w:hAnsiTheme="minorHAnsi" w:cstheme="minorHAnsi"/>
          <w:sz w:val="20"/>
          <w:szCs w:val="20"/>
        </w:rPr>
        <w:t xml:space="preserve"> </w:t>
      </w:r>
    </w:p>
  </w:endnote>
  <w:endnote w:id="26">
    <w:p w14:paraId="42720A1E"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 xml:space="preserve">Manushya Foundation, </w:t>
      </w:r>
      <w:r w:rsidRPr="00245C41">
        <w:rPr>
          <w:rFonts w:asciiTheme="minorHAnsi" w:eastAsia="Calibri" w:hAnsiTheme="minorHAnsi" w:cstheme="minorHAnsi"/>
          <w:i/>
          <w:sz w:val="20"/>
          <w:szCs w:val="20"/>
        </w:rPr>
        <w:t>The Rights of Indigenous Women In Thailand: Joint Submission To The UN Universal Periodic Review (UPR) For Thailand's Third UPR Cycle, 39th Session Of The UPR Working Group</w:t>
      </w:r>
      <w:r w:rsidRPr="00245C41">
        <w:rPr>
          <w:rFonts w:asciiTheme="minorHAnsi" w:eastAsia="Calibri" w:hAnsiTheme="minorHAnsi" w:cstheme="minorHAnsi"/>
          <w:sz w:val="20"/>
          <w:szCs w:val="20"/>
        </w:rPr>
        <w:t xml:space="preserve">, (16 April 2021), available at:  </w:t>
      </w:r>
      <w:hyperlink r:id="rId14">
        <w:r w:rsidRPr="00245C41">
          <w:rPr>
            <w:rFonts w:asciiTheme="minorHAnsi" w:eastAsia="Calibri" w:hAnsiTheme="minorHAnsi" w:cstheme="minorHAnsi"/>
            <w:color w:val="1155CC"/>
            <w:sz w:val="20"/>
            <w:szCs w:val="20"/>
            <w:u w:val="single"/>
          </w:rPr>
          <w:t>https://www.manushyafoundation.org/joint-upr-submission-ipwomen</w:t>
        </w:r>
      </w:hyperlink>
      <w:r w:rsidRPr="00245C41">
        <w:rPr>
          <w:rFonts w:asciiTheme="minorHAnsi" w:eastAsia="Calibri" w:hAnsiTheme="minorHAnsi" w:cstheme="minorHAnsi"/>
          <w:sz w:val="20"/>
          <w:szCs w:val="20"/>
        </w:rPr>
        <w:t xml:space="preserve"> </w:t>
      </w:r>
    </w:p>
  </w:endnote>
  <w:endnote w:id="27">
    <w:p w14:paraId="2BFB0527"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r>
      <w:r w:rsidRPr="00245C41">
        <w:rPr>
          <w:rFonts w:asciiTheme="minorHAnsi" w:eastAsia="Calibri" w:hAnsiTheme="minorHAnsi" w:cstheme="minorHAnsi"/>
          <w:sz w:val="20"/>
          <w:szCs w:val="20"/>
          <w:highlight w:val="white"/>
        </w:rPr>
        <w:t>This includes getting an HIV diagnosis, living with the disease and receiving healthcare</w:t>
      </w:r>
    </w:p>
  </w:endnote>
  <w:endnote w:id="28">
    <w:p w14:paraId="5801845B"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 xml:space="preserve">Prachatai English, </w:t>
      </w:r>
      <w:r w:rsidRPr="00245C41">
        <w:rPr>
          <w:rFonts w:asciiTheme="minorHAnsi" w:eastAsia="Calibri" w:hAnsiTheme="minorHAnsi" w:cstheme="minorHAnsi"/>
          <w:i/>
          <w:sz w:val="20"/>
          <w:szCs w:val="20"/>
        </w:rPr>
        <w:t>Gender-Responsiveness key to inclusiveness in COVID-19 pandemic,</w:t>
      </w:r>
      <w:r w:rsidRPr="00245C41">
        <w:rPr>
          <w:rFonts w:asciiTheme="minorHAnsi" w:eastAsia="Calibri" w:hAnsiTheme="minorHAnsi" w:cstheme="minorHAnsi"/>
          <w:sz w:val="20"/>
          <w:szCs w:val="20"/>
        </w:rPr>
        <w:t xml:space="preserve"> (21 April 2020), available at: </w:t>
      </w:r>
      <w:hyperlink r:id="rId15">
        <w:r w:rsidRPr="00245C41">
          <w:rPr>
            <w:rFonts w:asciiTheme="minorHAnsi" w:eastAsia="Calibri" w:hAnsiTheme="minorHAnsi" w:cstheme="minorHAnsi"/>
            <w:color w:val="1155CC"/>
            <w:sz w:val="20"/>
            <w:szCs w:val="20"/>
            <w:u w:val="single"/>
          </w:rPr>
          <w:t>https://prachatai.com/english/node/8475</w:t>
        </w:r>
      </w:hyperlink>
      <w:r w:rsidRPr="00245C41">
        <w:rPr>
          <w:rFonts w:asciiTheme="minorHAnsi" w:eastAsia="Calibri" w:hAnsiTheme="minorHAnsi" w:cstheme="minorHAnsi"/>
          <w:sz w:val="20"/>
          <w:szCs w:val="20"/>
        </w:rPr>
        <w:t xml:space="preserve"> </w:t>
      </w:r>
    </w:p>
  </w:endnote>
  <w:endnote w:id="29">
    <w:p w14:paraId="4D3F7312"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 xml:space="preserve">Examples of fake claims within indigenous communities include the claim that the consumption of chicken feces can cure COVID-19. </w:t>
      </w:r>
      <w:r w:rsidRPr="00245C41">
        <w:rPr>
          <w:rFonts w:asciiTheme="minorHAnsi" w:eastAsia="Calibri" w:hAnsiTheme="minorHAnsi" w:cstheme="minorHAnsi"/>
          <w:i/>
          <w:sz w:val="20"/>
          <w:szCs w:val="20"/>
        </w:rPr>
        <w:t xml:space="preserve">See </w:t>
      </w:r>
      <w:r w:rsidRPr="00245C41">
        <w:rPr>
          <w:rFonts w:asciiTheme="minorHAnsi" w:eastAsia="Calibri" w:hAnsiTheme="minorHAnsi" w:cstheme="minorHAnsi"/>
          <w:sz w:val="20"/>
          <w:szCs w:val="20"/>
        </w:rPr>
        <w:t xml:space="preserve">Manushya Foundation, </w:t>
      </w:r>
      <w:r w:rsidRPr="00245C41">
        <w:rPr>
          <w:rFonts w:asciiTheme="minorHAnsi" w:eastAsia="Calibri" w:hAnsiTheme="minorHAnsi" w:cstheme="minorHAnsi"/>
          <w:i/>
          <w:sz w:val="20"/>
          <w:szCs w:val="20"/>
        </w:rPr>
        <w:t>Indigenous Women: Thailand's Third Universal Periodic Review Cycle</w:t>
      </w:r>
      <w:r w:rsidRPr="00245C41">
        <w:rPr>
          <w:rFonts w:asciiTheme="minorHAnsi" w:eastAsia="Calibri" w:hAnsiTheme="minorHAnsi" w:cstheme="minorHAnsi"/>
          <w:sz w:val="20"/>
          <w:szCs w:val="20"/>
        </w:rPr>
        <w:t xml:space="preserve">, (29 September 2021), available at: </w:t>
      </w:r>
      <w:hyperlink r:id="rId16">
        <w:r w:rsidRPr="00245C41">
          <w:rPr>
            <w:rFonts w:asciiTheme="minorHAnsi" w:eastAsia="Calibri" w:hAnsiTheme="minorHAnsi" w:cstheme="minorHAnsi"/>
            <w:color w:val="1155CC"/>
            <w:sz w:val="20"/>
            <w:szCs w:val="20"/>
            <w:u w:val="single"/>
          </w:rPr>
          <w:t>https://www.manushyafoundation.org/thailand-third-upr-cycle-factsheet-indigenous-women</w:t>
        </w:r>
      </w:hyperlink>
      <w:r w:rsidRPr="00245C41">
        <w:rPr>
          <w:rFonts w:asciiTheme="minorHAnsi" w:eastAsia="Calibri" w:hAnsiTheme="minorHAnsi" w:cstheme="minorHAnsi"/>
          <w:sz w:val="20"/>
          <w:szCs w:val="20"/>
        </w:rPr>
        <w:t xml:space="preserve"> </w:t>
      </w:r>
    </w:p>
  </w:endnote>
  <w:endnote w:id="30">
    <w:p w14:paraId="162E557B" w14:textId="77777777" w:rsidR="00675C2F" w:rsidRPr="00245C41" w:rsidRDefault="00675C2F" w:rsidP="00675C2F">
      <w:pPr>
        <w:spacing w:line="240" w:lineRule="auto"/>
        <w:ind w:left="360" w:hanging="360"/>
        <w:rPr>
          <w:rFonts w:asciiTheme="minorHAnsi" w:hAnsiTheme="minorHAnsi" w:cstheme="minorHAnsi"/>
          <w:sz w:val="20"/>
          <w:szCs w:val="20"/>
        </w:rPr>
      </w:pPr>
      <w:r w:rsidRPr="00245C41">
        <w:rPr>
          <w:rFonts w:asciiTheme="minorHAnsi" w:hAnsiTheme="minorHAnsi" w:cstheme="minorHAnsi"/>
          <w:vertAlign w:val="superscript"/>
        </w:rPr>
        <w:endnoteRef/>
      </w:r>
      <w:r w:rsidRPr="00245C41">
        <w:rPr>
          <w:rFonts w:asciiTheme="minorHAnsi" w:hAnsiTheme="minorHAnsi" w:cstheme="minorHAnsi"/>
          <w:sz w:val="20"/>
          <w:szCs w:val="20"/>
        </w:rPr>
        <w:t xml:space="preserve"> </w:t>
      </w:r>
      <w:r w:rsidRPr="00245C41">
        <w:rPr>
          <w:rFonts w:asciiTheme="minorHAnsi" w:hAnsiTheme="minorHAnsi" w:cstheme="minorHAnsi"/>
          <w:sz w:val="20"/>
          <w:szCs w:val="20"/>
        </w:rPr>
        <w:tab/>
      </w:r>
      <w:r w:rsidRPr="00245C41">
        <w:rPr>
          <w:rFonts w:asciiTheme="minorHAnsi" w:eastAsia="Calibri" w:hAnsiTheme="minorHAnsi" w:cstheme="minorHAnsi"/>
          <w:sz w:val="20"/>
          <w:szCs w:val="20"/>
        </w:rPr>
        <w:t>Due to the lack of legal recognition of refugees and asylum seekers, all the persons entering Thailand without a legal permission are treated according to the 1979 Immigration Act that stipulates arbitrary arrest and detention</w:t>
      </w:r>
    </w:p>
  </w:endnote>
  <w:endnote w:id="31">
    <w:p w14:paraId="0A91FE4B"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18"/>
          <w:szCs w:val="18"/>
        </w:rPr>
        <w:t xml:space="preserve"> </w:t>
      </w:r>
      <w:r w:rsidRPr="00245C41">
        <w:rPr>
          <w:rFonts w:asciiTheme="minorHAnsi" w:eastAsia="Calibri" w:hAnsiTheme="minorHAnsi" w:cstheme="minorHAnsi"/>
          <w:sz w:val="18"/>
          <w:szCs w:val="18"/>
        </w:rPr>
        <w:tab/>
      </w:r>
      <w:r w:rsidRPr="00245C41">
        <w:rPr>
          <w:rFonts w:asciiTheme="minorHAnsi" w:eastAsia="Calibri" w:hAnsiTheme="minorHAnsi" w:cstheme="minorHAnsi"/>
          <w:sz w:val="20"/>
          <w:szCs w:val="20"/>
        </w:rPr>
        <w:t xml:space="preserve">Due to the strict binary gender partition of prisons, if a transgender woman has not had gender reassignment surgery, she will most likely be placed in a male cell, and most likely not allowed by men in the cell to use the bathroom with them. </w:t>
      </w:r>
      <w:r w:rsidRPr="00245C41">
        <w:rPr>
          <w:rFonts w:asciiTheme="minorHAnsi" w:eastAsia="Calibri" w:hAnsiTheme="minorHAnsi" w:cstheme="minorHAnsi"/>
          <w:i/>
          <w:sz w:val="20"/>
          <w:szCs w:val="20"/>
        </w:rPr>
        <w:t>See</w:t>
      </w:r>
      <w:r w:rsidRPr="00245C41">
        <w:rPr>
          <w:rFonts w:asciiTheme="minorHAnsi" w:eastAsia="Calibri" w:hAnsiTheme="minorHAnsi" w:cstheme="minorHAnsi"/>
          <w:sz w:val="20"/>
          <w:szCs w:val="20"/>
        </w:rPr>
        <w:t xml:space="preserve"> Manushya Foundation, </w:t>
      </w:r>
      <w:r w:rsidRPr="00245C41">
        <w:rPr>
          <w:rFonts w:asciiTheme="minorHAnsi" w:eastAsia="Calibri" w:hAnsiTheme="minorHAnsi" w:cstheme="minorHAnsi"/>
          <w:i/>
          <w:sz w:val="20"/>
          <w:szCs w:val="20"/>
        </w:rPr>
        <w:t>Joint Civil Society Shadow Report On The Implementation Of ICERD, Replies to the List of Themes CERD/C/THA/Q/4-8 105th CERD session (15 November - 3 December)</w:t>
      </w:r>
      <w:r w:rsidRPr="00245C41">
        <w:rPr>
          <w:rFonts w:asciiTheme="minorHAnsi" w:eastAsia="Calibri" w:hAnsiTheme="minorHAnsi" w:cstheme="minorHAnsi"/>
          <w:sz w:val="20"/>
          <w:szCs w:val="20"/>
        </w:rPr>
        <w:t xml:space="preserve">, (25 October 2021), available at: </w:t>
      </w:r>
    </w:p>
    <w:p w14:paraId="1DD535FA" w14:textId="77777777" w:rsidR="00675C2F" w:rsidRPr="00245C41" w:rsidRDefault="00000000" w:rsidP="00675C2F">
      <w:pPr>
        <w:spacing w:line="240" w:lineRule="auto"/>
        <w:ind w:left="360"/>
        <w:rPr>
          <w:rFonts w:asciiTheme="minorHAnsi" w:eastAsia="Calibri" w:hAnsiTheme="minorHAnsi" w:cstheme="minorHAnsi"/>
          <w:sz w:val="20"/>
          <w:szCs w:val="20"/>
        </w:rPr>
      </w:pPr>
      <w:hyperlink r:id="rId17" w:history="1">
        <w:r w:rsidR="00675C2F" w:rsidRPr="00245C41">
          <w:rPr>
            <w:rStyle w:val="Hyperlink"/>
            <w:rFonts w:asciiTheme="minorHAnsi" w:eastAsia="Calibri" w:hAnsiTheme="minorHAnsi" w:cstheme="minorHAnsi"/>
            <w:sz w:val="20"/>
            <w:szCs w:val="20"/>
          </w:rPr>
          <w:t>https://www.manushyafoundation.org/joint-civil-society-cerd-shadow-report</w:t>
        </w:r>
      </w:hyperlink>
    </w:p>
  </w:endnote>
  <w:endnote w:id="32">
    <w:p w14:paraId="17846A2D"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 xml:space="preserve">This practice was recognized as physically and psychologically destructive. </w:t>
      </w:r>
      <w:r w:rsidRPr="00245C41">
        <w:rPr>
          <w:rFonts w:asciiTheme="minorHAnsi" w:eastAsia="Calibri" w:hAnsiTheme="minorHAnsi" w:cstheme="minorHAnsi"/>
          <w:i/>
          <w:sz w:val="20"/>
          <w:szCs w:val="20"/>
        </w:rPr>
        <w:t xml:space="preserve">See </w:t>
      </w:r>
      <w:r w:rsidRPr="00245C41">
        <w:rPr>
          <w:rFonts w:asciiTheme="minorHAnsi" w:eastAsia="Calibri" w:hAnsiTheme="minorHAnsi" w:cstheme="minorHAnsi"/>
          <w:sz w:val="20"/>
          <w:szCs w:val="20"/>
        </w:rPr>
        <w:t xml:space="preserve">International Detention Coalition, </w:t>
      </w:r>
      <w:r w:rsidRPr="00245C41">
        <w:rPr>
          <w:rFonts w:asciiTheme="minorHAnsi" w:eastAsia="Calibri" w:hAnsiTheme="minorHAnsi" w:cstheme="minorHAnsi"/>
          <w:i/>
          <w:sz w:val="20"/>
          <w:szCs w:val="20"/>
        </w:rPr>
        <w:t>LGBTI Persons in Immigration Detention</w:t>
      </w:r>
      <w:r w:rsidRPr="00245C41">
        <w:rPr>
          <w:rFonts w:asciiTheme="minorHAnsi" w:eastAsia="Calibri" w:hAnsiTheme="minorHAnsi" w:cstheme="minorHAnsi"/>
          <w:sz w:val="20"/>
          <w:szCs w:val="20"/>
        </w:rPr>
        <w:t xml:space="preserve">, (June 2016), available at: </w:t>
      </w:r>
      <w:hyperlink r:id="rId18">
        <w:r w:rsidRPr="00245C41">
          <w:rPr>
            <w:rFonts w:asciiTheme="minorHAnsi" w:eastAsia="Calibri" w:hAnsiTheme="minorHAnsi" w:cstheme="minorHAnsi"/>
            <w:color w:val="1155CC"/>
            <w:sz w:val="20"/>
            <w:szCs w:val="20"/>
            <w:u w:val="single"/>
          </w:rPr>
          <w:t>https://idcoalition.org/publication/lgbti-persons-in-immigration-detention-position-paper/</w:t>
        </w:r>
      </w:hyperlink>
      <w:r w:rsidRPr="00245C41">
        <w:rPr>
          <w:rFonts w:asciiTheme="minorHAnsi" w:eastAsia="Calibri" w:hAnsiTheme="minorHAnsi" w:cstheme="minorHAnsi"/>
          <w:sz w:val="20"/>
          <w:szCs w:val="20"/>
        </w:rPr>
        <w:t xml:space="preserve"> </w:t>
      </w:r>
    </w:p>
  </w:endnote>
  <w:endnote w:id="33">
    <w:p w14:paraId="4DE9F638"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 xml:space="preserve">Manushya Foundation, </w:t>
      </w:r>
      <w:r w:rsidRPr="00245C41">
        <w:rPr>
          <w:rFonts w:asciiTheme="minorHAnsi" w:eastAsia="Calibri" w:hAnsiTheme="minorHAnsi" w:cstheme="minorHAnsi"/>
          <w:i/>
          <w:sz w:val="20"/>
          <w:szCs w:val="20"/>
        </w:rPr>
        <w:t>Joint Civil Society Shadow Report On The Implementation Of ICERD, Replies to the List of Themes CERD/C/THA/Q/4-8 105th CERD session (15 November - 3 December)</w:t>
      </w:r>
      <w:r w:rsidRPr="00245C41">
        <w:rPr>
          <w:rFonts w:asciiTheme="minorHAnsi" w:eastAsia="Calibri" w:hAnsiTheme="minorHAnsi" w:cstheme="minorHAnsi"/>
          <w:sz w:val="20"/>
          <w:szCs w:val="20"/>
        </w:rPr>
        <w:t xml:space="preserve">, (25 October 2021), available at: </w:t>
      </w:r>
    </w:p>
    <w:p w14:paraId="2397B330" w14:textId="77777777" w:rsidR="00675C2F" w:rsidRPr="00245C41" w:rsidRDefault="00000000" w:rsidP="00675C2F">
      <w:pPr>
        <w:spacing w:line="240" w:lineRule="auto"/>
        <w:ind w:left="360"/>
        <w:rPr>
          <w:rFonts w:asciiTheme="minorHAnsi" w:eastAsia="Calibri" w:hAnsiTheme="minorHAnsi" w:cstheme="minorHAnsi"/>
          <w:sz w:val="20"/>
          <w:szCs w:val="20"/>
        </w:rPr>
      </w:pPr>
      <w:hyperlink r:id="rId19" w:history="1">
        <w:r w:rsidR="00675C2F" w:rsidRPr="00245C41">
          <w:rPr>
            <w:rStyle w:val="Hyperlink"/>
            <w:rFonts w:asciiTheme="minorHAnsi" w:eastAsia="Calibri" w:hAnsiTheme="minorHAnsi" w:cstheme="minorHAnsi"/>
            <w:sz w:val="20"/>
            <w:szCs w:val="20"/>
          </w:rPr>
          <w:t>https://www.manushyafoundation.org/joint-civil-society-cerd-shadow-report</w:t>
        </w:r>
      </w:hyperlink>
      <w:r w:rsidR="00675C2F" w:rsidRPr="00245C41">
        <w:rPr>
          <w:rFonts w:asciiTheme="minorHAnsi" w:eastAsia="Calibri" w:hAnsiTheme="minorHAnsi" w:cstheme="minorHAnsi"/>
          <w:sz w:val="20"/>
          <w:szCs w:val="20"/>
        </w:rPr>
        <w:t xml:space="preserve">; The Washington Post, </w:t>
      </w:r>
      <w:r w:rsidR="00675C2F" w:rsidRPr="00245C41">
        <w:rPr>
          <w:rFonts w:asciiTheme="minorHAnsi" w:eastAsia="Calibri" w:hAnsiTheme="minorHAnsi" w:cstheme="minorHAnsi"/>
          <w:i/>
          <w:sz w:val="20"/>
          <w:szCs w:val="20"/>
        </w:rPr>
        <w:t>This is about more than just prisons: Thailand tries out a special wing for transgender inmates,</w:t>
      </w:r>
      <w:r w:rsidR="00675C2F" w:rsidRPr="00245C41">
        <w:rPr>
          <w:rFonts w:asciiTheme="minorHAnsi" w:eastAsia="Calibri" w:hAnsiTheme="minorHAnsi" w:cstheme="minorHAnsi"/>
          <w:sz w:val="20"/>
          <w:szCs w:val="20"/>
        </w:rPr>
        <w:t xml:space="preserve"> (16 March 2017), available at: </w:t>
      </w:r>
      <w:hyperlink r:id="rId20">
        <w:r w:rsidR="00675C2F" w:rsidRPr="00245C41">
          <w:rPr>
            <w:rFonts w:asciiTheme="minorHAnsi" w:eastAsia="Calibri" w:hAnsiTheme="minorHAnsi" w:cstheme="minorHAnsi"/>
            <w:color w:val="1155CC"/>
            <w:sz w:val="20"/>
            <w:szCs w:val="20"/>
            <w:u w:val="single"/>
          </w:rPr>
          <w:t>https://www.washingtonpost.com/world/asia_pacific/thailands-transgender-inmates-offeredseparate-detention-still-craving-hormones/2017/03/15/05e4b3fe-0444-11e7-ad5b-d22680e18d10_story.html</w:t>
        </w:r>
      </w:hyperlink>
      <w:r w:rsidR="00675C2F" w:rsidRPr="00245C41">
        <w:rPr>
          <w:rFonts w:asciiTheme="minorHAnsi" w:eastAsia="Calibri" w:hAnsiTheme="minorHAnsi" w:cstheme="minorHAnsi"/>
          <w:sz w:val="20"/>
          <w:szCs w:val="20"/>
        </w:rPr>
        <w:t xml:space="preserve"> </w:t>
      </w:r>
    </w:p>
  </w:endnote>
  <w:endnote w:id="34">
    <w:p w14:paraId="0DC2010C"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r>
      <w:r w:rsidRPr="00245C41">
        <w:rPr>
          <w:rFonts w:asciiTheme="minorHAnsi" w:eastAsia="Calibri" w:hAnsiTheme="minorHAnsi" w:cstheme="minorHAnsi"/>
          <w:color w:val="1D1C1D"/>
          <w:sz w:val="20"/>
          <w:szCs w:val="20"/>
        </w:rPr>
        <w:t xml:space="preserve">Information obtained from interviews conducted by Manushya Foundation to inform this report, </w:t>
      </w:r>
      <w:r w:rsidRPr="00245C41">
        <w:rPr>
          <w:rFonts w:asciiTheme="minorHAnsi" w:eastAsia="Calibri" w:hAnsiTheme="minorHAnsi" w:cstheme="minorHAnsi"/>
          <w:sz w:val="20"/>
          <w:szCs w:val="20"/>
        </w:rPr>
        <w:t>(August-September 2022)</w:t>
      </w:r>
    </w:p>
  </w:endnote>
  <w:endnote w:id="35">
    <w:p w14:paraId="66AEDD35" w14:textId="77777777" w:rsidR="00675C2F" w:rsidRPr="00245C41" w:rsidRDefault="00675C2F" w:rsidP="00675C2F">
      <w:pPr>
        <w:spacing w:line="240" w:lineRule="auto"/>
        <w:ind w:left="360" w:hanging="360"/>
        <w:rPr>
          <w:rFonts w:asciiTheme="minorHAns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r>
      <w:r w:rsidRPr="00245C41">
        <w:rPr>
          <w:rFonts w:asciiTheme="minorHAnsi" w:eastAsia="Calibri" w:hAnsiTheme="minorHAnsi" w:cstheme="minorHAnsi"/>
          <w:color w:val="1D1C1D"/>
          <w:sz w:val="20"/>
          <w:szCs w:val="20"/>
        </w:rPr>
        <w:t xml:space="preserve">Information obtained from interviews conducted by Manushya Foundation to inform this report, </w:t>
      </w:r>
      <w:r w:rsidRPr="00245C41">
        <w:rPr>
          <w:rFonts w:asciiTheme="minorHAnsi" w:eastAsia="Calibri" w:hAnsiTheme="minorHAnsi" w:cstheme="minorHAnsi"/>
          <w:sz w:val="20"/>
          <w:szCs w:val="20"/>
        </w:rPr>
        <w:t>(August-September 2022)</w:t>
      </w:r>
    </w:p>
  </w:endnote>
  <w:endnote w:id="36">
    <w:p w14:paraId="5D692EC4" w14:textId="77777777" w:rsidR="00675C2F" w:rsidRPr="00245C41" w:rsidRDefault="00675C2F" w:rsidP="00675C2F">
      <w:pPr>
        <w:spacing w:line="240" w:lineRule="auto"/>
        <w:ind w:left="360" w:hanging="360"/>
        <w:rPr>
          <w:rFonts w:asciiTheme="minorHAns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r>
      <w:r w:rsidRPr="00245C41">
        <w:rPr>
          <w:rFonts w:asciiTheme="minorHAnsi" w:eastAsia="Calibri" w:hAnsiTheme="minorHAnsi" w:cstheme="minorHAnsi"/>
          <w:color w:val="1D1C1D"/>
          <w:sz w:val="20"/>
          <w:szCs w:val="20"/>
        </w:rPr>
        <w:t xml:space="preserve">Information obtained from interviews conducted by Manushya Foundation to inform this report, </w:t>
      </w:r>
      <w:r w:rsidRPr="00245C41">
        <w:rPr>
          <w:rFonts w:asciiTheme="minorHAnsi" w:eastAsia="Calibri" w:hAnsiTheme="minorHAnsi" w:cstheme="minorHAnsi"/>
          <w:sz w:val="20"/>
          <w:szCs w:val="20"/>
        </w:rPr>
        <w:t>(August-September 2022)</w:t>
      </w:r>
    </w:p>
  </w:endnote>
  <w:endnote w:id="37">
    <w:p w14:paraId="2734005A" w14:textId="77777777" w:rsidR="00675C2F" w:rsidRPr="00245C41" w:rsidRDefault="00675C2F" w:rsidP="00675C2F">
      <w:pPr>
        <w:spacing w:line="240" w:lineRule="auto"/>
        <w:ind w:left="360" w:hanging="360"/>
        <w:rPr>
          <w:rFonts w:asciiTheme="minorHAnsi" w:eastAsia="Calibri" w:hAnsiTheme="minorHAnsi" w:cstheme="minorHAnsi"/>
          <w:sz w:val="18"/>
          <w:szCs w:val="18"/>
        </w:rPr>
      </w:pPr>
      <w:r w:rsidRPr="00245C41">
        <w:rPr>
          <w:rFonts w:asciiTheme="minorHAnsi" w:hAnsiTheme="minorHAnsi" w:cstheme="minorHAnsi"/>
          <w:vertAlign w:val="superscript"/>
        </w:rPr>
        <w:endnoteRef/>
      </w:r>
      <w:r w:rsidRPr="00245C41">
        <w:rPr>
          <w:rFonts w:asciiTheme="minorHAnsi" w:eastAsia="Calibri" w:hAnsiTheme="minorHAnsi" w:cstheme="minorHAnsi"/>
          <w:sz w:val="18"/>
          <w:szCs w:val="18"/>
        </w:rPr>
        <w:t xml:space="preserve"> </w:t>
      </w:r>
      <w:r w:rsidRPr="00245C41">
        <w:rPr>
          <w:rFonts w:asciiTheme="minorHAnsi" w:eastAsia="Calibri" w:hAnsiTheme="minorHAnsi" w:cstheme="minorHAnsi"/>
          <w:sz w:val="18"/>
          <w:szCs w:val="18"/>
        </w:rPr>
        <w:tab/>
        <w:t xml:space="preserve">Men </w:t>
      </w:r>
      <w:r w:rsidRPr="00245C41">
        <w:rPr>
          <w:rFonts w:asciiTheme="minorHAnsi" w:eastAsia="Calibri" w:hAnsiTheme="minorHAnsi" w:cstheme="minorHAnsi"/>
          <w:sz w:val="20"/>
          <w:szCs w:val="20"/>
        </w:rPr>
        <w:t>are primarily considered the head of the households and granted the roles of community leaders and/or representatives</w:t>
      </w:r>
    </w:p>
  </w:endnote>
  <w:endnote w:id="38">
    <w:p w14:paraId="10FE4CCC"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 xml:space="preserve">Manushya Foundation, </w:t>
      </w:r>
      <w:r w:rsidRPr="00245C41">
        <w:rPr>
          <w:rFonts w:asciiTheme="minorHAnsi" w:eastAsia="Calibri" w:hAnsiTheme="minorHAnsi" w:cstheme="minorHAnsi"/>
          <w:i/>
          <w:sz w:val="20"/>
          <w:szCs w:val="20"/>
        </w:rPr>
        <w:t>The Rights of Indigenous Women In Thailand: Joint Submission To The UN Universal Periodic Review (UPR) For Thailand's Third UPR Cycle, 39th Session Of The UPR Working Group,</w:t>
      </w:r>
      <w:r w:rsidRPr="00245C41">
        <w:rPr>
          <w:rFonts w:asciiTheme="minorHAnsi" w:eastAsia="Calibri" w:hAnsiTheme="minorHAnsi" w:cstheme="minorHAnsi"/>
          <w:sz w:val="20"/>
          <w:szCs w:val="20"/>
        </w:rPr>
        <w:t xml:space="preserve"> (16 April 2021), available at: </w:t>
      </w:r>
      <w:hyperlink r:id="rId21">
        <w:r w:rsidRPr="00245C41">
          <w:rPr>
            <w:rFonts w:asciiTheme="minorHAnsi" w:eastAsia="Calibri" w:hAnsiTheme="minorHAnsi" w:cstheme="minorHAnsi"/>
            <w:color w:val="1155CC"/>
            <w:sz w:val="20"/>
            <w:szCs w:val="20"/>
            <w:u w:val="single"/>
          </w:rPr>
          <w:t>https://www.manushyafoundation.org/joint-upr-submission-ipwomen</w:t>
        </w:r>
      </w:hyperlink>
      <w:r w:rsidRPr="00245C41">
        <w:rPr>
          <w:rFonts w:asciiTheme="minorHAnsi" w:eastAsia="Calibri" w:hAnsiTheme="minorHAnsi" w:cstheme="minorHAnsi"/>
          <w:sz w:val="20"/>
          <w:szCs w:val="20"/>
        </w:rPr>
        <w:t xml:space="preserve">  </w:t>
      </w:r>
    </w:p>
  </w:endnote>
  <w:endnote w:id="39">
    <w:p w14:paraId="06D4E842" w14:textId="77777777" w:rsidR="00675C2F" w:rsidRPr="00245C41" w:rsidRDefault="00675C2F" w:rsidP="00675C2F">
      <w:pPr>
        <w:spacing w:line="240" w:lineRule="auto"/>
        <w:ind w:left="360" w:hanging="360"/>
        <w:rPr>
          <w:rFonts w:asciiTheme="minorHAnsi" w:hAnsiTheme="minorHAnsi" w:cstheme="minorHAnsi"/>
          <w:sz w:val="20"/>
          <w:szCs w:val="20"/>
          <w:highlight w:val="yellow"/>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 xml:space="preserve">Manushya Foundation, </w:t>
      </w:r>
      <w:r w:rsidRPr="00245C41">
        <w:rPr>
          <w:rFonts w:asciiTheme="minorHAnsi" w:eastAsia="Calibri" w:hAnsiTheme="minorHAnsi" w:cstheme="minorHAnsi"/>
          <w:i/>
          <w:sz w:val="20"/>
          <w:szCs w:val="20"/>
        </w:rPr>
        <w:t>Khon Isaan: Thailand's Third Universal Periodic Review Cycle</w:t>
      </w:r>
      <w:r w:rsidRPr="00245C41">
        <w:rPr>
          <w:rFonts w:asciiTheme="minorHAnsi" w:eastAsia="Calibri" w:hAnsiTheme="minorHAnsi" w:cstheme="minorHAnsi"/>
          <w:sz w:val="20"/>
          <w:szCs w:val="20"/>
        </w:rPr>
        <w:t xml:space="preserve">, (9 September 2021), available at: </w:t>
      </w:r>
      <w:hyperlink r:id="rId22">
        <w:r w:rsidRPr="00245C41">
          <w:rPr>
            <w:rFonts w:asciiTheme="minorHAnsi" w:eastAsia="Calibri" w:hAnsiTheme="minorHAnsi" w:cstheme="minorHAnsi"/>
            <w:color w:val="1155CC"/>
            <w:sz w:val="20"/>
            <w:szCs w:val="20"/>
            <w:u w:val="single"/>
          </w:rPr>
          <w:t>https://www.manushyafoundation.org/thailand-third-upr-cycle-factsheet-khon-isaan</w:t>
        </w:r>
      </w:hyperlink>
      <w:r w:rsidRPr="00245C41">
        <w:rPr>
          <w:rFonts w:asciiTheme="minorHAnsi" w:eastAsia="Calibri" w:hAnsiTheme="minorHAnsi" w:cstheme="minorHAnsi"/>
          <w:sz w:val="20"/>
          <w:szCs w:val="20"/>
        </w:rPr>
        <w:t xml:space="preserve"> </w:t>
      </w:r>
    </w:p>
  </w:endnote>
  <w:endnote w:id="40">
    <w:p w14:paraId="30DEDDA8"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 xml:space="preserve">Manushya Foundation, </w:t>
      </w:r>
      <w:r w:rsidRPr="00245C41">
        <w:rPr>
          <w:rFonts w:asciiTheme="minorHAnsi" w:eastAsia="Calibri" w:hAnsiTheme="minorHAnsi" w:cstheme="minorHAnsi"/>
          <w:i/>
          <w:sz w:val="20"/>
          <w:szCs w:val="20"/>
        </w:rPr>
        <w:t>Khon Isaan: Thailand's Third Universal Periodic Review Cycle</w:t>
      </w:r>
      <w:r w:rsidRPr="00245C41">
        <w:rPr>
          <w:rFonts w:asciiTheme="minorHAnsi" w:eastAsia="Calibri" w:hAnsiTheme="minorHAnsi" w:cstheme="minorHAnsi"/>
          <w:sz w:val="20"/>
          <w:szCs w:val="20"/>
        </w:rPr>
        <w:t xml:space="preserve">, (9 September 2021), available at: </w:t>
      </w:r>
      <w:hyperlink r:id="rId23">
        <w:r w:rsidRPr="00245C41">
          <w:rPr>
            <w:rFonts w:asciiTheme="minorHAnsi" w:eastAsia="Calibri" w:hAnsiTheme="minorHAnsi" w:cstheme="minorHAnsi"/>
            <w:color w:val="1155CC"/>
            <w:sz w:val="20"/>
            <w:szCs w:val="20"/>
            <w:u w:val="single"/>
          </w:rPr>
          <w:t>https://www.manushyafoundation.org/thailand-third-upr-cycle-factsheet-khon-isaan</w:t>
        </w:r>
      </w:hyperlink>
      <w:r w:rsidRPr="00245C41">
        <w:rPr>
          <w:rFonts w:asciiTheme="minorHAnsi" w:eastAsia="Calibri" w:hAnsiTheme="minorHAnsi" w:cstheme="minorHAnsi"/>
          <w:sz w:val="20"/>
          <w:szCs w:val="20"/>
        </w:rPr>
        <w:t xml:space="preserve"> </w:t>
      </w:r>
    </w:p>
  </w:endnote>
  <w:endnote w:id="41">
    <w:p w14:paraId="70EA39EA" w14:textId="77777777" w:rsidR="00675C2F" w:rsidRPr="00245C41" w:rsidRDefault="00675C2F" w:rsidP="00675C2F">
      <w:pPr>
        <w:spacing w:line="240" w:lineRule="auto"/>
        <w:ind w:left="360" w:hanging="360"/>
        <w:rPr>
          <w:rFonts w:asciiTheme="minorHAns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color w:val="111111"/>
          <w:sz w:val="18"/>
          <w:szCs w:val="18"/>
          <w:highlight w:val="white"/>
        </w:rPr>
        <w:t xml:space="preserve"> </w:t>
      </w:r>
      <w:r w:rsidRPr="00245C41">
        <w:rPr>
          <w:rFonts w:asciiTheme="minorHAnsi" w:eastAsia="Calibri" w:hAnsiTheme="minorHAnsi" w:cstheme="minorHAnsi"/>
          <w:color w:val="111111"/>
          <w:sz w:val="18"/>
          <w:szCs w:val="18"/>
        </w:rPr>
        <w:tab/>
      </w:r>
      <w:r w:rsidRPr="00245C41">
        <w:rPr>
          <w:rFonts w:asciiTheme="minorHAnsi" w:eastAsia="Calibri" w:hAnsiTheme="minorHAnsi" w:cstheme="minorHAnsi"/>
          <w:sz w:val="20"/>
          <w:szCs w:val="20"/>
        </w:rPr>
        <w:t xml:space="preserve">The meaning of "domestic violence" has been expanded under the new FDPA and now covers any action which impairs the "health" or "freedom" of other family members, in addition to the earlier inclusion of harm to life, body, and mind. </w:t>
      </w:r>
      <w:r w:rsidRPr="00245C41">
        <w:rPr>
          <w:rFonts w:asciiTheme="minorHAnsi" w:eastAsia="Calibri" w:hAnsiTheme="minorHAnsi" w:cstheme="minorHAnsi"/>
          <w:i/>
          <w:sz w:val="20"/>
          <w:szCs w:val="20"/>
        </w:rPr>
        <w:t>See</w:t>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color w:val="111111"/>
          <w:sz w:val="20"/>
          <w:szCs w:val="20"/>
          <w:highlight w:val="white"/>
        </w:rPr>
        <w:t xml:space="preserve">Atherton Legal, </w:t>
      </w:r>
      <w:r w:rsidRPr="00245C41">
        <w:rPr>
          <w:rFonts w:asciiTheme="minorHAnsi" w:eastAsia="Calibri" w:hAnsiTheme="minorHAnsi" w:cstheme="minorHAnsi"/>
          <w:i/>
          <w:color w:val="111111"/>
          <w:sz w:val="20"/>
          <w:szCs w:val="20"/>
          <w:highlight w:val="white"/>
        </w:rPr>
        <w:t>Does Thailand’s New Family Development And Protection Act Prohibit Smoking At Home?</w:t>
      </w:r>
      <w:r w:rsidRPr="00245C41">
        <w:rPr>
          <w:rFonts w:asciiTheme="minorHAnsi" w:eastAsia="Calibri" w:hAnsiTheme="minorHAnsi" w:cstheme="minorHAnsi"/>
          <w:color w:val="111111"/>
          <w:sz w:val="20"/>
          <w:szCs w:val="20"/>
          <w:highlight w:val="white"/>
        </w:rPr>
        <w:t xml:space="preserve">, (9 July 2019), available at: </w:t>
      </w:r>
      <w:hyperlink r:id="rId24">
        <w:r w:rsidRPr="00245C41">
          <w:rPr>
            <w:rFonts w:asciiTheme="minorHAnsi" w:eastAsia="Calibri" w:hAnsiTheme="minorHAnsi" w:cstheme="minorHAnsi"/>
            <w:color w:val="1155CC"/>
            <w:sz w:val="20"/>
            <w:szCs w:val="20"/>
            <w:highlight w:val="white"/>
            <w:u w:val="single"/>
          </w:rPr>
          <w:t>https://athertonlegal.com/does-thailands-new-family-development-and-protection-act-prohibit-smoking-at-home/</w:t>
        </w:r>
      </w:hyperlink>
      <w:r w:rsidRPr="00245C41">
        <w:rPr>
          <w:rFonts w:asciiTheme="minorHAnsi" w:eastAsia="Calibri" w:hAnsiTheme="minorHAnsi" w:cstheme="minorHAnsi"/>
          <w:color w:val="111111"/>
          <w:sz w:val="20"/>
          <w:szCs w:val="20"/>
          <w:highlight w:val="white"/>
        </w:rPr>
        <w:t xml:space="preserve">  </w:t>
      </w:r>
    </w:p>
  </w:endnote>
  <w:endnote w:id="42">
    <w:p w14:paraId="64BCB593" w14:textId="77777777" w:rsidR="00675C2F" w:rsidRPr="00245C41" w:rsidRDefault="00675C2F" w:rsidP="00675C2F">
      <w:pPr>
        <w:spacing w:line="240" w:lineRule="auto"/>
        <w:ind w:left="360" w:hanging="360"/>
        <w:rPr>
          <w:rFonts w:asciiTheme="minorHAnsi" w:eastAsia="Calibri" w:hAnsiTheme="minorHAnsi" w:cstheme="minorHAnsi"/>
          <w: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 xml:space="preserve">Manushya Foundation, </w:t>
      </w:r>
      <w:r w:rsidRPr="00245C41">
        <w:rPr>
          <w:rFonts w:asciiTheme="minorHAnsi" w:eastAsia="Calibri" w:hAnsiTheme="minorHAnsi" w:cstheme="minorHAnsi"/>
          <w:i/>
          <w:sz w:val="20"/>
          <w:szCs w:val="20"/>
        </w:rPr>
        <w:t>Women Who Are Subjected to Male Violence in Intimate Relationships:</w:t>
      </w:r>
    </w:p>
    <w:p w14:paraId="368EB413" w14:textId="77777777" w:rsidR="00675C2F" w:rsidRPr="00245C41" w:rsidRDefault="00675C2F" w:rsidP="00675C2F">
      <w:pPr>
        <w:spacing w:line="240" w:lineRule="auto"/>
        <w:ind w:left="360"/>
        <w:rPr>
          <w:rFonts w:asciiTheme="minorHAnsi" w:eastAsia="Calibri" w:hAnsiTheme="minorHAnsi" w:cstheme="minorHAnsi"/>
          <w:sz w:val="20"/>
          <w:szCs w:val="20"/>
        </w:rPr>
      </w:pPr>
      <w:r w:rsidRPr="00245C41">
        <w:rPr>
          <w:rFonts w:asciiTheme="minorHAnsi" w:eastAsia="Calibri" w:hAnsiTheme="minorHAnsi" w:cstheme="minorHAnsi"/>
          <w:i/>
          <w:sz w:val="20"/>
          <w:szCs w:val="20"/>
        </w:rPr>
        <w:t>Thailand's Third Universal Periodic Review Cycle</w:t>
      </w:r>
      <w:r w:rsidRPr="00245C41">
        <w:rPr>
          <w:rFonts w:asciiTheme="minorHAnsi" w:eastAsia="Calibri" w:hAnsiTheme="minorHAnsi" w:cstheme="minorHAnsi"/>
          <w:sz w:val="20"/>
          <w:szCs w:val="20"/>
        </w:rPr>
        <w:t xml:space="preserve">, (9 September 2021), available at: </w:t>
      </w:r>
      <w:hyperlink r:id="rId25">
        <w:r w:rsidRPr="00245C41">
          <w:rPr>
            <w:rFonts w:asciiTheme="minorHAnsi" w:eastAsia="Calibri" w:hAnsiTheme="minorHAnsi" w:cstheme="minorHAnsi"/>
            <w:color w:val="1155CC"/>
            <w:sz w:val="20"/>
            <w:szCs w:val="20"/>
            <w:u w:val="single"/>
          </w:rPr>
          <w:t>https://www.manushyafoundation.org/thailand-third-upr-cycle-factsheet-women-who-are-subjected-to-male-violence</w:t>
        </w:r>
      </w:hyperlink>
      <w:r w:rsidRPr="00245C41">
        <w:rPr>
          <w:rFonts w:asciiTheme="minorHAnsi" w:eastAsia="Calibri" w:hAnsiTheme="minorHAnsi" w:cstheme="minorHAnsi"/>
          <w:sz w:val="20"/>
          <w:szCs w:val="20"/>
        </w:rPr>
        <w:t xml:space="preserve"> </w:t>
      </w:r>
    </w:p>
  </w:endnote>
  <w:endnote w:id="43">
    <w:p w14:paraId="1B9F176B" w14:textId="77777777" w:rsidR="00675C2F" w:rsidRPr="00245C41" w:rsidRDefault="00675C2F" w:rsidP="00675C2F">
      <w:pPr>
        <w:spacing w:line="240" w:lineRule="auto"/>
        <w:ind w:left="360" w:hanging="360"/>
        <w:rPr>
          <w:rFonts w:asciiTheme="minorHAnsi" w:eastAsia="Calibri" w:hAnsiTheme="minorHAnsi" w:cstheme="minorHAnsi"/>
          <w: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 xml:space="preserve">Manushya Foundation, </w:t>
      </w:r>
      <w:r w:rsidRPr="00245C41">
        <w:rPr>
          <w:rFonts w:asciiTheme="minorHAnsi" w:eastAsia="Calibri" w:hAnsiTheme="minorHAnsi" w:cstheme="minorHAnsi"/>
          <w:i/>
          <w:sz w:val="20"/>
          <w:szCs w:val="20"/>
        </w:rPr>
        <w:t>Women Who Are Subjected To Male Violence In Intimate Relationships:</w:t>
      </w:r>
    </w:p>
    <w:p w14:paraId="41522788" w14:textId="77777777" w:rsidR="00675C2F" w:rsidRPr="00245C41" w:rsidRDefault="00675C2F" w:rsidP="00675C2F">
      <w:pPr>
        <w:spacing w:line="240" w:lineRule="auto"/>
        <w:ind w:left="360"/>
        <w:rPr>
          <w:rFonts w:asciiTheme="minorHAnsi" w:eastAsia="Calibri" w:hAnsiTheme="minorHAnsi" w:cstheme="minorHAnsi"/>
          <w:sz w:val="20"/>
          <w:szCs w:val="20"/>
        </w:rPr>
      </w:pPr>
      <w:r w:rsidRPr="00245C41">
        <w:rPr>
          <w:rFonts w:asciiTheme="minorHAnsi" w:eastAsia="Calibri" w:hAnsiTheme="minorHAnsi" w:cstheme="minorHAnsi"/>
          <w:i/>
          <w:sz w:val="20"/>
          <w:szCs w:val="20"/>
        </w:rPr>
        <w:t>Thailand's Third Universal Periodic Review Cycle,</w:t>
      </w:r>
      <w:r w:rsidRPr="00245C41">
        <w:rPr>
          <w:rFonts w:asciiTheme="minorHAnsi" w:eastAsia="Calibri" w:hAnsiTheme="minorHAnsi" w:cstheme="minorHAnsi"/>
          <w:sz w:val="20"/>
          <w:szCs w:val="20"/>
        </w:rPr>
        <w:t xml:space="preserve"> (9 September 2021), available at: </w:t>
      </w:r>
      <w:hyperlink r:id="rId26">
        <w:r w:rsidRPr="00245C41">
          <w:rPr>
            <w:rFonts w:asciiTheme="minorHAnsi" w:eastAsia="Calibri" w:hAnsiTheme="minorHAnsi" w:cstheme="minorHAnsi"/>
            <w:color w:val="1155CC"/>
            <w:sz w:val="20"/>
            <w:szCs w:val="20"/>
            <w:u w:val="single"/>
          </w:rPr>
          <w:t>https://www.manushyafoundation.org/thailand-third-upr-cycle-factsheet-women-who-are-subjected-to-male-violence</w:t>
        </w:r>
      </w:hyperlink>
      <w:r w:rsidRPr="00245C41">
        <w:rPr>
          <w:rFonts w:asciiTheme="minorHAnsi" w:eastAsia="Calibri" w:hAnsiTheme="minorHAnsi" w:cstheme="minorHAnsi"/>
          <w:sz w:val="20"/>
          <w:szCs w:val="20"/>
        </w:rPr>
        <w:t xml:space="preserve"> </w:t>
      </w:r>
    </w:p>
  </w:endnote>
  <w:endnote w:id="44">
    <w:p w14:paraId="07C36713"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 xml:space="preserve">In the murder case in Bang Phrom, a man murdered his mother and was later shot to death by the police. Even though the man has been abusing his mother for years and people in the neighborhood have reported him so many times, the police never arrested him as they considered it a family matter. </w:t>
      </w:r>
      <w:r w:rsidRPr="00245C41">
        <w:rPr>
          <w:rFonts w:asciiTheme="minorHAnsi" w:eastAsia="Calibri" w:hAnsiTheme="minorHAnsi" w:cstheme="minorHAnsi"/>
          <w:i/>
          <w:sz w:val="20"/>
          <w:szCs w:val="20"/>
        </w:rPr>
        <w:t>See</w:t>
      </w:r>
      <w:r w:rsidRPr="00245C41">
        <w:rPr>
          <w:rFonts w:asciiTheme="minorHAnsi" w:eastAsia="Calibri" w:hAnsiTheme="minorHAnsi" w:cstheme="minorHAnsi"/>
          <w:sz w:val="20"/>
          <w:szCs w:val="20"/>
        </w:rPr>
        <w:t xml:space="preserve"> Manushya Foundation, </w:t>
      </w:r>
      <w:r w:rsidRPr="00245C41">
        <w:rPr>
          <w:rFonts w:asciiTheme="minorHAnsi" w:eastAsia="Calibri" w:hAnsiTheme="minorHAnsi" w:cstheme="minorHAnsi"/>
          <w:i/>
          <w:sz w:val="20"/>
          <w:szCs w:val="20"/>
        </w:rPr>
        <w:t>Domestic Violence is a Crime! The Matricide Case at Bang Phrom, Thailand,</w:t>
      </w:r>
      <w:r w:rsidRPr="00245C41">
        <w:rPr>
          <w:rFonts w:asciiTheme="minorHAnsi" w:eastAsia="Calibri" w:hAnsiTheme="minorHAnsi" w:cstheme="minorHAnsi"/>
          <w:sz w:val="20"/>
          <w:szCs w:val="20"/>
        </w:rPr>
        <w:t xml:space="preserve"> (29 January 2021), available at: </w:t>
      </w:r>
      <w:hyperlink r:id="rId27">
        <w:r w:rsidRPr="00245C41">
          <w:rPr>
            <w:rFonts w:asciiTheme="minorHAnsi" w:eastAsia="Calibri" w:hAnsiTheme="minorHAnsi" w:cstheme="minorHAnsi"/>
            <w:color w:val="1155CC"/>
            <w:sz w:val="20"/>
            <w:szCs w:val="20"/>
            <w:u w:val="single"/>
          </w:rPr>
          <w:t>https://www.manushyafoundation.org/post/domestic-violence-is-a-crime-the-matricide-case-at-bang-phrom-thailand</w:t>
        </w:r>
      </w:hyperlink>
      <w:r w:rsidRPr="00245C41">
        <w:rPr>
          <w:rFonts w:asciiTheme="minorHAnsi" w:eastAsia="Calibri" w:hAnsiTheme="minorHAnsi" w:cstheme="minorHAnsi"/>
          <w:sz w:val="20"/>
          <w:szCs w:val="20"/>
        </w:rPr>
        <w:t xml:space="preserve"> </w:t>
      </w:r>
    </w:p>
  </w:endnote>
  <w:endnote w:id="45">
    <w:p w14:paraId="6E55EF22"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 xml:space="preserve">According to a nationwide survey carried out by the Thai Health Promotion Foundation, there has been a 66% increase in domestic violence cases since the introduction of COVID-19 control measures in March 2020. Cases increased by nearly a half in the South. In the first seven months of 2020, there were 367 reported cases of domestic violence, with 242 of them resulting in the death of the victim. </w:t>
      </w:r>
      <w:r w:rsidRPr="00245C41">
        <w:rPr>
          <w:rFonts w:asciiTheme="minorHAnsi" w:eastAsia="Calibri" w:hAnsiTheme="minorHAnsi" w:cstheme="minorHAnsi"/>
          <w:i/>
          <w:sz w:val="20"/>
          <w:szCs w:val="20"/>
        </w:rPr>
        <w:t xml:space="preserve">See </w:t>
      </w:r>
      <w:r w:rsidRPr="00245C41">
        <w:rPr>
          <w:rFonts w:asciiTheme="minorHAnsi" w:eastAsia="Calibri" w:hAnsiTheme="minorHAnsi" w:cstheme="minorHAnsi"/>
          <w:sz w:val="20"/>
          <w:szCs w:val="20"/>
        </w:rPr>
        <w:t xml:space="preserve">UCA News, </w:t>
      </w:r>
      <w:r w:rsidRPr="00245C41">
        <w:rPr>
          <w:rFonts w:asciiTheme="minorHAnsi" w:eastAsia="Calibri" w:hAnsiTheme="minorHAnsi" w:cstheme="minorHAnsi"/>
          <w:i/>
          <w:sz w:val="20"/>
          <w:szCs w:val="20"/>
        </w:rPr>
        <w:t>Thailand sees surge in domestic violence during pandemic,</w:t>
      </w:r>
      <w:r w:rsidRPr="00245C41">
        <w:rPr>
          <w:rFonts w:asciiTheme="minorHAnsi" w:eastAsia="Calibri" w:hAnsiTheme="minorHAnsi" w:cstheme="minorHAnsi"/>
          <w:sz w:val="20"/>
          <w:szCs w:val="20"/>
        </w:rPr>
        <w:t xml:space="preserve"> (24 November 2020), available at: </w:t>
      </w:r>
      <w:hyperlink r:id="rId28">
        <w:r w:rsidRPr="00245C41">
          <w:rPr>
            <w:rFonts w:asciiTheme="minorHAnsi" w:eastAsia="Calibri" w:hAnsiTheme="minorHAnsi" w:cstheme="minorHAnsi"/>
            <w:color w:val="1155CC"/>
            <w:sz w:val="20"/>
            <w:szCs w:val="20"/>
            <w:u w:val="single"/>
          </w:rPr>
          <w:t>https://www.ucanews.com/news/thailand-sees-surge-in-domestic-violence-during-pandemic/90421</w:t>
        </w:r>
      </w:hyperlink>
      <w:r w:rsidRPr="00245C41">
        <w:rPr>
          <w:rFonts w:asciiTheme="minorHAnsi" w:eastAsia="Calibri" w:hAnsiTheme="minorHAnsi" w:cstheme="minorHAnsi"/>
          <w:sz w:val="20"/>
          <w:szCs w:val="20"/>
        </w:rPr>
        <w:t xml:space="preserve"> </w:t>
      </w:r>
    </w:p>
  </w:endnote>
  <w:endnote w:id="46">
    <w:p w14:paraId="71C3E422"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 xml:space="preserve">Manushya Foundation, </w:t>
      </w:r>
      <w:r w:rsidRPr="00245C41">
        <w:rPr>
          <w:rFonts w:asciiTheme="minorHAnsi" w:eastAsia="Calibri" w:hAnsiTheme="minorHAnsi" w:cstheme="minorHAnsi"/>
          <w:i/>
          <w:sz w:val="20"/>
          <w:szCs w:val="20"/>
        </w:rPr>
        <w:t>#HateSpeech: How is online hate speech hurting feminist activists today?</w:t>
      </w:r>
      <w:r w:rsidRPr="00245C41">
        <w:rPr>
          <w:rFonts w:asciiTheme="minorHAnsi" w:eastAsia="Calibri" w:hAnsiTheme="minorHAnsi" w:cstheme="minorHAnsi"/>
          <w:sz w:val="20"/>
          <w:szCs w:val="20"/>
        </w:rPr>
        <w:t xml:space="preserve">, (25 September 2022), available at: </w:t>
      </w:r>
      <w:hyperlink r:id="rId29">
        <w:r w:rsidRPr="00245C41">
          <w:rPr>
            <w:rFonts w:asciiTheme="minorHAnsi" w:eastAsia="Calibri" w:hAnsiTheme="minorHAnsi" w:cstheme="minorHAnsi"/>
            <w:color w:val="1155CC"/>
            <w:sz w:val="20"/>
            <w:szCs w:val="20"/>
            <w:u w:val="single"/>
          </w:rPr>
          <w:t>https://www.manushyafoundation.org/post/hatespeech-how-is-online-hate-speech-hurting-feminist-activists-today</w:t>
        </w:r>
      </w:hyperlink>
      <w:r w:rsidRPr="00245C41">
        <w:rPr>
          <w:rFonts w:asciiTheme="minorHAnsi" w:eastAsia="Calibri" w:hAnsiTheme="minorHAnsi" w:cstheme="minorHAnsi"/>
          <w:sz w:val="20"/>
          <w:szCs w:val="20"/>
        </w:rPr>
        <w:t xml:space="preserve"> </w:t>
      </w:r>
    </w:p>
  </w:endnote>
  <w:endnote w:id="47">
    <w:p w14:paraId="0313E511"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 xml:space="preserve">FIDH, </w:t>
      </w:r>
      <w:r w:rsidRPr="00245C41">
        <w:rPr>
          <w:rFonts w:asciiTheme="minorHAnsi" w:eastAsia="Calibri" w:hAnsiTheme="minorHAnsi" w:cstheme="minorHAnsi"/>
          <w:i/>
          <w:sz w:val="20"/>
          <w:szCs w:val="20"/>
        </w:rPr>
        <w:t>Thailand: Women Pro-Democracy Activists Criminalized, Harassed, New Report Shows</w:t>
      </w:r>
      <w:r w:rsidRPr="00245C41">
        <w:rPr>
          <w:rFonts w:asciiTheme="minorHAnsi" w:eastAsia="Calibri" w:hAnsiTheme="minorHAnsi" w:cstheme="minorHAnsi"/>
          <w:sz w:val="20"/>
          <w:szCs w:val="20"/>
        </w:rPr>
        <w:t xml:space="preserve">, (3 February 2021), available at: </w:t>
      </w:r>
      <w:hyperlink r:id="rId30">
        <w:r w:rsidRPr="00245C41">
          <w:rPr>
            <w:rFonts w:asciiTheme="minorHAnsi" w:eastAsia="Calibri" w:hAnsiTheme="minorHAnsi" w:cstheme="minorHAnsi"/>
            <w:color w:val="1155CC"/>
            <w:sz w:val="20"/>
            <w:szCs w:val="20"/>
            <w:u w:val="single"/>
          </w:rPr>
          <w:t>https://www.fidh.org/en/region/asia/thailand/thailand-women-pro-democracy-activists-criminalized-harassed-new</w:t>
        </w:r>
      </w:hyperlink>
      <w:r w:rsidRPr="00245C41">
        <w:rPr>
          <w:rFonts w:asciiTheme="minorHAnsi" w:eastAsia="Calibri" w:hAnsiTheme="minorHAnsi" w:cstheme="minorHAnsi"/>
          <w:sz w:val="20"/>
          <w:szCs w:val="20"/>
        </w:rPr>
        <w:t xml:space="preserve"> </w:t>
      </w:r>
    </w:p>
  </w:endnote>
  <w:endnote w:id="48">
    <w:p w14:paraId="2D476244" w14:textId="77777777" w:rsidR="00675C2F" w:rsidRPr="00245C41" w:rsidRDefault="00675C2F" w:rsidP="00675C2F">
      <w:pPr>
        <w:spacing w:line="240" w:lineRule="auto"/>
        <w:ind w:left="360" w:hanging="360"/>
        <w:rPr>
          <w:rFonts w:asciiTheme="minorHAns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 xml:space="preserve">Manushya Foundation, </w:t>
      </w:r>
      <w:r w:rsidRPr="00245C41">
        <w:rPr>
          <w:rFonts w:asciiTheme="minorHAnsi" w:eastAsia="Calibri" w:hAnsiTheme="minorHAnsi" w:cstheme="minorHAnsi"/>
          <w:i/>
          <w:sz w:val="20"/>
          <w:szCs w:val="20"/>
        </w:rPr>
        <w:t>Situation of LGBTIQ+ Persons, including LGBTIQ+ Youth &amp; Children: Thailand's Third Universal Periodic Review Cycle</w:t>
      </w:r>
      <w:r w:rsidRPr="00245C41">
        <w:rPr>
          <w:rFonts w:asciiTheme="minorHAnsi" w:eastAsia="Calibri" w:hAnsiTheme="minorHAnsi" w:cstheme="minorHAnsi"/>
          <w:sz w:val="20"/>
          <w:szCs w:val="20"/>
        </w:rPr>
        <w:t xml:space="preserve">, (29 September 2021), available at: </w:t>
      </w:r>
      <w:hyperlink r:id="rId31">
        <w:r w:rsidRPr="00245C41">
          <w:rPr>
            <w:rFonts w:asciiTheme="minorHAnsi" w:eastAsia="Calibri" w:hAnsiTheme="minorHAnsi" w:cstheme="minorHAnsi"/>
            <w:color w:val="1155CC"/>
            <w:sz w:val="20"/>
            <w:szCs w:val="20"/>
            <w:u w:val="single"/>
          </w:rPr>
          <w:t>https://www.manushyafoundation.org/thailand-third-upr-cycle-factsheet-lgbtiq-persons</w:t>
        </w:r>
      </w:hyperlink>
      <w:r w:rsidRPr="00245C41">
        <w:rPr>
          <w:rFonts w:asciiTheme="minorHAnsi" w:eastAsia="Calibri" w:hAnsiTheme="minorHAnsi" w:cstheme="minorHAnsi"/>
          <w:sz w:val="20"/>
          <w:szCs w:val="20"/>
        </w:rPr>
        <w:t xml:space="preserve">; Manushya Foundation,  </w:t>
      </w:r>
      <w:r w:rsidRPr="00245C41">
        <w:rPr>
          <w:rFonts w:asciiTheme="minorHAnsi" w:eastAsia="Calibri" w:hAnsiTheme="minorHAnsi" w:cstheme="minorHAnsi"/>
          <w:i/>
          <w:sz w:val="20"/>
          <w:szCs w:val="20"/>
        </w:rPr>
        <w:t>WHRDs in the Digital Space: Realities &amp; Solutions to Speak Truth to Power Freely!</w:t>
      </w:r>
      <w:r w:rsidRPr="00245C41">
        <w:rPr>
          <w:rFonts w:asciiTheme="minorHAnsi" w:eastAsia="Calibri" w:hAnsiTheme="minorHAnsi" w:cstheme="minorHAnsi"/>
          <w:sz w:val="20"/>
          <w:szCs w:val="20"/>
        </w:rPr>
        <w:t xml:space="preserve">, (9 April 2021), available at:  </w:t>
      </w:r>
      <w:hyperlink r:id="rId32">
        <w:r w:rsidRPr="00245C41">
          <w:rPr>
            <w:rFonts w:asciiTheme="minorHAnsi" w:eastAsia="Calibri" w:hAnsiTheme="minorHAnsi" w:cstheme="minorHAnsi"/>
            <w:color w:val="1155CC"/>
            <w:sz w:val="20"/>
            <w:szCs w:val="20"/>
            <w:u w:val="single"/>
          </w:rPr>
          <w:t>https://www.manushyafoundation.org/post/whrds-in-the-digital-space-realities-solutions-to-speak-truth-to-power-freely</w:t>
        </w:r>
      </w:hyperlink>
      <w:r w:rsidRPr="00245C41">
        <w:rPr>
          <w:rFonts w:asciiTheme="minorHAnsi" w:eastAsia="Calibri" w:hAnsiTheme="minorHAnsi" w:cstheme="minorHAnsi"/>
          <w:sz w:val="20"/>
          <w:szCs w:val="20"/>
        </w:rPr>
        <w:t xml:space="preserve"> </w:t>
      </w:r>
    </w:p>
  </w:endnote>
  <w:endnote w:id="49">
    <w:p w14:paraId="2691A12D" w14:textId="77777777" w:rsidR="00675C2F" w:rsidRPr="00245C41" w:rsidRDefault="00675C2F" w:rsidP="00675C2F">
      <w:pPr>
        <w:spacing w:line="240" w:lineRule="auto"/>
        <w:ind w:left="360" w:hanging="360"/>
        <w:rPr>
          <w:rFonts w:asciiTheme="minorHAnsi" w:hAnsiTheme="minorHAnsi" w:cstheme="minorHAnsi"/>
          <w:sz w:val="20"/>
          <w:szCs w:val="20"/>
        </w:rPr>
      </w:pPr>
      <w:r w:rsidRPr="00245C41">
        <w:rPr>
          <w:rFonts w:asciiTheme="minorHAnsi" w:hAnsiTheme="minorHAnsi" w:cstheme="minorHAnsi"/>
          <w:vertAlign w:val="superscript"/>
        </w:rPr>
        <w:endnoteRef/>
      </w:r>
      <w:r w:rsidRPr="00245C41">
        <w:rPr>
          <w:rFonts w:asciiTheme="minorHAnsi" w:hAnsiTheme="minorHAnsi" w:cstheme="minorHAnsi"/>
          <w:sz w:val="20"/>
          <w:szCs w:val="20"/>
        </w:rPr>
        <w:t xml:space="preserve"> </w:t>
      </w:r>
      <w:r w:rsidRPr="00245C41">
        <w:rPr>
          <w:rFonts w:asciiTheme="minorHAnsi" w:hAnsiTheme="minorHAnsi" w:cstheme="minorHAnsi"/>
          <w:sz w:val="20"/>
          <w:szCs w:val="20"/>
        </w:rPr>
        <w:tab/>
      </w:r>
      <w:r w:rsidRPr="00245C41">
        <w:rPr>
          <w:rFonts w:asciiTheme="minorHAnsi" w:eastAsia="Calibri" w:hAnsiTheme="minorHAnsi" w:cstheme="minorHAnsi"/>
          <w:sz w:val="20"/>
          <w:szCs w:val="20"/>
        </w:rPr>
        <w:t xml:space="preserve">Manushya Foundation, </w:t>
      </w:r>
      <w:r w:rsidRPr="00245C41">
        <w:rPr>
          <w:rFonts w:asciiTheme="minorHAnsi" w:eastAsia="Calibri" w:hAnsiTheme="minorHAnsi" w:cstheme="minorHAnsi"/>
          <w:i/>
          <w:sz w:val="20"/>
          <w:szCs w:val="20"/>
        </w:rPr>
        <w:t>WHRDs in the Digital Space: Realities &amp; Solutions to Speak Truth to Power Freely!</w:t>
      </w:r>
      <w:r w:rsidRPr="00245C41">
        <w:rPr>
          <w:rFonts w:asciiTheme="minorHAnsi" w:eastAsia="Calibri" w:hAnsiTheme="minorHAnsi" w:cstheme="minorHAnsi"/>
          <w:sz w:val="20"/>
          <w:szCs w:val="20"/>
        </w:rPr>
        <w:t xml:space="preserve">, (9 April 2021), available at:  </w:t>
      </w:r>
      <w:hyperlink r:id="rId33">
        <w:r w:rsidRPr="00245C41">
          <w:rPr>
            <w:rFonts w:asciiTheme="minorHAnsi" w:eastAsia="Calibri" w:hAnsiTheme="minorHAnsi" w:cstheme="minorHAnsi"/>
            <w:color w:val="1155CC"/>
            <w:sz w:val="20"/>
            <w:szCs w:val="20"/>
            <w:u w:val="single"/>
          </w:rPr>
          <w:t>https://www.manushyafoundation.org/post/whrds-in-the-digital-space-realities-solutions-to-speak-truth-to-power-freely</w:t>
        </w:r>
      </w:hyperlink>
      <w:r w:rsidRPr="00245C41">
        <w:rPr>
          <w:rFonts w:asciiTheme="minorHAnsi" w:eastAsia="Calibri" w:hAnsiTheme="minorHAnsi" w:cstheme="minorHAnsi"/>
          <w:sz w:val="20"/>
          <w:szCs w:val="20"/>
        </w:rPr>
        <w:t xml:space="preserve"> </w:t>
      </w:r>
    </w:p>
  </w:endnote>
  <w:endnote w:id="50">
    <w:p w14:paraId="3BE0F6FE"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 xml:space="preserve">Protection International, </w:t>
      </w:r>
      <w:r w:rsidRPr="00245C41">
        <w:rPr>
          <w:rFonts w:asciiTheme="minorHAnsi" w:eastAsia="Calibri" w:hAnsiTheme="minorHAnsi" w:cstheme="minorHAnsi"/>
          <w:i/>
          <w:sz w:val="20"/>
          <w:szCs w:val="20"/>
        </w:rPr>
        <w:t>[Thailand] Angkhana Neelapaijit and Anchana Heemmina File Civil Case against PM’s Office and Royal Thai Army for Their Involvement in a Disinformation and Smear Campaign</w:t>
      </w:r>
      <w:r w:rsidRPr="00245C41">
        <w:rPr>
          <w:rFonts w:asciiTheme="minorHAnsi" w:eastAsia="Calibri" w:hAnsiTheme="minorHAnsi" w:cstheme="minorHAnsi"/>
          <w:sz w:val="20"/>
          <w:szCs w:val="20"/>
        </w:rPr>
        <w:t xml:space="preserve">, (16 November 2020), available at: </w:t>
      </w:r>
      <w:hyperlink r:id="rId34">
        <w:r w:rsidRPr="00245C41">
          <w:rPr>
            <w:rFonts w:asciiTheme="minorHAnsi" w:eastAsia="Calibri" w:hAnsiTheme="minorHAnsi" w:cstheme="minorHAnsi"/>
            <w:color w:val="1155CC"/>
            <w:sz w:val="20"/>
            <w:szCs w:val="20"/>
            <w:u w:val="single"/>
          </w:rPr>
          <w:t>https://www.protectioninternational.org/en/news/thailand-angkhana-neelapaijit-and-anchana-heemmina-file-civil-case-against-pms-office-and-royal</w:t>
        </w:r>
      </w:hyperlink>
      <w:r w:rsidRPr="00245C41">
        <w:rPr>
          <w:rFonts w:asciiTheme="minorHAnsi" w:eastAsia="Calibri" w:hAnsiTheme="minorHAnsi" w:cstheme="minorHAnsi"/>
          <w:sz w:val="20"/>
          <w:szCs w:val="20"/>
        </w:rPr>
        <w:t xml:space="preserve">; Manushya Foundation Instagram Page, </w:t>
      </w:r>
      <w:r w:rsidRPr="00245C41">
        <w:rPr>
          <w:rFonts w:asciiTheme="minorHAnsi" w:eastAsia="Calibri" w:hAnsiTheme="minorHAnsi" w:cstheme="minorHAnsi"/>
          <w:i/>
          <w:sz w:val="20"/>
          <w:szCs w:val="20"/>
        </w:rPr>
        <w:t xml:space="preserve">Public post of 12 May 2022 concerning the case of Angkhana Neelapaijit and Anchana Heemmina, </w:t>
      </w:r>
      <w:r w:rsidRPr="00245C41">
        <w:rPr>
          <w:rFonts w:asciiTheme="minorHAnsi" w:eastAsia="Calibri" w:hAnsiTheme="minorHAnsi" w:cstheme="minorHAnsi"/>
          <w:sz w:val="20"/>
          <w:szCs w:val="20"/>
        </w:rPr>
        <w:t xml:space="preserve">(12 May 2022), available at: </w:t>
      </w:r>
      <w:hyperlink r:id="rId35">
        <w:r w:rsidRPr="00245C41">
          <w:rPr>
            <w:rFonts w:asciiTheme="minorHAnsi" w:eastAsia="Calibri" w:hAnsiTheme="minorHAnsi" w:cstheme="minorHAnsi"/>
            <w:color w:val="1155CC"/>
            <w:sz w:val="20"/>
            <w:szCs w:val="20"/>
            <w:u w:val="single"/>
          </w:rPr>
          <w:t>https://www.instagram.com/p/CddX6rYLR-N/</w:t>
        </w:r>
      </w:hyperlink>
      <w:r w:rsidRPr="00245C41">
        <w:rPr>
          <w:rFonts w:asciiTheme="minorHAnsi" w:eastAsia="Calibri" w:hAnsiTheme="minorHAnsi" w:cstheme="minorHAnsi"/>
          <w:sz w:val="20"/>
          <w:szCs w:val="20"/>
        </w:rPr>
        <w:t xml:space="preserve"> </w:t>
      </w:r>
    </w:p>
  </w:endnote>
  <w:endnote w:id="51">
    <w:p w14:paraId="4070383A"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 xml:space="preserve">Prachatai, </w:t>
      </w:r>
      <w:r w:rsidRPr="00245C41">
        <w:rPr>
          <w:rFonts w:ascii="Browallia New" w:eastAsia="Calibri" w:hAnsi="Browallia New" w:cs="Browallia New"/>
          <w:i/>
          <w:sz w:val="20"/>
          <w:szCs w:val="20"/>
        </w:rPr>
        <w:t>สืบพยานฝ่ายโจทก์ครั้งสุดท้ายคดี</w:t>
      </w:r>
      <w:r w:rsidRPr="00245C41">
        <w:rPr>
          <w:rFonts w:asciiTheme="minorHAnsi" w:eastAsia="Calibri" w:hAnsiTheme="minorHAnsi" w:cstheme="minorHAnsi"/>
          <w:i/>
          <w:sz w:val="20"/>
          <w:szCs w:val="20"/>
        </w:rPr>
        <w:t xml:space="preserve"> '</w:t>
      </w:r>
      <w:r w:rsidRPr="00245C41">
        <w:rPr>
          <w:rFonts w:ascii="Browallia New" w:eastAsia="Calibri" w:hAnsi="Browallia New" w:cs="Browallia New"/>
          <w:i/>
          <w:sz w:val="20"/>
          <w:szCs w:val="20"/>
        </w:rPr>
        <w:t>อังคณา</w:t>
      </w:r>
      <w:r w:rsidRPr="00245C41">
        <w:rPr>
          <w:rFonts w:asciiTheme="minorHAnsi" w:eastAsia="Calibri" w:hAnsiTheme="minorHAnsi" w:cstheme="minorHAnsi"/>
          <w:i/>
          <w:sz w:val="20"/>
          <w:szCs w:val="20"/>
        </w:rPr>
        <w:t>-</w:t>
      </w:r>
      <w:r w:rsidRPr="00245C41">
        <w:rPr>
          <w:rFonts w:ascii="Browallia New" w:eastAsia="Calibri" w:hAnsi="Browallia New" w:cs="Browallia New"/>
          <w:i/>
          <w:sz w:val="20"/>
          <w:szCs w:val="20"/>
        </w:rPr>
        <w:t>อัญชนา</w:t>
      </w:r>
      <w:r w:rsidRPr="00245C41">
        <w:rPr>
          <w:rFonts w:asciiTheme="minorHAnsi" w:eastAsia="Calibri" w:hAnsiTheme="minorHAnsi" w:cstheme="minorHAnsi"/>
          <w:i/>
          <w:sz w:val="20"/>
          <w:szCs w:val="20"/>
        </w:rPr>
        <w:t xml:space="preserve">' </w:t>
      </w:r>
      <w:r w:rsidRPr="00245C41">
        <w:rPr>
          <w:rFonts w:ascii="Browallia New" w:eastAsia="Calibri" w:hAnsi="Browallia New" w:cs="Browallia New"/>
          <w:i/>
          <w:sz w:val="20"/>
          <w:szCs w:val="20"/>
        </w:rPr>
        <w:t>ฟ้อง</w:t>
      </w:r>
      <w:r w:rsidRPr="00245C41">
        <w:rPr>
          <w:rFonts w:asciiTheme="minorHAnsi" w:eastAsia="Calibri" w:hAnsiTheme="minorHAnsi" w:cstheme="minorHAnsi"/>
          <w:i/>
          <w:sz w:val="20"/>
          <w:szCs w:val="20"/>
        </w:rPr>
        <w:t xml:space="preserve"> '</w:t>
      </w:r>
      <w:r w:rsidRPr="00245C41">
        <w:rPr>
          <w:rFonts w:ascii="Browallia New" w:eastAsia="Calibri" w:hAnsi="Browallia New" w:cs="Browallia New"/>
          <w:i/>
          <w:sz w:val="20"/>
          <w:szCs w:val="20"/>
        </w:rPr>
        <w:t>สำนักนายก</w:t>
      </w:r>
      <w:r w:rsidRPr="00245C41">
        <w:rPr>
          <w:rFonts w:asciiTheme="minorHAnsi" w:eastAsia="Calibri" w:hAnsiTheme="minorHAnsi" w:cstheme="minorHAnsi"/>
          <w:i/>
          <w:sz w:val="20"/>
          <w:szCs w:val="20"/>
        </w:rPr>
        <w:t>-</w:t>
      </w:r>
      <w:r w:rsidRPr="00245C41">
        <w:rPr>
          <w:rFonts w:ascii="Browallia New" w:eastAsia="Calibri" w:hAnsi="Browallia New" w:cs="Browallia New"/>
          <w:i/>
          <w:sz w:val="20"/>
          <w:szCs w:val="20"/>
        </w:rPr>
        <w:t>กองทัพบก</w:t>
      </w:r>
      <w:r w:rsidRPr="00245C41">
        <w:rPr>
          <w:rFonts w:asciiTheme="minorHAnsi" w:eastAsia="Calibri" w:hAnsiTheme="minorHAnsi" w:cstheme="minorHAnsi"/>
          <w:i/>
          <w:sz w:val="20"/>
          <w:szCs w:val="20"/>
        </w:rPr>
        <w:t xml:space="preserve">' </w:t>
      </w:r>
      <w:r w:rsidRPr="00245C41">
        <w:rPr>
          <w:rFonts w:ascii="Browallia New" w:eastAsia="Calibri" w:hAnsi="Browallia New" w:cs="Browallia New"/>
          <w:i/>
          <w:sz w:val="20"/>
          <w:szCs w:val="20"/>
        </w:rPr>
        <w:t>จัดทำ</w:t>
      </w:r>
      <w:r w:rsidRPr="00245C41">
        <w:rPr>
          <w:rFonts w:asciiTheme="minorHAnsi" w:eastAsia="Calibri" w:hAnsiTheme="minorHAnsi" w:cstheme="minorHAnsi"/>
          <w:i/>
          <w:sz w:val="20"/>
          <w:szCs w:val="20"/>
        </w:rPr>
        <w:t xml:space="preserve"> IO </w:t>
      </w:r>
      <w:r w:rsidRPr="00245C41">
        <w:rPr>
          <w:rFonts w:ascii="Browallia New" w:eastAsia="Calibri" w:hAnsi="Browallia New" w:cs="Browallia New"/>
          <w:i/>
          <w:sz w:val="20"/>
          <w:szCs w:val="20"/>
        </w:rPr>
        <w:t>โจมตีเพื่อด้อยค่า</w:t>
      </w:r>
      <w:r w:rsidRPr="00245C41">
        <w:rPr>
          <w:rFonts w:asciiTheme="minorHAnsi" w:eastAsia="Calibri" w:hAnsiTheme="minorHAnsi" w:cstheme="minorHAnsi"/>
          <w:sz w:val="20"/>
          <w:szCs w:val="20"/>
        </w:rPr>
        <w:t xml:space="preserve">, (27 August 2022), available at: </w:t>
      </w:r>
      <w:hyperlink r:id="rId36">
        <w:r w:rsidRPr="00245C41">
          <w:rPr>
            <w:rFonts w:asciiTheme="minorHAnsi" w:eastAsia="Calibri" w:hAnsiTheme="minorHAnsi" w:cstheme="minorHAnsi"/>
            <w:color w:val="1155CC"/>
            <w:sz w:val="20"/>
            <w:szCs w:val="20"/>
            <w:u w:val="single"/>
          </w:rPr>
          <w:t>https://prachatai.com/journal/2022/08/100243</w:t>
        </w:r>
      </w:hyperlink>
      <w:r w:rsidRPr="00245C41">
        <w:rPr>
          <w:rFonts w:asciiTheme="minorHAnsi" w:eastAsia="Calibri" w:hAnsiTheme="minorHAnsi" w:cstheme="minorHAnsi"/>
          <w:sz w:val="20"/>
          <w:szCs w:val="20"/>
        </w:rPr>
        <w:t xml:space="preserve"> </w:t>
      </w:r>
    </w:p>
  </w:endnote>
  <w:endnote w:id="52">
    <w:p w14:paraId="2C29EDA0" w14:textId="77777777" w:rsidR="00675C2F" w:rsidRPr="00245C41" w:rsidRDefault="00675C2F" w:rsidP="00675C2F">
      <w:pPr>
        <w:spacing w:line="240" w:lineRule="auto"/>
        <w:ind w:left="360" w:hanging="360"/>
        <w:rPr>
          <w:rFonts w:asciiTheme="minorHAns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r>
      <w:r w:rsidRPr="00245C41">
        <w:rPr>
          <w:rFonts w:asciiTheme="minorHAnsi" w:eastAsia="Calibri" w:hAnsiTheme="minorHAnsi" w:cstheme="minorHAnsi"/>
          <w:color w:val="000000" w:themeColor="text1"/>
          <w:sz w:val="20"/>
          <w:szCs w:val="20"/>
        </w:rPr>
        <w:t>Information obtained from interviews conducted by Manushya Foundation to inform this report, (</w:t>
      </w:r>
      <w:r w:rsidRPr="00245C41">
        <w:rPr>
          <w:rFonts w:asciiTheme="minorHAnsi" w:eastAsia="Calibri" w:hAnsiTheme="minorHAnsi" w:cstheme="minorHAnsi"/>
          <w:sz w:val="20"/>
          <w:szCs w:val="20"/>
        </w:rPr>
        <w:t>August-September 2022)</w:t>
      </w:r>
    </w:p>
  </w:endnote>
  <w:endnote w:id="53">
    <w:p w14:paraId="5F8DE3D2"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Information obtained from interviews conducted by Manushya Foundation to inform this report, (August-September 2022)</w:t>
      </w:r>
    </w:p>
  </w:endnote>
  <w:endnote w:id="54">
    <w:p w14:paraId="6169E12E" w14:textId="77777777" w:rsidR="00675C2F" w:rsidRPr="00245C41" w:rsidRDefault="00675C2F" w:rsidP="00675C2F">
      <w:pPr>
        <w:spacing w:line="240" w:lineRule="auto"/>
        <w:ind w:left="360" w:hanging="360"/>
        <w:rPr>
          <w:rFonts w:asciiTheme="minorHAnsi" w:eastAsia="Calibr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Information obtained from interviews conducted by Manushya Foundation to inform this report, (August-September 2022)</w:t>
      </w:r>
    </w:p>
  </w:endnote>
  <w:endnote w:id="55">
    <w:p w14:paraId="35F07F26" w14:textId="77777777" w:rsidR="00675C2F" w:rsidRPr="00245C41" w:rsidRDefault="00675C2F" w:rsidP="00675C2F">
      <w:pPr>
        <w:spacing w:line="240" w:lineRule="auto"/>
        <w:ind w:left="360" w:hanging="360"/>
        <w:rPr>
          <w:rFonts w:asciiTheme="minorHAns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Information obtained from interviews conducted by Manushya Foundation to inform this report, (August-September 2022)</w:t>
      </w:r>
    </w:p>
  </w:endnote>
  <w:endnote w:id="56">
    <w:p w14:paraId="664A9BAF" w14:textId="77777777" w:rsidR="00675C2F" w:rsidRPr="00245C41" w:rsidRDefault="00675C2F" w:rsidP="00675C2F">
      <w:pPr>
        <w:spacing w:line="240" w:lineRule="auto"/>
        <w:ind w:left="360" w:hanging="360"/>
        <w:rPr>
          <w:rFonts w:asciiTheme="minorHAnsi" w:hAnsiTheme="minorHAnsi" w:cstheme="minorHAnsi"/>
          <w:sz w:val="20"/>
          <w:szCs w:val="20"/>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 xml:space="preserve">Minority Rights Group International, </w:t>
      </w:r>
      <w:r w:rsidRPr="00245C41">
        <w:rPr>
          <w:rFonts w:asciiTheme="minorHAnsi" w:eastAsia="Calibri" w:hAnsiTheme="minorHAnsi" w:cstheme="minorHAnsi"/>
          <w:i/>
          <w:sz w:val="20"/>
          <w:szCs w:val="20"/>
        </w:rPr>
        <w:t>Minority and Disability Rights in Thailand’s Deep South</w:t>
      </w:r>
      <w:r w:rsidRPr="00245C41">
        <w:rPr>
          <w:rFonts w:asciiTheme="minorHAnsi" w:eastAsia="Calibri" w:hAnsiTheme="minorHAnsi" w:cstheme="minorHAnsi"/>
          <w:sz w:val="20"/>
          <w:szCs w:val="20"/>
        </w:rPr>
        <w:t xml:space="preserve">, (13 July 2022), available at: </w:t>
      </w:r>
      <w:hyperlink r:id="rId37">
        <w:r w:rsidRPr="00245C41">
          <w:rPr>
            <w:rFonts w:asciiTheme="minorHAnsi" w:eastAsia="Calibri" w:hAnsiTheme="minorHAnsi" w:cstheme="minorHAnsi"/>
            <w:color w:val="1155CC"/>
            <w:sz w:val="20"/>
            <w:szCs w:val="20"/>
            <w:u w:val="single"/>
          </w:rPr>
          <w:t>https://minorityrights.org/publications/disability-thailand/</w:t>
        </w:r>
      </w:hyperlink>
      <w:r w:rsidRPr="00245C41">
        <w:rPr>
          <w:rFonts w:asciiTheme="minorHAnsi" w:eastAsia="Calibri" w:hAnsiTheme="minorHAnsi" w:cstheme="minorHAnsi"/>
          <w:sz w:val="20"/>
          <w:szCs w:val="20"/>
        </w:rPr>
        <w:t xml:space="preserve"> </w:t>
      </w:r>
    </w:p>
  </w:endnote>
  <w:endnote w:id="57">
    <w:p w14:paraId="57438255" w14:textId="77777777" w:rsidR="00675C2F" w:rsidRPr="00245C41" w:rsidRDefault="00675C2F" w:rsidP="00675C2F">
      <w:pPr>
        <w:spacing w:line="240" w:lineRule="auto"/>
        <w:ind w:left="360" w:hanging="360"/>
        <w:rPr>
          <w:rFonts w:asciiTheme="minorHAnsi" w:hAnsiTheme="minorHAnsi" w:cstheme="minorHAnsi"/>
          <w:sz w:val="20"/>
          <w:szCs w:val="20"/>
        </w:rPr>
      </w:pPr>
      <w:r w:rsidRPr="00245C41">
        <w:rPr>
          <w:rFonts w:asciiTheme="minorHAnsi" w:hAnsiTheme="minorHAnsi" w:cstheme="minorHAnsi"/>
          <w:vertAlign w:val="superscript"/>
        </w:rPr>
        <w:endnoteRef/>
      </w:r>
      <w:r w:rsidRPr="00245C41">
        <w:rPr>
          <w:rFonts w:asciiTheme="minorHAnsi" w:hAnsiTheme="minorHAnsi" w:cstheme="minorHAnsi"/>
          <w:sz w:val="20"/>
          <w:szCs w:val="20"/>
        </w:rPr>
        <w:t xml:space="preserve"> </w:t>
      </w:r>
      <w:r w:rsidRPr="00245C41">
        <w:rPr>
          <w:rFonts w:asciiTheme="minorHAnsi" w:hAnsiTheme="minorHAnsi" w:cstheme="minorHAnsi"/>
          <w:sz w:val="20"/>
          <w:szCs w:val="20"/>
        </w:rPr>
        <w:tab/>
      </w:r>
      <w:r w:rsidRPr="00245C41">
        <w:rPr>
          <w:rFonts w:asciiTheme="minorHAnsi" w:eastAsia="Calibri" w:hAnsiTheme="minorHAnsi" w:cstheme="minorHAnsi"/>
          <w:sz w:val="20"/>
          <w:szCs w:val="20"/>
        </w:rPr>
        <w:t>Information obtained from interviews conducted by Manushya Foundation to inform this report, (August-September 2022)</w:t>
      </w:r>
    </w:p>
  </w:endnote>
  <w:endnote w:id="58">
    <w:p w14:paraId="53EBD716" w14:textId="77777777" w:rsidR="00675C2F" w:rsidRPr="00245C41" w:rsidRDefault="00675C2F" w:rsidP="00675C2F">
      <w:pPr>
        <w:spacing w:line="240" w:lineRule="auto"/>
        <w:ind w:left="360" w:hanging="360"/>
        <w:rPr>
          <w:rFonts w:asciiTheme="minorHAnsi" w:hAnsiTheme="minorHAnsi" w:cstheme="minorHAnsi"/>
          <w:sz w:val="20"/>
          <w:szCs w:val="20"/>
        </w:rPr>
      </w:pPr>
      <w:r w:rsidRPr="00245C41">
        <w:rPr>
          <w:rFonts w:asciiTheme="minorHAnsi" w:hAnsiTheme="minorHAnsi" w:cstheme="minorHAnsi"/>
          <w:vertAlign w:val="superscript"/>
        </w:rPr>
        <w:endnoteRef/>
      </w:r>
      <w:r w:rsidRPr="00245C41">
        <w:rPr>
          <w:rFonts w:asciiTheme="minorHAnsi" w:hAnsiTheme="minorHAnsi" w:cstheme="minorHAnsi"/>
          <w:sz w:val="20"/>
          <w:szCs w:val="20"/>
        </w:rPr>
        <w:t xml:space="preserve"> </w:t>
      </w:r>
      <w:r w:rsidRPr="00245C41">
        <w:rPr>
          <w:rFonts w:asciiTheme="minorHAnsi" w:hAnsiTheme="minorHAnsi" w:cstheme="minorHAnsi"/>
          <w:sz w:val="20"/>
          <w:szCs w:val="20"/>
        </w:rPr>
        <w:tab/>
      </w:r>
      <w:r w:rsidRPr="00245C41">
        <w:rPr>
          <w:rFonts w:asciiTheme="minorHAnsi" w:eastAsia="Calibri" w:hAnsiTheme="minorHAnsi" w:cstheme="minorHAnsi"/>
          <w:sz w:val="20"/>
          <w:szCs w:val="20"/>
        </w:rPr>
        <w:t>Information obtained from interviews conducted by Manushya Foundation to inform this report, (August-September 2022)</w:t>
      </w:r>
    </w:p>
  </w:endnote>
  <w:endnote w:id="59">
    <w:p w14:paraId="19A74987" w14:textId="77777777" w:rsidR="00675C2F" w:rsidRPr="00245C41" w:rsidRDefault="00675C2F" w:rsidP="00675C2F">
      <w:pPr>
        <w:spacing w:line="240" w:lineRule="auto"/>
        <w:ind w:left="360" w:hanging="360"/>
        <w:rPr>
          <w:rFonts w:asciiTheme="minorHAnsi" w:hAnsiTheme="minorHAnsi" w:cstheme="minorHAnsi"/>
          <w:sz w:val="20"/>
          <w:szCs w:val="20"/>
        </w:rPr>
      </w:pPr>
      <w:r w:rsidRPr="00245C41">
        <w:rPr>
          <w:rFonts w:asciiTheme="minorHAnsi" w:hAnsiTheme="minorHAnsi" w:cstheme="minorHAnsi"/>
          <w:vertAlign w:val="superscript"/>
        </w:rPr>
        <w:endnoteRef/>
      </w:r>
      <w:r w:rsidRPr="00245C41">
        <w:rPr>
          <w:rFonts w:asciiTheme="minorHAnsi" w:hAnsiTheme="minorHAnsi" w:cstheme="minorHAnsi"/>
          <w:sz w:val="20"/>
          <w:szCs w:val="20"/>
        </w:rPr>
        <w:t xml:space="preserve"> </w:t>
      </w:r>
      <w:r w:rsidRPr="00245C41">
        <w:rPr>
          <w:rFonts w:asciiTheme="minorHAnsi" w:hAnsiTheme="minorHAnsi" w:cstheme="minorHAnsi"/>
          <w:sz w:val="20"/>
          <w:szCs w:val="20"/>
        </w:rPr>
        <w:tab/>
      </w:r>
      <w:r w:rsidRPr="00245C41">
        <w:rPr>
          <w:rFonts w:asciiTheme="minorHAnsi" w:eastAsia="Calibri" w:hAnsiTheme="minorHAnsi" w:cstheme="minorHAnsi"/>
          <w:sz w:val="20"/>
          <w:szCs w:val="20"/>
        </w:rPr>
        <w:t xml:space="preserve">Manushya Foundation, </w:t>
      </w:r>
      <w:r w:rsidRPr="00245C41">
        <w:rPr>
          <w:rFonts w:asciiTheme="minorHAnsi" w:eastAsia="Calibri" w:hAnsiTheme="minorHAnsi" w:cstheme="minorHAnsi"/>
          <w:i/>
          <w:sz w:val="20"/>
          <w:szCs w:val="20"/>
        </w:rPr>
        <w:t>Joint Civil Society Report, List of Themes to be considered by the Committee on the Elimination of Racial Discrimination (CERD) For the review of the combined fourth to eighth periodic reports of Thailand (CERD/C/THA/4-8) at the 102nd session of the CERD Committee (Geneva – Postponed 2020)</w:t>
      </w:r>
      <w:r w:rsidRPr="00245C41">
        <w:rPr>
          <w:rFonts w:asciiTheme="minorHAnsi" w:eastAsia="Calibri" w:hAnsiTheme="minorHAnsi" w:cstheme="minorHAnsi"/>
          <w:sz w:val="20"/>
          <w:szCs w:val="20"/>
        </w:rPr>
        <w:t xml:space="preserve">, available at: </w:t>
      </w:r>
      <w:hyperlink r:id="rId38">
        <w:r w:rsidRPr="00245C41">
          <w:rPr>
            <w:rFonts w:asciiTheme="minorHAnsi" w:eastAsia="Calibri" w:hAnsiTheme="minorHAnsi" w:cstheme="minorHAnsi"/>
            <w:color w:val="1155CC"/>
            <w:sz w:val="20"/>
            <w:szCs w:val="20"/>
            <w:u w:val="single"/>
          </w:rPr>
          <w:t>https://www.manushyafoundation.org/joint-civil-society-report-cerd</w:t>
        </w:r>
      </w:hyperlink>
      <w:r w:rsidRPr="00245C41">
        <w:rPr>
          <w:rFonts w:asciiTheme="minorHAnsi" w:eastAsia="Calibri" w:hAnsiTheme="minorHAnsi" w:cstheme="minorHAnsi"/>
          <w:sz w:val="20"/>
          <w:szCs w:val="20"/>
        </w:rPr>
        <w:t xml:space="preserve"> </w:t>
      </w:r>
    </w:p>
  </w:endnote>
  <w:endnote w:id="60">
    <w:p w14:paraId="41BC6E0D" w14:textId="77777777" w:rsidR="00675C2F" w:rsidRPr="00245C41" w:rsidRDefault="00675C2F" w:rsidP="00675C2F">
      <w:pPr>
        <w:spacing w:line="240" w:lineRule="auto"/>
        <w:ind w:left="360" w:hanging="360"/>
        <w:rPr>
          <w:rFonts w:asciiTheme="minorHAnsi" w:eastAsia="Calibri" w:hAnsiTheme="minorHAnsi" w:cstheme="minorHAnsi"/>
          <w:sz w:val="20"/>
          <w:szCs w:val="20"/>
          <w:highlight w:val="yellow"/>
        </w:rPr>
      </w:pPr>
      <w:r w:rsidRPr="00245C41">
        <w:rPr>
          <w:rFonts w:asciiTheme="minorHAnsi" w:hAnsiTheme="minorHAnsi" w:cstheme="minorHAnsi"/>
          <w:vertAlign w:val="superscript"/>
        </w:rPr>
        <w:endnoteRef/>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sz w:val="20"/>
          <w:szCs w:val="20"/>
        </w:rPr>
        <w:tab/>
        <w:t xml:space="preserve">Kangwan Fongkaew et. al., “Gay Guys are Shit-Lovers” and “Lesbians are Obsessed With Fingers”: The (Mis)Representation of LGBTIQ People in Thai News Media, </w:t>
      </w:r>
      <w:r w:rsidRPr="00245C41">
        <w:rPr>
          <w:rFonts w:asciiTheme="minorHAnsi" w:eastAsia="Calibri" w:hAnsiTheme="minorHAnsi" w:cstheme="minorHAnsi"/>
          <w:i/>
          <w:sz w:val="20"/>
          <w:szCs w:val="20"/>
        </w:rPr>
        <w:t>Journal of Homosexuality, Volume 66, 2019 - Issue 28</w:t>
      </w:r>
      <w:r w:rsidRPr="00245C41">
        <w:rPr>
          <w:rFonts w:asciiTheme="minorHAnsi" w:eastAsia="Calibri" w:hAnsiTheme="minorHAnsi" w:cstheme="minorHAnsi"/>
          <w:sz w:val="20"/>
          <w:szCs w:val="20"/>
        </w:rPr>
        <w:t xml:space="preserve">, </w:t>
      </w:r>
      <w:r w:rsidRPr="00245C41">
        <w:rPr>
          <w:rFonts w:asciiTheme="minorHAnsi" w:eastAsia="Calibri" w:hAnsiTheme="minorHAnsi" w:cstheme="minorHAnsi"/>
          <w:i/>
          <w:sz w:val="20"/>
          <w:szCs w:val="20"/>
        </w:rPr>
        <w:t>260-273</w:t>
      </w:r>
      <w:r w:rsidRPr="00245C41">
        <w:rPr>
          <w:rFonts w:asciiTheme="minorHAnsi" w:eastAsia="Calibri" w:hAnsiTheme="minorHAnsi" w:cstheme="minorHAnsi"/>
          <w:sz w:val="20"/>
          <w:szCs w:val="20"/>
        </w:rPr>
        <w:t xml:space="preserve">, (8 December 2017), available at: </w:t>
      </w:r>
      <w:hyperlink r:id="rId39">
        <w:r w:rsidRPr="00245C41">
          <w:rPr>
            <w:rFonts w:asciiTheme="minorHAnsi" w:eastAsia="Calibri" w:hAnsiTheme="minorHAnsi" w:cstheme="minorHAnsi"/>
            <w:color w:val="1155CC"/>
            <w:sz w:val="20"/>
            <w:szCs w:val="20"/>
            <w:u w:val="single"/>
          </w:rPr>
          <w:t>https://doi.org/10.1080/00918369.2017.1398026</w:t>
        </w:r>
      </w:hyperlink>
      <w:r w:rsidRPr="00245C41">
        <w:rPr>
          <w:rFonts w:asciiTheme="minorHAnsi" w:eastAsia="Calibri" w:hAnsiTheme="minorHAnsi" w:cstheme="minorHAnsi"/>
          <w:sz w:val="20"/>
          <w:szCs w:val="20"/>
        </w:rPr>
        <w:t xml:space="preserve">; UNDP,  </w:t>
      </w:r>
      <w:r w:rsidRPr="00245C41">
        <w:rPr>
          <w:rFonts w:asciiTheme="minorHAnsi" w:eastAsia="Calibri" w:hAnsiTheme="minorHAnsi" w:cstheme="minorHAnsi"/>
          <w:i/>
          <w:sz w:val="20"/>
          <w:szCs w:val="20"/>
        </w:rPr>
        <w:t>A Tool for Change: Working with the Media on Issues Relating to Sexual Orientation, Gender Identity, Expression and Sex Characteristics in Thailand</w:t>
      </w:r>
      <w:r w:rsidRPr="00245C41">
        <w:rPr>
          <w:rFonts w:asciiTheme="minorHAnsi" w:eastAsia="Calibri" w:hAnsiTheme="minorHAnsi" w:cstheme="minorHAnsi"/>
          <w:sz w:val="20"/>
          <w:szCs w:val="20"/>
        </w:rPr>
        <w:t xml:space="preserve">, (16 January 2018), available at: </w:t>
      </w:r>
      <w:hyperlink r:id="rId40">
        <w:r w:rsidRPr="00245C41">
          <w:rPr>
            <w:rFonts w:asciiTheme="minorHAnsi" w:eastAsia="Calibri" w:hAnsiTheme="minorHAnsi" w:cstheme="minorHAnsi"/>
            <w:color w:val="1155CC"/>
            <w:sz w:val="20"/>
            <w:szCs w:val="20"/>
            <w:u w:val="single"/>
          </w:rPr>
          <w:t>https://www.undp.org/asia-pacific/publications/tool-change-working-media-issues-relating-sexual-orientation-gender-identity-expression-and-sex-characteristics-thailand</w:t>
        </w:r>
      </w:hyperlink>
      <w:r w:rsidRPr="00245C41">
        <w:rPr>
          <w:rFonts w:asciiTheme="minorHAnsi" w:eastAsia="Calibri" w:hAnsiTheme="minorHAnsi" w:cstheme="minorHAnsi"/>
          <w:sz w:val="20"/>
          <w:szCs w:val="20"/>
        </w:rPr>
        <w:t xml:space="preserve"> </w:t>
      </w:r>
    </w:p>
  </w:endnote>
  <w:endnote w:id="61">
    <w:p w14:paraId="74D6B06D" w14:textId="77777777" w:rsidR="00675C2F" w:rsidRPr="00256030" w:rsidRDefault="00675C2F" w:rsidP="00675C2F">
      <w:pPr>
        <w:spacing w:line="240" w:lineRule="auto"/>
        <w:ind w:left="360" w:hanging="360"/>
        <w:rPr>
          <w:rFonts w:asciiTheme="majorHAnsi" w:eastAsia="Calibri" w:hAnsiTheme="majorHAnsi" w:cstheme="majorHAnsi"/>
          <w:sz w:val="20"/>
          <w:szCs w:val="20"/>
        </w:rPr>
      </w:pPr>
      <w:r w:rsidRPr="00245C41">
        <w:rPr>
          <w:rFonts w:asciiTheme="minorHAnsi" w:hAnsiTheme="minorHAnsi" w:cstheme="minorHAnsi"/>
          <w:vertAlign w:val="superscript"/>
        </w:rPr>
        <w:endnoteRef/>
      </w:r>
      <w:r w:rsidRPr="00245C41">
        <w:rPr>
          <w:rFonts w:asciiTheme="minorHAnsi" w:hAnsiTheme="minorHAnsi" w:cstheme="minorHAnsi"/>
          <w:sz w:val="20"/>
          <w:szCs w:val="20"/>
        </w:rPr>
        <w:t xml:space="preserve"> </w:t>
      </w:r>
      <w:r w:rsidRPr="00245C41">
        <w:rPr>
          <w:rFonts w:asciiTheme="minorHAnsi" w:hAnsiTheme="minorHAnsi" w:cstheme="minorHAnsi"/>
          <w:sz w:val="20"/>
          <w:szCs w:val="20"/>
        </w:rPr>
        <w:tab/>
      </w:r>
      <w:r w:rsidRPr="00245C41">
        <w:rPr>
          <w:rFonts w:asciiTheme="minorHAnsi" w:eastAsia="Calibri" w:hAnsiTheme="minorHAnsi" w:cstheme="minorHAnsi"/>
          <w:sz w:val="20"/>
          <w:szCs w:val="20"/>
        </w:rPr>
        <w:t xml:space="preserve">ILO, </w:t>
      </w:r>
      <w:r w:rsidRPr="00245C41">
        <w:rPr>
          <w:rFonts w:asciiTheme="minorHAnsi" w:eastAsia="Calibri" w:hAnsiTheme="minorHAnsi" w:cstheme="minorHAnsi"/>
          <w:i/>
          <w:sz w:val="20"/>
          <w:szCs w:val="20"/>
        </w:rPr>
        <w:t>Changing Attitudes and Behaviour Towards Women Migrant Workers in ASEAN: Technical Regional Meeting</w:t>
      </w:r>
      <w:r w:rsidRPr="00245C41">
        <w:rPr>
          <w:rFonts w:asciiTheme="minorHAnsi" w:eastAsia="Calibri" w:hAnsiTheme="minorHAnsi" w:cstheme="minorHAnsi"/>
          <w:sz w:val="20"/>
          <w:szCs w:val="20"/>
        </w:rPr>
        <w:t xml:space="preserve">, (21 August 2019), available at: </w:t>
      </w:r>
      <w:hyperlink r:id="rId41">
        <w:r w:rsidRPr="00245C41">
          <w:rPr>
            <w:rFonts w:asciiTheme="minorHAnsi" w:eastAsia="Calibri" w:hAnsiTheme="minorHAnsi" w:cstheme="minorHAnsi"/>
            <w:color w:val="1155CC"/>
            <w:sz w:val="20"/>
            <w:szCs w:val="20"/>
            <w:u w:val="single"/>
          </w:rPr>
          <w:t>https://www.ilo.org/asia/publications/WCMS_715939/lang--en/index.htm</w:t>
        </w:r>
      </w:hyperlink>
      <w:r w:rsidRPr="00245C41">
        <w:rPr>
          <w:rFonts w:asciiTheme="minorHAnsi" w:eastAsia="Calibri" w:hAnsiTheme="minorHAnsi" w:cstheme="minorHAnsi"/>
          <w:sz w:val="20"/>
          <w:szCs w:val="20"/>
        </w:rPr>
        <w:t xml:space="preserve">; FES, </w:t>
      </w:r>
      <w:r w:rsidRPr="00245C41">
        <w:rPr>
          <w:rFonts w:asciiTheme="minorHAnsi" w:eastAsia="Calibri" w:hAnsiTheme="minorHAnsi" w:cstheme="minorHAnsi"/>
          <w:i/>
          <w:sz w:val="20"/>
          <w:szCs w:val="20"/>
        </w:rPr>
        <w:t>Migrant workers struggling under lockdown in Thailand</w:t>
      </w:r>
      <w:r w:rsidRPr="00245C41">
        <w:rPr>
          <w:rFonts w:asciiTheme="minorHAnsi" w:eastAsia="Calibri" w:hAnsiTheme="minorHAnsi" w:cstheme="minorHAnsi"/>
          <w:sz w:val="20"/>
          <w:szCs w:val="20"/>
        </w:rPr>
        <w:t xml:space="preserve">, (4 May 2020), available at: </w:t>
      </w:r>
      <w:hyperlink r:id="rId42">
        <w:r w:rsidRPr="00245C41">
          <w:rPr>
            <w:rFonts w:asciiTheme="minorHAnsi" w:eastAsia="Calibri" w:hAnsiTheme="minorHAnsi" w:cstheme="minorHAnsi"/>
            <w:color w:val="1155CC"/>
            <w:sz w:val="20"/>
            <w:szCs w:val="20"/>
            <w:u w:val="single"/>
          </w:rPr>
          <w:t>https://asia.fes.de/news/migrant-workers-struggling-under-lockdown-in-thailand/</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38309356"/>
      <w:docPartObj>
        <w:docPartGallery w:val="Page Numbers (Bottom of Page)"/>
        <w:docPartUnique/>
      </w:docPartObj>
    </w:sdtPr>
    <w:sdtContent>
      <w:p w14:paraId="0DD1A30B" w14:textId="053FC1D3" w:rsidR="003B02EA" w:rsidRDefault="003B02EA" w:rsidP="008B7D9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8A42FFC" w14:textId="77777777" w:rsidR="003B02EA" w:rsidRDefault="003B02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84284252"/>
      <w:docPartObj>
        <w:docPartGallery w:val="Page Numbers (Bottom of Page)"/>
        <w:docPartUnique/>
      </w:docPartObj>
    </w:sdtPr>
    <w:sdtEndPr>
      <w:rPr>
        <w:rStyle w:val="PageNumber"/>
        <w:rFonts w:asciiTheme="minorHAnsi" w:hAnsiTheme="minorHAnsi" w:cstheme="minorHAnsi"/>
        <w:color w:val="ED6B31"/>
        <w:sz w:val="20"/>
        <w:szCs w:val="20"/>
      </w:rPr>
    </w:sdtEndPr>
    <w:sdtContent>
      <w:p w14:paraId="25A2388B" w14:textId="127CDE38" w:rsidR="003B02EA" w:rsidRPr="003B02EA" w:rsidRDefault="003B02EA" w:rsidP="008B7D95">
        <w:pPr>
          <w:pStyle w:val="Footer"/>
          <w:framePr w:wrap="none" w:vAnchor="text" w:hAnchor="margin" w:xAlign="center" w:y="1"/>
          <w:rPr>
            <w:rStyle w:val="PageNumber"/>
            <w:rFonts w:asciiTheme="minorHAnsi" w:hAnsiTheme="minorHAnsi" w:cstheme="minorHAnsi"/>
            <w:color w:val="ED6B31"/>
            <w:sz w:val="20"/>
            <w:szCs w:val="20"/>
          </w:rPr>
        </w:pPr>
        <w:r w:rsidRPr="003B02EA">
          <w:rPr>
            <w:rStyle w:val="PageNumber"/>
            <w:rFonts w:asciiTheme="minorHAnsi" w:hAnsiTheme="minorHAnsi" w:cstheme="minorHAnsi"/>
            <w:color w:val="ED6B31"/>
            <w:sz w:val="20"/>
            <w:szCs w:val="20"/>
          </w:rPr>
          <w:fldChar w:fldCharType="begin"/>
        </w:r>
        <w:r w:rsidRPr="003B02EA">
          <w:rPr>
            <w:rStyle w:val="PageNumber"/>
            <w:rFonts w:asciiTheme="minorHAnsi" w:hAnsiTheme="minorHAnsi" w:cstheme="minorHAnsi"/>
            <w:color w:val="ED6B31"/>
            <w:sz w:val="20"/>
            <w:szCs w:val="20"/>
          </w:rPr>
          <w:instrText xml:space="preserve"> PAGE </w:instrText>
        </w:r>
        <w:r w:rsidRPr="003B02EA">
          <w:rPr>
            <w:rStyle w:val="PageNumber"/>
            <w:rFonts w:asciiTheme="minorHAnsi" w:hAnsiTheme="minorHAnsi" w:cstheme="minorHAnsi"/>
            <w:color w:val="ED6B31"/>
            <w:sz w:val="20"/>
            <w:szCs w:val="20"/>
          </w:rPr>
          <w:fldChar w:fldCharType="separate"/>
        </w:r>
        <w:r w:rsidRPr="003B02EA">
          <w:rPr>
            <w:rStyle w:val="PageNumber"/>
            <w:rFonts w:asciiTheme="minorHAnsi" w:hAnsiTheme="minorHAnsi" w:cstheme="minorHAnsi"/>
            <w:noProof/>
            <w:color w:val="ED6B31"/>
            <w:sz w:val="20"/>
            <w:szCs w:val="20"/>
          </w:rPr>
          <w:t>1</w:t>
        </w:r>
        <w:r w:rsidRPr="003B02EA">
          <w:rPr>
            <w:rStyle w:val="PageNumber"/>
            <w:rFonts w:asciiTheme="minorHAnsi" w:hAnsiTheme="minorHAnsi" w:cstheme="minorHAnsi"/>
            <w:color w:val="ED6B31"/>
            <w:sz w:val="20"/>
            <w:szCs w:val="20"/>
          </w:rPr>
          <w:fldChar w:fldCharType="end"/>
        </w:r>
      </w:p>
    </w:sdtContent>
  </w:sdt>
  <w:p w14:paraId="0D162550" w14:textId="77777777" w:rsidR="003B02EA" w:rsidRPr="003B02EA" w:rsidRDefault="003B02EA">
    <w:pPr>
      <w:pStyle w:val="Footer"/>
      <w:rPr>
        <w:rFonts w:asciiTheme="minorHAnsi" w:hAnsiTheme="minorHAnsi" w:cstheme="minorHAnsi"/>
        <w:color w:val="ED6B31"/>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ACE085" w14:textId="77777777" w:rsidR="00BA018D" w:rsidRDefault="00BA018D" w:rsidP="00675C2F">
      <w:pPr>
        <w:spacing w:line="240" w:lineRule="auto"/>
      </w:pPr>
      <w:r>
        <w:separator/>
      </w:r>
    </w:p>
  </w:footnote>
  <w:footnote w:type="continuationSeparator" w:id="0">
    <w:p w14:paraId="5A690A77" w14:textId="77777777" w:rsidR="00BA018D" w:rsidRDefault="00BA018D" w:rsidP="00675C2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A6F70" w14:textId="1D313E8D" w:rsidR="007542A0" w:rsidRDefault="007542A0" w:rsidP="007542A0">
    <w:pPr>
      <w:pStyle w:val="Header"/>
      <w:tabs>
        <w:tab w:val="clear" w:pos="4513"/>
        <w:tab w:val="clear" w:pos="9026"/>
        <w:tab w:val="left" w:pos="4672"/>
      </w:tabs>
    </w:pPr>
    <w:r>
      <w:rPr>
        <w:noProof/>
      </w:rPr>
      <w:drawing>
        <wp:anchor distT="0" distB="0" distL="114300" distR="114300" simplePos="0" relativeHeight="251659264" behindDoc="0" locked="0" layoutInCell="1" hidden="0" allowOverlap="1" wp14:anchorId="6C8D9CEE" wp14:editId="5B2EA570">
          <wp:simplePos x="0" y="0"/>
          <wp:positionH relativeFrom="page">
            <wp:posOffset>-116205</wp:posOffset>
          </wp:positionH>
          <wp:positionV relativeFrom="page">
            <wp:posOffset>-582295</wp:posOffset>
          </wp:positionV>
          <wp:extent cx="2452688" cy="1463908"/>
          <wp:effectExtent l="0" t="0" r="0" b="0"/>
          <wp:wrapSquare wrapText="bothSides" distT="0" distB="0" distL="114300" distR="114300"/>
          <wp:docPr id="17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1776" b="11775"/>
                  <a:stretch>
                    <a:fillRect/>
                  </a:stretch>
                </pic:blipFill>
                <pic:spPr>
                  <a:xfrm>
                    <a:off x="0" y="0"/>
                    <a:ext cx="2452688" cy="1463908"/>
                  </a:xfrm>
                  <a:prstGeom prst="rect">
                    <a:avLst/>
                  </a:prstGeom>
                  <a:ln/>
                </pic:spPr>
              </pic:pic>
            </a:graphicData>
          </a:graphic>
        </wp:anchor>
      </w:drawing>
    </w:r>
    <w:r>
      <w:rPr>
        <w:noProof/>
      </w:rPr>
      <w:drawing>
        <wp:anchor distT="114300" distB="114300" distL="114300" distR="114300" simplePos="0" relativeHeight="251663360" behindDoc="0" locked="0" layoutInCell="1" hidden="0" allowOverlap="1" wp14:anchorId="02FE0998" wp14:editId="53AACAB7">
          <wp:simplePos x="0" y="0"/>
          <wp:positionH relativeFrom="column">
            <wp:posOffset>3860800</wp:posOffset>
          </wp:positionH>
          <wp:positionV relativeFrom="paragraph">
            <wp:posOffset>-340414</wp:posOffset>
          </wp:positionV>
          <wp:extent cx="1323975" cy="828748"/>
          <wp:effectExtent l="0" t="0" r="0" b="0"/>
          <wp:wrapNone/>
          <wp:docPr id="18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323975" cy="828748"/>
                  </a:xfrm>
                  <a:prstGeom prst="rect">
                    <a:avLst/>
                  </a:prstGeom>
                  <a:ln/>
                </pic:spPr>
              </pic:pic>
            </a:graphicData>
          </a:graphic>
        </wp:anchor>
      </w:drawing>
    </w:r>
    <w:r>
      <w:rPr>
        <w:noProof/>
      </w:rPr>
      <w:drawing>
        <wp:anchor distT="114300" distB="114300" distL="114300" distR="114300" simplePos="0" relativeHeight="251661312" behindDoc="0" locked="0" layoutInCell="1" hidden="0" allowOverlap="1" wp14:anchorId="47D406D6" wp14:editId="6CBE9B35">
          <wp:simplePos x="0" y="0"/>
          <wp:positionH relativeFrom="column">
            <wp:posOffset>1536065</wp:posOffset>
          </wp:positionH>
          <wp:positionV relativeFrom="paragraph">
            <wp:posOffset>26116</wp:posOffset>
          </wp:positionV>
          <wp:extent cx="1918335" cy="271463"/>
          <wp:effectExtent l="0" t="0" r="0" b="0"/>
          <wp:wrapNone/>
          <wp:docPr id="18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
                  <a:srcRect/>
                  <a:stretch>
                    <a:fillRect/>
                  </a:stretch>
                </pic:blipFill>
                <pic:spPr>
                  <a:xfrm>
                    <a:off x="0" y="0"/>
                    <a:ext cx="1918335" cy="271463"/>
                  </a:xfrm>
                  <a:prstGeom prst="rect">
                    <a:avLst/>
                  </a:prstGeom>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10CC0"/>
    <w:multiLevelType w:val="multilevel"/>
    <w:tmpl w:val="AA109602"/>
    <w:lvl w:ilvl="0">
      <w:start w:val="1"/>
      <w:numFmt w:val="upperRoman"/>
      <w:lvlText w:val="%1."/>
      <w:lvlJc w:val="right"/>
      <w:pPr>
        <w:ind w:left="90" w:firstLine="180"/>
      </w:pPr>
      <w:rPr>
        <w:rFonts w:ascii="Calibri" w:eastAsia="Calibri" w:hAnsi="Calibri" w:cs="Calibri"/>
        <w:b/>
        <w:color w:val="FF6D00"/>
        <w:sz w:val="24"/>
        <w:szCs w:val="24"/>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0766624"/>
    <w:multiLevelType w:val="multilevel"/>
    <w:tmpl w:val="9C2A9FDA"/>
    <w:lvl w:ilvl="0">
      <w:start w:val="1"/>
      <w:numFmt w:val="decimal"/>
      <w:lvlText w:val="%1."/>
      <w:lvlJc w:val="left"/>
      <w:pPr>
        <w:ind w:left="720" w:hanging="360"/>
      </w:pPr>
      <w:rPr>
        <w:i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1F5399A"/>
    <w:multiLevelType w:val="multilevel"/>
    <w:tmpl w:val="161C8B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4AE1601"/>
    <w:multiLevelType w:val="multilevel"/>
    <w:tmpl w:val="AA109602"/>
    <w:lvl w:ilvl="0">
      <w:start w:val="1"/>
      <w:numFmt w:val="upperRoman"/>
      <w:lvlText w:val="%1."/>
      <w:lvlJc w:val="right"/>
      <w:pPr>
        <w:ind w:left="90" w:firstLine="180"/>
      </w:pPr>
      <w:rPr>
        <w:rFonts w:ascii="Calibri" w:eastAsia="Calibri" w:hAnsi="Calibri" w:cs="Calibri"/>
        <w:b/>
        <w:color w:val="FF6D00"/>
        <w:sz w:val="24"/>
        <w:szCs w:val="24"/>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B194501"/>
    <w:multiLevelType w:val="multilevel"/>
    <w:tmpl w:val="DD3CD83A"/>
    <w:lvl w:ilvl="0">
      <w:start w:val="1"/>
      <w:numFmt w:val="decimal"/>
      <w:lvlText w:val="%1."/>
      <w:lvlJc w:val="left"/>
      <w:pPr>
        <w:ind w:left="720" w:hanging="360"/>
      </w:pPr>
      <w:rPr>
        <w:i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9BE726F"/>
    <w:multiLevelType w:val="multilevel"/>
    <w:tmpl w:val="AACCD8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6DF0615C"/>
    <w:multiLevelType w:val="multilevel"/>
    <w:tmpl w:val="8FF65A1A"/>
    <w:lvl w:ilvl="0">
      <w:start w:val="1"/>
      <w:numFmt w:val="decimal"/>
      <w:lvlText w:val="%1."/>
      <w:lvlJc w:val="left"/>
      <w:pPr>
        <w:ind w:left="720" w:hanging="360"/>
      </w:pPr>
      <w:rPr>
        <w:i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396393343">
    <w:abstractNumId w:val="3"/>
  </w:num>
  <w:num w:numId="2" w16cid:durableId="1386877237">
    <w:abstractNumId w:val="0"/>
  </w:num>
  <w:num w:numId="3" w16cid:durableId="1058823024">
    <w:abstractNumId w:val="5"/>
  </w:num>
  <w:num w:numId="4" w16cid:durableId="872570515">
    <w:abstractNumId w:val="6"/>
  </w:num>
  <w:num w:numId="5" w16cid:durableId="2011174651">
    <w:abstractNumId w:val="4"/>
  </w:num>
  <w:num w:numId="6" w16cid:durableId="1402289542">
    <w:abstractNumId w:val="2"/>
  </w:num>
  <w:num w:numId="7" w16cid:durableId="20934333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C2F"/>
    <w:rsid w:val="00002820"/>
    <w:rsid w:val="00011071"/>
    <w:rsid w:val="00013FCA"/>
    <w:rsid w:val="00055238"/>
    <w:rsid w:val="000C4D6F"/>
    <w:rsid w:val="00240D66"/>
    <w:rsid w:val="00245C41"/>
    <w:rsid w:val="002A321E"/>
    <w:rsid w:val="00301B46"/>
    <w:rsid w:val="00355BF7"/>
    <w:rsid w:val="00380F04"/>
    <w:rsid w:val="003B02EA"/>
    <w:rsid w:val="00495CAC"/>
    <w:rsid w:val="005A2CCE"/>
    <w:rsid w:val="00675C2F"/>
    <w:rsid w:val="00694C6D"/>
    <w:rsid w:val="00724662"/>
    <w:rsid w:val="007542A0"/>
    <w:rsid w:val="00817A79"/>
    <w:rsid w:val="008E7873"/>
    <w:rsid w:val="009063EB"/>
    <w:rsid w:val="009A0835"/>
    <w:rsid w:val="00A434AE"/>
    <w:rsid w:val="00AD550D"/>
    <w:rsid w:val="00AE65CE"/>
    <w:rsid w:val="00BA018D"/>
    <w:rsid w:val="00BB5C4E"/>
    <w:rsid w:val="00CF34A0"/>
    <w:rsid w:val="00D120B5"/>
    <w:rsid w:val="00D72585"/>
    <w:rsid w:val="00DB52EB"/>
    <w:rsid w:val="00E0243C"/>
    <w:rsid w:val="00E675AB"/>
    <w:rsid w:val="00F1611D"/>
    <w:rsid w:val="00F85218"/>
  </w:rsids>
  <m:mathPr>
    <m:mathFont m:val="Cambria Math"/>
    <m:brkBin m:val="before"/>
    <m:brkBinSub m:val="--"/>
    <m:smallFrac m:val="0"/>
    <m:dispDef/>
    <m:lMargin m:val="0"/>
    <m:rMargin m:val="0"/>
    <m:defJc m:val="centerGroup"/>
    <m:wrapIndent m:val="1440"/>
    <m:intLim m:val="subSup"/>
    <m:naryLim m:val="undOvr"/>
  </m:mathPr>
  <w:themeFontLang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6DCD5"/>
  <w15:chartTrackingRefBased/>
  <w15:docId w15:val="{7BFB7A57-533C-724E-8FB2-38E1F0AD2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5C2F"/>
    <w:pPr>
      <w:spacing w:line="276" w:lineRule="auto"/>
    </w:pPr>
    <w:rPr>
      <w:rFonts w:ascii="Arial" w:eastAsia="Arial" w:hAnsi="Arial" w:cs="Arial"/>
      <w:sz w:val="22"/>
      <w:szCs w:val="22"/>
      <w:lang w:val="en" w:eastAsia="en-GB"/>
    </w:rPr>
  </w:style>
  <w:style w:type="paragraph" w:styleId="Heading1">
    <w:name w:val="heading 1"/>
    <w:basedOn w:val="Normal"/>
    <w:next w:val="Normal"/>
    <w:link w:val="Heading1Char"/>
    <w:uiPriority w:val="9"/>
    <w:qFormat/>
    <w:rsid w:val="00675C2F"/>
    <w:pPr>
      <w:keepNext/>
      <w:keepLines/>
      <w:ind w:left="90" w:firstLine="180"/>
      <w:jc w:val="both"/>
      <w:outlineLvl w:val="0"/>
    </w:pPr>
    <w:rPr>
      <w:rFonts w:ascii="Calibri" w:eastAsia="Calibri" w:hAnsi="Calibri" w:cs="Calibri"/>
      <w:b/>
      <w:color w:val="FF6D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5C2F"/>
    <w:rPr>
      <w:rFonts w:ascii="Calibri" w:eastAsia="Calibri" w:hAnsi="Calibri" w:cs="Calibri"/>
      <w:b/>
      <w:color w:val="FF6D00"/>
      <w:lang w:val="en" w:eastAsia="en-GB"/>
    </w:rPr>
  </w:style>
  <w:style w:type="paragraph" w:styleId="NormalWeb">
    <w:name w:val="Normal (Web)"/>
    <w:basedOn w:val="Normal"/>
    <w:uiPriority w:val="99"/>
    <w:semiHidden/>
    <w:unhideWhenUsed/>
    <w:rsid w:val="00675C2F"/>
    <w:pPr>
      <w:spacing w:before="100" w:beforeAutospacing="1" w:after="100" w:afterAutospacing="1" w:line="240" w:lineRule="auto"/>
    </w:pPr>
    <w:rPr>
      <w:rFonts w:ascii="Times New Roman" w:eastAsia="Times New Roman" w:hAnsi="Times New Roman" w:cs="Times New Roman"/>
      <w:sz w:val="24"/>
      <w:szCs w:val="24"/>
      <w:lang w:eastAsia="en-US" w:bidi="th-TH"/>
    </w:rPr>
  </w:style>
  <w:style w:type="character" w:styleId="Hyperlink">
    <w:name w:val="Hyperlink"/>
    <w:basedOn w:val="DefaultParagraphFont"/>
    <w:uiPriority w:val="99"/>
    <w:unhideWhenUsed/>
    <w:rsid w:val="00675C2F"/>
    <w:rPr>
      <w:color w:val="0563C1" w:themeColor="hyperlink"/>
      <w:u w:val="single"/>
    </w:rPr>
  </w:style>
  <w:style w:type="paragraph" w:styleId="Footer">
    <w:name w:val="footer"/>
    <w:basedOn w:val="Normal"/>
    <w:link w:val="FooterChar"/>
    <w:uiPriority w:val="99"/>
    <w:unhideWhenUsed/>
    <w:rsid w:val="003B02EA"/>
    <w:pPr>
      <w:tabs>
        <w:tab w:val="center" w:pos="4513"/>
        <w:tab w:val="right" w:pos="9026"/>
      </w:tabs>
      <w:spacing w:line="240" w:lineRule="auto"/>
    </w:pPr>
  </w:style>
  <w:style w:type="character" w:customStyle="1" w:styleId="FooterChar">
    <w:name w:val="Footer Char"/>
    <w:basedOn w:val="DefaultParagraphFont"/>
    <w:link w:val="Footer"/>
    <w:uiPriority w:val="99"/>
    <w:rsid w:val="003B02EA"/>
    <w:rPr>
      <w:rFonts w:ascii="Arial" w:eastAsia="Arial" w:hAnsi="Arial" w:cs="Arial"/>
      <w:sz w:val="22"/>
      <w:szCs w:val="22"/>
      <w:lang w:val="en" w:eastAsia="en-GB"/>
    </w:rPr>
  </w:style>
  <w:style w:type="character" w:styleId="PageNumber">
    <w:name w:val="page number"/>
    <w:basedOn w:val="DefaultParagraphFont"/>
    <w:uiPriority w:val="99"/>
    <w:semiHidden/>
    <w:unhideWhenUsed/>
    <w:rsid w:val="003B02EA"/>
  </w:style>
  <w:style w:type="paragraph" w:styleId="Header">
    <w:name w:val="header"/>
    <w:basedOn w:val="Normal"/>
    <w:link w:val="HeaderChar"/>
    <w:uiPriority w:val="99"/>
    <w:unhideWhenUsed/>
    <w:rsid w:val="003B02EA"/>
    <w:pPr>
      <w:tabs>
        <w:tab w:val="center" w:pos="4513"/>
        <w:tab w:val="right" w:pos="9026"/>
      </w:tabs>
      <w:spacing w:line="240" w:lineRule="auto"/>
    </w:pPr>
  </w:style>
  <w:style w:type="character" w:customStyle="1" w:styleId="HeaderChar">
    <w:name w:val="Header Char"/>
    <w:basedOn w:val="DefaultParagraphFont"/>
    <w:link w:val="Header"/>
    <w:uiPriority w:val="99"/>
    <w:rsid w:val="003B02EA"/>
    <w:rPr>
      <w:rFonts w:ascii="Arial" w:eastAsia="Arial" w:hAnsi="Arial" w:cs="Arial"/>
      <w:sz w:val="22"/>
      <w:szCs w:val="22"/>
      <w:lang w:val="en" w:eastAsia="en-GB"/>
    </w:rPr>
  </w:style>
  <w:style w:type="character" w:styleId="UnresolvedMention">
    <w:name w:val="Unresolved Mention"/>
    <w:basedOn w:val="DefaultParagraphFont"/>
    <w:uiPriority w:val="99"/>
    <w:semiHidden/>
    <w:unhideWhenUsed/>
    <w:rsid w:val="00301B46"/>
    <w:rPr>
      <w:color w:val="605E5C"/>
      <w:shd w:val="clear" w:color="auto" w:fill="E1DFDD"/>
    </w:rPr>
  </w:style>
  <w:style w:type="character" w:styleId="FollowedHyperlink">
    <w:name w:val="FollowedHyperlink"/>
    <w:basedOn w:val="DefaultParagraphFont"/>
    <w:uiPriority w:val="99"/>
    <w:semiHidden/>
    <w:unhideWhenUsed/>
    <w:rsid w:val="00301B46"/>
    <w:rPr>
      <w:color w:val="954F72" w:themeColor="followedHyperlink"/>
      <w:u w:val="single"/>
    </w:rPr>
  </w:style>
  <w:style w:type="paragraph" w:styleId="NoSpacing">
    <w:name w:val="No Spacing"/>
    <w:link w:val="NoSpacingChar"/>
    <w:uiPriority w:val="1"/>
    <w:qFormat/>
    <w:rsid w:val="00F85218"/>
    <w:rPr>
      <w:rFonts w:eastAsiaTheme="minorEastAsia"/>
      <w:sz w:val="22"/>
      <w:szCs w:val="22"/>
      <w:lang w:val="en-US" w:eastAsia="zh-CN"/>
    </w:rPr>
  </w:style>
  <w:style w:type="character" w:customStyle="1" w:styleId="NoSpacingChar">
    <w:name w:val="No Spacing Char"/>
    <w:basedOn w:val="DefaultParagraphFont"/>
    <w:link w:val="NoSpacing"/>
    <w:uiPriority w:val="1"/>
    <w:rsid w:val="00F85218"/>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nushyafoundation.or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emilie@manushyafoundation.org" TargetMode="Externa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13" Type="http://schemas.openxmlformats.org/officeDocument/2006/relationships/hyperlink" Target="https://minorityrights.org/publications/disability-thailand/" TargetMode="External"/><Relationship Id="rId18" Type="http://schemas.openxmlformats.org/officeDocument/2006/relationships/hyperlink" Target="https://idcoalition.org/publication/lgbti-persons-in-immigration-detention-position-paper/" TargetMode="External"/><Relationship Id="rId26" Type="http://schemas.openxmlformats.org/officeDocument/2006/relationships/hyperlink" Target="https://www.manushyafoundation.org/thailand-third-upr-cycle-factsheet-women-who-are-subjected-to-male-violence" TargetMode="External"/><Relationship Id="rId39" Type="http://schemas.openxmlformats.org/officeDocument/2006/relationships/hyperlink" Target="https://doi.org/10.1080/00918369.2017.1398026" TargetMode="External"/><Relationship Id="rId21" Type="http://schemas.openxmlformats.org/officeDocument/2006/relationships/hyperlink" Target="https://www.manushyafoundation.org/joint-upr-submission-ipwomen" TargetMode="External"/><Relationship Id="rId34" Type="http://schemas.openxmlformats.org/officeDocument/2006/relationships/hyperlink" Target="https://www.protectioninternational.org/en/news/thailand-angkhana-neelapaijit-and-anchana-heemmina-file-civil-case-against-pms-office-and-royal" TargetMode="External"/><Relationship Id="rId42" Type="http://schemas.openxmlformats.org/officeDocument/2006/relationships/hyperlink" Target="https://asia.fes.de/news/migrant-workers-struggling-under-lockdown-in-thailand/" TargetMode="External"/><Relationship Id="rId7" Type="http://schemas.openxmlformats.org/officeDocument/2006/relationships/hyperlink" Target="https://www.manushyafoundation.org/thailand-third-upr-cycle-factsheet-armed-conflicts" TargetMode="External"/><Relationship Id="rId2" Type="http://schemas.openxmlformats.org/officeDocument/2006/relationships/hyperlink" Target="https://www.manushyafoundation.org/joint-upr-submission-marginalzed" TargetMode="External"/><Relationship Id="rId16" Type="http://schemas.openxmlformats.org/officeDocument/2006/relationships/hyperlink" Target="https://www.manushyafoundation.org/thailand-third-upr-cycle-factsheet-indigenous-women" TargetMode="External"/><Relationship Id="rId20" Type="http://schemas.openxmlformats.org/officeDocument/2006/relationships/hyperlink" Target="https://www.washingtonpost.com/world/asia_pacific/thailands-transgender-inmates-offeredseparate-detention-still-craving-hormones/2017/03/15/05e4b3fe-0444-11e7-ad5b-d22680e18d10_story.html" TargetMode="External"/><Relationship Id="rId29" Type="http://schemas.openxmlformats.org/officeDocument/2006/relationships/hyperlink" Target="https://www.manushyafoundation.org/post/hatespeech-how-is-online-hate-speech-hurting-feminist-activists-today" TargetMode="External"/><Relationship Id="rId41" Type="http://schemas.openxmlformats.org/officeDocument/2006/relationships/hyperlink" Target="https://www.ilo.org/asia/publications/WCMS_715939/lang--en/index.htm" TargetMode="External"/><Relationship Id="rId1" Type="http://schemas.openxmlformats.org/officeDocument/2006/relationships/hyperlink" Target="https://www.ilo.org/dyn/natlex/natlex4.detail?p_lang=en&amp;p_isn=100442&amp;p_country=THA&amp;p_count=441" TargetMode="External"/><Relationship Id="rId6" Type="http://schemas.openxmlformats.org/officeDocument/2006/relationships/hyperlink" Target="https://www.manushyafoundation.org/joint-civil-society-cerd-shadow-report" TargetMode="External"/><Relationship Id="rId11" Type="http://schemas.openxmlformats.org/officeDocument/2006/relationships/hyperlink" Target="https://www.manushyafoundation.org/comments-on-the-nap-on-bhr" TargetMode="External"/><Relationship Id="rId24" Type="http://schemas.openxmlformats.org/officeDocument/2006/relationships/hyperlink" Target="https://athertonlegal.com/does-thailands-new-family-development-and-protection-act-prohibit-smoking-at-home/" TargetMode="External"/><Relationship Id="rId32" Type="http://schemas.openxmlformats.org/officeDocument/2006/relationships/hyperlink" Target="https://www.manushyafoundation.org/post/whrds-in-the-digital-space-realities-solutions-to-speak-truth-to-power-freely" TargetMode="External"/><Relationship Id="rId37" Type="http://schemas.openxmlformats.org/officeDocument/2006/relationships/hyperlink" Target="https://minorityrights.org/publications/disability-thailand/" TargetMode="External"/><Relationship Id="rId40" Type="http://schemas.openxmlformats.org/officeDocument/2006/relationships/hyperlink" Target="https://www.undp.org/asia-pacific/publications/tool-change-working-media-issues-relating-sexual-orientation-gender-identity-expression-and-sex-characteristics-thailand" TargetMode="External"/><Relationship Id="rId5" Type="http://schemas.openxmlformats.org/officeDocument/2006/relationships/hyperlink" Target="http://www.constitutionalcourt.or.th/occ_en/download/article_20170410173022.pdf" TargetMode="External"/><Relationship Id="rId15" Type="http://schemas.openxmlformats.org/officeDocument/2006/relationships/hyperlink" Target="https://prachatai.com/english/node/8475" TargetMode="External"/><Relationship Id="rId23" Type="http://schemas.openxmlformats.org/officeDocument/2006/relationships/hyperlink" Target="https://www.manushyafoundation.org/thailand-third-upr-cycle-factsheet-khon-isaan" TargetMode="External"/><Relationship Id="rId28" Type="http://schemas.openxmlformats.org/officeDocument/2006/relationships/hyperlink" Target="https://www.ucanews.com/news/thailand-sees-surge-in-domestic-violence-during-pandemic/90421" TargetMode="External"/><Relationship Id="rId36" Type="http://schemas.openxmlformats.org/officeDocument/2006/relationships/hyperlink" Target="https://prachatai.com/journal/2022/08/100243" TargetMode="External"/><Relationship Id="rId10" Type="http://schemas.openxmlformats.org/officeDocument/2006/relationships/hyperlink" Target="https://www.mdpi.com/2673-4931/15/1/15" TargetMode="External"/><Relationship Id="rId19" Type="http://schemas.openxmlformats.org/officeDocument/2006/relationships/hyperlink" Target="https://www.manushyafoundation.org/joint-civil-society-cerd-shadow-report" TargetMode="External"/><Relationship Id="rId31" Type="http://schemas.openxmlformats.org/officeDocument/2006/relationships/hyperlink" Target="https://www.manushyafoundation.org/thailand-third-upr-cycle-factsheet-lgbtiq-persons" TargetMode="External"/><Relationship Id="rId4" Type="http://schemas.openxmlformats.org/officeDocument/2006/relationships/hyperlink" Target="https://www.ohchr.org/en/documents/concluding-observations/crpdcthaco1-concluding-observations-committee-rights-persons" TargetMode="External"/><Relationship Id="rId9" Type="http://schemas.openxmlformats.org/officeDocument/2006/relationships/hyperlink" Target="https://www.oneplanetnetwork.org/sites/default/files/thailand_national_economic_and_social_development_plan_nesdp.pdf" TargetMode="External"/><Relationship Id="rId14" Type="http://schemas.openxmlformats.org/officeDocument/2006/relationships/hyperlink" Target="https://www.manushyafoundation.org/joint-upr-submission-ipwomen" TargetMode="External"/><Relationship Id="rId22" Type="http://schemas.openxmlformats.org/officeDocument/2006/relationships/hyperlink" Target="https://www.manushyafoundation.org/thailand-third-upr-cycle-factsheet-khon-isaan" TargetMode="External"/><Relationship Id="rId27" Type="http://schemas.openxmlformats.org/officeDocument/2006/relationships/hyperlink" Target="https://www.manushyafoundation.org/post/domestic-violence-is-a-crime-the-matricide-case-at-bang-phrom-thailand" TargetMode="External"/><Relationship Id="rId30" Type="http://schemas.openxmlformats.org/officeDocument/2006/relationships/hyperlink" Target="https://www.fidh.org/en/region/asia/thailand/thailand-women-pro-democracy-activists-criminalized-harassed-new" TargetMode="External"/><Relationship Id="rId35" Type="http://schemas.openxmlformats.org/officeDocument/2006/relationships/hyperlink" Target="https://www.instagram.com/p/CddX6rYLR-N/" TargetMode="External"/><Relationship Id="rId8" Type="http://schemas.openxmlformats.org/officeDocument/2006/relationships/hyperlink" Target="https://tbinternet.ohchr.org/_layouts/15/treatybodyexternal/TBSearch.aspx?Lang=en&amp;TreatyID=8&amp;DocTypeID=5" TargetMode="External"/><Relationship Id="rId3" Type="http://schemas.openxmlformats.org/officeDocument/2006/relationships/hyperlink" Target="https://www.manushyafoundation.org/joint-upr-submission-sogiesc" TargetMode="External"/><Relationship Id="rId12" Type="http://schemas.openxmlformats.org/officeDocument/2006/relationships/hyperlink" Target="https://minorityrights.org/publications/disability-thailand/" TargetMode="External"/><Relationship Id="rId17" Type="http://schemas.openxmlformats.org/officeDocument/2006/relationships/hyperlink" Target="https://www.manushyafoundation.org/joint-civil-society-cerd-shadow-report" TargetMode="External"/><Relationship Id="rId25" Type="http://schemas.openxmlformats.org/officeDocument/2006/relationships/hyperlink" Target="https://www.manushyafoundation.org/thailand-third-upr-cycle-factsheet-women-who-are-subjected-to-male-violence" TargetMode="External"/><Relationship Id="rId33" Type="http://schemas.openxmlformats.org/officeDocument/2006/relationships/hyperlink" Target="https://www.manushyafoundation.org/post/whrds-in-the-digital-space-realities-solutions-to-speak-truth-to-power-freely" TargetMode="External"/><Relationship Id="rId38" Type="http://schemas.openxmlformats.org/officeDocument/2006/relationships/hyperlink" Target="https://www.manushyafoundation.org/joint-civil-society-report-cerd"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F20F24-CE11-49A5-8ECB-259D10DE3A69}"/>
</file>

<file path=customXml/itemProps2.xml><?xml version="1.0" encoding="utf-8"?>
<ds:datastoreItem xmlns:ds="http://schemas.openxmlformats.org/officeDocument/2006/customXml" ds:itemID="{F4FC5651-1EEA-4E18-BA98-7A5A0AF6E570}"/>
</file>

<file path=customXml/itemProps3.xml><?xml version="1.0" encoding="utf-8"?>
<ds:datastoreItem xmlns:ds="http://schemas.openxmlformats.org/officeDocument/2006/customXml" ds:itemID="{DB8B898B-DBF6-4721-B2B3-680C90B50AEB}"/>
</file>

<file path=docProps/app.xml><?xml version="1.0" encoding="utf-8"?>
<Properties xmlns="http://schemas.openxmlformats.org/officeDocument/2006/extended-properties" xmlns:vt="http://schemas.openxmlformats.org/officeDocument/2006/docPropsVTypes">
  <Template>Normal</Template>
  <TotalTime>1</TotalTime>
  <Pages>14</Pages>
  <Words>4602</Words>
  <Characters>26232</Characters>
  <Application>Microsoft Office Word</Application>
  <DocSecurity>0</DocSecurity>
  <Lines>218</Lines>
  <Paragraphs>61</Paragraphs>
  <ScaleCrop>false</ScaleCrop>
  <Company/>
  <LinksUpToDate>false</LinksUpToDate>
  <CharactersWithSpaces>30773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Manushya Foundation</dc:creator>
  <cp:keywords/>
  <dc:description/>
  <cp:lastModifiedBy>Emilie Palamy Pradichit</cp:lastModifiedBy>
  <cp:revision>2</cp:revision>
  <dcterms:created xsi:type="dcterms:W3CDTF">2022-10-10T07:10:00Z</dcterms:created>
  <dcterms:modified xsi:type="dcterms:W3CDTF">2022-10-10T07:10:00Z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