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D3FD4" w14:textId="2F9DD484" w:rsidR="00817206" w:rsidRPr="00817206" w:rsidRDefault="00817206" w:rsidP="00817206">
      <w:pPr>
        <w:jc w:val="center"/>
        <w:rPr>
          <w:rFonts w:asciiTheme="majorBidi" w:hAnsiTheme="majorBidi" w:cstheme="majorBidi"/>
          <w:b/>
          <w:bCs/>
          <w:color w:val="004E9A"/>
          <w:sz w:val="28"/>
          <w:szCs w:val="28"/>
        </w:rPr>
      </w:pPr>
      <w:r w:rsidRPr="00817206">
        <w:rPr>
          <w:rFonts w:asciiTheme="majorBidi" w:hAnsiTheme="majorBidi" w:cstheme="majorBidi"/>
          <w:b/>
          <w:bCs/>
          <w:color w:val="004E9A"/>
          <w:sz w:val="28"/>
          <w:szCs w:val="28"/>
        </w:rPr>
        <w:t xml:space="preserve">Maat </w:t>
      </w:r>
      <w:r w:rsidRPr="00817206">
        <w:rPr>
          <w:rFonts w:asciiTheme="majorBidi" w:hAnsiTheme="majorBidi" w:cstheme="majorBidi"/>
          <w:b/>
          <w:bCs/>
          <w:color w:val="004E9A"/>
          <w:sz w:val="28"/>
          <w:szCs w:val="28"/>
          <w:lang w:val="en-GB"/>
        </w:rPr>
        <w:t xml:space="preserve">for Peace’ </w:t>
      </w:r>
      <w:r w:rsidRPr="00817206">
        <w:rPr>
          <w:rFonts w:asciiTheme="majorBidi" w:hAnsiTheme="majorBidi" w:cstheme="majorBidi"/>
          <w:b/>
          <w:bCs/>
          <w:color w:val="004E9A"/>
          <w:sz w:val="28"/>
          <w:szCs w:val="28"/>
        </w:rPr>
        <w:t xml:space="preserve">Report </w:t>
      </w:r>
      <w:r w:rsidRPr="00817206">
        <w:rPr>
          <w:rFonts w:asciiTheme="majorBidi" w:hAnsiTheme="majorBidi" w:cstheme="majorBidi"/>
          <w:b/>
          <w:bCs/>
          <w:color w:val="004E9A"/>
          <w:sz w:val="28"/>
          <w:szCs w:val="28"/>
        </w:rPr>
        <w:t xml:space="preserve">submitted </w:t>
      </w:r>
      <w:r w:rsidRPr="00817206">
        <w:rPr>
          <w:rFonts w:asciiTheme="majorBidi" w:hAnsiTheme="majorBidi" w:cstheme="majorBidi"/>
          <w:b/>
          <w:bCs/>
          <w:color w:val="004E9A"/>
          <w:sz w:val="28"/>
          <w:szCs w:val="28"/>
        </w:rPr>
        <w:t xml:space="preserve">to </w:t>
      </w:r>
      <w:r w:rsidRPr="00817206">
        <w:rPr>
          <w:rFonts w:asciiTheme="majorBidi" w:hAnsiTheme="majorBidi" w:cstheme="majorBidi"/>
          <w:b/>
          <w:bCs/>
          <w:color w:val="004E9A"/>
          <w:sz w:val="28"/>
          <w:szCs w:val="28"/>
        </w:rPr>
        <w:t xml:space="preserve">The </w:t>
      </w:r>
      <w:r w:rsidRPr="00817206">
        <w:rPr>
          <w:rFonts w:asciiTheme="majorBidi" w:hAnsiTheme="majorBidi" w:cstheme="majorBidi"/>
          <w:b/>
          <w:bCs/>
          <w:color w:val="004E9A"/>
          <w:sz w:val="28"/>
          <w:szCs w:val="28"/>
        </w:rPr>
        <w:t xml:space="preserve">Committee on Enforced Disappearances Concerning </w:t>
      </w:r>
      <w:r w:rsidRPr="00817206">
        <w:rPr>
          <w:rFonts w:asciiTheme="majorBidi" w:hAnsiTheme="majorBidi" w:cstheme="majorBidi"/>
          <w:b/>
          <w:bCs/>
          <w:color w:val="004E9A"/>
          <w:sz w:val="28"/>
          <w:szCs w:val="28"/>
        </w:rPr>
        <w:t xml:space="preserve">The </w:t>
      </w:r>
      <w:r w:rsidRPr="00817206">
        <w:rPr>
          <w:rFonts w:asciiTheme="majorBidi" w:hAnsiTheme="majorBidi" w:cstheme="majorBidi"/>
          <w:b/>
          <w:bCs/>
          <w:color w:val="004E9A"/>
          <w:sz w:val="28"/>
          <w:szCs w:val="28"/>
        </w:rPr>
        <w:t xml:space="preserve">State of </w:t>
      </w:r>
      <w:r w:rsidRPr="00817206">
        <w:rPr>
          <w:rFonts w:asciiTheme="majorBidi" w:hAnsiTheme="majorBidi" w:cstheme="majorBidi"/>
          <w:b/>
          <w:bCs/>
          <w:color w:val="ED0000"/>
          <w:sz w:val="28"/>
          <w:szCs w:val="28"/>
        </w:rPr>
        <w:t>Luxembourg</w:t>
      </w:r>
    </w:p>
    <w:p w14:paraId="76F67F74" w14:textId="79D8242C" w:rsidR="00817206" w:rsidRDefault="00817206" w:rsidP="00817206">
      <w:pPr>
        <w:jc w:val="center"/>
        <w:rPr>
          <w:rFonts w:asciiTheme="majorBidi" w:hAnsiTheme="majorBidi" w:cstheme="majorBidi"/>
          <w:b/>
          <w:bCs/>
        </w:rPr>
      </w:pPr>
      <w:r w:rsidRPr="00817206">
        <w:rPr>
          <w:rFonts w:asciiTheme="majorBidi" w:hAnsiTheme="majorBidi" w:cstheme="majorBidi"/>
          <w:b/>
          <w:bCs/>
        </w:rPr>
        <w:t>Within the framework of the list of issues</w:t>
      </w:r>
    </w:p>
    <w:p w14:paraId="63104645" w14:textId="28673BAB" w:rsidR="00817206" w:rsidRPr="00817206" w:rsidRDefault="00817206" w:rsidP="00817206">
      <w:pPr>
        <w:pBdr>
          <w:bottom w:val="single" w:sz="18" w:space="1" w:color="auto"/>
        </w:pBdr>
        <w:jc w:val="center"/>
        <w:rPr>
          <w:rFonts w:asciiTheme="majorBidi" w:hAnsiTheme="majorBidi" w:cstheme="majorBidi"/>
        </w:rPr>
      </w:pPr>
      <w:r w:rsidRPr="00817206">
        <w:rPr>
          <w:rFonts w:asciiTheme="majorBidi" w:hAnsiTheme="majorBidi" w:cstheme="majorBidi"/>
        </w:rPr>
        <w:t>January 2025</w:t>
      </w:r>
    </w:p>
    <w:p w14:paraId="1BD6F479"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Maat for Peace, Development and Human Rights submits this report to the United Nations Committee on Enforced Disappearances (hereinafter referred to as the Committee) as part of the follow-up on Luxembourg's compliance with the provisions of the Convention for the Protection of All Persons from Enforced Disappearance (hereinafter referred to as the Convention). Maat commends the ongoing efforts made by the Government of Luxembourg to eliminate human rights violations in general, including enforced disappearances.</w:t>
      </w:r>
    </w:p>
    <w:p w14:paraId="206D9622"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Luxembourg is a State Party to the Convention for the Protection of All Persons from Enforced Disappearance, having signed it on 6 February 2007 and ratified it on 1 April 2022. Consequently, it is obligated to fully implement the provisions of the Convention without discrimination, whether towards its own citizens or foreigners residing within its territory. Luxembourg submitted its first national report to the Committee on 14 May 2024.</w:t>
      </w:r>
      <w:r w:rsidRPr="00817206">
        <w:rPr>
          <w:rStyle w:val="FootnoteReference"/>
          <w:rFonts w:asciiTheme="majorBidi" w:hAnsiTheme="majorBidi" w:cstheme="majorBidi"/>
          <w:sz w:val="24"/>
          <w:szCs w:val="24"/>
        </w:rPr>
        <w:footnoteReference w:id="1"/>
      </w:r>
      <w:r w:rsidRPr="00817206">
        <w:rPr>
          <w:rFonts w:asciiTheme="majorBidi" w:hAnsiTheme="majorBidi" w:cstheme="majorBidi"/>
          <w:sz w:val="24"/>
          <w:szCs w:val="24"/>
        </w:rPr>
        <w:t xml:space="preserve"> In this context, there have been no reliable reports of serious human rights violations in Luxembourg in recent years, including the crime of enforced disappearance, which is rare in this country.</w:t>
      </w:r>
    </w:p>
    <w:p w14:paraId="27255777"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However, Maat notes that despite the efforts made and the international commitments fulfilled by Luxembourg, the comprehensive legal framework addressing the crime of enforced disappearance still suffers from certain shortcomings. These shortcomings pose a significant challenge to achieving full protection of individuals from the risk of enforced disappearance within the country.</w:t>
      </w:r>
    </w:p>
    <w:p w14:paraId="5E994426" w14:textId="77777777" w:rsidR="00817206" w:rsidRPr="00817206" w:rsidRDefault="00817206" w:rsidP="00817206">
      <w:pPr>
        <w:jc w:val="both"/>
        <w:rPr>
          <w:rFonts w:asciiTheme="majorBidi" w:hAnsiTheme="majorBidi" w:cstheme="majorBidi"/>
          <w:b/>
          <w:bCs/>
          <w:color w:val="ED0000"/>
          <w:sz w:val="28"/>
          <w:szCs w:val="28"/>
        </w:rPr>
      </w:pPr>
      <w:r w:rsidRPr="00817206">
        <w:rPr>
          <w:rFonts w:asciiTheme="majorBidi" w:hAnsiTheme="majorBidi" w:cstheme="majorBidi"/>
          <w:b/>
          <w:bCs/>
          <w:color w:val="ED0000"/>
          <w:sz w:val="28"/>
          <w:szCs w:val="28"/>
        </w:rPr>
        <w:t>Non-Justifiability of Enforced Disappearance (Article 1)</w:t>
      </w:r>
    </w:p>
    <w:p w14:paraId="38D8506E"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Luxembourg’s laws and regulations contain no provisions allowing for exceptions to the prohibition of enforced disappearance. This prohibition is particularly grounded in Article 12 of the Constitution,</w:t>
      </w:r>
      <w:r w:rsidRPr="00817206">
        <w:rPr>
          <w:rStyle w:val="FootnoteReference"/>
          <w:rFonts w:asciiTheme="majorBidi" w:hAnsiTheme="majorBidi" w:cstheme="majorBidi"/>
          <w:sz w:val="24"/>
          <w:szCs w:val="24"/>
        </w:rPr>
        <w:footnoteReference w:id="2"/>
      </w:r>
      <w:r w:rsidRPr="00817206">
        <w:rPr>
          <w:rFonts w:asciiTheme="majorBidi" w:hAnsiTheme="majorBidi" w:cstheme="majorBidi"/>
          <w:sz w:val="24"/>
          <w:szCs w:val="24"/>
        </w:rPr>
        <w:t xml:space="preserve"> which guarantees individual freedom and limits the deprivation of liberty to cases clearly delineated by law. Additionally, Article 70 of the Criminal Code explicitly states that no exceptions to the prohibition of enforced disappearance are permitted. The Luxembourg Constitution does not include any provisions that allow for the derogation of this prohibition in exceptional circumstances.</w:t>
      </w:r>
      <w:r w:rsidRPr="00817206">
        <w:rPr>
          <w:rStyle w:val="FootnoteReference"/>
          <w:rFonts w:asciiTheme="majorBidi" w:hAnsiTheme="majorBidi" w:cstheme="majorBidi"/>
          <w:sz w:val="24"/>
          <w:szCs w:val="24"/>
        </w:rPr>
        <w:footnoteReference w:id="3"/>
      </w:r>
      <w:r w:rsidRPr="00817206">
        <w:rPr>
          <w:rFonts w:asciiTheme="majorBidi" w:hAnsiTheme="majorBidi" w:cstheme="majorBidi"/>
          <w:sz w:val="24"/>
          <w:szCs w:val="24"/>
        </w:rPr>
        <w:t xml:space="preserve"> In this context, international reports reviewed by Maat indicate that </w:t>
      </w:r>
      <w:r w:rsidRPr="00817206">
        <w:rPr>
          <w:rFonts w:asciiTheme="majorBidi" w:hAnsiTheme="majorBidi" w:cstheme="majorBidi"/>
          <w:sz w:val="24"/>
          <w:szCs w:val="24"/>
        </w:rPr>
        <w:lastRenderedPageBreak/>
        <w:t>no cases of enforced disappearance have been recorded by or on behalf of state authorities,</w:t>
      </w:r>
      <w:r w:rsidRPr="00817206">
        <w:rPr>
          <w:rStyle w:val="FootnoteReference"/>
          <w:rFonts w:asciiTheme="majorBidi" w:hAnsiTheme="majorBidi" w:cstheme="majorBidi"/>
          <w:sz w:val="24"/>
          <w:szCs w:val="24"/>
        </w:rPr>
        <w:footnoteReference w:id="4"/>
      </w:r>
      <w:r w:rsidRPr="00817206">
        <w:rPr>
          <w:rFonts w:asciiTheme="majorBidi" w:hAnsiTheme="majorBidi" w:cstheme="majorBidi"/>
          <w:sz w:val="24"/>
          <w:szCs w:val="24"/>
        </w:rPr>
        <w:t xml:space="preserve"> which Maat greatly commends. Maat calls on the Luxembourg authorities to continue this approach to ensure individuals are protected from this crime.</w:t>
      </w:r>
    </w:p>
    <w:p w14:paraId="5D9251A5" w14:textId="012F7307"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Proposed Issues</w:t>
      </w:r>
    </w:p>
    <w:p w14:paraId="5152FDEF" w14:textId="77777777"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Maat hopes that the Committee will inquire whether:</w:t>
      </w:r>
    </w:p>
    <w:p w14:paraId="77E48F3D" w14:textId="77777777" w:rsidR="00817206" w:rsidRPr="00817206" w:rsidRDefault="00817206" w:rsidP="00817206">
      <w:pPr>
        <w:pStyle w:val="ListParagraph"/>
        <w:numPr>
          <w:ilvl w:val="0"/>
          <w:numId w:val="43"/>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 xml:space="preserve">The State has taken any measures to transfer its expertise and good practices in this regard to other States or if it intends to do so in the near future. </w:t>
      </w:r>
    </w:p>
    <w:p w14:paraId="16581A10" w14:textId="5D5A6CD4" w:rsidR="00817206" w:rsidRPr="00817206" w:rsidRDefault="00817206" w:rsidP="00817206">
      <w:pPr>
        <w:pStyle w:val="ListParagraph"/>
        <w:numPr>
          <w:ilvl w:val="0"/>
          <w:numId w:val="43"/>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There were awareness-raising campaigns targeting the general public to increase understanding of their rights concerning the crime of enforced disappearance</w:t>
      </w:r>
      <w:r>
        <w:rPr>
          <w:rFonts w:asciiTheme="majorBidi" w:hAnsiTheme="majorBidi" w:cstheme="majorBidi"/>
          <w:sz w:val="24"/>
          <w:szCs w:val="24"/>
        </w:rPr>
        <w:t>.</w:t>
      </w:r>
    </w:p>
    <w:p w14:paraId="4CEC97E0" w14:textId="77777777" w:rsidR="00817206" w:rsidRPr="00817206" w:rsidRDefault="00817206" w:rsidP="00817206">
      <w:pPr>
        <w:jc w:val="both"/>
        <w:rPr>
          <w:rFonts w:asciiTheme="majorBidi" w:hAnsiTheme="majorBidi" w:cstheme="majorBidi"/>
          <w:b/>
          <w:bCs/>
          <w:color w:val="ED0000"/>
          <w:sz w:val="28"/>
          <w:szCs w:val="28"/>
        </w:rPr>
      </w:pPr>
      <w:r w:rsidRPr="00817206">
        <w:rPr>
          <w:rFonts w:asciiTheme="majorBidi" w:hAnsiTheme="majorBidi" w:cstheme="majorBidi"/>
          <w:b/>
          <w:bCs/>
          <w:color w:val="ED0000"/>
          <w:sz w:val="28"/>
          <w:szCs w:val="28"/>
        </w:rPr>
        <w:t>Definition of Enforced Disappearance (Article 2)</w:t>
      </w:r>
    </w:p>
    <w:p w14:paraId="2B8B51D4"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In accordance with the law of 17 December 2021, by which Luxembourg ratified the Convention, a new chapter entitled "Offenses Committed Against the Person Subjected to Enforced Disappearance" was added to Title VIII of Book II of the Criminal Code. Enforced disappearance is defined in Article 442-1 bis of the Penal Code as follows: “Enforced disappearance is the arrest, detention, abduction, or any other form of deprivation of liberty of a person by one or more State agents or by a person or group of persons acting with the authorization, support, or acquiescence of the State authorities, with a refusal to acknowledge the deprivation of liberty or with concealment of the fate or whereabouts of the person, in circumstances that place him or her outside the protection of the law.” This crime is punishable by imprisonment for a term of 20 to 30 years.</w:t>
      </w:r>
      <w:r w:rsidRPr="00817206">
        <w:rPr>
          <w:rStyle w:val="FootnoteReference"/>
          <w:rFonts w:asciiTheme="majorBidi" w:hAnsiTheme="majorBidi" w:cstheme="majorBidi"/>
          <w:sz w:val="24"/>
          <w:szCs w:val="24"/>
        </w:rPr>
        <w:footnoteReference w:id="5"/>
      </w:r>
      <w:r w:rsidRPr="00817206">
        <w:rPr>
          <w:rFonts w:asciiTheme="majorBidi" w:hAnsiTheme="majorBidi" w:cstheme="majorBidi"/>
          <w:sz w:val="24"/>
          <w:szCs w:val="24"/>
        </w:rPr>
        <w:t xml:space="preserve"> Maat believes that this definition, despite some minor differences in wording, is largely consistent with the definition contained in Article 2 of the Convention.</w:t>
      </w:r>
    </w:p>
    <w:p w14:paraId="1ACF099C"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Maat points out that there has been no statistical data on complaints of enforced disappearance in Luxembourg, as stipulated in Article 2 of the Convention, since the law was enacted. The Luxembourg authorities justify this lack of data by stating that the law is still new, making it impossible to provide such information at present.</w:t>
      </w:r>
      <w:r w:rsidRPr="00817206">
        <w:rPr>
          <w:rStyle w:val="FootnoteReference"/>
          <w:rFonts w:asciiTheme="majorBidi" w:hAnsiTheme="majorBidi" w:cstheme="majorBidi"/>
          <w:sz w:val="24"/>
          <w:szCs w:val="24"/>
        </w:rPr>
        <w:footnoteReference w:id="6"/>
      </w:r>
      <w:r w:rsidRPr="00817206">
        <w:rPr>
          <w:rFonts w:asciiTheme="majorBidi" w:hAnsiTheme="majorBidi" w:cstheme="majorBidi"/>
          <w:sz w:val="24"/>
          <w:szCs w:val="24"/>
        </w:rPr>
        <w:t xml:space="preserve"> However, Maat contends that the time elapsed since the law's passage has been sufficient for the authorities to collect and report this data.</w:t>
      </w:r>
    </w:p>
    <w:p w14:paraId="13B0661D" w14:textId="145C963B"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Proposed Issues</w:t>
      </w:r>
    </w:p>
    <w:p w14:paraId="714A221A" w14:textId="77777777"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Maat hopes that the Committee will ask the State party to:</w:t>
      </w:r>
    </w:p>
    <w:p w14:paraId="440B28CB" w14:textId="77777777" w:rsidR="00817206" w:rsidRPr="00817206" w:rsidRDefault="00817206" w:rsidP="00817206">
      <w:pPr>
        <w:pStyle w:val="ListParagraph"/>
        <w:numPr>
          <w:ilvl w:val="0"/>
          <w:numId w:val="44"/>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lastRenderedPageBreak/>
        <w:t>Why has Luxembourg not provided statistical data on complaints of enforced disappearance to date?</w:t>
      </w:r>
    </w:p>
    <w:p w14:paraId="7B28DC91" w14:textId="77777777" w:rsidR="00817206" w:rsidRPr="00817206" w:rsidRDefault="00817206" w:rsidP="00817206">
      <w:pPr>
        <w:pStyle w:val="ListParagraph"/>
        <w:numPr>
          <w:ilvl w:val="0"/>
          <w:numId w:val="44"/>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What steps are the authorities currently taking to provide such data in the future?</w:t>
      </w:r>
    </w:p>
    <w:p w14:paraId="69A2AB4C" w14:textId="77777777" w:rsidR="00817206" w:rsidRPr="00817206" w:rsidRDefault="00817206" w:rsidP="00817206">
      <w:pPr>
        <w:pStyle w:val="ListParagraph"/>
        <w:numPr>
          <w:ilvl w:val="0"/>
          <w:numId w:val="44"/>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Is there any intention to create databases of disappeared, missing persons, or unidentified bodies in line with international best practices?</w:t>
      </w:r>
    </w:p>
    <w:p w14:paraId="20926FEF" w14:textId="3B30DC32" w:rsidR="00817206" w:rsidRPr="00817206" w:rsidRDefault="00817206" w:rsidP="00817206">
      <w:pPr>
        <w:jc w:val="both"/>
        <w:rPr>
          <w:rFonts w:asciiTheme="majorBidi" w:hAnsiTheme="majorBidi" w:cstheme="majorBidi"/>
          <w:b/>
          <w:bCs/>
          <w:color w:val="ED0000"/>
          <w:sz w:val="28"/>
          <w:szCs w:val="28"/>
        </w:rPr>
      </w:pPr>
      <w:r w:rsidRPr="00817206">
        <w:rPr>
          <w:rFonts w:asciiTheme="majorBidi" w:hAnsiTheme="majorBidi" w:cstheme="majorBidi"/>
          <w:b/>
          <w:bCs/>
          <w:color w:val="ED0000"/>
          <w:sz w:val="28"/>
          <w:szCs w:val="28"/>
        </w:rPr>
        <w:t>Criminalization of Enforced Disappearance (Article 4)</w:t>
      </w:r>
    </w:p>
    <w:p w14:paraId="2CDCD7D3"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On 17 December 2021, a new chapter was added to the Luxembourg Criminal Code titled “Offences Against the Person Subject to Enforced Disappearance.” This legislation treats enforced disappearance as an independent criminal offense, punishable by severe imprisonment. Moreover, in cases where enforced disappearance is considered a crime against humanity, prosecution and punishment are not subject to a statute of limitations, as outlined in Articles 637 (1) (3) and 635 (2) of the Code of Criminal Procedure. The statute of limitations for enforced disappearance, as defined in Article 442-1 bis of the Criminal Code, is ten years. The statute of limitations begins only from the date the crime is discovered under circumstances that allow for the prosecution of those responsible, as enforced disappearance is classified as a “hidden crime” or a “continuing crime” under the law. Article 637 (1) of the Code of Criminal Procedure recognizes the possibility of suspending the statute of limitations in certain circumstances to ensure effective prosecutions and protect victims' rights to an effective remedy. If the crime is committed against a minor, Article 637 (2) stipulates that the statute of limitations for public prosecution shall not apply until the minor reaches the age of majority or until their death, if it occurs prior to that.</w:t>
      </w:r>
      <w:r w:rsidRPr="00817206">
        <w:rPr>
          <w:rStyle w:val="FootnoteReference"/>
          <w:rFonts w:asciiTheme="majorBidi" w:hAnsiTheme="majorBidi" w:cstheme="majorBidi"/>
          <w:sz w:val="24"/>
          <w:szCs w:val="24"/>
        </w:rPr>
        <w:footnoteReference w:id="7"/>
      </w:r>
    </w:p>
    <w:p w14:paraId="2F5095BE"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Maat also notes that acts referred to in Article 2 of the Convention, if committed by individuals or groups without the authorization, support, or acquiescence of the State, may be classified as an attack on personal freedom, punishable under Articles 434-438-1 of the Penal Code. They may also be classified as hostage-taking under Article 442-1, illegal or arbitrary detention under Articles 147, 155-157, 159, and 434-438, or child abduction under Articles 364 and 365. These crimes are subject to the investigative measures outlined in the Code of Criminal Procedure.</w:t>
      </w:r>
    </w:p>
    <w:p w14:paraId="418D5691"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In this regard, Maat sees a need to review existing provisions, as enforced disappearance can be perpetrated by individuals not affiliated with the state or linked to external parties. Therefore, Maat recommends increasing the penalties for enforced disappearance to be equal to those imposed on state employees or their affiliates. It emphasizes that the perpetrator’s status should not serve as a basis for reducing penalties or altering applicable provisions.</w:t>
      </w:r>
    </w:p>
    <w:p w14:paraId="663EC985" w14:textId="3EFC223D"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lastRenderedPageBreak/>
        <w:t>Proposed Issues</w:t>
      </w:r>
    </w:p>
    <w:p w14:paraId="11C5F326" w14:textId="77777777"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Maat would like the Committee to ask the State:</w:t>
      </w:r>
    </w:p>
    <w:p w14:paraId="720DA7A2" w14:textId="77777777" w:rsidR="00817206" w:rsidRPr="00817206" w:rsidRDefault="00817206" w:rsidP="00817206">
      <w:pPr>
        <w:numPr>
          <w:ilvl w:val="0"/>
          <w:numId w:val="41"/>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What mechanisms are in place to ensure the effective suspension of the statute of limitations to bring perpetrators of enforced disappearance to justice?</w:t>
      </w:r>
    </w:p>
    <w:p w14:paraId="10E4DFD9" w14:textId="77777777" w:rsidR="00817206" w:rsidRPr="00817206" w:rsidRDefault="00817206" w:rsidP="00817206">
      <w:pPr>
        <w:numPr>
          <w:ilvl w:val="0"/>
          <w:numId w:val="41"/>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How are cases of enforced disappearance, discovered long after the fact, managed to ensure accountability?</w:t>
      </w:r>
    </w:p>
    <w:p w14:paraId="376C542F" w14:textId="77777777" w:rsidR="00817206" w:rsidRPr="00817206" w:rsidRDefault="00817206" w:rsidP="00817206">
      <w:pPr>
        <w:numPr>
          <w:ilvl w:val="0"/>
          <w:numId w:val="41"/>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Are there plans to amend the Criminal Code to increase penalties for perpetrators of enforced disappearance who are not state officials or agents?</w:t>
      </w:r>
    </w:p>
    <w:p w14:paraId="51E66C6F" w14:textId="77777777" w:rsidR="00817206" w:rsidRPr="00817206" w:rsidRDefault="00817206" w:rsidP="00817206">
      <w:pPr>
        <w:jc w:val="both"/>
        <w:rPr>
          <w:rFonts w:asciiTheme="majorBidi" w:hAnsiTheme="majorBidi" w:cstheme="majorBidi"/>
          <w:b/>
          <w:bCs/>
          <w:color w:val="ED0000"/>
          <w:sz w:val="28"/>
          <w:szCs w:val="28"/>
        </w:rPr>
      </w:pPr>
      <w:r w:rsidRPr="00817206">
        <w:rPr>
          <w:rFonts w:asciiTheme="majorBidi" w:hAnsiTheme="majorBidi" w:cstheme="majorBidi"/>
          <w:b/>
          <w:bCs/>
          <w:color w:val="ED0000"/>
          <w:sz w:val="28"/>
          <w:szCs w:val="28"/>
        </w:rPr>
        <w:t>Extradition (Article 13)</w:t>
      </w:r>
    </w:p>
    <w:p w14:paraId="0FDAC49B"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In Luxembourg, enforced disappearance is not explicitly listed as an extraditable offence in existing treaties. However, it is covered by both the European Convention on Extradition and the Extradition Act of 20 June 2001, which allows for extradition of individuals wanted for acts punishable by both Luxembourg law and the requesting State's law, provided the penalty is at least one year of imprisonment. Consequently, the crime of enforced disappearance, punishable under Article 442-1 bis of the Penal Code with imprisonment ranging from 20 to 30 years, is eligible for extradition under applicable provisions. The extradition law allows for extradition even in the absence of an international treaty. Moreover, extradition can occur if a State requests it for a suspect in an enforced disappearance case, even if the maximum penalty under that State's law is less than one year, as international treaty provisions take precedence over national legislation.</w:t>
      </w:r>
      <w:r w:rsidRPr="00817206">
        <w:rPr>
          <w:rStyle w:val="FootnoteReference"/>
          <w:rFonts w:asciiTheme="majorBidi" w:hAnsiTheme="majorBidi" w:cstheme="majorBidi"/>
          <w:sz w:val="24"/>
          <w:szCs w:val="24"/>
        </w:rPr>
        <w:footnoteReference w:id="8"/>
      </w:r>
    </w:p>
    <w:p w14:paraId="56B51F76" w14:textId="77777777" w:rsidR="00817206" w:rsidRPr="00817206" w:rsidRDefault="00817206" w:rsidP="00817206">
      <w:pPr>
        <w:jc w:val="both"/>
        <w:rPr>
          <w:rFonts w:asciiTheme="majorBidi" w:hAnsiTheme="majorBidi" w:cstheme="majorBidi"/>
          <w:sz w:val="24"/>
          <w:szCs w:val="24"/>
        </w:rPr>
      </w:pPr>
      <w:r w:rsidRPr="00817206">
        <w:rPr>
          <w:rFonts w:asciiTheme="majorBidi" w:hAnsiTheme="majorBidi" w:cstheme="majorBidi"/>
          <w:sz w:val="24"/>
          <w:szCs w:val="24"/>
        </w:rPr>
        <w:t>While Maat welcomes these provisions, it stresses the need for specific legislative measures to extradite perpetrators or accomplices of enforced disappearances, regardless of the penalties they face. This emphasis arises from the gravity of the crime, especially when committed across borders, necessitating enhanced cooperation between States to ensure accountability.</w:t>
      </w:r>
    </w:p>
    <w:p w14:paraId="7D84D1B2" w14:textId="77777777"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Proposed Issues</w:t>
      </w:r>
    </w:p>
    <w:p w14:paraId="6B6DA614" w14:textId="77777777"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Maat would like the Committee to ask the State party:</w:t>
      </w:r>
    </w:p>
    <w:p w14:paraId="68893663" w14:textId="77777777" w:rsidR="00817206" w:rsidRPr="00817206" w:rsidRDefault="00817206" w:rsidP="00817206">
      <w:pPr>
        <w:numPr>
          <w:ilvl w:val="0"/>
          <w:numId w:val="42"/>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How does Luxembourg ensure that suspects in cases of enforced disappearance are extradited in accordance with the Convention, especially in the absence of international treaties?</w:t>
      </w:r>
    </w:p>
    <w:p w14:paraId="72F86E2C" w14:textId="77777777" w:rsidR="00817206" w:rsidRPr="00817206" w:rsidRDefault="00817206" w:rsidP="00817206">
      <w:pPr>
        <w:numPr>
          <w:ilvl w:val="0"/>
          <w:numId w:val="42"/>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lastRenderedPageBreak/>
        <w:t>Are the authorities actively working to strengthen cooperation with other States to exchange information and data on cases of enforced disappearance?</w:t>
      </w:r>
    </w:p>
    <w:p w14:paraId="3FA771A4" w14:textId="77777777" w:rsidR="00817206" w:rsidRPr="002211EB" w:rsidRDefault="00817206" w:rsidP="00817206">
      <w:pPr>
        <w:jc w:val="both"/>
        <w:rPr>
          <w:rFonts w:asciiTheme="majorBidi" w:hAnsiTheme="majorBidi" w:cstheme="majorBidi"/>
          <w:b/>
          <w:bCs/>
          <w:color w:val="ED0000"/>
          <w:sz w:val="28"/>
          <w:szCs w:val="28"/>
        </w:rPr>
      </w:pPr>
      <w:r w:rsidRPr="002211EB">
        <w:rPr>
          <w:rFonts w:asciiTheme="majorBidi" w:hAnsiTheme="majorBidi" w:cstheme="majorBidi"/>
          <w:b/>
          <w:bCs/>
          <w:color w:val="ED0000"/>
          <w:sz w:val="28"/>
          <w:szCs w:val="28"/>
        </w:rPr>
        <w:t>Protection of Victims (Article 24)</w:t>
      </w:r>
    </w:p>
    <w:p w14:paraId="15BF6A89" w14:textId="26835BCB" w:rsidR="00817206" w:rsidRPr="00817206" w:rsidRDefault="00817206" w:rsidP="002211EB">
      <w:pPr>
        <w:jc w:val="both"/>
        <w:rPr>
          <w:rFonts w:asciiTheme="majorBidi" w:hAnsiTheme="majorBidi" w:cstheme="majorBidi"/>
          <w:sz w:val="24"/>
          <w:szCs w:val="24"/>
        </w:rPr>
      </w:pPr>
      <w:r w:rsidRPr="00817206">
        <w:rPr>
          <w:rFonts w:asciiTheme="majorBidi" w:hAnsiTheme="majorBidi" w:cstheme="majorBidi"/>
          <w:sz w:val="24"/>
          <w:szCs w:val="24"/>
        </w:rPr>
        <w:t>Luxembourg authorities are committed to the provisions of Article 24 of the Convention, which pertains to the protection of victims. The Luxembourg Code of Criminal Procedure includes various measures for this protection, such as pre-trial detention, witness hearing procedures, and mechanisms to protect vulnerable victims, including children and victims of human trafficking.</w:t>
      </w:r>
      <w:r w:rsidRPr="00817206">
        <w:rPr>
          <w:rStyle w:val="FootnoteReference"/>
          <w:rFonts w:asciiTheme="majorBidi" w:hAnsiTheme="majorBidi" w:cstheme="majorBidi"/>
          <w:sz w:val="24"/>
          <w:szCs w:val="24"/>
        </w:rPr>
        <w:footnoteReference w:id="9"/>
      </w:r>
      <w:r w:rsidRPr="00817206">
        <w:rPr>
          <w:rFonts w:asciiTheme="majorBidi" w:hAnsiTheme="majorBidi" w:cstheme="majorBidi"/>
          <w:sz w:val="24"/>
          <w:szCs w:val="24"/>
        </w:rPr>
        <w:t xml:space="preserve"> However, Maat notes the absence of a specific witness protection program for this type of crime, which is as critical as protections for other groups. This gap reflects a significant delay in addressing this aspect, despite its importance for the investigation and litigation processes.</w:t>
      </w:r>
    </w:p>
    <w:p w14:paraId="6B66C7F5" w14:textId="69BA441A" w:rsidR="00817206" w:rsidRPr="00817206" w:rsidRDefault="00817206" w:rsidP="00817206">
      <w:pPr>
        <w:jc w:val="both"/>
        <w:rPr>
          <w:rFonts w:asciiTheme="majorBidi" w:hAnsiTheme="majorBidi" w:cstheme="majorBidi"/>
          <w:b/>
          <w:bCs/>
          <w:sz w:val="24"/>
          <w:szCs w:val="24"/>
        </w:rPr>
      </w:pPr>
      <w:r w:rsidRPr="00817206">
        <w:rPr>
          <w:rFonts w:asciiTheme="majorBidi" w:hAnsiTheme="majorBidi" w:cstheme="majorBidi"/>
          <w:b/>
          <w:bCs/>
          <w:sz w:val="24"/>
          <w:szCs w:val="24"/>
        </w:rPr>
        <w:t>Proposed issues</w:t>
      </w:r>
    </w:p>
    <w:p w14:paraId="6111F910" w14:textId="77777777" w:rsidR="00817206" w:rsidRPr="002211EB" w:rsidRDefault="00817206" w:rsidP="00817206">
      <w:pPr>
        <w:jc w:val="both"/>
        <w:rPr>
          <w:rFonts w:asciiTheme="majorBidi" w:hAnsiTheme="majorBidi" w:cstheme="majorBidi"/>
          <w:b/>
          <w:bCs/>
          <w:sz w:val="24"/>
          <w:szCs w:val="24"/>
        </w:rPr>
      </w:pPr>
      <w:r w:rsidRPr="002211EB">
        <w:rPr>
          <w:rFonts w:asciiTheme="majorBidi" w:hAnsiTheme="majorBidi" w:cstheme="majorBidi"/>
          <w:b/>
          <w:bCs/>
          <w:sz w:val="24"/>
          <w:szCs w:val="24"/>
        </w:rPr>
        <w:t>Maat hopes that the Committee will ask the State party to:</w:t>
      </w:r>
    </w:p>
    <w:p w14:paraId="098CCCC8" w14:textId="77777777" w:rsidR="00817206" w:rsidRPr="00817206" w:rsidRDefault="00817206" w:rsidP="00817206">
      <w:pPr>
        <w:pStyle w:val="ListParagraph"/>
        <w:numPr>
          <w:ilvl w:val="0"/>
          <w:numId w:val="45"/>
        </w:numPr>
        <w:spacing w:line="278" w:lineRule="auto"/>
        <w:jc w:val="both"/>
        <w:rPr>
          <w:rFonts w:asciiTheme="majorBidi" w:hAnsiTheme="majorBidi" w:cstheme="majorBidi"/>
          <w:sz w:val="24"/>
          <w:szCs w:val="24"/>
        </w:rPr>
      </w:pPr>
      <w:r w:rsidRPr="00817206">
        <w:rPr>
          <w:rFonts w:asciiTheme="majorBidi" w:hAnsiTheme="majorBidi" w:cstheme="majorBidi"/>
          <w:sz w:val="24"/>
          <w:szCs w:val="24"/>
        </w:rPr>
        <w:t>Is there a plan to include witness protection programmes specifically in cases of enforced disappearance? If so, what is the expected timeframe for its implementation?</w:t>
      </w:r>
    </w:p>
    <w:p w14:paraId="6FC6308C" w14:textId="074C1D40" w:rsidR="006B1AFB" w:rsidRPr="00817206" w:rsidRDefault="006B1AFB" w:rsidP="00F27F37">
      <w:pPr>
        <w:rPr>
          <w:sz w:val="24"/>
          <w:szCs w:val="24"/>
          <w:rtl/>
        </w:rPr>
      </w:pPr>
    </w:p>
    <w:sectPr w:rsidR="006B1AFB" w:rsidRPr="0081720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57B73" w14:textId="77777777" w:rsidR="00DD77D6" w:rsidRDefault="00DD77D6" w:rsidP="004F6D5A">
      <w:pPr>
        <w:spacing w:after="0" w:line="240" w:lineRule="auto"/>
      </w:pPr>
      <w:r>
        <w:separator/>
      </w:r>
    </w:p>
  </w:endnote>
  <w:endnote w:type="continuationSeparator" w:id="0">
    <w:p w14:paraId="32016540" w14:textId="77777777" w:rsidR="00DD77D6" w:rsidRDefault="00DD77D6"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B8010" w14:textId="77777777" w:rsidR="00DD77D6" w:rsidRDefault="00DD77D6" w:rsidP="004F6D5A">
      <w:pPr>
        <w:spacing w:after="0" w:line="240" w:lineRule="auto"/>
      </w:pPr>
      <w:r>
        <w:separator/>
      </w:r>
    </w:p>
  </w:footnote>
  <w:footnote w:type="continuationSeparator" w:id="0">
    <w:p w14:paraId="527286DE" w14:textId="77777777" w:rsidR="00DD77D6" w:rsidRDefault="00DD77D6" w:rsidP="004F6D5A">
      <w:pPr>
        <w:spacing w:after="0" w:line="240" w:lineRule="auto"/>
      </w:pPr>
      <w:r>
        <w:continuationSeparator/>
      </w:r>
    </w:p>
  </w:footnote>
  <w:footnote w:id="1">
    <w:p w14:paraId="7998D2B2" w14:textId="2E2FF911"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w:t>
      </w:r>
      <w:r w:rsidRPr="004613AD">
        <w:rPr>
          <w:rFonts w:asciiTheme="majorBidi" w:eastAsia="Sakkal Majalla" w:hAnsiTheme="majorBidi" w:cstheme="majorBidi"/>
          <w:color w:val="000000"/>
          <w:sz w:val="16"/>
          <w:szCs w:val="16"/>
        </w:rPr>
        <w:t xml:space="preserve">Ratification, Reporting &amp; Documentation for Luxembourg, </w:t>
      </w:r>
      <w:r>
        <w:rPr>
          <w:rFonts w:asciiTheme="majorBidi" w:eastAsia="Sakkal Majalla" w:hAnsiTheme="majorBidi" w:cstheme="majorBidi"/>
          <w:color w:val="000000"/>
          <w:sz w:val="16"/>
          <w:szCs w:val="16"/>
        </w:rPr>
        <w:t>OHCHR</w:t>
      </w:r>
      <w:r w:rsidRPr="004613AD">
        <w:rPr>
          <w:rFonts w:asciiTheme="majorBidi" w:eastAsia="Sakkal Majalla" w:hAnsiTheme="majorBidi" w:cstheme="majorBidi"/>
          <w:color w:val="000000"/>
          <w:sz w:val="16"/>
          <w:szCs w:val="16"/>
        </w:rPr>
        <w:t xml:space="preserve">, </w:t>
      </w:r>
      <w:hyperlink r:id="rId1">
        <w:r w:rsidRPr="004613AD">
          <w:rPr>
            <w:rFonts w:asciiTheme="majorBidi" w:eastAsia="Sakkal Majalla" w:hAnsiTheme="majorBidi" w:cstheme="majorBidi"/>
            <w:color w:val="0563C1"/>
            <w:sz w:val="16"/>
            <w:szCs w:val="16"/>
            <w:u w:val="single"/>
          </w:rPr>
          <w:t>https://2h.ae/wfUt</w:t>
        </w:r>
      </w:hyperlink>
    </w:p>
  </w:footnote>
  <w:footnote w:id="2">
    <w:p w14:paraId="76D7DFC9" w14:textId="77777777"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w:t>
      </w:r>
      <w:r w:rsidRPr="004613AD">
        <w:rPr>
          <w:rFonts w:asciiTheme="majorBidi" w:hAnsiTheme="majorBidi" w:cstheme="majorBidi"/>
          <w:color w:val="000000"/>
          <w:sz w:val="16"/>
          <w:szCs w:val="16"/>
        </w:rPr>
        <w:t xml:space="preserve">Constitution of Luxembourg 1868 (amended 2009), </w:t>
      </w:r>
      <w:hyperlink r:id="rId2" w:history="1">
        <w:r w:rsidRPr="004613AD">
          <w:rPr>
            <w:rStyle w:val="Hyperlink"/>
            <w:rFonts w:asciiTheme="majorBidi" w:hAnsiTheme="majorBidi" w:cstheme="majorBidi"/>
            <w:sz w:val="16"/>
            <w:szCs w:val="16"/>
          </w:rPr>
          <w:t>https://2h.ae/agfG</w:t>
        </w:r>
      </w:hyperlink>
      <w:r w:rsidRPr="004613AD">
        <w:rPr>
          <w:rFonts w:asciiTheme="majorBidi" w:hAnsiTheme="majorBidi" w:cstheme="majorBidi"/>
          <w:color w:val="000000"/>
          <w:sz w:val="16"/>
          <w:szCs w:val="16"/>
        </w:rPr>
        <w:t xml:space="preserve"> </w:t>
      </w:r>
    </w:p>
  </w:footnote>
  <w:footnote w:id="3">
    <w:p w14:paraId="52B11C3A" w14:textId="62174130"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Reports submitted by Luxembourg pursuant to article 29 (1) of the Convention, due in 2024*, </w:t>
      </w:r>
      <w:r>
        <w:rPr>
          <w:rFonts w:asciiTheme="majorBidi" w:hAnsiTheme="majorBidi" w:cstheme="majorBidi"/>
          <w:sz w:val="16"/>
          <w:szCs w:val="16"/>
        </w:rPr>
        <w:t>OHCHR</w:t>
      </w:r>
      <w:r w:rsidRPr="004613AD">
        <w:rPr>
          <w:rFonts w:asciiTheme="majorBidi" w:hAnsiTheme="majorBidi" w:cstheme="majorBidi"/>
          <w:sz w:val="16"/>
          <w:szCs w:val="16"/>
        </w:rPr>
        <w:t xml:space="preserve">, </w:t>
      </w:r>
      <w:hyperlink r:id="rId3">
        <w:r w:rsidRPr="004613AD">
          <w:rPr>
            <w:rFonts w:asciiTheme="majorBidi" w:hAnsiTheme="majorBidi" w:cstheme="majorBidi"/>
            <w:color w:val="1155CC"/>
            <w:sz w:val="16"/>
            <w:szCs w:val="16"/>
            <w:u w:val="single"/>
          </w:rPr>
          <w:t>https://2h.ae/jBqa</w:t>
        </w:r>
      </w:hyperlink>
    </w:p>
  </w:footnote>
  <w:footnote w:id="4">
    <w:p w14:paraId="6F94C0CC" w14:textId="77777777"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2023 Country Reports on Human Rights Practices: Luxembourg, United States Government, </w:t>
      </w:r>
      <w:hyperlink r:id="rId4">
        <w:r w:rsidRPr="004613AD">
          <w:rPr>
            <w:rFonts w:asciiTheme="majorBidi" w:hAnsiTheme="majorBidi" w:cstheme="majorBidi"/>
            <w:color w:val="1155CC"/>
            <w:sz w:val="16"/>
            <w:szCs w:val="16"/>
            <w:u w:val="single"/>
          </w:rPr>
          <w:t>https://2h.ae/CaSJ</w:t>
        </w:r>
      </w:hyperlink>
    </w:p>
  </w:footnote>
  <w:footnote w:id="5">
    <w:p w14:paraId="38B5493F" w14:textId="70D52C20"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w:t>
      </w:r>
      <w:r w:rsidRPr="004613AD">
        <w:rPr>
          <w:rFonts w:asciiTheme="majorBidi" w:eastAsia="Sakkal Majalla" w:hAnsiTheme="majorBidi" w:cstheme="majorBidi"/>
          <w:color w:val="000000"/>
          <w:sz w:val="16"/>
          <w:szCs w:val="16"/>
        </w:rPr>
        <w:t xml:space="preserve">Reports submitted by Luxembourg pursuant to article 29 (1) of the Convention, due in 2024*, </w:t>
      </w:r>
      <w:r>
        <w:rPr>
          <w:rFonts w:asciiTheme="majorBidi" w:eastAsia="Sakkal Majalla" w:hAnsiTheme="majorBidi" w:cstheme="majorBidi"/>
          <w:color w:val="000000"/>
          <w:sz w:val="16"/>
          <w:szCs w:val="16"/>
        </w:rPr>
        <w:t>OHCHR</w:t>
      </w:r>
      <w:r w:rsidRPr="004613AD">
        <w:rPr>
          <w:rFonts w:asciiTheme="majorBidi" w:eastAsia="Sakkal Majalla" w:hAnsiTheme="majorBidi" w:cstheme="majorBidi"/>
          <w:color w:val="000000"/>
          <w:sz w:val="16"/>
          <w:szCs w:val="16"/>
        </w:rPr>
        <w:t xml:space="preserve">, </w:t>
      </w:r>
      <w:hyperlink r:id="rId5">
        <w:r w:rsidRPr="004613AD">
          <w:rPr>
            <w:rFonts w:asciiTheme="majorBidi" w:eastAsia="Sakkal Majalla" w:hAnsiTheme="majorBidi" w:cstheme="majorBidi"/>
            <w:color w:val="1155CC"/>
            <w:sz w:val="16"/>
            <w:szCs w:val="16"/>
            <w:u w:val="single"/>
          </w:rPr>
          <w:t>https://2h.ae/jBqa</w:t>
        </w:r>
      </w:hyperlink>
    </w:p>
  </w:footnote>
  <w:footnote w:id="6">
    <w:p w14:paraId="1DC7C889" w14:textId="34C9C254"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w:t>
      </w:r>
      <w:r w:rsidRPr="004613AD">
        <w:rPr>
          <w:rFonts w:asciiTheme="majorBidi" w:eastAsia="Sakkal Majalla" w:hAnsiTheme="majorBidi" w:cstheme="majorBidi"/>
          <w:color w:val="000000"/>
          <w:sz w:val="16"/>
          <w:szCs w:val="16"/>
        </w:rPr>
        <w:t xml:space="preserve">Reports submitted by Luxembourg pursuant to article 29 (1) of the Convention, due in 2024*, </w:t>
      </w:r>
      <w:r>
        <w:rPr>
          <w:rFonts w:asciiTheme="majorBidi" w:eastAsia="Sakkal Majalla" w:hAnsiTheme="majorBidi" w:cstheme="majorBidi"/>
          <w:color w:val="000000"/>
          <w:sz w:val="16"/>
          <w:szCs w:val="16"/>
        </w:rPr>
        <w:t>OHCHR</w:t>
      </w:r>
      <w:r w:rsidRPr="004613AD">
        <w:rPr>
          <w:rFonts w:asciiTheme="majorBidi" w:eastAsia="Sakkal Majalla" w:hAnsiTheme="majorBidi" w:cstheme="majorBidi"/>
          <w:color w:val="000000"/>
          <w:sz w:val="16"/>
          <w:szCs w:val="16"/>
        </w:rPr>
        <w:t xml:space="preserve">, </w:t>
      </w:r>
      <w:hyperlink r:id="rId6">
        <w:r w:rsidRPr="004613AD">
          <w:rPr>
            <w:rFonts w:asciiTheme="majorBidi" w:eastAsia="Sakkal Majalla" w:hAnsiTheme="majorBidi" w:cstheme="majorBidi"/>
            <w:color w:val="1155CC"/>
            <w:sz w:val="16"/>
            <w:szCs w:val="16"/>
            <w:u w:val="single"/>
          </w:rPr>
          <w:t>https://2h.ae/jBqa</w:t>
        </w:r>
      </w:hyperlink>
    </w:p>
  </w:footnote>
  <w:footnote w:id="7">
    <w:p w14:paraId="1464F0A9" w14:textId="18F8FDF1"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w:t>
      </w:r>
      <w:r w:rsidRPr="004613AD">
        <w:rPr>
          <w:rFonts w:asciiTheme="majorBidi" w:eastAsia="Sakkal Majalla" w:hAnsiTheme="majorBidi" w:cstheme="majorBidi"/>
          <w:color w:val="000000"/>
          <w:sz w:val="16"/>
          <w:szCs w:val="16"/>
        </w:rPr>
        <w:t xml:space="preserve">Reports submitted by Luxembourg pursuant to article 29 (1) of the Convention, due in 2024*, </w:t>
      </w:r>
      <w:r>
        <w:rPr>
          <w:rFonts w:asciiTheme="majorBidi" w:eastAsia="Sakkal Majalla" w:hAnsiTheme="majorBidi" w:cstheme="majorBidi"/>
          <w:color w:val="000000"/>
          <w:sz w:val="16"/>
          <w:szCs w:val="16"/>
        </w:rPr>
        <w:t>OHCHR</w:t>
      </w:r>
      <w:r w:rsidRPr="004613AD">
        <w:rPr>
          <w:rFonts w:asciiTheme="majorBidi" w:eastAsia="Sakkal Majalla" w:hAnsiTheme="majorBidi" w:cstheme="majorBidi"/>
          <w:color w:val="000000"/>
          <w:sz w:val="16"/>
          <w:szCs w:val="16"/>
        </w:rPr>
        <w:t xml:space="preserve">, </w:t>
      </w:r>
      <w:hyperlink r:id="rId7">
        <w:r w:rsidRPr="004613AD">
          <w:rPr>
            <w:rFonts w:asciiTheme="majorBidi" w:eastAsia="Sakkal Majalla" w:hAnsiTheme="majorBidi" w:cstheme="majorBidi"/>
            <w:color w:val="1155CC"/>
            <w:sz w:val="16"/>
            <w:szCs w:val="16"/>
            <w:u w:val="single"/>
          </w:rPr>
          <w:t>https://2h.ae/jBqa</w:t>
        </w:r>
      </w:hyperlink>
    </w:p>
  </w:footnote>
  <w:footnote w:id="8">
    <w:p w14:paraId="7F714268" w14:textId="16994630"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w:t>
      </w:r>
      <w:r w:rsidRPr="004613AD">
        <w:rPr>
          <w:rFonts w:asciiTheme="majorBidi" w:eastAsia="Sakkal Majalla" w:hAnsiTheme="majorBidi" w:cstheme="majorBidi"/>
          <w:color w:val="000000"/>
          <w:sz w:val="16"/>
          <w:szCs w:val="16"/>
        </w:rPr>
        <w:t xml:space="preserve">Reports submitted by Luxembourg pursuant to article 29 (1) of the Convention, due in 2024*, </w:t>
      </w:r>
      <w:r>
        <w:rPr>
          <w:rFonts w:asciiTheme="majorBidi" w:eastAsia="Sakkal Majalla" w:hAnsiTheme="majorBidi" w:cstheme="majorBidi"/>
          <w:color w:val="000000"/>
          <w:sz w:val="16"/>
          <w:szCs w:val="16"/>
        </w:rPr>
        <w:t>OHCHR</w:t>
      </w:r>
      <w:r w:rsidRPr="004613AD">
        <w:rPr>
          <w:rFonts w:asciiTheme="majorBidi" w:eastAsia="Sakkal Majalla" w:hAnsiTheme="majorBidi" w:cstheme="majorBidi"/>
          <w:color w:val="000000"/>
          <w:sz w:val="16"/>
          <w:szCs w:val="16"/>
        </w:rPr>
        <w:t xml:space="preserve">, </w:t>
      </w:r>
      <w:hyperlink r:id="rId8">
        <w:r w:rsidRPr="004613AD">
          <w:rPr>
            <w:rFonts w:asciiTheme="majorBidi" w:eastAsia="Sakkal Majalla" w:hAnsiTheme="majorBidi" w:cstheme="majorBidi"/>
            <w:color w:val="1155CC"/>
            <w:sz w:val="16"/>
            <w:szCs w:val="16"/>
            <w:u w:val="single"/>
          </w:rPr>
          <w:t>https://2h.ae/jBqa</w:t>
        </w:r>
      </w:hyperlink>
    </w:p>
  </w:footnote>
  <w:footnote w:id="9">
    <w:p w14:paraId="370D86C5" w14:textId="7003C97A" w:rsidR="00817206" w:rsidRPr="004613AD" w:rsidRDefault="00817206" w:rsidP="00817206">
      <w:pPr>
        <w:pStyle w:val="FootnoteText"/>
        <w:rPr>
          <w:rFonts w:asciiTheme="majorBidi" w:hAnsiTheme="majorBidi" w:cstheme="majorBidi"/>
          <w:sz w:val="16"/>
          <w:szCs w:val="16"/>
        </w:rPr>
      </w:pPr>
      <w:r w:rsidRPr="004613AD">
        <w:rPr>
          <w:rStyle w:val="FootnoteReference"/>
          <w:rFonts w:asciiTheme="majorBidi" w:hAnsiTheme="majorBidi" w:cstheme="majorBidi"/>
          <w:sz w:val="16"/>
          <w:szCs w:val="16"/>
        </w:rPr>
        <w:footnoteRef/>
      </w:r>
      <w:r w:rsidRPr="004613AD">
        <w:rPr>
          <w:rFonts w:asciiTheme="majorBidi" w:hAnsiTheme="majorBidi" w:cstheme="majorBidi"/>
          <w:sz w:val="16"/>
          <w:szCs w:val="16"/>
        </w:rPr>
        <w:t xml:space="preserve"> </w:t>
      </w:r>
      <w:r w:rsidRPr="004613AD">
        <w:rPr>
          <w:rFonts w:asciiTheme="majorBidi" w:eastAsia="Sakkal Majalla" w:hAnsiTheme="majorBidi" w:cstheme="majorBidi"/>
          <w:color w:val="000000"/>
          <w:sz w:val="16"/>
          <w:szCs w:val="16"/>
        </w:rPr>
        <w:t xml:space="preserve">Reports submitted by Luxembourg pursuant to article 29 (1) of the Convention, due in 2024*, </w:t>
      </w:r>
      <w:r w:rsidR="002211EB">
        <w:rPr>
          <w:rFonts w:asciiTheme="majorBidi" w:eastAsia="Sakkal Majalla" w:hAnsiTheme="majorBidi" w:cstheme="majorBidi"/>
          <w:color w:val="000000"/>
          <w:sz w:val="16"/>
          <w:szCs w:val="16"/>
        </w:rPr>
        <w:t>OHCHR</w:t>
      </w:r>
      <w:r w:rsidRPr="004613AD">
        <w:rPr>
          <w:rFonts w:asciiTheme="majorBidi" w:eastAsia="Sakkal Majalla" w:hAnsiTheme="majorBidi" w:cstheme="majorBidi"/>
          <w:color w:val="000000"/>
          <w:sz w:val="16"/>
          <w:szCs w:val="16"/>
        </w:rPr>
        <w:t xml:space="preserve">, </w:t>
      </w:r>
      <w:hyperlink r:id="rId9">
        <w:r w:rsidRPr="004613AD">
          <w:rPr>
            <w:rFonts w:asciiTheme="majorBidi" w:eastAsia="Sakkal Majalla" w:hAnsiTheme="majorBidi" w:cstheme="majorBidi"/>
            <w:color w:val="1155CC"/>
            <w:sz w:val="16"/>
            <w:szCs w:val="16"/>
            <w:u w:val="single"/>
          </w:rPr>
          <w:t>https://2h.ae/jBqa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33633"/>
    <w:multiLevelType w:val="multilevel"/>
    <w:tmpl w:val="25EC4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BD0582"/>
    <w:multiLevelType w:val="hybridMultilevel"/>
    <w:tmpl w:val="1AF21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120347"/>
    <w:multiLevelType w:val="multilevel"/>
    <w:tmpl w:val="BDC4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5E21EC"/>
    <w:multiLevelType w:val="hybridMultilevel"/>
    <w:tmpl w:val="2668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921268"/>
    <w:multiLevelType w:val="hybridMultilevel"/>
    <w:tmpl w:val="A2E23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8"/>
  </w:num>
  <w:num w:numId="2" w16cid:durableId="319427900">
    <w:abstractNumId w:val="5"/>
  </w:num>
  <w:num w:numId="3" w16cid:durableId="483819352">
    <w:abstractNumId w:val="1"/>
  </w:num>
  <w:num w:numId="4" w16cid:durableId="1550531087">
    <w:abstractNumId w:val="14"/>
  </w:num>
  <w:num w:numId="5" w16cid:durableId="365302262">
    <w:abstractNumId w:val="4"/>
  </w:num>
  <w:num w:numId="6" w16cid:durableId="1490904455">
    <w:abstractNumId w:val="33"/>
  </w:num>
  <w:num w:numId="7" w16cid:durableId="1975796718">
    <w:abstractNumId w:val="39"/>
  </w:num>
  <w:num w:numId="8" w16cid:durableId="168910388">
    <w:abstractNumId w:val="42"/>
  </w:num>
  <w:num w:numId="9" w16cid:durableId="864364265">
    <w:abstractNumId w:val="29"/>
  </w:num>
  <w:num w:numId="10" w16cid:durableId="1110662610">
    <w:abstractNumId w:val="34"/>
  </w:num>
  <w:num w:numId="11" w16cid:durableId="48504678">
    <w:abstractNumId w:val="24"/>
  </w:num>
  <w:num w:numId="12" w16cid:durableId="1057243330">
    <w:abstractNumId w:val="41"/>
  </w:num>
  <w:num w:numId="13" w16cid:durableId="113838224">
    <w:abstractNumId w:val="22"/>
  </w:num>
  <w:num w:numId="14" w16cid:durableId="1819300015">
    <w:abstractNumId w:val="8"/>
  </w:num>
  <w:num w:numId="15" w16cid:durableId="1354769003">
    <w:abstractNumId w:val="28"/>
  </w:num>
  <w:num w:numId="16" w16cid:durableId="765884069">
    <w:abstractNumId w:val="15"/>
  </w:num>
  <w:num w:numId="17" w16cid:durableId="1830708544">
    <w:abstractNumId w:val="0"/>
  </w:num>
  <w:num w:numId="18" w16cid:durableId="1195772453">
    <w:abstractNumId w:val="19"/>
  </w:num>
  <w:num w:numId="19" w16cid:durableId="116266373">
    <w:abstractNumId w:val="3"/>
  </w:num>
  <w:num w:numId="20" w16cid:durableId="1165899663">
    <w:abstractNumId w:val="10"/>
  </w:num>
  <w:num w:numId="21" w16cid:durableId="1921870603">
    <w:abstractNumId w:val="44"/>
  </w:num>
  <w:num w:numId="22" w16cid:durableId="1106846340">
    <w:abstractNumId w:val="13"/>
  </w:num>
  <w:num w:numId="23" w16cid:durableId="1120413215">
    <w:abstractNumId w:val="17"/>
  </w:num>
  <w:num w:numId="24" w16cid:durableId="884490536">
    <w:abstractNumId w:val="31"/>
  </w:num>
  <w:num w:numId="25" w16cid:durableId="1098991049">
    <w:abstractNumId w:val="36"/>
  </w:num>
  <w:num w:numId="26" w16cid:durableId="631596808">
    <w:abstractNumId w:val="9"/>
  </w:num>
  <w:num w:numId="27" w16cid:durableId="1306087360">
    <w:abstractNumId w:val="7"/>
  </w:num>
  <w:num w:numId="28" w16cid:durableId="909191109">
    <w:abstractNumId w:val="25"/>
  </w:num>
  <w:num w:numId="29" w16cid:durableId="556204899">
    <w:abstractNumId w:val="26"/>
  </w:num>
  <w:num w:numId="30" w16cid:durableId="1668284805">
    <w:abstractNumId w:val="16"/>
  </w:num>
  <w:num w:numId="31" w16cid:durableId="1777868951">
    <w:abstractNumId w:val="23"/>
  </w:num>
  <w:num w:numId="32" w16cid:durableId="1614898655">
    <w:abstractNumId w:val="6"/>
  </w:num>
  <w:num w:numId="33" w16cid:durableId="364449577">
    <w:abstractNumId w:val="12"/>
  </w:num>
  <w:num w:numId="34" w16cid:durableId="248081818">
    <w:abstractNumId w:val="40"/>
  </w:num>
  <w:num w:numId="35" w16cid:durableId="1742749116">
    <w:abstractNumId w:val="37"/>
  </w:num>
  <w:num w:numId="36" w16cid:durableId="1632056943">
    <w:abstractNumId w:val="27"/>
  </w:num>
  <w:num w:numId="37" w16cid:durableId="16198188">
    <w:abstractNumId w:val="35"/>
  </w:num>
  <w:num w:numId="38" w16cid:durableId="995642619">
    <w:abstractNumId w:val="20"/>
  </w:num>
  <w:num w:numId="39" w16cid:durableId="1951429902">
    <w:abstractNumId w:val="43"/>
  </w:num>
  <w:num w:numId="40" w16cid:durableId="1660618793">
    <w:abstractNumId w:val="21"/>
  </w:num>
  <w:num w:numId="41" w16cid:durableId="938299302">
    <w:abstractNumId w:val="2"/>
  </w:num>
  <w:num w:numId="42" w16cid:durableId="1021978951">
    <w:abstractNumId w:val="30"/>
  </w:num>
  <w:num w:numId="43" w16cid:durableId="1522932873">
    <w:abstractNumId w:val="38"/>
  </w:num>
  <w:num w:numId="44" w16cid:durableId="1220894621">
    <w:abstractNumId w:val="32"/>
  </w:num>
  <w:num w:numId="45" w16cid:durableId="15715741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50B7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532C"/>
    <w:rsid w:val="001D6213"/>
    <w:rsid w:val="001F47FD"/>
    <w:rsid w:val="002211EB"/>
    <w:rsid w:val="002257CD"/>
    <w:rsid w:val="002305C5"/>
    <w:rsid w:val="00284AAE"/>
    <w:rsid w:val="0028723E"/>
    <w:rsid w:val="002876FE"/>
    <w:rsid w:val="0029400A"/>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17206"/>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B04A9"/>
    <w:rsid w:val="00DB5AB9"/>
    <w:rsid w:val="00DC35AC"/>
    <w:rsid w:val="00DD77D6"/>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jBqa" TargetMode="External"/><Relationship Id="rId3" Type="http://schemas.openxmlformats.org/officeDocument/2006/relationships/hyperlink" Target="https://2h.ae/jBqa" TargetMode="External"/><Relationship Id="rId7" Type="http://schemas.openxmlformats.org/officeDocument/2006/relationships/hyperlink" Target="https://2h.ae/jBqa" TargetMode="External"/><Relationship Id="rId2" Type="http://schemas.openxmlformats.org/officeDocument/2006/relationships/hyperlink" Target="https://2h.ae/agfG" TargetMode="External"/><Relationship Id="rId1" Type="http://schemas.openxmlformats.org/officeDocument/2006/relationships/hyperlink" Target="https://2h.ae/wfUt" TargetMode="External"/><Relationship Id="rId6" Type="http://schemas.openxmlformats.org/officeDocument/2006/relationships/hyperlink" Target="https://2h.ae/jBqa" TargetMode="External"/><Relationship Id="rId5" Type="http://schemas.openxmlformats.org/officeDocument/2006/relationships/hyperlink" Target="https://2h.ae/jBqa" TargetMode="External"/><Relationship Id="rId4" Type="http://schemas.openxmlformats.org/officeDocument/2006/relationships/hyperlink" Target="https://2h.ae/CaSJ" TargetMode="External"/><Relationship Id="rId9" Type="http://schemas.openxmlformats.org/officeDocument/2006/relationships/hyperlink" Target="https://2h.ae/jBq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2025-01-10T12:44:42+00:00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F93F7E4C-3656-4EE4-8316-799B0E305087}"/>
</file>

<file path=customXml/itemProps3.xml><?xml version="1.0" encoding="utf-8"?>
<ds:datastoreItem xmlns:ds="http://schemas.openxmlformats.org/officeDocument/2006/customXml" ds:itemID="{1034DE47-BB1D-43FD-84CA-0B56FB5595CA}"/>
</file>

<file path=customXml/itemProps4.xml><?xml version="1.0" encoding="utf-8"?>
<ds:datastoreItem xmlns:ds="http://schemas.openxmlformats.org/officeDocument/2006/customXml" ds:itemID="{DBEDD58E-8B5D-4DE9-A228-3D3767BAE8F6}"/>
</file>

<file path=docProps/app.xml><?xml version="1.0" encoding="utf-8"?>
<Properties xmlns="http://schemas.openxmlformats.org/officeDocument/2006/extended-properties" xmlns:vt="http://schemas.openxmlformats.org/officeDocument/2006/docPropsVTypes">
  <Template>Normal</Template>
  <TotalTime>6</TotalTime>
  <Pages>5</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2025-01-08T09:23:00Z</dcterms:created>
  <dcterms:modified xsi:type="dcterms:W3CDTF">2025-01-08T09:23:00Z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0x010100F3F3498CE0ABCF44AFA9CE6E5EEF9E2B</vt:lpwstr>
  </property>
</Properties>
</file>