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2B2" w:rsidRPr="001E7557" w:rsidRDefault="00B52BD3" w:rsidP="00B52BD3">
      <w:pPr>
        <w:jc w:val="center"/>
        <w:rPr>
          <w:b/>
          <w:sz w:val="28"/>
        </w:rPr>
      </w:pPr>
      <w:r w:rsidRPr="001E7557">
        <w:rPr>
          <w:b/>
          <w:sz w:val="28"/>
        </w:rPr>
        <w:t>Responses</w:t>
      </w:r>
      <w:r w:rsidR="00E27C93" w:rsidRPr="001E7557">
        <w:rPr>
          <w:b/>
          <w:sz w:val="28"/>
        </w:rPr>
        <w:t xml:space="preserve"> of the Government of Georgia</w:t>
      </w:r>
      <w:r w:rsidRPr="001E7557">
        <w:rPr>
          <w:b/>
          <w:sz w:val="28"/>
        </w:rPr>
        <w:t xml:space="preserve"> to the issues raised by UN Human Rights Committee on Examination of the 4th Periodic Reports </w:t>
      </w:r>
      <w:r w:rsidR="00E27C93" w:rsidRPr="001E7557">
        <w:rPr>
          <w:b/>
          <w:sz w:val="28"/>
        </w:rPr>
        <w:t>of Georgia on I</w:t>
      </w:r>
      <w:r w:rsidRPr="001E7557">
        <w:rPr>
          <w:b/>
          <w:sz w:val="28"/>
        </w:rPr>
        <w:t>mplementation of the International Covenant on Civil and Political Rights (ICCPR)</w:t>
      </w:r>
    </w:p>
    <w:p w:rsidR="00B52BD3" w:rsidRPr="001E7557" w:rsidRDefault="00B52BD3" w:rsidP="00B52BD3">
      <w:pPr>
        <w:jc w:val="center"/>
        <w:rPr>
          <w:i/>
          <w:sz w:val="28"/>
        </w:rPr>
      </w:pPr>
      <w:r w:rsidRPr="001E7557">
        <w:rPr>
          <w:i/>
          <w:sz w:val="28"/>
        </w:rPr>
        <w:t>14.07.2014</w:t>
      </w:r>
    </w:p>
    <w:p w:rsidR="00B52BD3" w:rsidRPr="001E7557" w:rsidRDefault="00B52BD3" w:rsidP="00B52BD3">
      <w:pPr>
        <w:jc w:val="both"/>
        <w:rPr>
          <w:sz w:val="28"/>
        </w:rPr>
      </w:pPr>
    </w:p>
    <w:p w:rsidR="00CC5C46" w:rsidRPr="001E7557" w:rsidRDefault="00E27C93" w:rsidP="00B52BD3">
      <w:pPr>
        <w:jc w:val="both"/>
        <w:rPr>
          <w:sz w:val="24"/>
        </w:rPr>
      </w:pPr>
      <w:r w:rsidRPr="001E7557">
        <w:rPr>
          <w:sz w:val="24"/>
        </w:rPr>
        <w:t>On 10-11 July, 2014 UN Human Rights Committee examined the 4</w:t>
      </w:r>
      <w:r w:rsidRPr="001E7557">
        <w:rPr>
          <w:sz w:val="24"/>
          <w:vertAlign w:val="superscript"/>
        </w:rPr>
        <w:t>th</w:t>
      </w:r>
      <w:r w:rsidRPr="001E7557">
        <w:rPr>
          <w:sz w:val="24"/>
        </w:rPr>
        <w:t xml:space="preserve"> periodic report of Georgia on implementation of the ICCPR. During examination a number of issues raised on which the Georgian delegation did not manage to answer due to</w:t>
      </w:r>
      <w:r w:rsidR="00982C94">
        <w:rPr>
          <w:sz w:val="24"/>
        </w:rPr>
        <w:t xml:space="preserve"> the</w:t>
      </w:r>
      <w:r w:rsidRPr="001E7557">
        <w:rPr>
          <w:sz w:val="24"/>
        </w:rPr>
        <w:t xml:space="preserve"> time constraints or other objective reasons. </w:t>
      </w:r>
      <w:r w:rsidR="00CC5C46" w:rsidRPr="001E7557">
        <w:rPr>
          <w:sz w:val="24"/>
        </w:rPr>
        <w:t>Hereby, the Government of Georgia presents information in response to the questions and issues of the interest of</w:t>
      </w:r>
      <w:r w:rsidR="00982C94">
        <w:rPr>
          <w:sz w:val="24"/>
        </w:rPr>
        <w:t xml:space="preserve"> the</w:t>
      </w:r>
      <w:r w:rsidR="00CC5C46" w:rsidRPr="001E7557">
        <w:rPr>
          <w:sz w:val="24"/>
        </w:rPr>
        <w:t xml:space="preserve"> Human Rights Committee:</w:t>
      </w:r>
      <w:r w:rsidR="00EC7421">
        <w:rPr>
          <w:rStyle w:val="FootnoteReference"/>
          <w:sz w:val="24"/>
        </w:rPr>
        <w:footnoteReference w:id="1"/>
      </w:r>
    </w:p>
    <w:p w:rsidR="00DB0D4A" w:rsidRPr="001E7557" w:rsidRDefault="00CC5C46" w:rsidP="00B52BD3">
      <w:pPr>
        <w:jc w:val="both"/>
        <w:rPr>
          <w:b/>
          <w:sz w:val="24"/>
        </w:rPr>
      </w:pPr>
      <w:r w:rsidRPr="001E7557">
        <w:rPr>
          <w:b/>
          <w:sz w:val="24"/>
        </w:rPr>
        <w:t xml:space="preserve">1. </w:t>
      </w:r>
      <w:r w:rsidR="00DB0D4A" w:rsidRPr="001E7557">
        <w:rPr>
          <w:b/>
          <w:sz w:val="24"/>
        </w:rPr>
        <w:t>Administrative Detentions (Issue 15)</w:t>
      </w:r>
    </w:p>
    <w:p w:rsidR="00982C94" w:rsidRDefault="00DB0D4A" w:rsidP="00DB0D4A">
      <w:pPr>
        <w:jc w:val="both"/>
        <w:rPr>
          <w:sz w:val="24"/>
        </w:rPr>
      </w:pPr>
      <w:r w:rsidRPr="001E7557">
        <w:rPr>
          <w:sz w:val="24"/>
        </w:rPr>
        <w:t xml:space="preserve">Currently the maximum duration for administrative custody is 90 days, however in practice the </w:t>
      </w:r>
      <w:r w:rsidR="00982C94">
        <w:rPr>
          <w:sz w:val="24"/>
        </w:rPr>
        <w:t xml:space="preserve">use of </w:t>
      </w:r>
      <w:r w:rsidRPr="001E7557">
        <w:rPr>
          <w:sz w:val="24"/>
        </w:rPr>
        <w:t xml:space="preserve">maximum duration </w:t>
      </w:r>
      <w:r w:rsidR="00982C94">
        <w:rPr>
          <w:sz w:val="24"/>
        </w:rPr>
        <w:t>is very rare</w:t>
      </w:r>
      <w:r w:rsidRPr="001E7557">
        <w:rPr>
          <w:sz w:val="24"/>
        </w:rPr>
        <w:t xml:space="preserve">. The statistics </w:t>
      </w:r>
      <w:r w:rsidRPr="001E7557">
        <w:rPr>
          <w:i/>
          <w:sz w:val="24"/>
        </w:rPr>
        <w:t>(see Annex 1)</w:t>
      </w:r>
      <w:r w:rsidRPr="001E7557">
        <w:rPr>
          <w:sz w:val="24"/>
        </w:rPr>
        <w:t xml:space="preserve"> illustrates that</w:t>
      </w:r>
      <w:r w:rsidRPr="001E7557">
        <w:t xml:space="preserve"> </w:t>
      </w:r>
      <w:r w:rsidRPr="001E7557">
        <w:rPr>
          <w:sz w:val="24"/>
        </w:rPr>
        <w:t>the number of days sentenced to the administrative custody for the administrative offence has decreased. If in 2012 71 % have been detained for less than 10 days, in 2013 and 5 months of 2014 the number went up to 91,3 % and 91,8 % respectively. Total share of the administrative custody for more than 20 days amounted to 12,4 % in 2012, decreased to 1,5 % in 2013 and in 5 months of 2014 it stood at 0,7 %. Along with this, in 2012 maximum length of the administrative custody amounted to 90 days, in 2013 - 60 days and in 5 month in 2014 it amounted to 25 days.</w:t>
      </w:r>
      <w:r w:rsidR="00982C94">
        <w:rPr>
          <w:sz w:val="24"/>
        </w:rPr>
        <w:t xml:space="preserve"> </w:t>
      </w:r>
      <w:r w:rsidR="00982C94">
        <w:rPr>
          <w:sz w:val="24"/>
        </w:rPr>
        <w:tab/>
      </w:r>
    </w:p>
    <w:p w:rsidR="00DB0D4A" w:rsidRPr="001E7557" w:rsidRDefault="00CF242D" w:rsidP="00DB0D4A">
      <w:pPr>
        <w:jc w:val="both"/>
        <w:rPr>
          <w:sz w:val="24"/>
        </w:rPr>
      </w:pPr>
      <w:r w:rsidRPr="001E7557">
        <w:rPr>
          <w:sz w:val="24"/>
        </w:rPr>
        <w:t xml:space="preserve">Despite abovementioned statistics, Georgia plans to reform its system of administrative detention </w:t>
      </w:r>
      <w:r w:rsidR="00DB0D4A" w:rsidRPr="001E7557">
        <w:rPr>
          <w:sz w:val="24"/>
        </w:rPr>
        <w:t xml:space="preserve">in order to improve and strengthen human rights guarantees in administrative procedure. </w:t>
      </w:r>
      <w:r w:rsidRPr="001E7557">
        <w:rPr>
          <w:sz w:val="24"/>
        </w:rPr>
        <w:t>Relevant amendments to the Administrative Offences Code of Georgia have been already drafted and are being discussed in the Parliament</w:t>
      </w:r>
      <w:r w:rsidR="005A3574" w:rsidRPr="001E7557">
        <w:rPr>
          <w:sz w:val="24"/>
        </w:rPr>
        <w:t xml:space="preserve"> (Registration number: N07-3/345, 18.06.2014</w:t>
      </w:r>
      <w:r w:rsidR="00D07B68" w:rsidRPr="001E7557">
        <w:rPr>
          <w:sz w:val="24"/>
        </w:rPr>
        <w:t>)</w:t>
      </w:r>
      <w:r w:rsidRPr="001E7557">
        <w:rPr>
          <w:sz w:val="24"/>
        </w:rPr>
        <w:t xml:space="preserve">. </w:t>
      </w:r>
    </w:p>
    <w:p w:rsidR="00DB0D4A" w:rsidRPr="001E7557" w:rsidRDefault="00CF242D" w:rsidP="00DB0D4A">
      <w:pPr>
        <w:jc w:val="both"/>
        <w:rPr>
          <w:sz w:val="24"/>
        </w:rPr>
      </w:pPr>
      <w:r w:rsidRPr="001E7557">
        <w:rPr>
          <w:sz w:val="24"/>
        </w:rPr>
        <w:t>The draft law aims at</w:t>
      </w:r>
      <w:r w:rsidR="00DB0D4A" w:rsidRPr="001E7557">
        <w:rPr>
          <w:sz w:val="24"/>
        </w:rPr>
        <w:t xml:space="preserve"> decreasing of terms of administrative detention. According to the draft law “…administrative detention shall be imposed only in exceptional cases for violations of rules of certain types of military service and for administrative offences for maximum term of 15 days.  Administrative detention shall be imposed by judge of relevant regional (city) court”. </w:t>
      </w:r>
    </w:p>
    <w:p w:rsidR="00DB0D4A" w:rsidRPr="001E7557" w:rsidRDefault="00CF242D" w:rsidP="00DB0D4A">
      <w:pPr>
        <w:jc w:val="both"/>
        <w:rPr>
          <w:sz w:val="24"/>
        </w:rPr>
      </w:pPr>
      <w:r w:rsidRPr="001E7557">
        <w:rPr>
          <w:sz w:val="24"/>
        </w:rPr>
        <w:t xml:space="preserve">In addition, the </w:t>
      </w:r>
      <w:r w:rsidR="00DB0D4A" w:rsidRPr="001E7557">
        <w:rPr>
          <w:sz w:val="24"/>
        </w:rPr>
        <w:t xml:space="preserve">draft law </w:t>
      </w:r>
      <w:r w:rsidRPr="001E7557">
        <w:rPr>
          <w:sz w:val="24"/>
        </w:rPr>
        <w:t>expands the</w:t>
      </w:r>
      <w:r w:rsidR="00DB0D4A" w:rsidRPr="001E7557">
        <w:rPr>
          <w:sz w:val="24"/>
        </w:rPr>
        <w:t xml:space="preserve"> procedural guarantees of the administratively arrested person. Thus, Article 245 of the Administrative Offences Code (“Administrative arrest”) shall be </w:t>
      </w:r>
      <w:r w:rsidR="00DB0D4A" w:rsidRPr="001E7557">
        <w:rPr>
          <w:sz w:val="24"/>
        </w:rPr>
        <w:lastRenderedPageBreak/>
        <w:t xml:space="preserve">amended and new guarantees shall be included. In particular, the draft law contains the following novelties -  the person exercising administrative arrest shall inform the arrestee, in the form he/she understands and at the moment of the arrest, on the following issues: </w:t>
      </w:r>
    </w:p>
    <w:p w:rsidR="00DB0D4A" w:rsidRPr="001E7557" w:rsidRDefault="00DB0D4A" w:rsidP="00DB0D4A">
      <w:pPr>
        <w:jc w:val="both"/>
        <w:rPr>
          <w:sz w:val="24"/>
        </w:rPr>
      </w:pPr>
      <w:r w:rsidRPr="001E7557">
        <w:rPr>
          <w:sz w:val="24"/>
        </w:rPr>
        <w:t>a) On the basis of the arrest and what administrative offence he/she has committed;</w:t>
      </w:r>
    </w:p>
    <w:p w:rsidR="00DB0D4A" w:rsidRPr="001E7557" w:rsidRDefault="00DB0D4A" w:rsidP="00DB0D4A">
      <w:pPr>
        <w:jc w:val="both"/>
        <w:rPr>
          <w:sz w:val="24"/>
        </w:rPr>
      </w:pPr>
      <w:r w:rsidRPr="001E7557">
        <w:rPr>
          <w:sz w:val="24"/>
        </w:rPr>
        <w:t>b) That the arrestee may exercise the right to advocate;</w:t>
      </w:r>
    </w:p>
    <w:p w:rsidR="00DB0D4A" w:rsidRPr="001E7557" w:rsidRDefault="00DB0D4A" w:rsidP="00DB0D4A">
      <w:pPr>
        <w:jc w:val="both"/>
        <w:rPr>
          <w:sz w:val="24"/>
        </w:rPr>
      </w:pPr>
      <w:r w:rsidRPr="001E7557">
        <w:rPr>
          <w:sz w:val="24"/>
        </w:rPr>
        <w:t>c) On the will of the arrestee, the named relatives of the arrestee and/or administration of the place of work or study of the arrestee shall be informed of fact of his/her arrest.</w:t>
      </w:r>
    </w:p>
    <w:p w:rsidR="00CC5C46" w:rsidRPr="001E7557" w:rsidRDefault="00DB0D4A" w:rsidP="00B52BD3">
      <w:pPr>
        <w:jc w:val="both"/>
        <w:rPr>
          <w:sz w:val="24"/>
        </w:rPr>
      </w:pPr>
      <w:r w:rsidRPr="001E7557">
        <w:rPr>
          <w:sz w:val="24"/>
        </w:rPr>
        <w:t>Statement made by the arrestee before he/she has been informed on the issues above shall not be considered as valid evidence in the court. The person exercising administrative arrest shall immediately bring the arrestee to the nearest police or other law-enforcement station.</w:t>
      </w:r>
    </w:p>
    <w:p w:rsidR="00CF242D" w:rsidRPr="001E7557" w:rsidRDefault="00CF242D" w:rsidP="00B52BD3">
      <w:pPr>
        <w:jc w:val="both"/>
        <w:rPr>
          <w:b/>
          <w:sz w:val="24"/>
        </w:rPr>
      </w:pPr>
      <w:r w:rsidRPr="001E7557">
        <w:rPr>
          <w:b/>
          <w:sz w:val="24"/>
        </w:rPr>
        <w:t xml:space="preserve">2. </w:t>
      </w:r>
      <w:r w:rsidR="0085205C" w:rsidRPr="001E7557">
        <w:rPr>
          <w:b/>
          <w:sz w:val="24"/>
        </w:rPr>
        <w:t xml:space="preserve">Reparation of Damages to the Religious Unions Existing in Georgia, Inflicted during the Soviet Totalitarian Regime </w:t>
      </w:r>
    </w:p>
    <w:p w:rsidR="00786A9D" w:rsidRPr="001E7557" w:rsidRDefault="0085205C" w:rsidP="00B52BD3">
      <w:pPr>
        <w:jc w:val="both"/>
        <w:rPr>
          <w:sz w:val="24"/>
        </w:rPr>
      </w:pPr>
      <w:r w:rsidRPr="001E7557">
        <w:rPr>
          <w:sz w:val="24"/>
        </w:rPr>
        <w:t>On 27th of January, 2014 by the resolution N11</w:t>
      </w:r>
      <w:r w:rsidR="00786A9D" w:rsidRPr="001E7557">
        <w:rPr>
          <w:sz w:val="24"/>
        </w:rPr>
        <w:t>7 of the Government of Georgia t</w:t>
      </w:r>
      <w:r w:rsidRPr="001E7557">
        <w:rPr>
          <w:sz w:val="24"/>
        </w:rPr>
        <w:t xml:space="preserve">he Rule on Implementation of Certain Measures related to the Partial Reparation of Injuries to the Religious Unions Existing in Georgia, Inflicted during the Soviet Totalitarian Regime was adopted. This rule applies to the following religious unions, registered as legal entities of public laws before adoption of this </w:t>
      </w:r>
      <w:r w:rsidR="00786A9D" w:rsidRPr="001E7557">
        <w:rPr>
          <w:sz w:val="24"/>
        </w:rPr>
        <w:t>resolution</w:t>
      </w:r>
      <w:r w:rsidRPr="001E7557">
        <w:rPr>
          <w:sz w:val="24"/>
        </w:rPr>
        <w:t xml:space="preserve">: Islamic, Judean, Roman-Catholic and Armenian Apostolic unions. For further information see the annexed text of the resolution </w:t>
      </w:r>
      <w:r w:rsidRPr="001E7557">
        <w:rPr>
          <w:i/>
          <w:sz w:val="24"/>
        </w:rPr>
        <w:t>(Annex 2).</w:t>
      </w:r>
      <w:r w:rsidRPr="001E7557">
        <w:rPr>
          <w:sz w:val="24"/>
        </w:rPr>
        <w:t xml:space="preserve"> </w:t>
      </w:r>
    </w:p>
    <w:p w:rsidR="00CC5C46" w:rsidRPr="001E7557" w:rsidRDefault="00CC5C46" w:rsidP="00B52BD3">
      <w:pPr>
        <w:jc w:val="both"/>
        <w:rPr>
          <w:b/>
          <w:sz w:val="24"/>
        </w:rPr>
      </w:pPr>
      <w:r w:rsidRPr="001E7557">
        <w:rPr>
          <w:b/>
          <w:sz w:val="24"/>
        </w:rPr>
        <w:t xml:space="preserve">3. </w:t>
      </w:r>
      <w:r w:rsidR="000F098D" w:rsidRPr="001E7557">
        <w:rPr>
          <w:b/>
          <w:sz w:val="24"/>
        </w:rPr>
        <w:t xml:space="preserve">Identity </w:t>
      </w:r>
      <w:r w:rsidR="00786A9D" w:rsidRPr="001E7557">
        <w:rPr>
          <w:b/>
          <w:sz w:val="24"/>
        </w:rPr>
        <w:t>documents of Roma (Issue 26)</w:t>
      </w:r>
    </w:p>
    <w:p w:rsidR="000F098D" w:rsidRPr="001E7557" w:rsidRDefault="00786A9D" w:rsidP="00B52BD3">
      <w:pPr>
        <w:jc w:val="both"/>
        <w:rPr>
          <w:sz w:val="24"/>
        </w:rPr>
      </w:pPr>
      <w:r w:rsidRPr="001E7557">
        <w:rPr>
          <w:sz w:val="24"/>
        </w:rPr>
        <w:t xml:space="preserve">The Registration of Roma population is ongoing process. Statistical data is provided in </w:t>
      </w:r>
      <w:r w:rsidRPr="001E7557">
        <w:rPr>
          <w:i/>
          <w:sz w:val="24"/>
        </w:rPr>
        <w:t>annex 3</w:t>
      </w:r>
      <w:r w:rsidRPr="001E7557">
        <w:rPr>
          <w:sz w:val="24"/>
        </w:rPr>
        <w:t>.</w:t>
      </w:r>
    </w:p>
    <w:p w:rsidR="00786A9D" w:rsidRPr="001E7557" w:rsidRDefault="000F098D" w:rsidP="00B52BD3">
      <w:pPr>
        <w:jc w:val="both"/>
        <w:rPr>
          <w:b/>
          <w:sz w:val="24"/>
        </w:rPr>
      </w:pPr>
      <w:r w:rsidRPr="001E7557">
        <w:rPr>
          <w:b/>
          <w:sz w:val="24"/>
        </w:rPr>
        <w:t xml:space="preserve">4. </w:t>
      </w:r>
      <w:r w:rsidR="00786A9D" w:rsidRPr="001E7557">
        <w:rPr>
          <w:b/>
          <w:sz w:val="24"/>
        </w:rPr>
        <w:t>Acquittal Rate (Issue 21)</w:t>
      </w:r>
    </w:p>
    <w:p w:rsidR="007C03E7" w:rsidRPr="001E7557" w:rsidRDefault="00786A9D" w:rsidP="00B52BD3">
      <w:pPr>
        <w:jc w:val="both"/>
        <w:rPr>
          <w:sz w:val="24"/>
        </w:rPr>
      </w:pPr>
      <w:r w:rsidRPr="001E7557">
        <w:rPr>
          <w:sz w:val="24"/>
        </w:rPr>
        <w:t xml:space="preserve">The annexed matrix contains data on the number of cases examined on merits, guilty verdict passed, number of acquittal and partial acquittal, </w:t>
      </w:r>
      <w:r w:rsidR="005A3574" w:rsidRPr="001E7557">
        <w:rPr>
          <w:sz w:val="24"/>
        </w:rPr>
        <w:t xml:space="preserve">terminated cases (see </w:t>
      </w:r>
      <w:r w:rsidR="005A3574" w:rsidRPr="001E7557">
        <w:rPr>
          <w:i/>
          <w:sz w:val="24"/>
        </w:rPr>
        <w:t>annex 4</w:t>
      </w:r>
      <w:r w:rsidR="005A3574" w:rsidRPr="001E7557">
        <w:rPr>
          <w:sz w:val="24"/>
        </w:rPr>
        <w:t>).</w:t>
      </w:r>
    </w:p>
    <w:p w:rsidR="005A3574" w:rsidRPr="001E7557" w:rsidRDefault="007C03E7" w:rsidP="00B52BD3">
      <w:pPr>
        <w:jc w:val="both"/>
        <w:rPr>
          <w:b/>
          <w:sz w:val="24"/>
        </w:rPr>
      </w:pPr>
      <w:r w:rsidRPr="001E7557">
        <w:rPr>
          <w:b/>
          <w:sz w:val="24"/>
        </w:rPr>
        <w:t xml:space="preserve">5. </w:t>
      </w:r>
      <w:r w:rsidR="005A3574" w:rsidRPr="001E7557">
        <w:rPr>
          <w:b/>
          <w:sz w:val="24"/>
        </w:rPr>
        <w:t xml:space="preserve">Constitutional Agreement between State and Georgian Orthodox Church and its place in the hierarchy of legislative acts </w:t>
      </w:r>
    </w:p>
    <w:p w:rsidR="005A3574" w:rsidRPr="001E7557" w:rsidRDefault="005A3574" w:rsidP="00B52BD3">
      <w:pPr>
        <w:jc w:val="both"/>
        <w:rPr>
          <w:sz w:val="24"/>
        </w:rPr>
      </w:pPr>
      <w:r w:rsidRPr="001E7557">
        <w:rPr>
          <w:sz w:val="24"/>
        </w:rPr>
        <w:t xml:space="preserve">The text of the Constitutional Agreement between State of Georgia and Georgian Apostolic Autocephaly Orthodox Church as well as excerpts from the Constitution of Georgia and Organic Law on Normative Acts regarding its place in the hierarchy of legislative acts are provided in </w:t>
      </w:r>
      <w:r w:rsidRPr="001E7557">
        <w:rPr>
          <w:i/>
          <w:sz w:val="24"/>
        </w:rPr>
        <w:t>annex 5</w:t>
      </w:r>
      <w:r w:rsidRPr="001E7557">
        <w:rPr>
          <w:sz w:val="24"/>
        </w:rPr>
        <w:t>.</w:t>
      </w:r>
    </w:p>
    <w:p w:rsidR="008E2901" w:rsidRPr="001E7557" w:rsidRDefault="008E2901" w:rsidP="00B52BD3">
      <w:pPr>
        <w:jc w:val="both"/>
        <w:rPr>
          <w:b/>
          <w:sz w:val="24"/>
        </w:rPr>
      </w:pPr>
    </w:p>
    <w:p w:rsidR="002B5033" w:rsidRPr="001E7557" w:rsidRDefault="002B5033" w:rsidP="00B52BD3">
      <w:pPr>
        <w:jc w:val="both"/>
        <w:rPr>
          <w:b/>
          <w:sz w:val="24"/>
        </w:rPr>
      </w:pPr>
      <w:r w:rsidRPr="001E7557">
        <w:rPr>
          <w:b/>
          <w:sz w:val="24"/>
        </w:rPr>
        <w:lastRenderedPageBreak/>
        <w:t xml:space="preserve">6. </w:t>
      </w:r>
      <w:r w:rsidR="008E2901" w:rsidRPr="001E7557">
        <w:rPr>
          <w:b/>
          <w:sz w:val="24"/>
        </w:rPr>
        <w:t xml:space="preserve">Early release of prisoners and complaint procedure system in prisons </w:t>
      </w:r>
    </w:p>
    <w:p w:rsidR="008E2901" w:rsidRPr="001E7557" w:rsidRDefault="008E2901" w:rsidP="008E2901">
      <w:pPr>
        <w:jc w:val="both"/>
        <w:rPr>
          <w:sz w:val="24"/>
        </w:rPr>
      </w:pPr>
      <w:r w:rsidRPr="001E7557">
        <w:rPr>
          <w:sz w:val="24"/>
        </w:rPr>
        <w:t>Alongside with the liberalization of the Criminal policy and the introduction of the law on Amnesty, due to the efficient work of the revised parole boards, the Standing Commission on Early Conditional Release, Standing Committee of the National Probation Agency and the renewed Joint Permanent Commission of the Ministry of Corrections (</w:t>
      </w:r>
      <w:proofErr w:type="spellStart"/>
      <w:r w:rsidRPr="001E7557">
        <w:rPr>
          <w:sz w:val="24"/>
        </w:rPr>
        <w:t>MoC</w:t>
      </w:r>
      <w:proofErr w:type="spellEnd"/>
      <w:r w:rsidRPr="001E7557">
        <w:rPr>
          <w:sz w:val="24"/>
        </w:rPr>
        <w:t xml:space="preserve">) and the Ministry of Labor, Health and Social Affairs of Georgia (MOH), </w:t>
      </w:r>
      <w:r w:rsidR="00E64136">
        <w:rPr>
          <w:sz w:val="24"/>
        </w:rPr>
        <w:t xml:space="preserve">the </w:t>
      </w:r>
      <w:r w:rsidRPr="001E7557">
        <w:rPr>
          <w:sz w:val="24"/>
        </w:rPr>
        <w:t xml:space="preserve">prison overcrowding issue was effectively addressed. </w:t>
      </w:r>
    </w:p>
    <w:p w:rsidR="008E2901" w:rsidRPr="001E7557" w:rsidRDefault="008E2901" w:rsidP="008E2901">
      <w:pPr>
        <w:jc w:val="both"/>
        <w:rPr>
          <w:sz w:val="24"/>
        </w:rPr>
      </w:pPr>
      <w:r w:rsidRPr="001E7557">
        <w:rPr>
          <w:sz w:val="24"/>
        </w:rPr>
        <w:t>Throughout the period of 2012 – May 2014, 3,309 convicted inmates and 5,941 probationers were released based on the early conditional release mechanism. On health/age grounds 131 inmates were released by the joint commission. 3,692 inmates were pardoned. Aforementioned activities resulted in the decrease in total number of inmates - from 22,312 to 9,982 and probationers - from 36,984 to 11,537 in October 1, 2012 – May 2014 period.</w:t>
      </w:r>
    </w:p>
    <w:p w:rsidR="005E701D" w:rsidRPr="001E7557" w:rsidRDefault="008E2901" w:rsidP="008E2901">
      <w:pPr>
        <w:jc w:val="both"/>
        <w:rPr>
          <w:sz w:val="24"/>
        </w:rPr>
      </w:pPr>
      <w:r w:rsidRPr="001E7557">
        <w:rPr>
          <w:sz w:val="24"/>
        </w:rPr>
        <w:t>In addition, an effective complaints mechanism was introduced in prisons. In particular, on 1 October 2010 the Prison Code entered into force, introducing a new and detailed procedure for filing by detainees, both accused and convicted persons, of complaints to and against the prison authority.</w:t>
      </w:r>
      <w:r w:rsidR="005E701D" w:rsidRPr="001E7557">
        <w:rPr>
          <w:sz w:val="24"/>
        </w:rPr>
        <w:t xml:space="preserve"> The effectiveness of this system was underlined by the</w:t>
      </w:r>
      <w:r w:rsidRPr="001E7557">
        <w:rPr>
          <w:sz w:val="24"/>
        </w:rPr>
        <w:t xml:space="preserve"> </w:t>
      </w:r>
      <w:r w:rsidR="005E701D" w:rsidRPr="001E7557">
        <w:rPr>
          <w:sz w:val="24"/>
        </w:rPr>
        <w:t xml:space="preserve">European Court of Human Rights in the judgment </w:t>
      </w:r>
      <w:proofErr w:type="spellStart"/>
      <w:r w:rsidR="005E701D" w:rsidRPr="001E7557">
        <w:rPr>
          <w:i/>
          <w:sz w:val="24"/>
        </w:rPr>
        <w:t>Goginashvili</w:t>
      </w:r>
      <w:proofErr w:type="spellEnd"/>
      <w:r w:rsidR="005E701D" w:rsidRPr="001E7557">
        <w:rPr>
          <w:i/>
          <w:sz w:val="24"/>
        </w:rPr>
        <w:t xml:space="preserve"> v. Georgia.</w:t>
      </w:r>
    </w:p>
    <w:p w:rsidR="008E2901" w:rsidRPr="001E7557" w:rsidRDefault="008E2901" w:rsidP="008E2901">
      <w:pPr>
        <w:jc w:val="both"/>
        <w:rPr>
          <w:sz w:val="24"/>
        </w:rPr>
      </w:pPr>
      <w:r w:rsidRPr="001E7557">
        <w:rPr>
          <w:sz w:val="24"/>
        </w:rPr>
        <w:t xml:space="preserve">Due to </w:t>
      </w:r>
      <w:r w:rsidR="005E701D" w:rsidRPr="001E7557">
        <w:rPr>
          <w:sz w:val="24"/>
        </w:rPr>
        <w:t>all above-mentioned</w:t>
      </w:r>
      <w:r w:rsidRPr="001E7557">
        <w:rPr>
          <w:sz w:val="24"/>
        </w:rPr>
        <w:t>, in 2013-2014 the European Court of Human Rights</w:t>
      </w:r>
      <w:r w:rsidR="005E701D" w:rsidRPr="001E7557">
        <w:rPr>
          <w:sz w:val="24"/>
        </w:rPr>
        <w:t xml:space="preserve"> </w:t>
      </w:r>
      <w:r w:rsidRPr="001E7557">
        <w:rPr>
          <w:sz w:val="24"/>
        </w:rPr>
        <w:t xml:space="preserve">did not </w:t>
      </w:r>
      <w:r w:rsidR="005E701D" w:rsidRPr="001E7557">
        <w:rPr>
          <w:sz w:val="24"/>
        </w:rPr>
        <w:t>impose</w:t>
      </w:r>
      <w:r w:rsidRPr="001E7557">
        <w:rPr>
          <w:sz w:val="24"/>
        </w:rPr>
        <w:t xml:space="preserve"> any interim measure</w:t>
      </w:r>
      <w:r w:rsidR="005E701D" w:rsidRPr="001E7557">
        <w:rPr>
          <w:sz w:val="24"/>
        </w:rPr>
        <w:t xml:space="preserve"> (which was a systematic problem in the past, since all prisoners with deteriorated health conditions applied directly to the European Court due to the absence of an effective remedy at the domestic level)</w:t>
      </w:r>
      <w:r w:rsidRPr="001E7557">
        <w:rPr>
          <w:sz w:val="24"/>
        </w:rPr>
        <w:t xml:space="preserve"> </w:t>
      </w:r>
      <w:r w:rsidR="005E701D" w:rsidRPr="001E7557">
        <w:rPr>
          <w:sz w:val="24"/>
        </w:rPr>
        <w:t>on</w:t>
      </w:r>
      <w:r w:rsidRPr="001E7557">
        <w:rPr>
          <w:sz w:val="24"/>
        </w:rPr>
        <w:t xml:space="preserve"> the Government</w:t>
      </w:r>
      <w:r w:rsidR="005E701D" w:rsidRPr="001E7557">
        <w:rPr>
          <w:sz w:val="24"/>
        </w:rPr>
        <w:t xml:space="preserve"> of Georgia</w:t>
      </w:r>
      <w:r w:rsidRPr="001E7557">
        <w:rPr>
          <w:sz w:val="24"/>
        </w:rPr>
        <w:t xml:space="preserve"> under Rule 39 of the Rules of Court. </w:t>
      </w:r>
    </w:p>
    <w:p w:rsidR="005E701D" w:rsidRPr="001E7557" w:rsidRDefault="00DA63C2" w:rsidP="00B52BD3">
      <w:pPr>
        <w:jc w:val="both"/>
        <w:rPr>
          <w:b/>
          <w:sz w:val="24"/>
        </w:rPr>
      </w:pPr>
      <w:r w:rsidRPr="001E7557">
        <w:rPr>
          <w:b/>
          <w:sz w:val="24"/>
        </w:rPr>
        <w:t xml:space="preserve">7. </w:t>
      </w:r>
      <w:r w:rsidR="005E701D" w:rsidRPr="001E7557">
        <w:rPr>
          <w:b/>
          <w:sz w:val="24"/>
        </w:rPr>
        <w:t>Non-custodial preventive measures (Issue 16)</w:t>
      </w:r>
    </w:p>
    <w:p w:rsidR="00DA63C2" w:rsidRPr="001E7557" w:rsidRDefault="005E701D" w:rsidP="00B52BD3">
      <w:pPr>
        <w:jc w:val="both"/>
        <w:rPr>
          <w:sz w:val="24"/>
        </w:rPr>
      </w:pPr>
      <w:r w:rsidRPr="001E7557">
        <w:rPr>
          <w:sz w:val="24"/>
        </w:rPr>
        <w:t xml:space="preserve">The statistics of the custodial and non-custodial measures are provided in the </w:t>
      </w:r>
      <w:r w:rsidRPr="001E7557">
        <w:rPr>
          <w:i/>
          <w:sz w:val="24"/>
        </w:rPr>
        <w:t>annex 6</w:t>
      </w:r>
      <w:r w:rsidRPr="001E7557">
        <w:rPr>
          <w:sz w:val="24"/>
        </w:rPr>
        <w:t>.</w:t>
      </w:r>
    </w:p>
    <w:p w:rsidR="005E701D" w:rsidRPr="001E7557" w:rsidRDefault="00DA63C2" w:rsidP="00B52BD3">
      <w:pPr>
        <w:jc w:val="both"/>
        <w:rPr>
          <w:b/>
          <w:sz w:val="24"/>
        </w:rPr>
      </w:pPr>
      <w:r w:rsidRPr="001E7557">
        <w:rPr>
          <w:b/>
          <w:sz w:val="24"/>
        </w:rPr>
        <w:t xml:space="preserve">8. </w:t>
      </w:r>
      <w:r w:rsidR="005E701D" w:rsidRPr="001E7557">
        <w:rPr>
          <w:b/>
          <w:sz w:val="24"/>
        </w:rPr>
        <w:t>Establishing a mechanism in order to ensure a thorough, transparent, independent investigation into any allegation of the use of torture and ill treatment</w:t>
      </w:r>
    </w:p>
    <w:p w:rsidR="005E701D" w:rsidRPr="001E7557" w:rsidRDefault="005E701D" w:rsidP="005E701D">
      <w:pPr>
        <w:jc w:val="both"/>
        <w:rPr>
          <w:sz w:val="24"/>
        </w:rPr>
      </w:pPr>
      <w:r w:rsidRPr="001E7557">
        <w:rPr>
          <w:sz w:val="24"/>
        </w:rPr>
        <w:t>The Interagency Council on Combating Torture and Other Forms of Degrading and Inhuman Treatment or Punishment has been fun</w:t>
      </w:r>
      <w:bookmarkStart w:id="0" w:name="_GoBack"/>
      <w:bookmarkEnd w:id="0"/>
      <w:r w:rsidRPr="001E7557">
        <w:rPr>
          <w:sz w:val="24"/>
        </w:rPr>
        <w:t xml:space="preserve">ctioning under the leadership of the Ministry of Justice of Georgia since 2007. On 7 May 2014 by the Decree of Government №341 the composition of the Council was renewed. On the Council’s meeting held on 16 June 2014 the following priorities were identified and corresponding working groups composed of representatives of different public bodies as well as international organizations (including </w:t>
      </w:r>
      <w:r w:rsidR="004D0274" w:rsidRPr="001E7557">
        <w:rPr>
          <w:sz w:val="24"/>
        </w:rPr>
        <w:t xml:space="preserve">UN, </w:t>
      </w:r>
      <w:proofErr w:type="spellStart"/>
      <w:r w:rsidRPr="001E7557">
        <w:rPr>
          <w:sz w:val="24"/>
        </w:rPr>
        <w:t>CoE</w:t>
      </w:r>
      <w:proofErr w:type="spellEnd"/>
      <w:r w:rsidRPr="001E7557">
        <w:rPr>
          <w:sz w:val="24"/>
        </w:rPr>
        <w:t xml:space="preserve"> and EU) and NGOs were formed: </w:t>
      </w:r>
    </w:p>
    <w:p w:rsidR="005E701D" w:rsidRPr="001E7557" w:rsidRDefault="005E701D" w:rsidP="005E701D">
      <w:pPr>
        <w:jc w:val="both"/>
        <w:rPr>
          <w:sz w:val="24"/>
        </w:rPr>
      </w:pPr>
      <w:r w:rsidRPr="001E7557">
        <w:rPr>
          <w:sz w:val="24"/>
        </w:rPr>
        <w:lastRenderedPageBreak/>
        <w:t>1)</w:t>
      </w:r>
      <w:r w:rsidRPr="001E7557">
        <w:rPr>
          <w:sz w:val="24"/>
        </w:rPr>
        <w:tab/>
        <w:t>Strengthening National Preventive Mechanism under the Public Defender's Office;</w:t>
      </w:r>
    </w:p>
    <w:p w:rsidR="005E701D" w:rsidRPr="001E7557" w:rsidRDefault="005E701D" w:rsidP="005E701D">
      <w:pPr>
        <w:jc w:val="both"/>
        <w:rPr>
          <w:i/>
          <w:sz w:val="24"/>
          <w:u w:val="single"/>
        </w:rPr>
      </w:pPr>
      <w:r w:rsidRPr="001E7557">
        <w:rPr>
          <w:sz w:val="24"/>
        </w:rPr>
        <w:t>2)</w:t>
      </w:r>
      <w:r w:rsidRPr="001E7557">
        <w:rPr>
          <w:sz w:val="24"/>
        </w:rPr>
        <w:tab/>
      </w:r>
      <w:r w:rsidRPr="001E7557">
        <w:rPr>
          <w:i/>
          <w:sz w:val="24"/>
          <w:u w:val="single"/>
        </w:rPr>
        <w:t>Establishing a mechanism in order to ensure a thorough, transparent, independent investigation into any allegation of the use of torture and ill treatment;</w:t>
      </w:r>
    </w:p>
    <w:p w:rsidR="005E701D" w:rsidRPr="001E7557" w:rsidRDefault="005E701D" w:rsidP="005E701D">
      <w:pPr>
        <w:jc w:val="both"/>
        <w:rPr>
          <w:sz w:val="24"/>
        </w:rPr>
      </w:pPr>
      <w:r w:rsidRPr="001E7557">
        <w:rPr>
          <w:sz w:val="24"/>
        </w:rPr>
        <w:t>3)</w:t>
      </w:r>
      <w:r w:rsidRPr="001E7557">
        <w:rPr>
          <w:sz w:val="24"/>
        </w:rPr>
        <w:tab/>
        <w:t xml:space="preserve">Improving rights/conditions of the inmates in the penitentiary system and other closed facilities. </w:t>
      </w:r>
    </w:p>
    <w:p w:rsidR="005E701D" w:rsidRPr="001E7557" w:rsidRDefault="005E701D" w:rsidP="005E701D">
      <w:pPr>
        <w:jc w:val="both"/>
        <w:rPr>
          <w:sz w:val="24"/>
        </w:rPr>
      </w:pPr>
      <w:r w:rsidRPr="001E7557">
        <w:rPr>
          <w:sz w:val="24"/>
        </w:rPr>
        <w:t xml:space="preserve">The </w:t>
      </w:r>
      <w:r w:rsidR="004D0274" w:rsidRPr="001E7557">
        <w:rPr>
          <w:sz w:val="24"/>
        </w:rPr>
        <w:t>working groups are already operational</w:t>
      </w:r>
      <w:r w:rsidRPr="001E7557">
        <w:rPr>
          <w:sz w:val="24"/>
        </w:rPr>
        <w:t>.</w:t>
      </w:r>
    </w:p>
    <w:p w:rsidR="0003741A" w:rsidRPr="001E7557" w:rsidRDefault="004D0274" w:rsidP="00B52BD3">
      <w:pPr>
        <w:jc w:val="both"/>
        <w:rPr>
          <w:b/>
          <w:sz w:val="24"/>
        </w:rPr>
      </w:pPr>
      <w:r w:rsidRPr="001E7557">
        <w:rPr>
          <w:b/>
          <w:sz w:val="24"/>
        </w:rPr>
        <w:t>9. Budge</w:t>
      </w:r>
      <w:r w:rsidR="0003741A" w:rsidRPr="001E7557">
        <w:rPr>
          <w:b/>
          <w:sz w:val="24"/>
        </w:rPr>
        <w:t>t of Public Defender</w:t>
      </w:r>
    </w:p>
    <w:p w:rsidR="004D0274" w:rsidRPr="001E7557" w:rsidRDefault="004D0274" w:rsidP="00B52BD3">
      <w:pPr>
        <w:jc w:val="both"/>
        <w:rPr>
          <w:sz w:val="24"/>
        </w:rPr>
      </w:pPr>
      <w:r w:rsidRPr="001E7557">
        <w:rPr>
          <w:rFonts w:ascii="Sylfaen" w:hAnsi="Sylfaen" w:cs="Sylfaen"/>
          <w:sz w:val="24"/>
        </w:rPr>
        <w:t>In accordance with article 25 of the Organic Law of Georgia on Public Defender of Georgia stipulates the financial guarantee for the Office of Public Defender stating that the budget of Public Defender’s Office may not be reduced compared to previous year without a prior consent of the Public Defender.</w:t>
      </w:r>
      <w:r w:rsidRPr="001E7557">
        <w:rPr>
          <w:rFonts w:ascii="Sylfaen" w:hAnsi="Sylfaen" w:cs="Sylfaen"/>
          <w:b/>
          <w:sz w:val="24"/>
        </w:rPr>
        <w:t xml:space="preserve"> </w:t>
      </w:r>
      <w:r w:rsidRPr="001E7557">
        <w:rPr>
          <w:rFonts w:ascii="Sylfaen" w:hAnsi="Sylfaen" w:cs="Sylfaen"/>
          <w:sz w:val="24"/>
        </w:rPr>
        <w:t>The statistics indicate that the budget of the Public Defender’s Office is increasing every year (</w:t>
      </w:r>
      <w:r w:rsidRPr="001E7557">
        <w:rPr>
          <w:rFonts w:ascii="Sylfaen" w:hAnsi="Sylfaen" w:cs="Sylfaen"/>
          <w:i/>
          <w:sz w:val="24"/>
        </w:rPr>
        <w:t>Annex 7</w:t>
      </w:r>
      <w:r w:rsidRPr="001E7557">
        <w:rPr>
          <w:rFonts w:ascii="Sylfaen" w:hAnsi="Sylfaen" w:cs="Sylfaen"/>
          <w:sz w:val="24"/>
        </w:rPr>
        <w:t>).</w:t>
      </w:r>
    </w:p>
    <w:p w:rsidR="0003741A" w:rsidRPr="001E7557" w:rsidRDefault="0003741A" w:rsidP="00B52BD3">
      <w:pPr>
        <w:jc w:val="both"/>
        <w:rPr>
          <w:b/>
          <w:sz w:val="24"/>
        </w:rPr>
      </w:pPr>
      <w:r w:rsidRPr="001E7557">
        <w:rPr>
          <w:b/>
          <w:sz w:val="24"/>
        </w:rPr>
        <w:t>10. Individual Cases</w:t>
      </w:r>
    </w:p>
    <w:p w:rsidR="004D0274" w:rsidRPr="001E7557" w:rsidRDefault="004D0274" w:rsidP="004D0274">
      <w:pPr>
        <w:jc w:val="both"/>
        <w:rPr>
          <w:i/>
          <w:sz w:val="24"/>
          <w:u w:val="single"/>
        </w:rPr>
      </w:pPr>
      <w:r w:rsidRPr="001E7557">
        <w:rPr>
          <w:i/>
          <w:sz w:val="24"/>
          <w:u w:val="single"/>
        </w:rPr>
        <w:t xml:space="preserve">Case of Shalva </w:t>
      </w:r>
      <w:proofErr w:type="spellStart"/>
      <w:r w:rsidRPr="001E7557">
        <w:rPr>
          <w:i/>
          <w:sz w:val="24"/>
          <w:u w:val="single"/>
        </w:rPr>
        <w:t>Tatukhashvili</w:t>
      </w:r>
      <w:proofErr w:type="spellEnd"/>
    </w:p>
    <w:p w:rsidR="00F4498C" w:rsidRPr="009F33C7" w:rsidRDefault="004D0274" w:rsidP="004D0274">
      <w:pPr>
        <w:jc w:val="both"/>
        <w:rPr>
          <w:rFonts w:cstheme="minorHAnsi"/>
          <w:sz w:val="24"/>
        </w:rPr>
      </w:pPr>
      <w:r w:rsidRPr="009F33C7">
        <w:rPr>
          <w:rFonts w:cstheme="minorHAnsi"/>
          <w:b/>
          <w:sz w:val="24"/>
        </w:rPr>
        <w:t xml:space="preserve">Shalva </w:t>
      </w:r>
      <w:proofErr w:type="spellStart"/>
      <w:r w:rsidRPr="009F33C7">
        <w:rPr>
          <w:rFonts w:cstheme="minorHAnsi"/>
          <w:b/>
          <w:sz w:val="24"/>
        </w:rPr>
        <w:t>Tatukhashvili</w:t>
      </w:r>
      <w:proofErr w:type="spellEnd"/>
      <w:r w:rsidRPr="009F33C7">
        <w:rPr>
          <w:rFonts w:cstheme="minorHAnsi"/>
          <w:b/>
          <w:sz w:val="24"/>
        </w:rPr>
        <w:t xml:space="preserve"> (former head of the Special Task Unit of the Department of Constitutional Security of Ministry of Internal Affairs)</w:t>
      </w:r>
      <w:r w:rsidRPr="009F33C7">
        <w:rPr>
          <w:rFonts w:cstheme="minorHAnsi"/>
          <w:sz w:val="24"/>
        </w:rPr>
        <w:t xml:space="preserve"> was a witness for the prosecution on the case of Data </w:t>
      </w:r>
      <w:proofErr w:type="spellStart"/>
      <w:r w:rsidRPr="009F33C7">
        <w:rPr>
          <w:rFonts w:cstheme="minorHAnsi"/>
          <w:sz w:val="24"/>
        </w:rPr>
        <w:t>Akhalaia</w:t>
      </w:r>
      <w:proofErr w:type="spellEnd"/>
      <w:r w:rsidRPr="009F33C7">
        <w:rPr>
          <w:rFonts w:cstheme="minorHAnsi"/>
          <w:sz w:val="24"/>
        </w:rPr>
        <w:t xml:space="preserve">. </w:t>
      </w:r>
      <w:r w:rsidR="00F4498C" w:rsidRPr="009F33C7">
        <w:rPr>
          <w:rFonts w:cstheme="minorHAnsi"/>
          <w:sz w:val="24"/>
        </w:rPr>
        <w:t>On 24</w:t>
      </w:r>
      <w:r w:rsidR="00F4498C" w:rsidRPr="009F33C7">
        <w:rPr>
          <w:rFonts w:cstheme="minorHAnsi"/>
          <w:sz w:val="24"/>
          <w:vertAlign w:val="superscript"/>
        </w:rPr>
        <w:t>th</w:t>
      </w:r>
      <w:r w:rsidR="00F4498C" w:rsidRPr="009F33C7">
        <w:rPr>
          <w:rFonts w:cstheme="minorHAnsi"/>
          <w:sz w:val="24"/>
        </w:rPr>
        <w:t xml:space="preserve"> of February, 2014 </w:t>
      </w:r>
      <w:r w:rsidRPr="009F33C7">
        <w:rPr>
          <w:rFonts w:cstheme="minorHAnsi"/>
          <w:sz w:val="24"/>
        </w:rPr>
        <w:t xml:space="preserve">Shalva </w:t>
      </w:r>
      <w:proofErr w:type="spellStart"/>
      <w:r w:rsidRPr="009F33C7">
        <w:rPr>
          <w:rFonts w:cstheme="minorHAnsi"/>
          <w:sz w:val="24"/>
        </w:rPr>
        <w:t>Tatukhashvili</w:t>
      </w:r>
      <w:proofErr w:type="spellEnd"/>
      <w:r w:rsidRPr="009F33C7">
        <w:rPr>
          <w:rFonts w:cstheme="minorHAnsi"/>
          <w:sz w:val="24"/>
        </w:rPr>
        <w:t xml:space="preserve"> gave incriminating testimony</w:t>
      </w:r>
      <w:r w:rsidR="00F4498C" w:rsidRPr="009F33C7">
        <w:rPr>
          <w:rFonts w:cstheme="minorHAnsi"/>
          <w:sz w:val="24"/>
        </w:rPr>
        <w:t xml:space="preserve"> in presence of his advocates after which</w:t>
      </w:r>
      <w:r w:rsidRPr="009F33C7">
        <w:rPr>
          <w:rFonts w:cstheme="minorHAnsi"/>
          <w:sz w:val="24"/>
        </w:rPr>
        <w:t xml:space="preserve"> special protective measures have been applied to him. </w:t>
      </w:r>
      <w:r w:rsidR="00F4498C" w:rsidRPr="009F33C7">
        <w:rPr>
          <w:rFonts w:cstheme="minorHAnsi"/>
          <w:sz w:val="24"/>
        </w:rPr>
        <w:t>The testimony was reaffirmed by him on 18</w:t>
      </w:r>
      <w:r w:rsidR="00F4498C" w:rsidRPr="009F33C7">
        <w:rPr>
          <w:rFonts w:cstheme="minorHAnsi"/>
          <w:sz w:val="24"/>
          <w:vertAlign w:val="superscript"/>
        </w:rPr>
        <w:t>th</w:t>
      </w:r>
      <w:r w:rsidR="00F4498C" w:rsidRPr="009F33C7">
        <w:rPr>
          <w:rFonts w:cstheme="minorHAnsi"/>
          <w:sz w:val="24"/>
        </w:rPr>
        <w:t xml:space="preserve"> of March, 2014. </w:t>
      </w:r>
      <w:r w:rsidR="009F33C7">
        <w:rPr>
          <w:rFonts w:cstheme="minorHAnsi"/>
          <w:sz w:val="24"/>
        </w:rPr>
        <w:t>G</w:t>
      </w:r>
      <w:r w:rsidR="005176E5" w:rsidRPr="009F33C7">
        <w:rPr>
          <w:rFonts w:cstheme="minorHAnsi"/>
          <w:sz w:val="24"/>
        </w:rPr>
        <w:t xml:space="preserve">eneral inspection of Chief Prosecutor’s Office conducted official inspection during which Shalva </w:t>
      </w:r>
      <w:proofErr w:type="spellStart"/>
      <w:r w:rsidR="005176E5" w:rsidRPr="009F33C7">
        <w:rPr>
          <w:rFonts w:cstheme="minorHAnsi"/>
          <w:sz w:val="24"/>
        </w:rPr>
        <w:t>Tatukhashvili</w:t>
      </w:r>
      <w:proofErr w:type="spellEnd"/>
      <w:r w:rsidR="005176E5" w:rsidRPr="009F33C7">
        <w:rPr>
          <w:rFonts w:cstheme="minorHAnsi"/>
          <w:sz w:val="24"/>
        </w:rPr>
        <w:t xml:space="preserve"> was interviewed. During the interview Shalva </w:t>
      </w:r>
      <w:proofErr w:type="spellStart"/>
      <w:r w:rsidR="005176E5" w:rsidRPr="009F33C7">
        <w:rPr>
          <w:rFonts w:cstheme="minorHAnsi"/>
          <w:sz w:val="24"/>
        </w:rPr>
        <w:t>Tatukhashvili</w:t>
      </w:r>
      <w:proofErr w:type="spellEnd"/>
      <w:r w:rsidR="005176E5" w:rsidRPr="009F33C7">
        <w:rPr>
          <w:rFonts w:cstheme="minorHAnsi"/>
          <w:sz w:val="24"/>
        </w:rPr>
        <w:t xml:space="preserve"> stated that he was not exposed to any kind of physical or psychological coercion, violence, threats and he made the statements voluntarily. </w:t>
      </w:r>
      <w:r w:rsidR="00F4498C" w:rsidRPr="009F33C7">
        <w:rPr>
          <w:rFonts w:cstheme="minorHAnsi"/>
          <w:sz w:val="24"/>
        </w:rPr>
        <w:t>On 23</w:t>
      </w:r>
      <w:r w:rsidR="00F4498C" w:rsidRPr="009F33C7">
        <w:rPr>
          <w:rFonts w:cstheme="minorHAnsi"/>
          <w:sz w:val="24"/>
          <w:vertAlign w:val="superscript"/>
        </w:rPr>
        <w:t>rd</w:t>
      </w:r>
      <w:r w:rsidR="00F4498C" w:rsidRPr="009F33C7">
        <w:rPr>
          <w:rFonts w:cstheme="minorHAnsi"/>
          <w:sz w:val="24"/>
        </w:rPr>
        <w:t xml:space="preserve"> of March, 2014 Shalva </w:t>
      </w:r>
      <w:proofErr w:type="spellStart"/>
      <w:r w:rsidR="00F4498C" w:rsidRPr="009F33C7">
        <w:rPr>
          <w:rFonts w:cstheme="minorHAnsi"/>
          <w:sz w:val="24"/>
        </w:rPr>
        <w:t>Tatukhashvili</w:t>
      </w:r>
      <w:proofErr w:type="spellEnd"/>
      <w:r w:rsidR="00F4498C" w:rsidRPr="009F33C7">
        <w:rPr>
          <w:rFonts w:cstheme="minorHAnsi"/>
          <w:sz w:val="24"/>
        </w:rPr>
        <w:t xml:space="preserve"> was found dead. </w:t>
      </w:r>
    </w:p>
    <w:p w:rsidR="004D0274" w:rsidRPr="001E7557" w:rsidRDefault="004D0274" w:rsidP="004D0274">
      <w:pPr>
        <w:jc w:val="both"/>
        <w:rPr>
          <w:sz w:val="24"/>
        </w:rPr>
      </w:pPr>
      <w:r w:rsidRPr="001E7557">
        <w:rPr>
          <w:sz w:val="24"/>
        </w:rPr>
        <w:t xml:space="preserve">Up to now all the possible investigative actions have been conducted. In particular all the persons who had relationship with </w:t>
      </w:r>
      <w:proofErr w:type="spellStart"/>
      <w:r w:rsidRPr="001E7557">
        <w:rPr>
          <w:sz w:val="24"/>
        </w:rPr>
        <w:t>Tatukhasvhili</w:t>
      </w:r>
      <w:proofErr w:type="spellEnd"/>
      <w:r w:rsidRPr="001E7557">
        <w:rPr>
          <w:sz w:val="24"/>
        </w:rPr>
        <w:t xml:space="preserve"> prior to his death have been interrogated. </w:t>
      </w:r>
      <w:r w:rsidR="00F4498C" w:rsidRPr="001E7557">
        <w:rPr>
          <w:sz w:val="24"/>
        </w:rPr>
        <w:t>The records</w:t>
      </w:r>
      <w:r w:rsidR="00F4498C">
        <w:rPr>
          <w:sz w:val="24"/>
        </w:rPr>
        <w:t xml:space="preserve"> of video cameras</w:t>
      </w:r>
      <w:r w:rsidR="00F4498C" w:rsidRPr="001E7557">
        <w:rPr>
          <w:sz w:val="24"/>
        </w:rPr>
        <w:t xml:space="preserve"> installed at the prosecutor’s office show </w:t>
      </w:r>
      <w:r w:rsidR="00F4498C">
        <w:rPr>
          <w:sz w:val="24"/>
        </w:rPr>
        <w:t xml:space="preserve">how freely Shalva </w:t>
      </w:r>
      <w:proofErr w:type="spellStart"/>
      <w:r w:rsidR="00F4498C">
        <w:rPr>
          <w:sz w:val="24"/>
        </w:rPr>
        <w:t>Tatukhashvili</w:t>
      </w:r>
      <w:proofErr w:type="spellEnd"/>
      <w:r w:rsidR="00F4498C" w:rsidRPr="001E7557">
        <w:rPr>
          <w:sz w:val="24"/>
        </w:rPr>
        <w:t xml:space="preserve"> summoned for the testimony is moving at the prosecutor’s office together with his lawyers and later leaving the building again with his lawyers and heading towards </w:t>
      </w:r>
      <w:proofErr w:type="spellStart"/>
      <w:r w:rsidR="00F4498C" w:rsidRPr="001E7557">
        <w:rPr>
          <w:sz w:val="24"/>
        </w:rPr>
        <w:t>Zhvania</w:t>
      </w:r>
      <w:proofErr w:type="spellEnd"/>
      <w:r w:rsidR="00F4498C" w:rsidRPr="001E7557">
        <w:rPr>
          <w:sz w:val="24"/>
        </w:rPr>
        <w:t xml:space="preserve"> Square.</w:t>
      </w:r>
      <w:r w:rsidR="00F4498C">
        <w:rPr>
          <w:sz w:val="24"/>
        </w:rPr>
        <w:t xml:space="preserve"> </w:t>
      </w:r>
      <w:r w:rsidRPr="001E7557">
        <w:rPr>
          <w:sz w:val="24"/>
        </w:rPr>
        <w:t xml:space="preserve">The records of CCTV (surveillance) cameras depicting movement of Shalva </w:t>
      </w:r>
      <w:proofErr w:type="spellStart"/>
      <w:r w:rsidRPr="001E7557">
        <w:rPr>
          <w:sz w:val="24"/>
        </w:rPr>
        <w:t>Tatukhasvhili</w:t>
      </w:r>
      <w:proofErr w:type="spellEnd"/>
      <w:r w:rsidRPr="001E7557">
        <w:rPr>
          <w:sz w:val="24"/>
        </w:rPr>
        <w:t xml:space="preserve">, have been seized. The records show that </w:t>
      </w:r>
      <w:r w:rsidR="00F4498C" w:rsidRPr="001E7557">
        <w:rPr>
          <w:sz w:val="24"/>
        </w:rPr>
        <w:t xml:space="preserve">Shalva </w:t>
      </w:r>
      <w:proofErr w:type="spellStart"/>
      <w:r w:rsidR="00F4498C" w:rsidRPr="001E7557">
        <w:rPr>
          <w:sz w:val="24"/>
        </w:rPr>
        <w:t>Tatukhashvili</w:t>
      </w:r>
      <w:proofErr w:type="spellEnd"/>
      <w:r w:rsidR="00F4498C" w:rsidRPr="001E7557">
        <w:rPr>
          <w:sz w:val="24"/>
        </w:rPr>
        <w:t xml:space="preserve"> </w:t>
      </w:r>
      <w:r w:rsidR="00F4498C">
        <w:rPr>
          <w:sz w:val="24"/>
        </w:rPr>
        <w:t xml:space="preserve">visited </w:t>
      </w:r>
      <w:r w:rsidR="00F4498C" w:rsidRPr="001E7557">
        <w:rPr>
          <w:sz w:val="24"/>
        </w:rPr>
        <w:t xml:space="preserve">entertaining centers </w:t>
      </w:r>
      <w:r w:rsidR="00F4498C">
        <w:rPr>
          <w:sz w:val="24"/>
        </w:rPr>
        <w:t>before he</w:t>
      </w:r>
      <w:r w:rsidRPr="001E7557">
        <w:rPr>
          <w:sz w:val="24"/>
        </w:rPr>
        <w:t xml:space="preserve"> disappeared. </w:t>
      </w:r>
    </w:p>
    <w:p w:rsidR="005176E5" w:rsidRDefault="009F33C7" w:rsidP="004D0274">
      <w:pPr>
        <w:jc w:val="both"/>
        <w:rPr>
          <w:sz w:val="24"/>
        </w:rPr>
      </w:pPr>
      <w:r>
        <w:rPr>
          <w:sz w:val="24"/>
        </w:rPr>
        <w:lastRenderedPageBreak/>
        <w:t>T</w:t>
      </w:r>
      <w:r w:rsidR="004D0274" w:rsidRPr="001E7557">
        <w:rPr>
          <w:sz w:val="24"/>
        </w:rPr>
        <w:t xml:space="preserve">he expertise shows that the death was </w:t>
      </w:r>
      <w:r w:rsidR="001E7557">
        <w:rPr>
          <w:sz w:val="24"/>
        </w:rPr>
        <w:t xml:space="preserve">caused </w:t>
      </w:r>
      <w:r w:rsidR="004D0274" w:rsidRPr="001E7557">
        <w:rPr>
          <w:sz w:val="24"/>
        </w:rPr>
        <w:t xml:space="preserve">by respiratory failure </w:t>
      </w:r>
      <w:r w:rsidRPr="001E7557">
        <w:rPr>
          <w:sz w:val="24"/>
        </w:rPr>
        <w:t>instigated</w:t>
      </w:r>
      <w:r w:rsidR="004D0274" w:rsidRPr="001E7557">
        <w:rPr>
          <w:sz w:val="24"/>
        </w:rPr>
        <w:t xml:space="preserve"> by alcohol intoxication occurred while being on psychotropic substances. </w:t>
      </w:r>
    </w:p>
    <w:p w:rsidR="004D0274" w:rsidRPr="001E7557" w:rsidRDefault="004D0274" w:rsidP="004D0274">
      <w:pPr>
        <w:jc w:val="both"/>
        <w:rPr>
          <w:i/>
          <w:sz w:val="24"/>
          <w:u w:val="single"/>
        </w:rPr>
      </w:pPr>
      <w:r w:rsidRPr="001E7557">
        <w:rPr>
          <w:i/>
          <w:sz w:val="24"/>
          <w:u w:val="single"/>
        </w:rPr>
        <w:t xml:space="preserve">Case of </w:t>
      </w:r>
      <w:proofErr w:type="spellStart"/>
      <w:r w:rsidRPr="001E7557">
        <w:rPr>
          <w:i/>
          <w:sz w:val="24"/>
          <w:u w:val="single"/>
        </w:rPr>
        <w:t>Mamuka</w:t>
      </w:r>
      <w:proofErr w:type="spellEnd"/>
      <w:r w:rsidRPr="001E7557">
        <w:rPr>
          <w:i/>
          <w:sz w:val="24"/>
          <w:u w:val="single"/>
        </w:rPr>
        <w:t xml:space="preserve"> </w:t>
      </w:r>
      <w:proofErr w:type="spellStart"/>
      <w:r w:rsidRPr="001E7557">
        <w:rPr>
          <w:i/>
          <w:sz w:val="24"/>
          <w:u w:val="single"/>
        </w:rPr>
        <w:t>Mikautadze</w:t>
      </w:r>
      <w:proofErr w:type="spellEnd"/>
    </w:p>
    <w:p w:rsidR="004D0274" w:rsidRDefault="004D0274" w:rsidP="004D0274">
      <w:pPr>
        <w:jc w:val="both"/>
        <w:rPr>
          <w:sz w:val="24"/>
        </w:rPr>
      </w:pPr>
      <w:r w:rsidRPr="001E7557">
        <w:rPr>
          <w:sz w:val="24"/>
        </w:rPr>
        <w:t xml:space="preserve">Having considered the recommendation of the Public Defender, the case of suicide of </w:t>
      </w:r>
      <w:proofErr w:type="spellStart"/>
      <w:r w:rsidRPr="001E7557">
        <w:rPr>
          <w:sz w:val="24"/>
        </w:rPr>
        <w:t>Mamuka</w:t>
      </w:r>
      <w:proofErr w:type="spellEnd"/>
      <w:r w:rsidRPr="001E7557">
        <w:rPr>
          <w:sz w:val="24"/>
        </w:rPr>
        <w:t xml:space="preserve"> </w:t>
      </w:r>
      <w:proofErr w:type="spellStart"/>
      <w:r w:rsidRPr="001E7557">
        <w:rPr>
          <w:sz w:val="24"/>
        </w:rPr>
        <w:t>Mikautadze</w:t>
      </w:r>
      <w:proofErr w:type="spellEnd"/>
      <w:r w:rsidRPr="001E7557">
        <w:rPr>
          <w:sz w:val="24"/>
        </w:rPr>
        <w:t>, is under the investigation conducted by the Chief Prosecutor’s Office.  Prosecutor’s office is making efforts to asce</w:t>
      </w:r>
      <w:r w:rsidR="001E7557">
        <w:rPr>
          <w:sz w:val="24"/>
        </w:rPr>
        <w:t xml:space="preserve">rtain the real cause of death. </w:t>
      </w:r>
      <w:r w:rsidRPr="001E7557">
        <w:rPr>
          <w:sz w:val="24"/>
        </w:rPr>
        <w:t xml:space="preserve">To this end, a number of investigative actions have been conducted - family members, relatives and colleagues of </w:t>
      </w:r>
      <w:proofErr w:type="spellStart"/>
      <w:r w:rsidRPr="001E7557">
        <w:rPr>
          <w:sz w:val="24"/>
        </w:rPr>
        <w:t>Mamuka</w:t>
      </w:r>
      <w:proofErr w:type="spellEnd"/>
      <w:r w:rsidRPr="001E7557">
        <w:rPr>
          <w:sz w:val="24"/>
        </w:rPr>
        <w:t xml:space="preserve"> </w:t>
      </w:r>
      <w:proofErr w:type="spellStart"/>
      <w:r w:rsidRPr="001E7557">
        <w:rPr>
          <w:sz w:val="24"/>
        </w:rPr>
        <w:t>Mikautadze</w:t>
      </w:r>
      <w:proofErr w:type="spellEnd"/>
      <w:r w:rsidRPr="001E7557">
        <w:rPr>
          <w:sz w:val="24"/>
        </w:rPr>
        <w:t xml:space="preserve">, have been interrogated. Prosecutor’s Office is cooperating with family members of </w:t>
      </w:r>
      <w:proofErr w:type="spellStart"/>
      <w:r w:rsidRPr="001E7557">
        <w:rPr>
          <w:sz w:val="24"/>
        </w:rPr>
        <w:t>Mamuka</w:t>
      </w:r>
      <w:proofErr w:type="spellEnd"/>
      <w:r w:rsidRPr="001E7557">
        <w:rPr>
          <w:sz w:val="24"/>
        </w:rPr>
        <w:t xml:space="preserve"> </w:t>
      </w:r>
      <w:proofErr w:type="spellStart"/>
      <w:r w:rsidRPr="001E7557">
        <w:rPr>
          <w:sz w:val="24"/>
        </w:rPr>
        <w:t>Mikautadze</w:t>
      </w:r>
      <w:proofErr w:type="spellEnd"/>
      <w:r w:rsidRPr="001E7557">
        <w:rPr>
          <w:sz w:val="24"/>
        </w:rPr>
        <w:t>. Versions stated by them are checked through investigative actions. For this particular purpose   intelligence activities are conducted. Making the specific conclusions will be possible upon completion of the actions.</w:t>
      </w:r>
    </w:p>
    <w:p w:rsidR="001E7557" w:rsidRDefault="001E7557" w:rsidP="004D0274">
      <w:pPr>
        <w:jc w:val="both"/>
        <w:rPr>
          <w:b/>
          <w:sz w:val="24"/>
        </w:rPr>
      </w:pPr>
      <w:r w:rsidRPr="001E7557">
        <w:rPr>
          <w:b/>
          <w:sz w:val="24"/>
        </w:rPr>
        <w:t>11. Domestic Crimes and crime against sexual freedom (Legal framework and the administration of the law)</w:t>
      </w:r>
    </w:p>
    <w:p w:rsidR="001E7557" w:rsidRPr="001E7557" w:rsidRDefault="001E7557" w:rsidP="001E7557">
      <w:pPr>
        <w:jc w:val="both"/>
        <w:rPr>
          <w:sz w:val="24"/>
        </w:rPr>
      </w:pPr>
      <w:r w:rsidRPr="001E7557">
        <w:rPr>
          <w:sz w:val="24"/>
        </w:rPr>
        <w:t xml:space="preserve">On 12 June 2012, the domestic violence was criminalized. Pursuant to the amendments of Criminal Code of Georgia (hereinafter – CCG) two new Articles 111 and </w:t>
      </w:r>
      <w:r w:rsidR="001020EE" w:rsidRPr="001E7557">
        <w:rPr>
          <w:sz w:val="24"/>
        </w:rPr>
        <w:t>126</w:t>
      </w:r>
      <w:r w:rsidR="001020EE" w:rsidRPr="00EC7421">
        <w:rPr>
          <w:sz w:val="24"/>
          <w:vertAlign w:val="superscript"/>
        </w:rPr>
        <w:t>1</w:t>
      </w:r>
      <w:r w:rsidRPr="001E7557">
        <w:rPr>
          <w:sz w:val="24"/>
        </w:rPr>
        <w:t xml:space="preserve"> were introduced to the CCG. Article 111 of the Criminal Code of Georgia provides general definition of domestic crime, which includes all illegal acts committed by one family member against another one.   Thereto, the note of the mentioned Article defines the term of a family member. It is noteworthy that the concept of a family member for a domestic crime is widely interpreted and covers the following: kinship/non-family relations: spouse, mother, father, grandfather, grandmother, son/daughter (stepchild), adopted child, adoptive parent, spouse of the adoptive parent,  foster  child, foster parents (foster family), guardian,  grandson/granddaughter, brother, sister, parents of the spouse, brother in law, sister in law, former spouse, the persons who sh</w:t>
      </w:r>
      <w:r>
        <w:rPr>
          <w:sz w:val="24"/>
        </w:rPr>
        <w:t xml:space="preserve">are/shared domestic household. </w:t>
      </w:r>
      <w:r w:rsidR="00A137B1">
        <w:rPr>
          <w:sz w:val="24"/>
        </w:rPr>
        <w:t xml:space="preserve"> </w:t>
      </w:r>
    </w:p>
    <w:p w:rsidR="001E7557" w:rsidRPr="001E7557" w:rsidRDefault="001E7557" w:rsidP="001E7557">
      <w:pPr>
        <w:jc w:val="both"/>
        <w:rPr>
          <w:sz w:val="24"/>
        </w:rPr>
      </w:pPr>
      <w:r w:rsidRPr="001E7557">
        <w:rPr>
          <w:sz w:val="24"/>
        </w:rPr>
        <w:t>Article 126</w:t>
      </w:r>
      <w:r w:rsidRPr="00EC7421">
        <w:rPr>
          <w:sz w:val="24"/>
          <w:vertAlign w:val="superscript"/>
        </w:rPr>
        <w:t>1</w:t>
      </w:r>
      <w:r w:rsidRPr="001E7557">
        <w:rPr>
          <w:sz w:val="24"/>
        </w:rPr>
        <w:t xml:space="preserve"> of the CCG, unlike other types of violence punishable under the Criminal Law, criminalizes not only single expression of any physical violence which has not caused minimal even a slight health injury but it provides criminal liability for systematic psychological violence. The community service is considered as the penalty for such crime and in case of aggravating circumstances the restriction of freedom or the deprivation of liberty up to one year is considered as the penalty.       </w:t>
      </w:r>
    </w:p>
    <w:p w:rsidR="001E7557" w:rsidRPr="001E7557" w:rsidRDefault="001E7557" w:rsidP="001E7557">
      <w:pPr>
        <w:jc w:val="both"/>
        <w:rPr>
          <w:sz w:val="24"/>
        </w:rPr>
      </w:pPr>
      <w:r w:rsidRPr="001E7557">
        <w:rPr>
          <w:sz w:val="24"/>
        </w:rPr>
        <w:t>On 10 January 2013, Office of the Chief Prosecutor of Georgia drafted the recommendation for prosecutors regarding Articles 111 and 126</w:t>
      </w:r>
      <w:r w:rsidRPr="00EC7421">
        <w:rPr>
          <w:sz w:val="24"/>
          <w:vertAlign w:val="superscript"/>
        </w:rPr>
        <w:t>1</w:t>
      </w:r>
      <w:r w:rsidRPr="001E7557">
        <w:rPr>
          <w:sz w:val="24"/>
        </w:rPr>
        <w:t xml:space="preserve"> of the Criminal Code of Georgia.  </w:t>
      </w:r>
    </w:p>
    <w:p w:rsidR="001E7557" w:rsidRPr="001E7557" w:rsidRDefault="001E7557" w:rsidP="001E7557">
      <w:pPr>
        <w:jc w:val="both"/>
        <w:rPr>
          <w:sz w:val="24"/>
        </w:rPr>
      </w:pPr>
    </w:p>
    <w:p w:rsidR="001E7557" w:rsidRPr="001E7557" w:rsidRDefault="001E7557" w:rsidP="001E7557">
      <w:pPr>
        <w:jc w:val="both"/>
        <w:rPr>
          <w:sz w:val="24"/>
        </w:rPr>
      </w:pPr>
      <w:r w:rsidRPr="001E7557">
        <w:rPr>
          <w:sz w:val="24"/>
        </w:rPr>
        <w:lastRenderedPageBreak/>
        <w:t xml:space="preserve">Recommendation aims to establish the common practice within the territory of the country pertaining to the amendments of the Criminal Code of Georgia adopted on 12 June 2012 and promote effective implementation of legal amendment in practice. The recommendation includes the investigative techniques of the crimes committed against the family member, the peculiarities and standards of interrogating juvenile witness and the victim. </w:t>
      </w:r>
    </w:p>
    <w:p w:rsidR="001E7557" w:rsidRPr="001E7557" w:rsidRDefault="001E7557" w:rsidP="001E7557">
      <w:pPr>
        <w:jc w:val="both"/>
        <w:rPr>
          <w:sz w:val="24"/>
        </w:rPr>
      </w:pPr>
      <w:r w:rsidRPr="001E7557">
        <w:rPr>
          <w:sz w:val="24"/>
        </w:rPr>
        <w:t xml:space="preserve">Capacity building of law enforcements on the issues related to domestic violence and domestic crimes remains one of the priorities for Chief Prosecutor’s Office of Georgia. for that aim training were delivered to all prosecutors (447 in number) within the Prosecution Service in 2012, after the criminalization of DV. Currently, the needs analysis of the training for prosecutors is drafted by the Training Center of the Prosecutor’s Office. By the end of 2014 around 200 inter-prosecutors and practicing prosecutors will be trained on gender equality and issues related to violence against women and domestic violence.    </w:t>
      </w:r>
    </w:p>
    <w:p w:rsidR="001E7557" w:rsidRPr="001E7557" w:rsidRDefault="001E7557" w:rsidP="001E7557">
      <w:pPr>
        <w:jc w:val="both"/>
        <w:rPr>
          <w:sz w:val="24"/>
        </w:rPr>
      </w:pPr>
      <w:r w:rsidRPr="001E7557">
        <w:rPr>
          <w:sz w:val="24"/>
        </w:rPr>
        <w:t xml:space="preserve">Since 2011, the Witness /Victim Coordinator’s Office commenced to operate within the Prosecution Service. The key function of Witness/Victim Coordinator is to ease the communication between the parties of the criminal proceedings (e.g. witness, victim) and the prosecutor (court) and providing him with detailed information regarding the case file,  assist the victim of violent crime to overcome the difficulties resulted from the trauma as well as evaluate his personal and psychological condition and if necessary to render first psychological aid, offer available services (for example, rehabilitation centers, shelters, legal assistance service) and providing their communication with those organization as well as arranging meeting with their representatives.    </w:t>
      </w:r>
    </w:p>
    <w:p w:rsidR="001E7557" w:rsidRPr="001E7557" w:rsidRDefault="001E7557" w:rsidP="001E7557">
      <w:pPr>
        <w:jc w:val="both"/>
        <w:rPr>
          <w:sz w:val="24"/>
        </w:rPr>
      </w:pPr>
      <w:r w:rsidRPr="001E7557">
        <w:rPr>
          <w:sz w:val="24"/>
        </w:rPr>
        <w:t>Currently, 16 Witness/Victim Coordinators are working within the Prosecution Service in Tb</w:t>
      </w:r>
      <w:r>
        <w:rPr>
          <w:sz w:val="24"/>
        </w:rPr>
        <w:t xml:space="preserve">ilisi and other 6 big cities.  </w:t>
      </w:r>
      <w:r w:rsidRPr="001E7557">
        <w:rPr>
          <w:sz w:val="24"/>
        </w:rPr>
        <w:t xml:space="preserve"> </w:t>
      </w:r>
    </w:p>
    <w:p w:rsidR="001E7557" w:rsidRPr="001E7557" w:rsidRDefault="001E7557" w:rsidP="001E7557">
      <w:pPr>
        <w:jc w:val="both"/>
        <w:rPr>
          <w:sz w:val="24"/>
        </w:rPr>
      </w:pPr>
      <w:r w:rsidRPr="001E7557">
        <w:rPr>
          <w:sz w:val="24"/>
        </w:rPr>
        <w:t>Witness/Victim Coordinators are trained on the regular basis. In March 2014, 13 Witness/Victim Coordinators were trained on the issues related to the dom</w:t>
      </w:r>
      <w:r>
        <w:rPr>
          <w:sz w:val="24"/>
        </w:rPr>
        <w:t xml:space="preserve">estic crime and trafficking.   </w:t>
      </w:r>
    </w:p>
    <w:p w:rsidR="001E7557" w:rsidRPr="001E7557" w:rsidRDefault="001E7557" w:rsidP="001E7557">
      <w:pPr>
        <w:jc w:val="both"/>
        <w:rPr>
          <w:sz w:val="24"/>
        </w:rPr>
      </w:pPr>
      <w:r w:rsidRPr="001E7557">
        <w:rPr>
          <w:sz w:val="24"/>
        </w:rPr>
        <w:t>In 2012 more than 17000 and in 2013 more than 13000 citizens have the beneficiaries of wi</w:t>
      </w:r>
      <w:r>
        <w:rPr>
          <w:sz w:val="24"/>
        </w:rPr>
        <w:t xml:space="preserve">tness and victim coordinators. </w:t>
      </w:r>
    </w:p>
    <w:p w:rsidR="001E7557" w:rsidRPr="001E7557" w:rsidRDefault="001E7557" w:rsidP="001E7557">
      <w:pPr>
        <w:jc w:val="both"/>
        <w:rPr>
          <w:i/>
          <w:sz w:val="24"/>
          <w:u w:val="single"/>
        </w:rPr>
      </w:pPr>
      <w:r w:rsidRPr="001E7557">
        <w:rPr>
          <w:i/>
          <w:sz w:val="24"/>
          <w:u w:val="single"/>
        </w:rPr>
        <w:t xml:space="preserve">Statistics on domestic crime and pertaining to sexual inviolability and freedom of a person and prostitution </w:t>
      </w:r>
    </w:p>
    <w:p w:rsidR="001E7557" w:rsidRPr="001E7557" w:rsidRDefault="001E7557" w:rsidP="001E7557">
      <w:pPr>
        <w:jc w:val="both"/>
        <w:rPr>
          <w:sz w:val="24"/>
        </w:rPr>
      </w:pPr>
      <w:r w:rsidRPr="001E7557">
        <w:rPr>
          <w:sz w:val="24"/>
        </w:rPr>
        <w:t xml:space="preserve">According to the statistics of Office of the Chief Prosecutor of Georgia, the female victims amounted to 35%, 5 % and 36.7 % respectively in 2012 and 2013 on the different criminal acts. </w:t>
      </w:r>
    </w:p>
    <w:p w:rsidR="001E7557" w:rsidRPr="001E7557" w:rsidRDefault="001E7557" w:rsidP="001E7557">
      <w:pPr>
        <w:jc w:val="both"/>
        <w:rPr>
          <w:sz w:val="24"/>
        </w:rPr>
      </w:pPr>
    </w:p>
    <w:p w:rsidR="001E7557" w:rsidRPr="001E7557" w:rsidRDefault="001E7557" w:rsidP="001E7557">
      <w:pPr>
        <w:jc w:val="both"/>
        <w:rPr>
          <w:sz w:val="24"/>
        </w:rPr>
      </w:pPr>
      <w:r w:rsidRPr="001E7557">
        <w:rPr>
          <w:sz w:val="24"/>
        </w:rPr>
        <w:lastRenderedPageBreak/>
        <w:t>Within 6 months of 2012, investigation was launched on 111 cases of domestic crimes. The criminal prosecution has been initiated against 58 persons. Out of 58 prosecuted persons 41 were prosecuted for Domestic violence. In 2013, the investigation was started on 618 facts and the criminal prosecution was carried out against 236 persons (See the detai</w:t>
      </w:r>
      <w:r>
        <w:rPr>
          <w:sz w:val="24"/>
        </w:rPr>
        <w:t xml:space="preserve">led statistics in the </w:t>
      </w:r>
      <w:r w:rsidRPr="001E7557">
        <w:rPr>
          <w:i/>
          <w:sz w:val="24"/>
        </w:rPr>
        <w:t>annex 8</w:t>
      </w:r>
      <w:r w:rsidRPr="001E7557">
        <w:rPr>
          <w:sz w:val="24"/>
        </w:rPr>
        <w:t xml:space="preserve">).   </w:t>
      </w:r>
    </w:p>
    <w:p w:rsidR="001E7557" w:rsidRPr="001E7557" w:rsidRDefault="001E7557" w:rsidP="001E7557">
      <w:pPr>
        <w:jc w:val="both"/>
        <w:rPr>
          <w:sz w:val="24"/>
        </w:rPr>
      </w:pPr>
      <w:r w:rsidRPr="001E7557">
        <w:rPr>
          <w:sz w:val="24"/>
        </w:rPr>
        <w:t xml:space="preserve">The Criminal Code of Georgia envisages responsibility for the crime against sexual freedom and inviolability, specifically, Article 137 (Rape), Article 138 (Sexual Violence), Article 139 (Coercion to Sexual Intercourse or to Other Acts of Sexual Nature), Article 140 (Sexual Intercourse or Other Kind of Sexual Contact with a Minor under Sixteen), Article 141 (Perversion) (See the detailed statistics in the </w:t>
      </w:r>
      <w:r w:rsidRPr="001E7557">
        <w:rPr>
          <w:i/>
          <w:sz w:val="24"/>
        </w:rPr>
        <w:t>annex 8</w:t>
      </w:r>
      <w:r w:rsidRPr="001E7557">
        <w:rPr>
          <w:sz w:val="24"/>
        </w:rPr>
        <w:t xml:space="preserve">).   </w:t>
      </w:r>
    </w:p>
    <w:p w:rsidR="001E7557" w:rsidRPr="001E7557" w:rsidRDefault="001E7557" w:rsidP="001E7557">
      <w:pPr>
        <w:jc w:val="both"/>
        <w:rPr>
          <w:sz w:val="24"/>
        </w:rPr>
      </w:pPr>
      <w:r w:rsidRPr="001E7557">
        <w:rPr>
          <w:sz w:val="24"/>
        </w:rPr>
        <w:t xml:space="preserve">As to a question related to the marital rape, it should be noted that criminal legislation of Georgia envisages the criminal liability for rape (Article 137 of CCG) and  if the crime is committed within the family, it will be qualified cumulatively under Article 111 (domestic crime) and Article 137 (rape) of  Criminal Code of Georgia.  Rape committed against family member is not considered as mitigated circumstance. </w:t>
      </w:r>
    </w:p>
    <w:p w:rsidR="001E7557" w:rsidRDefault="001E7557" w:rsidP="001E7557">
      <w:pPr>
        <w:jc w:val="both"/>
        <w:rPr>
          <w:sz w:val="24"/>
        </w:rPr>
      </w:pPr>
      <w:r w:rsidRPr="001E7557">
        <w:rPr>
          <w:sz w:val="24"/>
        </w:rPr>
        <w:t xml:space="preserve">The Criminal Code of Georgia criminalizes engaging someone in prostitution (Article 253) and providing venue for prostitution (Article 254). The law enforcement agencies regularly operate in the high risk areas (such as saunas, hotels, nightclubs, bars, baths)  in order to prevent violation of the rights of women involved in the prostitution. They systematically check the </w:t>
      </w:r>
      <w:proofErr w:type="spellStart"/>
      <w:r w:rsidRPr="001E7557">
        <w:rPr>
          <w:sz w:val="24"/>
        </w:rPr>
        <w:t>dentified</w:t>
      </w:r>
      <w:proofErr w:type="spellEnd"/>
      <w:r w:rsidRPr="001E7557">
        <w:rPr>
          <w:sz w:val="24"/>
        </w:rPr>
        <w:t xml:space="preserve"> different institutions in Tbilisi, </w:t>
      </w:r>
      <w:proofErr w:type="spellStart"/>
      <w:r w:rsidRPr="001E7557">
        <w:rPr>
          <w:sz w:val="24"/>
        </w:rPr>
        <w:t>Guria</w:t>
      </w:r>
      <w:proofErr w:type="spellEnd"/>
      <w:r w:rsidRPr="001E7557">
        <w:rPr>
          <w:sz w:val="24"/>
        </w:rPr>
        <w:t xml:space="preserve">, </w:t>
      </w:r>
      <w:proofErr w:type="spellStart"/>
      <w:r w:rsidRPr="001E7557">
        <w:rPr>
          <w:sz w:val="24"/>
        </w:rPr>
        <w:t>Kakheti</w:t>
      </w:r>
      <w:proofErr w:type="spellEnd"/>
      <w:r w:rsidRPr="001E7557">
        <w:rPr>
          <w:sz w:val="24"/>
        </w:rPr>
        <w:t xml:space="preserve">, </w:t>
      </w:r>
      <w:proofErr w:type="spellStart"/>
      <w:r w:rsidRPr="001E7557">
        <w:rPr>
          <w:sz w:val="24"/>
        </w:rPr>
        <w:t>Samegrelo</w:t>
      </w:r>
      <w:proofErr w:type="spellEnd"/>
      <w:r w:rsidRPr="001E7557">
        <w:rPr>
          <w:sz w:val="24"/>
        </w:rPr>
        <w:t xml:space="preserve">, </w:t>
      </w:r>
      <w:proofErr w:type="spellStart"/>
      <w:r w:rsidRPr="001E7557">
        <w:rPr>
          <w:sz w:val="24"/>
        </w:rPr>
        <w:t>Kvemo</w:t>
      </w:r>
      <w:proofErr w:type="spellEnd"/>
      <w:r w:rsidRPr="001E7557">
        <w:rPr>
          <w:sz w:val="24"/>
        </w:rPr>
        <w:t xml:space="preserve"> </w:t>
      </w:r>
      <w:proofErr w:type="spellStart"/>
      <w:r w:rsidRPr="001E7557">
        <w:rPr>
          <w:sz w:val="24"/>
        </w:rPr>
        <w:t>Kartli</w:t>
      </w:r>
      <w:proofErr w:type="spellEnd"/>
      <w:r w:rsidRPr="001E7557">
        <w:rPr>
          <w:sz w:val="24"/>
        </w:rPr>
        <w:t xml:space="preserve">, </w:t>
      </w:r>
      <w:proofErr w:type="spellStart"/>
      <w:r w:rsidRPr="001E7557">
        <w:rPr>
          <w:sz w:val="24"/>
        </w:rPr>
        <w:t>Shida</w:t>
      </w:r>
      <w:proofErr w:type="spellEnd"/>
      <w:r w:rsidRPr="001E7557">
        <w:rPr>
          <w:sz w:val="24"/>
        </w:rPr>
        <w:t xml:space="preserve"> </w:t>
      </w:r>
      <w:proofErr w:type="spellStart"/>
      <w:r w:rsidRPr="001E7557">
        <w:rPr>
          <w:sz w:val="24"/>
        </w:rPr>
        <w:t>Kartli</w:t>
      </w:r>
      <w:proofErr w:type="spellEnd"/>
      <w:r w:rsidRPr="001E7557">
        <w:rPr>
          <w:sz w:val="24"/>
        </w:rPr>
        <w:t xml:space="preserve">, </w:t>
      </w:r>
      <w:proofErr w:type="spellStart"/>
      <w:r w:rsidRPr="001E7557">
        <w:rPr>
          <w:sz w:val="24"/>
        </w:rPr>
        <w:t>Adjara</w:t>
      </w:r>
      <w:proofErr w:type="spellEnd"/>
      <w:r w:rsidRPr="001E7557">
        <w:rPr>
          <w:sz w:val="24"/>
        </w:rPr>
        <w:t xml:space="preserve"> and </w:t>
      </w:r>
      <w:proofErr w:type="spellStart"/>
      <w:r w:rsidRPr="001E7557">
        <w:rPr>
          <w:sz w:val="24"/>
        </w:rPr>
        <w:t>Imereti</w:t>
      </w:r>
      <w:proofErr w:type="spellEnd"/>
      <w:r w:rsidRPr="001E7557">
        <w:rPr>
          <w:sz w:val="24"/>
        </w:rPr>
        <w:t xml:space="preserve">. (See the detailed statistics in the </w:t>
      </w:r>
      <w:r w:rsidRPr="001E7557">
        <w:rPr>
          <w:i/>
          <w:sz w:val="24"/>
        </w:rPr>
        <w:t>annex 8</w:t>
      </w:r>
      <w:r w:rsidRPr="001E7557">
        <w:rPr>
          <w:sz w:val="24"/>
        </w:rPr>
        <w:t>).</w:t>
      </w:r>
    </w:p>
    <w:p w:rsidR="001E7557" w:rsidRDefault="001E7557" w:rsidP="001E7557">
      <w:pPr>
        <w:jc w:val="both"/>
        <w:rPr>
          <w:b/>
          <w:sz w:val="24"/>
        </w:rPr>
      </w:pPr>
      <w:r w:rsidRPr="001E7557">
        <w:rPr>
          <w:b/>
          <w:sz w:val="24"/>
        </w:rPr>
        <w:t>12. Investigations of excessive use of force and ill-treatments by officials</w:t>
      </w:r>
      <w:r>
        <w:rPr>
          <w:b/>
          <w:sz w:val="24"/>
        </w:rPr>
        <w:t xml:space="preserve"> (Issues 11, 12, 13)</w:t>
      </w:r>
    </w:p>
    <w:p w:rsidR="001E7557" w:rsidRPr="001E7557" w:rsidRDefault="001E7557" w:rsidP="001E7557">
      <w:pPr>
        <w:jc w:val="both"/>
        <w:rPr>
          <w:sz w:val="24"/>
        </w:rPr>
      </w:pPr>
      <w:r w:rsidRPr="001E7557">
        <w:rPr>
          <w:sz w:val="24"/>
        </w:rPr>
        <w:t>In 2013, 3 cases were initiated under Article 1441 (torture);  9 cases – under Article 1443 (inhuman or degrading treatment); 3 cases – under Article 332 (misuse of official power) and 23 cases under Article 333 (illegal release from criminal liability).</w:t>
      </w:r>
    </w:p>
    <w:p w:rsidR="001E7557" w:rsidRPr="001E7557" w:rsidRDefault="001E7557" w:rsidP="001E7557">
      <w:pPr>
        <w:jc w:val="both"/>
        <w:rPr>
          <w:sz w:val="24"/>
        </w:rPr>
      </w:pPr>
      <w:r w:rsidRPr="001E7557">
        <w:rPr>
          <w:sz w:val="24"/>
        </w:rPr>
        <w:t xml:space="preserve">In  2013, 48 employees of the penitentiary establishment have been prosecuted for torture and inhuman treatment of the inmates. Among them former heads of the Penitentiary Departments and their deputies, 8 heads of the penitentiary establishment and their 8 deputies were prosecuted. In 2013, 31 employees of prisons were convicted and sentenced to deprivation of liberty up to 7 years. All heads of the penitentiary establishments were convicted under the Articles 1441 and 1143 of the Criminal Code of Georgia. </w:t>
      </w:r>
    </w:p>
    <w:p w:rsidR="001E7557" w:rsidRPr="001E7557" w:rsidRDefault="001E7557" w:rsidP="001E7557">
      <w:pPr>
        <w:jc w:val="both"/>
        <w:rPr>
          <w:sz w:val="24"/>
        </w:rPr>
      </w:pPr>
      <w:r w:rsidRPr="001E7557">
        <w:rPr>
          <w:sz w:val="24"/>
        </w:rPr>
        <w:t xml:space="preserve">By the May of 2014, one investigation was initiated under Article 1441, 2 investigations were started under Article 1443; 8 persons were prosecuted under Article 1441 and 12 persons were convicted. The majority of the convicted persons sentenced by deprivation of liberty up to 9 </w:t>
      </w:r>
      <w:r w:rsidRPr="001E7557">
        <w:rPr>
          <w:sz w:val="24"/>
        </w:rPr>
        <w:lastRenderedPageBreak/>
        <w:t xml:space="preserve">years. In addition the convicted persons were banned from holding official positions for a period from 1 up to 3 years.  During the same period,  2 persons were prosecuted and convicted under  Article 1443. They were sentenced by deprivation of liberty up to 6 years.  </w:t>
      </w:r>
    </w:p>
    <w:p w:rsidR="001E7557" w:rsidRPr="001E7557" w:rsidRDefault="001E7557" w:rsidP="001E7557">
      <w:pPr>
        <w:jc w:val="both"/>
        <w:rPr>
          <w:sz w:val="24"/>
        </w:rPr>
      </w:pPr>
      <w:r w:rsidRPr="001E7557">
        <w:rPr>
          <w:sz w:val="24"/>
        </w:rPr>
        <w:t>In October 2012 since the publication of so called “prison footages” ( regarding the facts of torture and inhuman treatment in the  #8 penitentiary establishment) 17  employees of the noted penitentiary establishment were prosecuted. 16 persons were found guilty, with one person a plea bargain was concluded and he was released from the criminal liability.</w:t>
      </w:r>
    </w:p>
    <w:p w:rsidR="001E7557" w:rsidRPr="001E7557" w:rsidRDefault="001E7557" w:rsidP="001E7557">
      <w:pPr>
        <w:jc w:val="both"/>
        <w:rPr>
          <w:sz w:val="24"/>
        </w:rPr>
      </w:pPr>
      <w:r w:rsidRPr="001E7557">
        <w:rPr>
          <w:sz w:val="24"/>
        </w:rPr>
        <w:t xml:space="preserve">In 2013, totally 48 staff members of №8, №14, №16 and №4 penitentiary establishments were prosecuted for criminal offences, including the former heads of the Penitentiary Departments and their deputies. 21 persons have been brought to justice under Article 1441 of the CCG. Criminal charges have also been brought against former head of the </w:t>
      </w:r>
      <w:proofErr w:type="spellStart"/>
      <w:r w:rsidRPr="001E7557">
        <w:rPr>
          <w:sz w:val="24"/>
        </w:rPr>
        <w:t>Ksani</w:t>
      </w:r>
      <w:proofErr w:type="spellEnd"/>
      <w:r w:rsidRPr="001E7557">
        <w:rPr>
          <w:sz w:val="24"/>
        </w:rPr>
        <w:t xml:space="preserve"> penitentiary establishment №15 as well as another 4 staff members of the mentioned prison.  Head of the </w:t>
      </w:r>
      <w:proofErr w:type="spellStart"/>
      <w:r w:rsidRPr="001E7557">
        <w:rPr>
          <w:sz w:val="24"/>
        </w:rPr>
        <w:t>Ksani</w:t>
      </w:r>
      <w:proofErr w:type="spellEnd"/>
      <w:r w:rsidRPr="001E7557">
        <w:rPr>
          <w:sz w:val="24"/>
        </w:rPr>
        <w:t xml:space="preserve"> penitentiary establishment was acquitted. Prosecutor’s Office of Georgia appealed the court decision but appeal court held the first instance court’s decision in force.   </w:t>
      </w:r>
    </w:p>
    <w:p w:rsidR="001E7557" w:rsidRPr="001E7557" w:rsidRDefault="001E7557" w:rsidP="001E7557">
      <w:pPr>
        <w:jc w:val="both"/>
        <w:rPr>
          <w:sz w:val="24"/>
        </w:rPr>
      </w:pPr>
      <w:r w:rsidRPr="001E7557">
        <w:rPr>
          <w:sz w:val="24"/>
        </w:rPr>
        <w:t>Totally, in 2013 verdict has been reached against 31 prison staff members ( a plea bargain was concluded only with 13 defendants), out of which 28 persons have been found guilty of ill-treatment; 2 persons have been found guilty of the crime prescribed by Article 376 of the CCG (non-reporting of crime) and 1 person was acquitted. As for the sanctions they varied from nine months to seven years. All convicted persons have been additionally sentenced by deprivation of right to occupy an official position from period of 1 up 3 years.</w:t>
      </w:r>
    </w:p>
    <w:p w:rsidR="001E7557" w:rsidRPr="001E7557" w:rsidRDefault="001E7557" w:rsidP="001E7557">
      <w:pPr>
        <w:jc w:val="both"/>
        <w:rPr>
          <w:sz w:val="24"/>
        </w:rPr>
      </w:pPr>
      <w:r w:rsidRPr="001E7557">
        <w:rPr>
          <w:sz w:val="24"/>
        </w:rPr>
        <w:t>Currently, investigation on torture and inhuman treatment in the different penitentiary establishments (</w:t>
      </w:r>
      <w:proofErr w:type="spellStart"/>
      <w:r w:rsidRPr="001E7557">
        <w:rPr>
          <w:sz w:val="24"/>
        </w:rPr>
        <w:t>Gldani</w:t>
      </w:r>
      <w:proofErr w:type="spellEnd"/>
      <w:r w:rsidRPr="001E7557">
        <w:rPr>
          <w:sz w:val="24"/>
        </w:rPr>
        <w:t xml:space="preserve"> #8 prison, Rustavi #6 prison, Kutaisi #2 Prison, </w:t>
      </w:r>
      <w:proofErr w:type="spellStart"/>
      <w:r w:rsidRPr="001E7557">
        <w:rPr>
          <w:sz w:val="24"/>
        </w:rPr>
        <w:t>Zugdidi</w:t>
      </w:r>
      <w:proofErr w:type="spellEnd"/>
      <w:r w:rsidRPr="001E7557">
        <w:rPr>
          <w:sz w:val="24"/>
        </w:rPr>
        <w:t xml:space="preserve"> # 4 prison, </w:t>
      </w:r>
      <w:proofErr w:type="spellStart"/>
      <w:r w:rsidRPr="001E7557">
        <w:rPr>
          <w:sz w:val="24"/>
        </w:rPr>
        <w:t>Ksani</w:t>
      </w:r>
      <w:proofErr w:type="spellEnd"/>
      <w:r w:rsidRPr="001E7557">
        <w:rPr>
          <w:sz w:val="24"/>
        </w:rPr>
        <w:t xml:space="preserve"> #15 prison) is in process, which is carried by the prosecutor’s offices.  Up to 1500 inmates were interrogated, among them about 250 inmates were declared as a victim. Given the number of prisoners were implicated in ill-treatment it might take a while for the in</w:t>
      </w:r>
      <w:r>
        <w:rPr>
          <w:sz w:val="24"/>
        </w:rPr>
        <w:t xml:space="preserve">vestigation to come to an end. </w:t>
      </w:r>
    </w:p>
    <w:p w:rsidR="001E7557" w:rsidRPr="001E7557" w:rsidRDefault="001E7557" w:rsidP="001E7557">
      <w:pPr>
        <w:jc w:val="both"/>
        <w:rPr>
          <w:sz w:val="24"/>
        </w:rPr>
      </w:pPr>
      <w:r w:rsidRPr="001E7557">
        <w:rPr>
          <w:sz w:val="24"/>
        </w:rPr>
        <w:t xml:space="preserve">March, 2006 - As it was detected during the investigation, disturbance that took place in March, 2006 was caused by unlawful actions of former high officials of the Penitentiary Department. Four officers of the Department were convicted by the court. B. </w:t>
      </w:r>
      <w:proofErr w:type="spellStart"/>
      <w:r w:rsidRPr="001E7557">
        <w:rPr>
          <w:sz w:val="24"/>
        </w:rPr>
        <w:t>Akhalaia</w:t>
      </w:r>
      <w:proofErr w:type="spellEnd"/>
      <w:r w:rsidRPr="001E7557">
        <w:rPr>
          <w:sz w:val="24"/>
        </w:rPr>
        <w:t xml:space="preserve"> - the Head of the Dep</w:t>
      </w:r>
      <w:r>
        <w:rPr>
          <w:sz w:val="24"/>
        </w:rPr>
        <w:t xml:space="preserve">artment, </w:t>
      </w:r>
      <w:r w:rsidRPr="001E7557">
        <w:rPr>
          <w:sz w:val="24"/>
        </w:rPr>
        <w:t>head of Operational Division, acting head of Social Division and director of Prison N7 were found guilty under Article 1443 of CCG and they were imprisoned  for 3 years and 9 months with deprivation of right to hold any position in governmental service for</w:t>
      </w:r>
      <w:r>
        <w:rPr>
          <w:sz w:val="24"/>
        </w:rPr>
        <w:t xml:space="preserve"> terms of 2 years and 3 months.</w:t>
      </w:r>
    </w:p>
    <w:p w:rsidR="001E7557" w:rsidRPr="001E7557" w:rsidRDefault="001E7557" w:rsidP="001E7557">
      <w:pPr>
        <w:jc w:val="both"/>
        <w:rPr>
          <w:sz w:val="24"/>
        </w:rPr>
      </w:pPr>
      <w:r w:rsidRPr="001E7557">
        <w:rPr>
          <w:sz w:val="24"/>
        </w:rPr>
        <w:t xml:space="preserve">Investigation on the fact of abuse of power by the staff of the penitentiary department during disturbance that took place in March 2006 is still ongoing. The investigation is carried out by </w:t>
      </w:r>
      <w:r w:rsidRPr="001E7557">
        <w:rPr>
          <w:sz w:val="24"/>
        </w:rPr>
        <w:lastRenderedPageBreak/>
        <w:t>the Chief Prosecutor’s Office of Georgia. Staffs of Penitentiary Department #1 and #5, also inmates of the noted establishments are interrogated. It should be noted that investigation faces difficulties due to dismantling of the</w:t>
      </w:r>
      <w:r>
        <w:rPr>
          <w:sz w:val="24"/>
        </w:rPr>
        <w:t xml:space="preserve"> former building of prison #5. </w:t>
      </w:r>
    </w:p>
    <w:p w:rsidR="001E7557" w:rsidRPr="001E7557" w:rsidRDefault="001E7557" w:rsidP="001E7557">
      <w:pPr>
        <w:jc w:val="both"/>
        <w:rPr>
          <w:sz w:val="24"/>
        </w:rPr>
      </w:pPr>
      <w:r>
        <w:rPr>
          <w:sz w:val="24"/>
        </w:rPr>
        <w:t>May 26,</w:t>
      </w:r>
      <w:r w:rsidRPr="001E7557">
        <w:rPr>
          <w:sz w:val="24"/>
        </w:rPr>
        <w:t xml:space="preserve"> 2011 - As for Exceeding Official Powers by law enforcement officers during the demonstration, former Minister of Interior </w:t>
      </w:r>
      <w:proofErr w:type="spellStart"/>
      <w:r w:rsidRPr="001E7557">
        <w:rPr>
          <w:sz w:val="24"/>
        </w:rPr>
        <w:t>Ivane</w:t>
      </w:r>
      <w:proofErr w:type="spellEnd"/>
      <w:r w:rsidRPr="001E7557">
        <w:rPr>
          <w:sz w:val="24"/>
        </w:rPr>
        <w:t xml:space="preserve"> </w:t>
      </w:r>
      <w:proofErr w:type="spellStart"/>
      <w:r w:rsidRPr="001E7557">
        <w:rPr>
          <w:sz w:val="24"/>
        </w:rPr>
        <w:t>Merabishvili</w:t>
      </w:r>
      <w:proofErr w:type="spellEnd"/>
      <w:r w:rsidRPr="001E7557">
        <w:rPr>
          <w:sz w:val="24"/>
        </w:rPr>
        <w:t xml:space="preserve"> was convicted for the violation of Article 333, paragraphs 3(b) and 3(c) of CCG –on May 28, 2013. On February 29, 2014 after substantial hearing o</w:t>
      </w:r>
      <w:r>
        <w:rPr>
          <w:sz w:val="24"/>
        </w:rPr>
        <w:t xml:space="preserve">f the case, </w:t>
      </w:r>
      <w:proofErr w:type="spellStart"/>
      <w:r>
        <w:rPr>
          <w:sz w:val="24"/>
        </w:rPr>
        <w:t>Ivane</w:t>
      </w:r>
      <w:proofErr w:type="spellEnd"/>
      <w:r>
        <w:rPr>
          <w:sz w:val="24"/>
        </w:rPr>
        <w:t xml:space="preserve"> </w:t>
      </w:r>
      <w:proofErr w:type="spellStart"/>
      <w:r>
        <w:rPr>
          <w:sz w:val="24"/>
        </w:rPr>
        <w:t>Merabishvili</w:t>
      </w:r>
      <w:proofErr w:type="spellEnd"/>
      <w:r>
        <w:rPr>
          <w:sz w:val="24"/>
        </w:rPr>
        <w:t xml:space="preserve"> </w:t>
      </w:r>
      <w:r w:rsidRPr="001E7557">
        <w:rPr>
          <w:sz w:val="24"/>
        </w:rPr>
        <w:t>was found guilty and sentenced to 4,5 years of imprisonment. In addition the convicted person was banned from holding official po</w:t>
      </w:r>
      <w:r>
        <w:rPr>
          <w:sz w:val="24"/>
        </w:rPr>
        <w:t xml:space="preserve">sitions for terms of 1,1 year. </w:t>
      </w:r>
    </w:p>
    <w:p w:rsidR="001E7557" w:rsidRPr="001E7557" w:rsidRDefault="001E7557" w:rsidP="001E7557">
      <w:pPr>
        <w:jc w:val="both"/>
        <w:rPr>
          <w:sz w:val="24"/>
        </w:rPr>
      </w:pPr>
      <w:r w:rsidRPr="001E7557">
        <w:rPr>
          <w:sz w:val="24"/>
        </w:rPr>
        <w:t>As for the other officials being involved in violation of the right to assembly, Prosecutor’s Office is conducting investigation to identify the persons. The complexity and volume of the case and the fact of wearing masks by law enforcements during demonstration, are the main causes hampering the process of identification of the persons invol</w:t>
      </w:r>
      <w:r>
        <w:rPr>
          <w:sz w:val="24"/>
        </w:rPr>
        <w:t>ved in the criminal activities.</w:t>
      </w:r>
    </w:p>
    <w:p w:rsidR="001E7557" w:rsidRDefault="001E7557" w:rsidP="001E7557">
      <w:pPr>
        <w:jc w:val="both"/>
        <w:rPr>
          <w:sz w:val="24"/>
        </w:rPr>
      </w:pPr>
      <w:r w:rsidRPr="001E7557">
        <w:rPr>
          <w:sz w:val="24"/>
        </w:rPr>
        <w:t>Additionally, it should be mentioned, that investigation of death of two persons, which happe</w:t>
      </w:r>
      <w:r>
        <w:rPr>
          <w:sz w:val="24"/>
        </w:rPr>
        <w:t>ned on 26 May 2011, is underway</w:t>
      </w:r>
      <w:r w:rsidRPr="001E7557">
        <w:rPr>
          <w:sz w:val="24"/>
        </w:rPr>
        <w:t xml:space="preserve"> by Prosecutor’s Office.  Investigation on the mentioned case is at an important stage. It was found that the circumstances of death have not initially been correctly shown.  Additionally, investigation is also conducted on the fact of exceeding powers by police which caused ill-treatment (beating) and arrest of Nika Samkharadze.  Investigation is conducted to identify the police officers named/mentioned by the victim</w:t>
      </w:r>
      <w:r w:rsidR="00CF008B">
        <w:rPr>
          <w:sz w:val="24"/>
        </w:rPr>
        <w:t>.</w:t>
      </w:r>
    </w:p>
    <w:p w:rsidR="005E3818" w:rsidRPr="005E3818" w:rsidRDefault="005E3818" w:rsidP="005E3818">
      <w:pPr>
        <w:jc w:val="both"/>
        <w:rPr>
          <w:b/>
          <w:sz w:val="24"/>
        </w:rPr>
      </w:pPr>
      <w:r w:rsidRPr="005E3818">
        <w:rPr>
          <w:b/>
          <w:sz w:val="24"/>
        </w:rPr>
        <w:t>13. Violence against LGBT</w:t>
      </w:r>
      <w:r>
        <w:rPr>
          <w:b/>
          <w:sz w:val="24"/>
        </w:rPr>
        <w:t xml:space="preserve"> (Issue 18)</w:t>
      </w:r>
    </w:p>
    <w:p w:rsidR="005E3818" w:rsidRPr="005E3818" w:rsidRDefault="005E3818" w:rsidP="005E3818">
      <w:pPr>
        <w:jc w:val="both"/>
        <w:rPr>
          <w:sz w:val="24"/>
        </w:rPr>
      </w:pPr>
      <w:r w:rsidRPr="005E3818">
        <w:rPr>
          <w:sz w:val="24"/>
        </w:rPr>
        <w:t>May 17, 2012 -  investigation was launched on facts of violence (verbal/physical abuse ) against members of NGO “</w:t>
      </w:r>
      <w:proofErr w:type="spellStart"/>
      <w:r w:rsidRPr="005E3818">
        <w:rPr>
          <w:sz w:val="24"/>
        </w:rPr>
        <w:t>Identoba</w:t>
      </w:r>
      <w:proofErr w:type="spellEnd"/>
      <w:r w:rsidRPr="005E3818">
        <w:rPr>
          <w:sz w:val="24"/>
        </w:rPr>
        <w:t xml:space="preserve">”. A law-enforcement body interrogated witnesses and victims, appointed and conducted judicial expertise. Three persons were slightly injured. Investigation is in process. </w:t>
      </w:r>
    </w:p>
    <w:p w:rsidR="005E3818" w:rsidRPr="005E3818" w:rsidRDefault="005E3818" w:rsidP="005E3818">
      <w:pPr>
        <w:jc w:val="both"/>
        <w:rPr>
          <w:sz w:val="24"/>
        </w:rPr>
      </w:pPr>
      <w:r w:rsidRPr="005E3818">
        <w:rPr>
          <w:sz w:val="24"/>
        </w:rPr>
        <w:t xml:space="preserve">(70) May 17, 2013 - Ministry of Interior has immediately initiated investigation on facts committed on 17th of May 2013. 5 persons were charged, including 2 clerics under Article 161 of CCG (Encroachment upon Right to Assembly and Manifestation). Notably, one of the defendants is a senior priest of the Orthodox Church of Georgia. Admittedly, such governmental action was very unpopular owing to the wide public trust of the Orthodox Church.  On 1st of August 2013 criminal prosecution was terminated at pre-trial hearing against 1 person. The court decision was appealed by the Prosecutor’s Office of Georgia but without success.  Substantial hearings of the rest of cases are on-going. </w:t>
      </w:r>
    </w:p>
    <w:p w:rsidR="005E3818" w:rsidRPr="005E3818" w:rsidRDefault="005E3818" w:rsidP="005E3818">
      <w:pPr>
        <w:jc w:val="both"/>
        <w:rPr>
          <w:sz w:val="24"/>
        </w:rPr>
      </w:pPr>
      <w:r w:rsidRPr="005E3818">
        <w:rPr>
          <w:sz w:val="24"/>
        </w:rPr>
        <w:t>Police still investigates the abovementioned case to identify additional evidences.  Besides, 4 violenc</w:t>
      </w:r>
      <w:r>
        <w:rPr>
          <w:sz w:val="24"/>
        </w:rPr>
        <w:t xml:space="preserve">e cases (threatening/coercion) </w:t>
      </w:r>
      <w:r w:rsidRPr="005E3818">
        <w:rPr>
          <w:sz w:val="24"/>
        </w:rPr>
        <w:t>committed against members of NGO “</w:t>
      </w:r>
      <w:proofErr w:type="spellStart"/>
      <w:r w:rsidRPr="005E3818">
        <w:rPr>
          <w:sz w:val="24"/>
        </w:rPr>
        <w:t>Identoba</w:t>
      </w:r>
      <w:proofErr w:type="spellEnd"/>
      <w:r w:rsidRPr="005E3818">
        <w:rPr>
          <w:sz w:val="24"/>
        </w:rPr>
        <w:t xml:space="preserve">” are in </w:t>
      </w:r>
      <w:r w:rsidRPr="005E3818">
        <w:rPr>
          <w:sz w:val="24"/>
        </w:rPr>
        <w:lastRenderedPageBreak/>
        <w:t>the process of investigation. 4 persons were identified and arrested under the under the Articles 166 (petty hooliganism) and 173 (resisting police) of Code of Administrative Offences of Georgia.</w:t>
      </w:r>
    </w:p>
    <w:p w:rsidR="005E3818" w:rsidRPr="005E3818" w:rsidRDefault="005E3818" w:rsidP="005E3818">
      <w:pPr>
        <w:jc w:val="both"/>
        <w:rPr>
          <w:sz w:val="24"/>
        </w:rPr>
      </w:pPr>
      <w:r w:rsidRPr="005E3818">
        <w:rPr>
          <w:sz w:val="24"/>
        </w:rPr>
        <w:t xml:space="preserve">Apart from this, 3 persons were prosecuted in 2013 for the violence on the ground of victim’s sexual orientation. These persons have been convicted by Tbilisi City Court. In 2013 only 1 fact of violence committed against LGBT person was reported by the administration of Prison. On this fact investigation has been instituted under Article 333 of CCG by the Ministry of Internal Affairs (MIA). </w:t>
      </w:r>
    </w:p>
    <w:p w:rsidR="005E3818" w:rsidRDefault="005E3818" w:rsidP="005E3818">
      <w:pPr>
        <w:jc w:val="both"/>
        <w:rPr>
          <w:sz w:val="24"/>
        </w:rPr>
      </w:pPr>
      <w:r w:rsidRPr="005E3818">
        <w:rPr>
          <w:sz w:val="24"/>
        </w:rPr>
        <w:t>It should be noted that the Office of the Chief Prosecutor has been updating its policy guidelines to respond offences motivated by intolerance of religious and sexual orientation ground. One of such guidelines, which aims to promote the effective implementation of Article 53.31 of CCG (any crime committed under the discriminatory grounds is considered as an aggravating circumstance) is being elaborated by Human Rights Protection Unit of Prosecutor’s Office and will be issued in the nearer future.</w:t>
      </w:r>
    </w:p>
    <w:p w:rsidR="005E3818" w:rsidRPr="005E3818" w:rsidRDefault="005E3818" w:rsidP="005E3818">
      <w:pPr>
        <w:jc w:val="both"/>
        <w:rPr>
          <w:b/>
          <w:sz w:val="24"/>
        </w:rPr>
      </w:pPr>
      <w:r w:rsidRPr="005E3818">
        <w:rPr>
          <w:b/>
          <w:sz w:val="24"/>
        </w:rPr>
        <w:t xml:space="preserve">14. Violence against religion minorities </w:t>
      </w:r>
      <w:r>
        <w:rPr>
          <w:b/>
          <w:sz w:val="24"/>
        </w:rPr>
        <w:t>(Issue 24)</w:t>
      </w:r>
    </w:p>
    <w:p w:rsidR="005E3818" w:rsidRPr="005E3818" w:rsidRDefault="005E3818" w:rsidP="005E3818">
      <w:pPr>
        <w:jc w:val="both"/>
        <w:rPr>
          <w:sz w:val="24"/>
        </w:rPr>
      </w:pPr>
      <w:r w:rsidRPr="005E3818">
        <w:rPr>
          <w:sz w:val="24"/>
        </w:rPr>
        <w:t>In 2012, the investigation was initiated on 6 cases for the violation of Article 155 of the CCG (illegal interference into performing religion rite) and Article 155 of the CCG (Persecution on basis of religion); investigation on 3 case was terminated due to the lack of elements of crime.</w:t>
      </w:r>
    </w:p>
    <w:p w:rsidR="005E3818" w:rsidRPr="005E3818" w:rsidRDefault="005E3818" w:rsidP="005E3818">
      <w:pPr>
        <w:jc w:val="both"/>
        <w:rPr>
          <w:sz w:val="24"/>
        </w:rPr>
      </w:pPr>
      <w:r w:rsidRPr="005E3818">
        <w:rPr>
          <w:sz w:val="24"/>
        </w:rPr>
        <w:t xml:space="preserve">In 2013, 26 investigations were initiated for the  crimes committed on the basis of religious intolerance. This number includes: 1 case regarding damaging Orthodox church; 1 case regarding desecration of a grave of Armenian clergymen and 24 cases concerning different type of violence (damage of property, physical abuse) against Jehovah' Witnesses. From the overall number of the cases the investigation was terminated in 13 cases due to the lack of elements of crime.  </w:t>
      </w:r>
    </w:p>
    <w:p w:rsidR="005E3818" w:rsidRPr="005E3818" w:rsidRDefault="005E3818" w:rsidP="005E3818">
      <w:pPr>
        <w:jc w:val="both"/>
        <w:rPr>
          <w:sz w:val="24"/>
        </w:rPr>
      </w:pPr>
      <w:r w:rsidRPr="005E3818">
        <w:rPr>
          <w:sz w:val="24"/>
        </w:rPr>
        <w:t xml:space="preserve">In 2013 four persons were prosecuted under Article 156 of CCG. One person was convicted to 1 year of conditional imprisonment.  Diversion Program was used as an alternative to the prosecution was used in three cases. Thus, three persons were diverted from the criminal responsibility and a corrective labor was applied as a sanction. On the fact of physical assault of Jehovah Witnesses 2 person were prosecuted. One person was found guilty; substantial hearing of the another case is on-going in the court. </w:t>
      </w:r>
    </w:p>
    <w:p w:rsidR="005E3818" w:rsidRPr="005E3818" w:rsidRDefault="005E3818" w:rsidP="005E3818">
      <w:pPr>
        <w:jc w:val="both"/>
        <w:rPr>
          <w:sz w:val="24"/>
        </w:rPr>
      </w:pPr>
      <w:r w:rsidRPr="005E3818">
        <w:rPr>
          <w:sz w:val="24"/>
        </w:rPr>
        <w:t xml:space="preserve">All alleged crimes regarding the intentional destruction of Kingdom Hall of Jehovah's Witnesses or damage of the property of the noted religion group were investigated by the MIA. In the majority of cases the amount of the damage does not exceed 150 GEL and did not meet the </w:t>
      </w:r>
      <w:r w:rsidRPr="005E3818">
        <w:rPr>
          <w:sz w:val="24"/>
        </w:rPr>
        <w:lastRenderedPageBreak/>
        <w:t xml:space="preserve">threshold of a criminal offence.  In one case 2 minor perpetrators were identified and educative measures were imposed against them. </w:t>
      </w:r>
    </w:p>
    <w:p w:rsidR="005E3818" w:rsidRPr="005E3818" w:rsidRDefault="005E3818" w:rsidP="005E3818">
      <w:pPr>
        <w:jc w:val="both"/>
        <w:rPr>
          <w:sz w:val="24"/>
        </w:rPr>
      </w:pPr>
      <w:r w:rsidRPr="005E3818">
        <w:rPr>
          <w:sz w:val="24"/>
        </w:rPr>
        <w:t xml:space="preserve">In November and December 2012, there were two religious motivated violent incidents in </w:t>
      </w:r>
      <w:proofErr w:type="spellStart"/>
      <w:r w:rsidRPr="005E3818">
        <w:rPr>
          <w:sz w:val="24"/>
        </w:rPr>
        <w:t>Nigvziani</w:t>
      </w:r>
      <w:proofErr w:type="spellEnd"/>
      <w:r w:rsidRPr="005E3818">
        <w:rPr>
          <w:sz w:val="24"/>
        </w:rPr>
        <w:t xml:space="preserve">, </w:t>
      </w:r>
      <w:proofErr w:type="spellStart"/>
      <w:r w:rsidRPr="005E3818">
        <w:rPr>
          <w:sz w:val="24"/>
        </w:rPr>
        <w:t>Lanchkhuti</w:t>
      </w:r>
      <w:proofErr w:type="spellEnd"/>
      <w:r w:rsidRPr="005E3818">
        <w:rPr>
          <w:sz w:val="24"/>
        </w:rPr>
        <w:t xml:space="preserve"> District and </w:t>
      </w:r>
      <w:proofErr w:type="spellStart"/>
      <w:r w:rsidRPr="005E3818">
        <w:rPr>
          <w:sz w:val="24"/>
        </w:rPr>
        <w:t>Tsintskaro</w:t>
      </w:r>
      <w:proofErr w:type="spellEnd"/>
      <w:r w:rsidRPr="005E3818">
        <w:rPr>
          <w:sz w:val="24"/>
        </w:rPr>
        <w:t xml:space="preserve">, </w:t>
      </w:r>
      <w:proofErr w:type="spellStart"/>
      <w:r w:rsidRPr="005E3818">
        <w:rPr>
          <w:sz w:val="24"/>
        </w:rPr>
        <w:t>Tetritskaro</w:t>
      </w:r>
      <w:proofErr w:type="spellEnd"/>
      <w:r w:rsidRPr="005E3818">
        <w:rPr>
          <w:sz w:val="24"/>
        </w:rPr>
        <w:t xml:space="preserve"> District. In both of the cases a mass of crowd of Orthodox Christian locals attempted to impede local Muslims to carry out religious ceremonies. Police took certain preventive measures to avoid the violence. Moreover, police promptly launched investigations over both of the incidents. According to the interim investigation report, some tens of witnesses have been investigated and appropriate judiciary expertise was appointed. Competent prosecutor’s offices are now at the stage either to file prosecutions or to dismiss the allegations. Given the number of persons are implicated in staging the incidents it might take a while for the investigation to come to an end. </w:t>
      </w:r>
    </w:p>
    <w:p w:rsidR="005E3818" w:rsidRPr="005E3818" w:rsidRDefault="005E3818" w:rsidP="005E3818">
      <w:pPr>
        <w:jc w:val="both"/>
        <w:rPr>
          <w:sz w:val="24"/>
        </w:rPr>
      </w:pPr>
      <w:r w:rsidRPr="005E3818">
        <w:rPr>
          <w:sz w:val="24"/>
        </w:rPr>
        <w:t xml:space="preserve">In May and June 2013, a violence scuffles erupted between the orthodox Christian and Muslim locals in the village of </w:t>
      </w:r>
      <w:proofErr w:type="spellStart"/>
      <w:r w:rsidRPr="005E3818">
        <w:rPr>
          <w:sz w:val="24"/>
        </w:rPr>
        <w:t>Samtatskaro</w:t>
      </w:r>
      <w:proofErr w:type="spellEnd"/>
      <w:r w:rsidRPr="005E3818">
        <w:rPr>
          <w:sz w:val="24"/>
        </w:rPr>
        <w:t xml:space="preserve">, </w:t>
      </w:r>
      <w:proofErr w:type="spellStart"/>
      <w:r w:rsidRPr="005E3818">
        <w:rPr>
          <w:sz w:val="24"/>
        </w:rPr>
        <w:t>Dedoplistskaro</w:t>
      </w:r>
      <w:proofErr w:type="spellEnd"/>
      <w:r w:rsidRPr="005E3818">
        <w:rPr>
          <w:sz w:val="24"/>
        </w:rPr>
        <w:t xml:space="preserve"> District. The Muslim population of the village alleges that they were attacked by Orthodox Christians while they were conducting the religious service. The investigation is still ongoing over the incidents. A large number of witnesses have been interviewed and various other investigations have been conducted. Given the number of persons are implicated in staging the incidents it might take a while for the investigation to come to an end.</w:t>
      </w:r>
    </w:p>
    <w:p w:rsidR="005E3818" w:rsidRPr="005E3818" w:rsidRDefault="005E3818" w:rsidP="005E3818">
      <w:pPr>
        <w:jc w:val="both"/>
        <w:rPr>
          <w:sz w:val="24"/>
        </w:rPr>
      </w:pPr>
      <w:r w:rsidRPr="005E3818">
        <w:rPr>
          <w:sz w:val="24"/>
        </w:rPr>
        <w:t xml:space="preserve">In April 2013, three officers of the Georgian Armed Forces verbally and physically abused a number of local inhabitants in the village of </w:t>
      </w:r>
      <w:proofErr w:type="spellStart"/>
      <w:r w:rsidRPr="005E3818">
        <w:rPr>
          <w:sz w:val="24"/>
        </w:rPr>
        <w:t>Tsikhisdziri</w:t>
      </w:r>
      <w:proofErr w:type="spellEnd"/>
      <w:r w:rsidRPr="005E3818">
        <w:rPr>
          <w:sz w:val="24"/>
        </w:rPr>
        <w:t xml:space="preserve">, </w:t>
      </w:r>
      <w:proofErr w:type="spellStart"/>
      <w:r w:rsidRPr="005E3818">
        <w:rPr>
          <w:sz w:val="24"/>
        </w:rPr>
        <w:t>Kobuleti</w:t>
      </w:r>
      <w:proofErr w:type="spellEnd"/>
      <w:r w:rsidRPr="005E3818">
        <w:rPr>
          <w:sz w:val="24"/>
        </w:rPr>
        <w:t xml:space="preserve"> District. The violence was motivated by religious background of the victims. The incident immediately attracted criminal investigations by the Prosecution Service. The offenders have been convicted by the local court in Batumi.  Two of them were imprisoned up to 4 years, third person was convicted to 3 years of conditional imprisonment. The conviction was affirmed by the Court of Appeals. </w:t>
      </w:r>
    </w:p>
    <w:p w:rsidR="005E3818" w:rsidRPr="005E3818" w:rsidRDefault="005E3818" w:rsidP="005E3818">
      <w:pPr>
        <w:jc w:val="both"/>
        <w:rPr>
          <w:sz w:val="24"/>
        </w:rPr>
      </w:pPr>
      <w:r w:rsidRPr="005E3818">
        <w:rPr>
          <w:sz w:val="24"/>
        </w:rPr>
        <w:t xml:space="preserve">By June, 2014 investigations was initiated on 3 cases  under Article 155 of the CCG. One person was prosecuted; currently, a substantial hearing of the case is on-going in the court. The investigation was terminated in one case due to the lack of elements of a crime.    </w:t>
      </w:r>
    </w:p>
    <w:p w:rsidR="005E3818" w:rsidRDefault="005E3818" w:rsidP="005E3818">
      <w:pPr>
        <w:jc w:val="both"/>
        <w:rPr>
          <w:sz w:val="24"/>
        </w:rPr>
      </w:pPr>
      <w:r w:rsidRPr="005E3818">
        <w:rPr>
          <w:sz w:val="24"/>
        </w:rPr>
        <w:t xml:space="preserve">In the noted period, investigations were initiated on 5 cases under Article 155 of CCG, one person was prosecuted and currently, court is hearing the case. Diversion Program was used in two cases. Thus, two persons were diverted from the criminal responsibility and a corrective labor was applied as a sanction.  The investigation was terminated in two cases due to the lack of elements of   crime.    </w:t>
      </w:r>
    </w:p>
    <w:p w:rsidR="00982C94" w:rsidRDefault="00982C94" w:rsidP="005E3818">
      <w:pPr>
        <w:jc w:val="both"/>
        <w:rPr>
          <w:sz w:val="24"/>
        </w:rPr>
      </w:pPr>
    </w:p>
    <w:p w:rsidR="00982C94" w:rsidRDefault="00982C94" w:rsidP="005E3818">
      <w:pPr>
        <w:jc w:val="both"/>
        <w:rPr>
          <w:b/>
          <w:sz w:val="24"/>
        </w:rPr>
      </w:pPr>
    </w:p>
    <w:p w:rsidR="005E3818" w:rsidRPr="005E3818" w:rsidRDefault="005E3818" w:rsidP="005E3818">
      <w:pPr>
        <w:jc w:val="both"/>
        <w:rPr>
          <w:b/>
          <w:sz w:val="24"/>
        </w:rPr>
      </w:pPr>
      <w:r w:rsidRPr="005E3818">
        <w:rPr>
          <w:b/>
          <w:sz w:val="24"/>
        </w:rPr>
        <w:lastRenderedPageBreak/>
        <w:t xml:space="preserve">15. Violence against Journalist </w:t>
      </w:r>
      <w:r>
        <w:rPr>
          <w:b/>
          <w:sz w:val="24"/>
        </w:rPr>
        <w:t>(Issue 25)</w:t>
      </w:r>
    </w:p>
    <w:p w:rsidR="005E3818" w:rsidRPr="005E3818" w:rsidRDefault="005E3818" w:rsidP="005E3818">
      <w:pPr>
        <w:jc w:val="both"/>
        <w:rPr>
          <w:sz w:val="24"/>
        </w:rPr>
      </w:pPr>
      <w:r w:rsidRPr="005E3818">
        <w:rPr>
          <w:sz w:val="24"/>
        </w:rPr>
        <w:t>Article 154 of CCG envisages a criminal liability for Illegal Interference into Professional Activity of Journalists and s</w:t>
      </w:r>
      <w:r>
        <w:rPr>
          <w:sz w:val="24"/>
        </w:rPr>
        <w:t>ets a fine or community service</w:t>
      </w:r>
      <w:r w:rsidRPr="005E3818">
        <w:rPr>
          <w:sz w:val="24"/>
        </w:rPr>
        <w:t xml:space="preserve"> as a sanction. The same action perpetrated under violence, threat of violence or by using one’s official position, is punishable by fine or jail sentence or by imprisonment </w:t>
      </w:r>
      <w:r>
        <w:rPr>
          <w:sz w:val="24"/>
        </w:rPr>
        <w:t xml:space="preserve">for up to two years in length. </w:t>
      </w:r>
    </w:p>
    <w:p w:rsidR="005E3818" w:rsidRPr="005E3818" w:rsidRDefault="005E3818" w:rsidP="005E3818">
      <w:pPr>
        <w:jc w:val="both"/>
        <w:rPr>
          <w:sz w:val="24"/>
        </w:rPr>
      </w:pPr>
      <w:r w:rsidRPr="005E3818">
        <w:rPr>
          <w:sz w:val="24"/>
        </w:rPr>
        <w:t xml:space="preserve">In 2012-2014 a number of facts of violation of journalists’ rights have decreased dramatically. Whereas the situation in this respect deteriorated for a certain period of time throughout 2012, but in 2013 and by June 2014 considerable improvement was observed. </w:t>
      </w:r>
    </w:p>
    <w:p w:rsidR="005E3818" w:rsidRPr="005E3818" w:rsidRDefault="005E3818" w:rsidP="005E3818">
      <w:pPr>
        <w:jc w:val="both"/>
        <w:rPr>
          <w:sz w:val="24"/>
        </w:rPr>
      </w:pPr>
      <w:r>
        <w:rPr>
          <w:sz w:val="24"/>
        </w:rPr>
        <w:t>During the period of 2012-2014,</w:t>
      </w:r>
      <w:r w:rsidRPr="005E3818">
        <w:rPr>
          <w:sz w:val="24"/>
        </w:rPr>
        <w:t xml:space="preserve"> law enforcement authorities of Georgia have launched an investigation on 17 cases under Article 154 of the CCG. While 15 facts took place in 2012 and one case was initiated in 2013. None of case was initiated under Article 154 of the CCG by June 2014. From the whole number of cases, 6 cases were terminated due to lack of elements of a crime.  During the same period, 4 persons were prosecuted and convicted under Article 154.  They were convicted to 9 months conditional imprisonment and fined 3000 GEL  (approximately 1300 Euro). </w:t>
      </w:r>
    </w:p>
    <w:p w:rsidR="005E3818" w:rsidRPr="001E7557" w:rsidRDefault="005E3818" w:rsidP="005E3818">
      <w:pPr>
        <w:jc w:val="both"/>
        <w:rPr>
          <w:sz w:val="24"/>
        </w:rPr>
      </w:pPr>
      <w:r w:rsidRPr="005E3818">
        <w:rPr>
          <w:sz w:val="24"/>
        </w:rPr>
        <w:t>Also, within period mentioned above, one person was prosecuted  and found guilty of  physical assault of journalist (Article 125, CCG). one person convicted for the violation of Article 187 of CCG (Damaging or Destruction of Journalist’s Object)</w:t>
      </w:r>
    </w:p>
    <w:p w:rsidR="005E3818" w:rsidRPr="005E3818" w:rsidRDefault="005E3818" w:rsidP="005E3818">
      <w:pPr>
        <w:jc w:val="both"/>
        <w:rPr>
          <w:b/>
          <w:sz w:val="24"/>
        </w:rPr>
      </w:pPr>
      <w:r>
        <w:rPr>
          <w:b/>
          <w:sz w:val="24"/>
        </w:rPr>
        <w:t>16</w:t>
      </w:r>
      <w:r w:rsidR="0003741A" w:rsidRPr="001E7557">
        <w:rPr>
          <w:b/>
          <w:sz w:val="24"/>
        </w:rPr>
        <w:t xml:space="preserve">. </w:t>
      </w:r>
      <w:r>
        <w:rPr>
          <w:b/>
          <w:sz w:val="24"/>
        </w:rPr>
        <w:t>Rights of the Minorities (I</w:t>
      </w:r>
      <w:r w:rsidR="0003741A" w:rsidRPr="001E7557">
        <w:rPr>
          <w:b/>
          <w:sz w:val="24"/>
        </w:rPr>
        <w:t>ssue 26</w:t>
      </w:r>
      <w:r>
        <w:rPr>
          <w:b/>
          <w:sz w:val="24"/>
        </w:rPr>
        <w:t>)</w:t>
      </w:r>
      <w:r w:rsidR="0003741A" w:rsidRPr="001E7557">
        <w:rPr>
          <w:b/>
          <w:sz w:val="24"/>
        </w:rPr>
        <w:t xml:space="preserve"> </w:t>
      </w:r>
    </w:p>
    <w:p w:rsidR="005E3818" w:rsidRPr="005E3818" w:rsidRDefault="005E3818" w:rsidP="005E3818">
      <w:pPr>
        <w:jc w:val="both"/>
        <w:rPr>
          <w:i/>
          <w:sz w:val="24"/>
          <w:u w:val="single"/>
        </w:rPr>
      </w:pPr>
      <w:r w:rsidRPr="005E3818">
        <w:rPr>
          <w:i/>
          <w:sz w:val="24"/>
          <w:u w:val="single"/>
        </w:rPr>
        <w:t>Language issue</w:t>
      </w:r>
    </w:p>
    <w:p w:rsidR="005E3818" w:rsidRPr="005E3818" w:rsidRDefault="005E3818" w:rsidP="005E3818">
      <w:pPr>
        <w:jc w:val="both"/>
        <w:rPr>
          <w:sz w:val="24"/>
        </w:rPr>
      </w:pPr>
      <w:r w:rsidRPr="005E3818">
        <w:rPr>
          <w:sz w:val="24"/>
        </w:rPr>
        <w:t xml:space="preserve">In the regions compactly populated by Armenian and Azerbaijani minorities the population faces no language-related difficulties while applying to the local authorities: verbal clarifications are provided in their native languages, however written replies are prepared in the state language. </w:t>
      </w:r>
    </w:p>
    <w:p w:rsidR="005E3818" w:rsidRPr="005E3818" w:rsidRDefault="005E3818" w:rsidP="005E3818">
      <w:pPr>
        <w:jc w:val="both"/>
        <w:rPr>
          <w:sz w:val="24"/>
        </w:rPr>
      </w:pPr>
      <w:r w:rsidRPr="005E3818">
        <w:rPr>
          <w:sz w:val="24"/>
        </w:rPr>
        <w:t>According to the “Law on General Courts” (Article 10), “Civic Procedural Code” (Article 9.43) and “General Administrative Code” (Article 14) documentation records are conducted in Georgian (state) language. Person, who does not understand state language, can use interpreter’s ser</w:t>
      </w:r>
      <w:r>
        <w:rPr>
          <w:sz w:val="24"/>
        </w:rPr>
        <w:t>vice that is provided by state.</w:t>
      </w:r>
    </w:p>
    <w:p w:rsidR="005E3818" w:rsidRPr="005E3818" w:rsidRDefault="005E3818" w:rsidP="005E3818">
      <w:pPr>
        <w:jc w:val="both"/>
        <w:rPr>
          <w:i/>
          <w:sz w:val="24"/>
          <w:u w:val="single"/>
        </w:rPr>
      </w:pPr>
      <w:r w:rsidRPr="005E3818">
        <w:rPr>
          <w:i/>
          <w:sz w:val="24"/>
          <w:u w:val="single"/>
        </w:rPr>
        <w:t>Education</w:t>
      </w:r>
    </w:p>
    <w:p w:rsidR="005E3818" w:rsidRPr="005E3818" w:rsidRDefault="005E3818" w:rsidP="005E3818">
      <w:pPr>
        <w:jc w:val="both"/>
        <w:rPr>
          <w:sz w:val="24"/>
        </w:rPr>
      </w:pPr>
      <w:r w:rsidRPr="005E3818">
        <w:rPr>
          <w:sz w:val="24"/>
        </w:rPr>
        <w:t>According to 2013 data, there are 213 non-Georgian language schools and 77 non-Georgian language sectors functioning in Georgia.</w:t>
      </w:r>
    </w:p>
    <w:p w:rsidR="005E3818" w:rsidRPr="005E3818" w:rsidRDefault="005E3818" w:rsidP="005E3818">
      <w:pPr>
        <w:jc w:val="both"/>
        <w:rPr>
          <w:sz w:val="24"/>
        </w:rPr>
      </w:pPr>
      <w:r w:rsidRPr="005E3818">
        <w:rPr>
          <w:sz w:val="24"/>
        </w:rPr>
        <w:lastRenderedPageBreak/>
        <w:t>Textbook approved by the Ministry of Education and Science of Georgia in all subject areas throughout I-VI grades are translated into Armenian, Russian and Azeri languages. In these textbooks, 30% of content is given in Georgian and 70% in Armenian/Russian/Azeri languages. All learning materials to all minority school students are delivered for free by the state. Textbook in all subjects for VII-XII grades is in the process of preparation by the Ministry of Education and Science of Georgia.</w:t>
      </w:r>
    </w:p>
    <w:p w:rsidR="005E3818" w:rsidRPr="005E3818" w:rsidRDefault="005E3818" w:rsidP="005E3818">
      <w:pPr>
        <w:jc w:val="both"/>
        <w:rPr>
          <w:sz w:val="24"/>
        </w:rPr>
      </w:pPr>
      <w:r w:rsidRPr="005E3818">
        <w:rPr>
          <w:sz w:val="24"/>
        </w:rPr>
        <w:t xml:space="preserve">The amendment in the “Law of Georgia on Higher Education” (November 2009), envisaging introduction of mitigation system (the so-called quota system) for national minority students, was put into practice since Academic Year of 2010-2011. It was defined that higher education institutions are obliged to provide 5% of available places for each Azerbaijani and Armenian cohort of entrants and 1% for each </w:t>
      </w:r>
      <w:proofErr w:type="spellStart"/>
      <w:r w:rsidRPr="005E3818">
        <w:rPr>
          <w:sz w:val="24"/>
        </w:rPr>
        <w:t>Ossetian</w:t>
      </w:r>
      <w:proofErr w:type="spellEnd"/>
      <w:r w:rsidRPr="005E3818">
        <w:rPr>
          <w:sz w:val="24"/>
        </w:rPr>
        <w:t xml:space="preserve"> and Abkhazian students within the framework of available places defined by the National Education Accreditation Center. Entrants who are accepted at Higher Education Institutions (HEIs) based on only the results of General Aptitude Test (GAT) either in Azerbaijani and Armenian languages are enrolled in Georgian language preparatory intensive course. Article 6.1 of the “Law on Higher Education” provides funding of 15 Azeri and 15 Armenian students annually within the social program of higher education. </w:t>
      </w:r>
    </w:p>
    <w:p w:rsidR="005E3818" w:rsidRPr="005E3818" w:rsidRDefault="005E3818" w:rsidP="005E3818">
      <w:pPr>
        <w:jc w:val="both"/>
        <w:rPr>
          <w:sz w:val="24"/>
        </w:rPr>
      </w:pPr>
      <w:r w:rsidRPr="005E3818">
        <w:rPr>
          <w:sz w:val="24"/>
        </w:rPr>
        <w:t>According to the data of the National Examinations Center (NAEC), the number of non-Georgian students substantially increased compared with previous years. In 2010, 247 non-Georgian entrants were enrolled at HEIs, in 2011 – 430, in 2012 – 589, while the number fo</w:t>
      </w:r>
      <w:r>
        <w:rPr>
          <w:sz w:val="24"/>
        </w:rPr>
        <w:t xml:space="preserve">r 2013 equaled to 890students. </w:t>
      </w:r>
    </w:p>
    <w:p w:rsidR="005E3818" w:rsidRPr="005E3818" w:rsidRDefault="005E3818" w:rsidP="005E3818">
      <w:pPr>
        <w:jc w:val="both"/>
        <w:rPr>
          <w:i/>
          <w:sz w:val="24"/>
          <w:u w:val="single"/>
        </w:rPr>
      </w:pPr>
      <w:r w:rsidRPr="005E3818">
        <w:rPr>
          <w:i/>
          <w:sz w:val="24"/>
          <w:u w:val="single"/>
        </w:rPr>
        <w:t>Political Integration and Public Participation</w:t>
      </w:r>
    </w:p>
    <w:p w:rsidR="005E3818" w:rsidRPr="005E3818" w:rsidRDefault="005E3818" w:rsidP="005E3818">
      <w:pPr>
        <w:jc w:val="both"/>
        <w:rPr>
          <w:sz w:val="24"/>
        </w:rPr>
      </w:pPr>
      <w:r w:rsidRPr="005E3818">
        <w:rPr>
          <w:sz w:val="24"/>
        </w:rPr>
        <w:t xml:space="preserve">In 2012, the Working Group on Ethnic Minority Issues within the Central Election Commission of Georgia was established. It aims at providing the voters of ethnic minorities with the information on election procedures. </w:t>
      </w:r>
    </w:p>
    <w:p w:rsidR="005E3818" w:rsidRPr="005E3818" w:rsidRDefault="005E3818" w:rsidP="005E3818">
      <w:pPr>
        <w:jc w:val="both"/>
        <w:rPr>
          <w:sz w:val="24"/>
        </w:rPr>
      </w:pPr>
      <w:r w:rsidRPr="005E3818">
        <w:rPr>
          <w:sz w:val="24"/>
        </w:rPr>
        <w:t xml:space="preserve">Residents living in the regions compactly populated by the national minorities actively participated in 2012 Parliamentary, 2013 Presidential elections and 2014 Local self-government elections. </w:t>
      </w:r>
    </w:p>
    <w:p w:rsidR="005E3818" w:rsidRPr="005E3818" w:rsidRDefault="005E3818" w:rsidP="005E3818">
      <w:pPr>
        <w:jc w:val="both"/>
        <w:rPr>
          <w:sz w:val="24"/>
        </w:rPr>
      </w:pPr>
      <w:r w:rsidRPr="005E3818">
        <w:rPr>
          <w:sz w:val="24"/>
        </w:rPr>
        <w:t xml:space="preserve">Ensuring equal electoral rights for ethnic minorities included: </w:t>
      </w:r>
    </w:p>
    <w:p w:rsidR="005E3818" w:rsidRPr="005E3818" w:rsidRDefault="005E3818" w:rsidP="005E3818">
      <w:pPr>
        <w:jc w:val="both"/>
        <w:rPr>
          <w:sz w:val="24"/>
        </w:rPr>
      </w:pPr>
      <w:r w:rsidRPr="005E3818">
        <w:rPr>
          <w:sz w:val="24"/>
        </w:rPr>
        <w:t>•</w:t>
      </w:r>
      <w:r w:rsidRPr="005E3818">
        <w:rPr>
          <w:sz w:val="24"/>
        </w:rPr>
        <w:tab/>
        <w:t>Raising awareness of young voters and women and fostering their involvement in the election process (seminars/ training on election procedures were conducted; flyers and booklets were distributed);</w:t>
      </w:r>
    </w:p>
    <w:p w:rsidR="005E3818" w:rsidRPr="005E3818" w:rsidRDefault="005E3818" w:rsidP="005E3818">
      <w:pPr>
        <w:jc w:val="both"/>
        <w:rPr>
          <w:sz w:val="24"/>
        </w:rPr>
      </w:pPr>
      <w:r w:rsidRPr="005E3818">
        <w:rPr>
          <w:sz w:val="24"/>
        </w:rPr>
        <w:t>•</w:t>
      </w:r>
      <w:r w:rsidRPr="005E3818">
        <w:rPr>
          <w:sz w:val="24"/>
        </w:rPr>
        <w:tab/>
        <w:t xml:space="preserve">Increasing and supporting involvement of persons with disabilities representing ethnic minorities in the election process (defining their needs, translating video clips with sign </w:t>
      </w:r>
      <w:r w:rsidRPr="005E3818">
        <w:rPr>
          <w:sz w:val="24"/>
        </w:rPr>
        <w:lastRenderedPageBreak/>
        <w:t>language for voters with hearing impairment, preparing instructions for District Election Commission Members on keeping the norms of conduct with the voters with disabilities, infrastructural adaptation of electoral districts);</w:t>
      </w:r>
    </w:p>
    <w:p w:rsidR="005E3818" w:rsidRPr="005E3818" w:rsidRDefault="005E3818" w:rsidP="005E3818">
      <w:pPr>
        <w:jc w:val="both"/>
        <w:rPr>
          <w:sz w:val="24"/>
        </w:rPr>
      </w:pPr>
      <w:r w:rsidRPr="005E3818">
        <w:rPr>
          <w:sz w:val="24"/>
        </w:rPr>
        <w:t>•</w:t>
      </w:r>
      <w:r w:rsidRPr="005E3818">
        <w:rPr>
          <w:sz w:val="24"/>
        </w:rPr>
        <w:tab/>
        <w:t xml:space="preserve">Providing translations of electoral documents into the language of national minorities (Armenian, Azerbaijani and Russian); </w:t>
      </w:r>
    </w:p>
    <w:p w:rsidR="005E3818" w:rsidRPr="005E3818" w:rsidRDefault="005E3818" w:rsidP="005E3818">
      <w:pPr>
        <w:jc w:val="both"/>
        <w:rPr>
          <w:sz w:val="24"/>
        </w:rPr>
      </w:pPr>
      <w:r w:rsidRPr="005E3818">
        <w:rPr>
          <w:sz w:val="24"/>
        </w:rPr>
        <w:t>•</w:t>
      </w:r>
      <w:r w:rsidRPr="005E3818">
        <w:rPr>
          <w:sz w:val="24"/>
        </w:rPr>
        <w:tab/>
        <w:t>Providing access to information for ethnic minority voters via media (“Georgian TV Election News Digest” was translated and broadcasting daily in Armenian and Azeri languages wit</w:t>
      </w:r>
      <w:r>
        <w:rPr>
          <w:sz w:val="24"/>
        </w:rPr>
        <w:t xml:space="preserve">h duration of 6 minutes each). </w:t>
      </w:r>
    </w:p>
    <w:p w:rsidR="005E3818" w:rsidRPr="005E3818" w:rsidRDefault="005E3818" w:rsidP="005E3818">
      <w:pPr>
        <w:jc w:val="both"/>
        <w:rPr>
          <w:sz w:val="24"/>
        </w:rPr>
      </w:pPr>
      <w:r w:rsidRPr="005E3818">
        <w:rPr>
          <w:sz w:val="24"/>
        </w:rPr>
        <w:t xml:space="preserve">In the 2008 Parliamentary elections, the political parties in their party lists included 55 representatives </w:t>
      </w:r>
      <w:r>
        <w:rPr>
          <w:sz w:val="24"/>
        </w:rPr>
        <w:t xml:space="preserve">of ethnic minorities in total. </w:t>
      </w:r>
    </w:p>
    <w:p w:rsidR="005E3818" w:rsidRPr="005E3818" w:rsidRDefault="005E3818" w:rsidP="005E3818">
      <w:pPr>
        <w:jc w:val="both"/>
        <w:rPr>
          <w:sz w:val="24"/>
        </w:rPr>
      </w:pPr>
      <w:r w:rsidRPr="005E3818">
        <w:rPr>
          <w:sz w:val="24"/>
        </w:rPr>
        <w:t>As a result of the 2012 Parliamentary elections, the representation of minorities in the electoral lists of two political party/coalition was 21 persons in the electoral list (11 Azerbaijani, 7 Armenian</w:t>
      </w:r>
      <w:r>
        <w:rPr>
          <w:sz w:val="24"/>
        </w:rPr>
        <w:t xml:space="preserve">, one Kurd and two </w:t>
      </w:r>
      <w:proofErr w:type="spellStart"/>
      <w:r>
        <w:rPr>
          <w:sz w:val="24"/>
        </w:rPr>
        <w:t>Ossetians</w:t>
      </w:r>
      <w:proofErr w:type="spellEnd"/>
      <w:r>
        <w:rPr>
          <w:sz w:val="24"/>
        </w:rPr>
        <w:t xml:space="preserve">). </w:t>
      </w:r>
    </w:p>
    <w:p w:rsidR="005E3818" w:rsidRPr="005E3818" w:rsidRDefault="005E3818" w:rsidP="005E3818">
      <w:pPr>
        <w:jc w:val="both"/>
        <w:rPr>
          <w:sz w:val="24"/>
        </w:rPr>
      </w:pPr>
      <w:r w:rsidRPr="005E3818">
        <w:rPr>
          <w:sz w:val="24"/>
        </w:rPr>
        <w:t>Currently, 8 ethnic minority persons are represent</w:t>
      </w:r>
      <w:r>
        <w:rPr>
          <w:sz w:val="24"/>
        </w:rPr>
        <w:t xml:space="preserve">ed in the Georgian Parliament. </w:t>
      </w:r>
    </w:p>
    <w:p w:rsidR="005E3818" w:rsidRPr="005E3818" w:rsidRDefault="005E3818" w:rsidP="005E3818">
      <w:pPr>
        <w:jc w:val="both"/>
        <w:rPr>
          <w:sz w:val="24"/>
        </w:rPr>
      </w:pPr>
      <w:r w:rsidRPr="005E3818">
        <w:rPr>
          <w:sz w:val="24"/>
        </w:rPr>
        <w:t>Ministry of Internal Affairs of Georgia carried out diverse activities to foster recruitment of national minority representatives in the agencies under the auspices of the Ministry. In 2012, 69 persons were recruited in the policy agencies among them, 35</w:t>
      </w:r>
      <w:r>
        <w:rPr>
          <w:sz w:val="24"/>
        </w:rPr>
        <w:t xml:space="preserve"> Armenians and 11 Azerbaijanis.</w:t>
      </w:r>
    </w:p>
    <w:p w:rsidR="005E3818" w:rsidRPr="005E3818" w:rsidRDefault="005E3818" w:rsidP="005E3818">
      <w:pPr>
        <w:jc w:val="both"/>
        <w:rPr>
          <w:sz w:val="24"/>
        </w:rPr>
      </w:pPr>
      <w:r w:rsidRPr="005E3818">
        <w:rPr>
          <w:sz w:val="24"/>
        </w:rPr>
        <w:t>Office of the State Minister of Georgia for Reconciliation and Civic Equality promotes recruitment of ethnic minority representatives. Currently, two persons of Azerbaijani origin and one person of Armenian origin are staff members in the Civic Integration Unit of th</w:t>
      </w:r>
      <w:r>
        <w:rPr>
          <w:sz w:val="24"/>
        </w:rPr>
        <w:t>e Office of the State Minister.</w:t>
      </w:r>
    </w:p>
    <w:p w:rsidR="005E3818" w:rsidRPr="005E3818" w:rsidRDefault="005E3818" w:rsidP="005E3818">
      <w:pPr>
        <w:jc w:val="both"/>
        <w:rPr>
          <w:sz w:val="24"/>
        </w:rPr>
      </w:pPr>
      <w:r w:rsidRPr="005E3818">
        <w:rPr>
          <w:sz w:val="24"/>
        </w:rPr>
        <w:t xml:space="preserve">The representation of ethnic Armenians in </w:t>
      </w:r>
      <w:proofErr w:type="spellStart"/>
      <w:r w:rsidRPr="005E3818">
        <w:rPr>
          <w:sz w:val="24"/>
        </w:rPr>
        <w:t>Samtskhe-Javakheti</w:t>
      </w:r>
      <w:proofErr w:type="spellEnd"/>
      <w:r w:rsidRPr="005E3818">
        <w:rPr>
          <w:sz w:val="24"/>
        </w:rPr>
        <w:t xml:space="preserve"> region (</w:t>
      </w:r>
      <w:proofErr w:type="spellStart"/>
      <w:r w:rsidRPr="005E3818">
        <w:rPr>
          <w:sz w:val="24"/>
        </w:rPr>
        <w:t>Akhalkalaki</w:t>
      </w:r>
      <w:proofErr w:type="spellEnd"/>
      <w:r w:rsidRPr="005E3818">
        <w:rPr>
          <w:sz w:val="24"/>
        </w:rPr>
        <w:t xml:space="preserve">, </w:t>
      </w:r>
      <w:proofErr w:type="spellStart"/>
      <w:r w:rsidRPr="005E3818">
        <w:rPr>
          <w:sz w:val="24"/>
        </w:rPr>
        <w:t>Ninotsminda</w:t>
      </w:r>
      <w:proofErr w:type="spellEnd"/>
      <w:r w:rsidRPr="005E3818">
        <w:rPr>
          <w:sz w:val="24"/>
        </w:rPr>
        <w:t xml:space="preserve">, </w:t>
      </w:r>
      <w:proofErr w:type="spellStart"/>
      <w:r w:rsidRPr="005E3818">
        <w:rPr>
          <w:sz w:val="24"/>
        </w:rPr>
        <w:t>Akhaltsikhe</w:t>
      </w:r>
      <w:proofErr w:type="spellEnd"/>
      <w:r w:rsidRPr="005E3818">
        <w:rPr>
          <w:sz w:val="24"/>
        </w:rPr>
        <w:t xml:space="preserve">, </w:t>
      </w:r>
      <w:proofErr w:type="spellStart"/>
      <w:r w:rsidRPr="005E3818">
        <w:rPr>
          <w:sz w:val="24"/>
        </w:rPr>
        <w:t>Tsalka</w:t>
      </w:r>
      <w:proofErr w:type="spellEnd"/>
      <w:r w:rsidRPr="005E3818">
        <w:rPr>
          <w:sz w:val="24"/>
        </w:rPr>
        <w:t xml:space="preserve">) and of ethnic Azerbaijanis in </w:t>
      </w:r>
      <w:proofErr w:type="spellStart"/>
      <w:r w:rsidRPr="005E3818">
        <w:rPr>
          <w:sz w:val="24"/>
        </w:rPr>
        <w:t>Kvemo</w:t>
      </w:r>
      <w:proofErr w:type="spellEnd"/>
      <w:r w:rsidRPr="005E3818">
        <w:rPr>
          <w:sz w:val="24"/>
        </w:rPr>
        <w:t xml:space="preserve"> </w:t>
      </w:r>
      <w:proofErr w:type="spellStart"/>
      <w:r w:rsidRPr="005E3818">
        <w:rPr>
          <w:sz w:val="24"/>
        </w:rPr>
        <w:t>Kartli</w:t>
      </w:r>
      <w:proofErr w:type="spellEnd"/>
      <w:r w:rsidRPr="005E3818">
        <w:rPr>
          <w:sz w:val="24"/>
        </w:rPr>
        <w:t xml:space="preserve"> region (</w:t>
      </w:r>
      <w:proofErr w:type="spellStart"/>
      <w:r w:rsidRPr="005E3818">
        <w:rPr>
          <w:sz w:val="24"/>
        </w:rPr>
        <w:t>Marneuli</w:t>
      </w:r>
      <w:proofErr w:type="spellEnd"/>
      <w:r w:rsidRPr="005E3818">
        <w:rPr>
          <w:sz w:val="24"/>
        </w:rPr>
        <w:t>) councils is proportional to the percentage of t</w:t>
      </w:r>
      <w:r>
        <w:rPr>
          <w:sz w:val="24"/>
        </w:rPr>
        <w:t>he population in those regions.</w:t>
      </w:r>
    </w:p>
    <w:p w:rsidR="005E3818" w:rsidRDefault="005E3818" w:rsidP="005E3818">
      <w:pPr>
        <w:jc w:val="both"/>
        <w:rPr>
          <w:sz w:val="24"/>
        </w:rPr>
      </w:pPr>
      <w:proofErr w:type="spellStart"/>
      <w:r w:rsidRPr="005E3818">
        <w:rPr>
          <w:sz w:val="24"/>
        </w:rPr>
        <w:t>Zurab</w:t>
      </w:r>
      <w:proofErr w:type="spellEnd"/>
      <w:r w:rsidRPr="005E3818">
        <w:rPr>
          <w:sz w:val="24"/>
        </w:rPr>
        <w:t xml:space="preserve"> </w:t>
      </w:r>
      <w:proofErr w:type="spellStart"/>
      <w:r w:rsidRPr="005E3818">
        <w:rPr>
          <w:sz w:val="24"/>
        </w:rPr>
        <w:t>Zhvania</w:t>
      </w:r>
      <w:proofErr w:type="spellEnd"/>
      <w:r w:rsidRPr="005E3818">
        <w:rPr>
          <w:sz w:val="24"/>
        </w:rPr>
        <w:t xml:space="preserve"> School of Public Administration provides ethnic minorities public servants (employed at the central and local governments and self-governments) with short and long-term professional and educational programs for permanent professional growth and development. Short-term courses are conducted in Financial Management, IT Management, HR Management, Basics in Law; long term courses - in G</w:t>
      </w:r>
      <w:r>
        <w:rPr>
          <w:sz w:val="24"/>
        </w:rPr>
        <w:t xml:space="preserve">eorgian and English languages. </w:t>
      </w:r>
    </w:p>
    <w:p w:rsidR="005E3818" w:rsidRDefault="005E3818" w:rsidP="005E3818">
      <w:pPr>
        <w:jc w:val="both"/>
        <w:rPr>
          <w:sz w:val="24"/>
        </w:rPr>
      </w:pPr>
    </w:p>
    <w:p w:rsidR="005E3818" w:rsidRPr="005E3818" w:rsidRDefault="005E3818" w:rsidP="005E3818">
      <w:pPr>
        <w:jc w:val="both"/>
        <w:rPr>
          <w:sz w:val="24"/>
        </w:rPr>
      </w:pPr>
    </w:p>
    <w:p w:rsidR="005E3818" w:rsidRPr="005E3818" w:rsidRDefault="005E3818" w:rsidP="005E3818">
      <w:pPr>
        <w:jc w:val="both"/>
        <w:rPr>
          <w:i/>
          <w:sz w:val="24"/>
          <w:u w:val="single"/>
        </w:rPr>
      </w:pPr>
      <w:r w:rsidRPr="005E3818">
        <w:rPr>
          <w:i/>
          <w:sz w:val="24"/>
          <w:u w:val="single"/>
        </w:rPr>
        <w:lastRenderedPageBreak/>
        <w:t>Social and Regional Integration</w:t>
      </w:r>
    </w:p>
    <w:p w:rsidR="005E3818" w:rsidRPr="005E3818" w:rsidRDefault="005E3818" w:rsidP="005E3818">
      <w:pPr>
        <w:jc w:val="both"/>
        <w:rPr>
          <w:sz w:val="24"/>
        </w:rPr>
      </w:pPr>
      <w:r w:rsidRPr="005E3818">
        <w:rPr>
          <w:sz w:val="24"/>
        </w:rPr>
        <w:t xml:space="preserve">The Ministry of Health, Labor and Social Affairs has been developing various information campaigns for providing national minorities with the information on state healthcare programs and social benefits in their native language. In 2011-2013, within the program on "National/ethnic minorities information on the provision of social guarantees the meetings with the national minority representatives were organized in </w:t>
      </w:r>
      <w:proofErr w:type="spellStart"/>
      <w:r w:rsidRPr="005E3818">
        <w:rPr>
          <w:sz w:val="24"/>
        </w:rPr>
        <w:t>Kvemo</w:t>
      </w:r>
      <w:proofErr w:type="spellEnd"/>
      <w:r w:rsidRPr="005E3818">
        <w:rPr>
          <w:sz w:val="24"/>
        </w:rPr>
        <w:t xml:space="preserve"> </w:t>
      </w:r>
      <w:proofErr w:type="spellStart"/>
      <w:r w:rsidRPr="005E3818">
        <w:rPr>
          <w:sz w:val="24"/>
        </w:rPr>
        <w:t>Kartli</w:t>
      </w:r>
      <w:proofErr w:type="spellEnd"/>
      <w:r w:rsidRPr="005E3818">
        <w:rPr>
          <w:sz w:val="24"/>
        </w:rPr>
        <w:t xml:space="preserve">, </w:t>
      </w:r>
      <w:proofErr w:type="spellStart"/>
      <w:r w:rsidRPr="005E3818">
        <w:rPr>
          <w:sz w:val="24"/>
        </w:rPr>
        <w:t>Samtskhe-Javakheti</w:t>
      </w:r>
      <w:proofErr w:type="spellEnd"/>
      <w:r w:rsidRPr="005E3818">
        <w:rPr>
          <w:sz w:val="24"/>
        </w:rPr>
        <w:t xml:space="preserve"> and </w:t>
      </w:r>
      <w:proofErr w:type="spellStart"/>
      <w:r w:rsidRPr="005E3818">
        <w:rPr>
          <w:sz w:val="24"/>
        </w:rPr>
        <w:t>Kakheti</w:t>
      </w:r>
      <w:proofErr w:type="spellEnd"/>
      <w:r w:rsidRPr="005E3818">
        <w:rPr>
          <w:sz w:val="24"/>
        </w:rPr>
        <w:t xml:space="preserve"> regions; information brochures on the use of a variety of social guarantees were published and delivered; the information banner was designed and translated into Armenian and Azerbaijani languages. The bilingual information banner containing the full information on services provided within the state insurance program were placed in the minority-populated regions at visible for beneficiaries locations.</w:t>
      </w:r>
    </w:p>
    <w:p w:rsidR="005E3818" w:rsidRPr="005E3818" w:rsidRDefault="005E3818" w:rsidP="005E3818">
      <w:pPr>
        <w:jc w:val="both"/>
        <w:rPr>
          <w:sz w:val="24"/>
        </w:rPr>
      </w:pPr>
      <w:r w:rsidRPr="005E3818">
        <w:rPr>
          <w:sz w:val="24"/>
        </w:rPr>
        <w:t xml:space="preserve">In 2011-2013 Georgian National Screening Center has regularly been organizing information meetings within the National Cancer Screening Program for ethnic minorities in the regions of </w:t>
      </w:r>
      <w:proofErr w:type="spellStart"/>
      <w:r w:rsidRPr="005E3818">
        <w:rPr>
          <w:sz w:val="24"/>
        </w:rPr>
        <w:t>Kvemo</w:t>
      </w:r>
      <w:proofErr w:type="spellEnd"/>
      <w:r w:rsidRPr="005E3818">
        <w:rPr>
          <w:sz w:val="24"/>
        </w:rPr>
        <w:t xml:space="preserve"> </w:t>
      </w:r>
      <w:proofErr w:type="spellStart"/>
      <w:r w:rsidRPr="005E3818">
        <w:rPr>
          <w:sz w:val="24"/>
        </w:rPr>
        <w:t>Kartli</w:t>
      </w:r>
      <w:proofErr w:type="spellEnd"/>
      <w:r w:rsidRPr="005E3818">
        <w:rPr>
          <w:sz w:val="24"/>
        </w:rPr>
        <w:t xml:space="preserve"> (</w:t>
      </w:r>
      <w:proofErr w:type="spellStart"/>
      <w:r w:rsidRPr="005E3818">
        <w:rPr>
          <w:sz w:val="24"/>
        </w:rPr>
        <w:t>Bolnisi</w:t>
      </w:r>
      <w:proofErr w:type="spellEnd"/>
      <w:r w:rsidRPr="005E3818">
        <w:rPr>
          <w:sz w:val="24"/>
        </w:rPr>
        <w:t xml:space="preserve">, </w:t>
      </w:r>
      <w:proofErr w:type="spellStart"/>
      <w:r w:rsidRPr="005E3818">
        <w:rPr>
          <w:sz w:val="24"/>
        </w:rPr>
        <w:t>Gardabani</w:t>
      </w:r>
      <w:proofErr w:type="spellEnd"/>
      <w:r w:rsidRPr="005E3818">
        <w:rPr>
          <w:sz w:val="24"/>
        </w:rPr>
        <w:t xml:space="preserve">), </w:t>
      </w:r>
      <w:proofErr w:type="spellStart"/>
      <w:r w:rsidRPr="005E3818">
        <w:rPr>
          <w:sz w:val="24"/>
        </w:rPr>
        <w:t>Samtskhe-Javakheti</w:t>
      </w:r>
      <w:proofErr w:type="spellEnd"/>
      <w:r w:rsidRPr="005E3818">
        <w:rPr>
          <w:sz w:val="24"/>
        </w:rPr>
        <w:t xml:space="preserve"> (</w:t>
      </w:r>
      <w:proofErr w:type="spellStart"/>
      <w:r w:rsidRPr="005E3818">
        <w:rPr>
          <w:sz w:val="24"/>
        </w:rPr>
        <w:t>Foka</w:t>
      </w:r>
      <w:proofErr w:type="spellEnd"/>
      <w:r w:rsidRPr="005E3818">
        <w:rPr>
          <w:sz w:val="24"/>
        </w:rPr>
        <w:t xml:space="preserve">, </w:t>
      </w:r>
      <w:proofErr w:type="spellStart"/>
      <w:r w:rsidRPr="005E3818">
        <w:rPr>
          <w:sz w:val="24"/>
        </w:rPr>
        <w:t>Ninotsminda</w:t>
      </w:r>
      <w:proofErr w:type="spellEnd"/>
      <w:r w:rsidRPr="005E3818">
        <w:rPr>
          <w:sz w:val="24"/>
        </w:rPr>
        <w:t xml:space="preserve">, </w:t>
      </w:r>
      <w:proofErr w:type="spellStart"/>
      <w:r w:rsidRPr="005E3818">
        <w:rPr>
          <w:sz w:val="24"/>
        </w:rPr>
        <w:t>Akhalkalaki</w:t>
      </w:r>
      <w:proofErr w:type="spellEnd"/>
      <w:r w:rsidRPr="005E3818">
        <w:rPr>
          <w:sz w:val="24"/>
        </w:rPr>
        <w:t xml:space="preserve">) and </w:t>
      </w:r>
      <w:proofErr w:type="spellStart"/>
      <w:r w:rsidRPr="005E3818">
        <w:rPr>
          <w:sz w:val="24"/>
        </w:rPr>
        <w:t>Kakheti</w:t>
      </w:r>
      <w:proofErr w:type="spellEnd"/>
      <w:r w:rsidRPr="005E3818">
        <w:rPr>
          <w:sz w:val="24"/>
        </w:rPr>
        <w:t xml:space="preserve"> (</w:t>
      </w:r>
      <w:proofErr w:type="spellStart"/>
      <w:r w:rsidRPr="005E3818">
        <w:rPr>
          <w:sz w:val="24"/>
        </w:rPr>
        <w:t>Iormuganlo</w:t>
      </w:r>
      <w:proofErr w:type="spellEnd"/>
      <w:r w:rsidRPr="005E3818">
        <w:rPr>
          <w:sz w:val="24"/>
        </w:rPr>
        <w:t xml:space="preserve">, </w:t>
      </w:r>
      <w:proofErr w:type="spellStart"/>
      <w:r w:rsidRPr="005E3818">
        <w:rPr>
          <w:sz w:val="24"/>
        </w:rPr>
        <w:t>Sagarejo</w:t>
      </w:r>
      <w:proofErr w:type="spellEnd"/>
      <w:r w:rsidRPr="005E3818">
        <w:rPr>
          <w:sz w:val="24"/>
        </w:rPr>
        <w:t xml:space="preserve">, </w:t>
      </w:r>
      <w:proofErr w:type="spellStart"/>
      <w:r w:rsidRPr="005E3818">
        <w:rPr>
          <w:sz w:val="24"/>
        </w:rPr>
        <w:t>Karajala</w:t>
      </w:r>
      <w:proofErr w:type="spellEnd"/>
      <w:r w:rsidRPr="005E3818">
        <w:rPr>
          <w:sz w:val="24"/>
        </w:rPr>
        <w:t xml:space="preserve">, </w:t>
      </w:r>
      <w:proofErr w:type="spellStart"/>
      <w:r w:rsidRPr="005E3818">
        <w:rPr>
          <w:sz w:val="24"/>
        </w:rPr>
        <w:t>Kabali</w:t>
      </w:r>
      <w:proofErr w:type="spellEnd"/>
      <w:r w:rsidRPr="005E3818">
        <w:rPr>
          <w:sz w:val="24"/>
        </w:rPr>
        <w:t xml:space="preserve">). Informational material was distributed </w:t>
      </w:r>
      <w:proofErr w:type="spellStart"/>
      <w:r w:rsidRPr="005E3818">
        <w:rPr>
          <w:sz w:val="24"/>
        </w:rPr>
        <w:t>inn</w:t>
      </w:r>
      <w:proofErr w:type="spellEnd"/>
      <w:r w:rsidRPr="005E3818">
        <w:rPr>
          <w:sz w:val="24"/>
        </w:rPr>
        <w:t xml:space="preserve"> order to increase citize</w:t>
      </w:r>
      <w:r>
        <w:rPr>
          <w:sz w:val="24"/>
        </w:rPr>
        <w:t>n participation in the program.</w:t>
      </w:r>
    </w:p>
    <w:p w:rsidR="005E3818" w:rsidRPr="005E3818" w:rsidRDefault="005E3818" w:rsidP="005E3818">
      <w:pPr>
        <w:jc w:val="both"/>
        <w:rPr>
          <w:i/>
          <w:sz w:val="24"/>
          <w:u w:val="single"/>
        </w:rPr>
      </w:pPr>
      <w:r w:rsidRPr="005E3818">
        <w:rPr>
          <w:i/>
          <w:sz w:val="24"/>
          <w:u w:val="single"/>
        </w:rPr>
        <w:t>Infrastructure rehabilitation</w:t>
      </w:r>
    </w:p>
    <w:p w:rsidR="005E3818" w:rsidRPr="005E3818" w:rsidRDefault="005E3818" w:rsidP="005E3818">
      <w:pPr>
        <w:jc w:val="both"/>
        <w:rPr>
          <w:sz w:val="24"/>
        </w:rPr>
      </w:pPr>
      <w:r w:rsidRPr="005E3818">
        <w:rPr>
          <w:sz w:val="24"/>
        </w:rPr>
        <w:t>Intense road rehabilitation works in the regions compactly populated by ethnic minorities w</w:t>
      </w:r>
      <w:r>
        <w:rPr>
          <w:sz w:val="24"/>
        </w:rPr>
        <w:t xml:space="preserve">ere carried out in 2008-2010.  </w:t>
      </w:r>
    </w:p>
    <w:p w:rsidR="005E3818" w:rsidRPr="005E3818" w:rsidRDefault="005E3818" w:rsidP="005E3818">
      <w:pPr>
        <w:jc w:val="both"/>
        <w:rPr>
          <w:sz w:val="24"/>
        </w:rPr>
      </w:pPr>
      <w:proofErr w:type="spellStart"/>
      <w:r w:rsidRPr="005E3818">
        <w:rPr>
          <w:sz w:val="24"/>
        </w:rPr>
        <w:t>Samtskhe</w:t>
      </w:r>
      <w:proofErr w:type="spellEnd"/>
      <w:r w:rsidRPr="005E3818">
        <w:rPr>
          <w:sz w:val="24"/>
        </w:rPr>
        <w:t xml:space="preserve"> - </w:t>
      </w:r>
      <w:proofErr w:type="spellStart"/>
      <w:r w:rsidRPr="005E3818">
        <w:rPr>
          <w:sz w:val="24"/>
        </w:rPr>
        <w:t>Javakheti</w:t>
      </w:r>
      <w:proofErr w:type="spellEnd"/>
      <w:r w:rsidRPr="005E3818">
        <w:rPr>
          <w:sz w:val="24"/>
        </w:rPr>
        <w:t xml:space="preserve"> Road Rehabilitation Project implemented within the “</w:t>
      </w:r>
      <w:proofErr w:type="spellStart"/>
      <w:r w:rsidRPr="005E3818">
        <w:rPr>
          <w:sz w:val="24"/>
        </w:rPr>
        <w:t>Millenium</w:t>
      </w:r>
      <w:proofErr w:type="spellEnd"/>
      <w:r w:rsidRPr="005E3818">
        <w:rPr>
          <w:sz w:val="24"/>
        </w:rPr>
        <w:t xml:space="preserve"> </w:t>
      </w:r>
      <w:proofErr w:type="spellStart"/>
      <w:r w:rsidRPr="005E3818">
        <w:rPr>
          <w:sz w:val="24"/>
        </w:rPr>
        <w:t>Challege</w:t>
      </w:r>
      <w:proofErr w:type="spellEnd"/>
      <w:r w:rsidRPr="005E3818">
        <w:rPr>
          <w:sz w:val="24"/>
        </w:rPr>
        <w:t xml:space="preserve">, Georgia” project aimed at the road infrastructure/transportation network recovery. The project budget was 203.5 USD million and included the rehabilitation of 223 km of road in </w:t>
      </w:r>
      <w:proofErr w:type="spellStart"/>
      <w:r w:rsidRPr="005E3818">
        <w:rPr>
          <w:sz w:val="24"/>
        </w:rPr>
        <w:t>Kvemo</w:t>
      </w:r>
      <w:proofErr w:type="spellEnd"/>
      <w:r w:rsidRPr="005E3818">
        <w:rPr>
          <w:sz w:val="24"/>
        </w:rPr>
        <w:t xml:space="preserve"> </w:t>
      </w:r>
      <w:proofErr w:type="spellStart"/>
      <w:r w:rsidRPr="005E3818">
        <w:rPr>
          <w:sz w:val="24"/>
        </w:rPr>
        <w:t>Kartli</w:t>
      </w:r>
      <w:proofErr w:type="spellEnd"/>
      <w:r w:rsidRPr="005E3818">
        <w:rPr>
          <w:sz w:val="24"/>
        </w:rPr>
        <w:t xml:space="preserve"> and </w:t>
      </w:r>
      <w:proofErr w:type="spellStart"/>
      <w:r w:rsidRPr="005E3818">
        <w:rPr>
          <w:sz w:val="24"/>
        </w:rPr>
        <w:t>Samtskhe</w:t>
      </w:r>
      <w:proofErr w:type="spellEnd"/>
      <w:r w:rsidRPr="005E3818">
        <w:rPr>
          <w:sz w:val="24"/>
        </w:rPr>
        <w:t xml:space="preserve"> - </w:t>
      </w:r>
      <w:proofErr w:type="spellStart"/>
      <w:r w:rsidRPr="005E3818">
        <w:rPr>
          <w:sz w:val="24"/>
        </w:rPr>
        <w:t>Javakheti</w:t>
      </w:r>
      <w:proofErr w:type="spellEnd"/>
      <w:r w:rsidRPr="005E3818">
        <w:rPr>
          <w:sz w:val="24"/>
        </w:rPr>
        <w:t xml:space="preserve"> regions.  The road rehabilitation created a better environment for trade-entrepreneurship /business development, it caused increase of international and domestic trade, and stimulated private investments, tourism and other related activities. These projects lessen the isolation of </w:t>
      </w:r>
      <w:proofErr w:type="spellStart"/>
      <w:r w:rsidRPr="005E3818">
        <w:rPr>
          <w:sz w:val="24"/>
        </w:rPr>
        <w:t>Samtskhe</w:t>
      </w:r>
      <w:proofErr w:type="spellEnd"/>
      <w:r w:rsidRPr="005E3818">
        <w:rPr>
          <w:sz w:val="24"/>
        </w:rPr>
        <w:t xml:space="preserve"> – </w:t>
      </w:r>
      <w:proofErr w:type="spellStart"/>
      <w:r w:rsidRPr="005E3818">
        <w:rPr>
          <w:sz w:val="24"/>
        </w:rPr>
        <w:t>Javakheti</w:t>
      </w:r>
      <w:proofErr w:type="spellEnd"/>
      <w:r w:rsidRPr="005E3818">
        <w:rPr>
          <w:sz w:val="24"/>
        </w:rPr>
        <w:t xml:space="preserve"> region from the rest of the country and therefore, promote regional economic integration, and also social mobility (ed</w:t>
      </w:r>
      <w:r>
        <w:rPr>
          <w:sz w:val="24"/>
        </w:rPr>
        <w:t xml:space="preserve">ucation and healthcare needs). </w:t>
      </w:r>
    </w:p>
    <w:p w:rsidR="005E3818" w:rsidRPr="005E3818" w:rsidRDefault="005E3818" w:rsidP="005E3818">
      <w:pPr>
        <w:jc w:val="both"/>
        <w:rPr>
          <w:sz w:val="24"/>
        </w:rPr>
      </w:pPr>
      <w:r w:rsidRPr="005E3818">
        <w:rPr>
          <w:sz w:val="24"/>
        </w:rPr>
        <w:t xml:space="preserve">In 2013 445 </w:t>
      </w:r>
      <w:proofErr w:type="spellStart"/>
      <w:r w:rsidRPr="005E3818">
        <w:rPr>
          <w:sz w:val="24"/>
        </w:rPr>
        <w:t>infrustructure</w:t>
      </w:r>
      <w:proofErr w:type="spellEnd"/>
      <w:r w:rsidRPr="005E3818">
        <w:rPr>
          <w:sz w:val="24"/>
        </w:rPr>
        <w:t xml:space="preserve"> rehabilitation projects were implemented in the region of </w:t>
      </w:r>
      <w:proofErr w:type="spellStart"/>
      <w:r w:rsidRPr="005E3818">
        <w:rPr>
          <w:sz w:val="24"/>
        </w:rPr>
        <w:t>Kvemo</w:t>
      </w:r>
      <w:proofErr w:type="spellEnd"/>
      <w:r w:rsidRPr="005E3818">
        <w:rPr>
          <w:sz w:val="24"/>
        </w:rPr>
        <w:t xml:space="preserve"> </w:t>
      </w:r>
      <w:proofErr w:type="spellStart"/>
      <w:r w:rsidRPr="005E3818">
        <w:rPr>
          <w:sz w:val="24"/>
        </w:rPr>
        <w:t>Kartli</w:t>
      </w:r>
      <w:proofErr w:type="spellEnd"/>
      <w:r w:rsidRPr="005E3818">
        <w:rPr>
          <w:sz w:val="24"/>
        </w:rPr>
        <w:t xml:space="preserve">, in the amount of 6 876 958 GEL. In the region of </w:t>
      </w:r>
      <w:proofErr w:type="spellStart"/>
      <w:r w:rsidRPr="005E3818">
        <w:rPr>
          <w:sz w:val="24"/>
        </w:rPr>
        <w:t>Kakheti</w:t>
      </w:r>
      <w:proofErr w:type="spellEnd"/>
      <w:r w:rsidRPr="005E3818">
        <w:rPr>
          <w:sz w:val="24"/>
        </w:rPr>
        <w:t xml:space="preserve"> more than 550 projects were implemented in the amount of 6 631 499 GEL and in the region of </w:t>
      </w:r>
      <w:proofErr w:type="spellStart"/>
      <w:r w:rsidRPr="005E3818">
        <w:rPr>
          <w:sz w:val="24"/>
        </w:rPr>
        <w:t>Samtskhe</w:t>
      </w:r>
      <w:proofErr w:type="spellEnd"/>
      <w:r w:rsidRPr="005E3818">
        <w:rPr>
          <w:sz w:val="24"/>
        </w:rPr>
        <w:t xml:space="preserve"> – </w:t>
      </w:r>
      <w:proofErr w:type="spellStart"/>
      <w:r w:rsidRPr="005E3818">
        <w:rPr>
          <w:sz w:val="24"/>
        </w:rPr>
        <w:t>Javakheti</w:t>
      </w:r>
      <w:proofErr w:type="spellEnd"/>
      <w:r w:rsidRPr="005E3818">
        <w:rPr>
          <w:sz w:val="24"/>
        </w:rPr>
        <w:t xml:space="preserve"> - 430 projects, in the amount of 3 605 112 GEL.</w:t>
      </w:r>
    </w:p>
    <w:p w:rsidR="005E3818" w:rsidRPr="005E3818" w:rsidRDefault="005E3818" w:rsidP="005E3818">
      <w:pPr>
        <w:jc w:val="both"/>
        <w:rPr>
          <w:sz w:val="24"/>
        </w:rPr>
      </w:pPr>
    </w:p>
    <w:p w:rsidR="005E3818" w:rsidRPr="005E3818" w:rsidRDefault="005E3818" w:rsidP="005E3818">
      <w:pPr>
        <w:jc w:val="both"/>
        <w:rPr>
          <w:i/>
          <w:sz w:val="24"/>
          <w:u w:val="single"/>
        </w:rPr>
      </w:pPr>
      <w:r w:rsidRPr="005E3818">
        <w:rPr>
          <w:i/>
          <w:sz w:val="24"/>
          <w:u w:val="single"/>
        </w:rPr>
        <w:lastRenderedPageBreak/>
        <w:t>Roma population</w:t>
      </w:r>
    </w:p>
    <w:p w:rsidR="005E3818" w:rsidRPr="005E3818" w:rsidRDefault="005E3818" w:rsidP="005E3818">
      <w:pPr>
        <w:jc w:val="both"/>
        <w:rPr>
          <w:sz w:val="24"/>
        </w:rPr>
      </w:pPr>
      <w:r w:rsidRPr="005E3818">
        <w:rPr>
          <w:sz w:val="24"/>
        </w:rPr>
        <w:t xml:space="preserve">Roma people (approximately 1,500 people) - are located in the following areas : Tbilisi </w:t>
      </w:r>
      <w:proofErr w:type="spellStart"/>
      <w:r w:rsidRPr="005E3818">
        <w:rPr>
          <w:sz w:val="24"/>
        </w:rPr>
        <w:t>Samgory</w:t>
      </w:r>
      <w:proofErr w:type="spellEnd"/>
      <w:r w:rsidRPr="005E3818">
        <w:rPr>
          <w:sz w:val="24"/>
        </w:rPr>
        <w:t xml:space="preserve"> settlement, the village of  </w:t>
      </w:r>
      <w:proofErr w:type="spellStart"/>
      <w:r w:rsidRPr="005E3818">
        <w:rPr>
          <w:sz w:val="24"/>
        </w:rPr>
        <w:t>Gachiani</w:t>
      </w:r>
      <w:proofErr w:type="spellEnd"/>
      <w:r w:rsidRPr="005E3818">
        <w:rPr>
          <w:sz w:val="24"/>
        </w:rPr>
        <w:t xml:space="preserve"> in the </w:t>
      </w:r>
      <w:proofErr w:type="spellStart"/>
      <w:r w:rsidRPr="005E3818">
        <w:rPr>
          <w:sz w:val="24"/>
        </w:rPr>
        <w:t>Gardabani</w:t>
      </w:r>
      <w:proofErr w:type="spellEnd"/>
      <w:r w:rsidRPr="005E3818">
        <w:rPr>
          <w:sz w:val="24"/>
        </w:rPr>
        <w:t xml:space="preserve"> municipality, </w:t>
      </w:r>
      <w:proofErr w:type="spellStart"/>
      <w:r w:rsidRPr="005E3818">
        <w:rPr>
          <w:sz w:val="24"/>
        </w:rPr>
        <w:t>Choeti</w:t>
      </w:r>
      <w:proofErr w:type="spellEnd"/>
      <w:r w:rsidRPr="005E3818">
        <w:rPr>
          <w:sz w:val="24"/>
        </w:rPr>
        <w:t xml:space="preserve"> villages of the  </w:t>
      </w:r>
      <w:proofErr w:type="spellStart"/>
      <w:r w:rsidRPr="005E3818">
        <w:rPr>
          <w:sz w:val="24"/>
        </w:rPr>
        <w:t>Dedoplistskaro</w:t>
      </w:r>
      <w:proofErr w:type="spellEnd"/>
      <w:r w:rsidRPr="005E3818">
        <w:rPr>
          <w:sz w:val="24"/>
        </w:rPr>
        <w:t xml:space="preserve"> municipality,  city</w:t>
      </w:r>
      <w:r>
        <w:rPr>
          <w:sz w:val="24"/>
        </w:rPr>
        <w:t xml:space="preserve"> of </w:t>
      </w:r>
      <w:proofErr w:type="spellStart"/>
      <w:r>
        <w:rPr>
          <w:sz w:val="24"/>
        </w:rPr>
        <w:t>Telavi</w:t>
      </w:r>
      <w:proofErr w:type="spellEnd"/>
      <w:r>
        <w:rPr>
          <w:sz w:val="24"/>
        </w:rPr>
        <w:t xml:space="preserve"> , Kutaisi, </w:t>
      </w:r>
      <w:proofErr w:type="spellStart"/>
      <w:r>
        <w:rPr>
          <w:sz w:val="24"/>
        </w:rPr>
        <w:t>Kobuleti</w:t>
      </w:r>
      <w:proofErr w:type="spellEnd"/>
      <w:r>
        <w:rPr>
          <w:sz w:val="24"/>
        </w:rPr>
        <w:t>.</w:t>
      </w:r>
    </w:p>
    <w:p w:rsidR="005E3818" w:rsidRPr="005E3818" w:rsidRDefault="005E3818" w:rsidP="005E3818">
      <w:pPr>
        <w:jc w:val="both"/>
        <w:rPr>
          <w:sz w:val="24"/>
        </w:rPr>
      </w:pPr>
      <w:r w:rsidRPr="005E3818">
        <w:rPr>
          <w:sz w:val="24"/>
        </w:rPr>
        <w:t xml:space="preserve">Since 2010 the Service Procedures Development Agency of the Ministry of Justice of Georgia in cooperation with Innovation and Reform Center (IRC) and European Center for Minority Issues (ECMI) has been implementing activities in order to manage with the problem of Roma population registration and therefore  to ensure legal support to respective Roma people. In this regard the Ministry conducted necessary procedures in order to certify birth, solve the issues regarding citizenship and undertake necessary steps for issuing IDs.  265 Roma people residing in </w:t>
      </w:r>
      <w:proofErr w:type="spellStart"/>
      <w:r w:rsidRPr="005E3818">
        <w:rPr>
          <w:sz w:val="24"/>
        </w:rPr>
        <w:t>Leninovka</w:t>
      </w:r>
      <w:proofErr w:type="spellEnd"/>
      <w:r w:rsidRPr="005E3818">
        <w:rPr>
          <w:sz w:val="24"/>
        </w:rPr>
        <w:t xml:space="preserve"> and </w:t>
      </w:r>
      <w:proofErr w:type="spellStart"/>
      <w:r w:rsidRPr="005E3818">
        <w:rPr>
          <w:sz w:val="24"/>
        </w:rPr>
        <w:t>Gachiani</w:t>
      </w:r>
      <w:proofErr w:type="spellEnd"/>
      <w:r w:rsidRPr="005E3818">
        <w:rPr>
          <w:sz w:val="24"/>
        </w:rPr>
        <w:t xml:space="preserve"> were included in the registration database; 81 of them had the problems regarding documentations. Throughout 2012, as a result of field visits in Rustavi and </w:t>
      </w:r>
      <w:proofErr w:type="spellStart"/>
      <w:r w:rsidRPr="005E3818">
        <w:rPr>
          <w:sz w:val="24"/>
        </w:rPr>
        <w:t>Gachiani</w:t>
      </w:r>
      <w:proofErr w:type="spellEnd"/>
      <w:r w:rsidRPr="005E3818">
        <w:rPr>
          <w:sz w:val="24"/>
        </w:rPr>
        <w:t xml:space="preserve"> the problem of registration and issuing IDs for 18 Roma was solved while the certified legal fact of birth for 13 Roma people was approved and two Roma were given the official status of non-citizen. Despite a prior notice about the visits in the field, it was impossible to meet all target persons. In 2012 Roma residents of </w:t>
      </w:r>
      <w:proofErr w:type="spellStart"/>
      <w:r w:rsidRPr="005E3818">
        <w:rPr>
          <w:sz w:val="24"/>
        </w:rPr>
        <w:t>Mtskheta</w:t>
      </w:r>
      <w:proofErr w:type="spellEnd"/>
      <w:r w:rsidRPr="005E3818">
        <w:rPr>
          <w:sz w:val="24"/>
        </w:rPr>
        <w:t xml:space="preserve"> were provided with judicial consultations. In 2013, 11 Roma were granted citizenship status, 8 Roma obtained a non-citizen status, and issuing birth certificates was under review for 2 persons.  </w:t>
      </w:r>
    </w:p>
    <w:p w:rsidR="005E3818" w:rsidRPr="005E3818" w:rsidRDefault="005E3818" w:rsidP="005E3818">
      <w:pPr>
        <w:jc w:val="both"/>
        <w:rPr>
          <w:sz w:val="24"/>
        </w:rPr>
      </w:pPr>
      <w:r w:rsidRPr="005E3818">
        <w:rPr>
          <w:sz w:val="24"/>
        </w:rPr>
        <w:t>Specific programs and projects aimed at Roma population social-economic integration into the society have not been envisaged in the national Concept on Tolerance and Civic Integration and Action Plan for 2009-2014. The activities towards Roma people at first stage included only the process of their civil registration. However, based on the main findings and recommendations elaborated integration of Roma will be under the focus in a new strategy and a</w:t>
      </w:r>
      <w:r>
        <w:rPr>
          <w:sz w:val="24"/>
        </w:rPr>
        <w:t>ction plan for the next period.</w:t>
      </w:r>
    </w:p>
    <w:p w:rsidR="005E3818" w:rsidRPr="005E3818" w:rsidRDefault="005E3818" w:rsidP="005E3818">
      <w:pPr>
        <w:jc w:val="both"/>
        <w:rPr>
          <w:i/>
          <w:sz w:val="24"/>
          <w:u w:val="single"/>
        </w:rPr>
      </w:pPr>
      <w:r w:rsidRPr="005E3818">
        <w:rPr>
          <w:i/>
          <w:sz w:val="24"/>
          <w:u w:val="single"/>
        </w:rPr>
        <w:t>Civic Integration Strategy</w:t>
      </w:r>
    </w:p>
    <w:p w:rsidR="005E3818" w:rsidRPr="005E3818" w:rsidRDefault="005E3818" w:rsidP="005E3818">
      <w:pPr>
        <w:jc w:val="both"/>
        <w:rPr>
          <w:sz w:val="24"/>
        </w:rPr>
      </w:pPr>
      <w:r w:rsidRPr="005E3818">
        <w:rPr>
          <w:sz w:val="24"/>
        </w:rPr>
        <w:t xml:space="preserve">The Office of the State Minister for Reconciliation and Civic Equality coordinates the process of implementation of the “National Concept for Tolerance and Civic Integration” and respective Action Plan for 2009-2014. Current strategy and action plan expires in 2014, therefore the Office of the State Minister is in the process of elaboration of a new strategy and action plan for the next period. For this reason Office of the State Minister of Georgia for Reconciliation and Civic Equality prepared and in June 2014 presented the Assessment Document of the National Concept for Tolerance and Civic Integration (NCAP) and 2009-2014 Action Plan (www.smr.gov.ge) to non-governmental organizations, international organizations and expert community. The paper discusses the real impact of civic integration programs on the overall  integration processes, the achieved effects and consequences, as well as the positive and </w:t>
      </w:r>
      <w:r w:rsidRPr="005E3818">
        <w:rPr>
          <w:sz w:val="24"/>
        </w:rPr>
        <w:lastRenderedPageBreak/>
        <w:t xml:space="preserve">negative trends that were observed during the implementation of the Action Plan. Showcasing the results achieved in various aspects of the Concept will provide the opportunity to develop new policy. Based on the analysis of current trends, recommendations have also been elaborated.  </w:t>
      </w:r>
    </w:p>
    <w:p w:rsidR="005E3818" w:rsidRPr="005E3818" w:rsidRDefault="005E3818" w:rsidP="005E3818">
      <w:pPr>
        <w:jc w:val="both"/>
        <w:rPr>
          <w:sz w:val="24"/>
        </w:rPr>
      </w:pPr>
      <w:r w:rsidRPr="005E3818">
        <w:rPr>
          <w:sz w:val="24"/>
        </w:rPr>
        <w:t>The process of elaboration of a new civic integration strategy is extremely open and transparent with active participation of the actors interested and working in the field. All recommendations will be considered and reflected adequately in the new document. New strategy and the action plan for the next period is supposed to be finalized by the end of 2014.</w:t>
      </w:r>
    </w:p>
    <w:p w:rsidR="004D55B8" w:rsidRDefault="005E3818" w:rsidP="005E3818">
      <w:pPr>
        <w:jc w:val="both"/>
        <w:rPr>
          <w:b/>
          <w:sz w:val="24"/>
        </w:rPr>
      </w:pPr>
      <w:r w:rsidRPr="005E3818">
        <w:rPr>
          <w:b/>
          <w:sz w:val="24"/>
        </w:rPr>
        <w:t xml:space="preserve">17. </w:t>
      </w:r>
      <w:r w:rsidR="004D55B8">
        <w:rPr>
          <w:b/>
          <w:sz w:val="24"/>
        </w:rPr>
        <w:t>Persons with Disabilities (Issue 6)</w:t>
      </w:r>
    </w:p>
    <w:p w:rsidR="004D55B8" w:rsidRPr="004D55B8" w:rsidRDefault="004D55B8" w:rsidP="004D55B8">
      <w:pPr>
        <w:jc w:val="both"/>
        <w:rPr>
          <w:sz w:val="24"/>
        </w:rPr>
      </w:pPr>
      <w:r w:rsidRPr="004D55B8">
        <w:rPr>
          <w:sz w:val="24"/>
        </w:rPr>
        <w:t xml:space="preserve">The Ministry of </w:t>
      </w:r>
      <w:proofErr w:type="spellStart"/>
      <w:r w:rsidRPr="004D55B8">
        <w:rPr>
          <w:sz w:val="24"/>
        </w:rPr>
        <w:t>Labour</w:t>
      </w:r>
      <w:proofErr w:type="spellEnd"/>
      <w:r w:rsidRPr="004D55B8">
        <w:rPr>
          <w:sz w:val="24"/>
        </w:rPr>
        <w:t>, Health and Social Affairs (</w:t>
      </w:r>
      <w:proofErr w:type="spellStart"/>
      <w:r w:rsidRPr="004D55B8">
        <w:rPr>
          <w:sz w:val="24"/>
        </w:rPr>
        <w:t>MoLHSA</w:t>
      </w:r>
      <w:proofErr w:type="spellEnd"/>
      <w:r w:rsidRPr="004D55B8">
        <w:rPr>
          <w:sz w:val="24"/>
        </w:rPr>
        <w:t xml:space="preserve">) has elaborated a draft Employment Law. Currently the draft document is in the process of negotiation between major stakeholders and will be  sent to the International </w:t>
      </w:r>
      <w:proofErr w:type="spellStart"/>
      <w:r w:rsidRPr="004D55B8">
        <w:rPr>
          <w:sz w:val="24"/>
        </w:rPr>
        <w:t>Labour</w:t>
      </w:r>
      <w:proofErr w:type="spellEnd"/>
      <w:r w:rsidRPr="004D55B8">
        <w:rPr>
          <w:sz w:val="24"/>
        </w:rPr>
        <w:t xml:space="preserve"> Organization (ILO) for observations and recommendations. The employment issues of persons with disabilities are already reflected in the draft law. </w:t>
      </w:r>
      <w:proofErr w:type="spellStart"/>
      <w:r w:rsidRPr="004D55B8">
        <w:rPr>
          <w:sz w:val="24"/>
        </w:rPr>
        <w:t>MoLHSA</w:t>
      </w:r>
      <w:proofErr w:type="spellEnd"/>
      <w:r w:rsidRPr="004D55B8">
        <w:rPr>
          <w:sz w:val="24"/>
        </w:rPr>
        <w:t xml:space="preserve"> is scheduled to finalize the drafting process by the 2nd quarter of 2016 and the document will be submitted to the Parliament of Georgia</w:t>
      </w:r>
      <w:r>
        <w:rPr>
          <w:sz w:val="24"/>
        </w:rPr>
        <w:t xml:space="preserve"> for discussions and approval. </w:t>
      </w:r>
    </w:p>
    <w:p w:rsidR="004D55B8" w:rsidRPr="004D55B8" w:rsidRDefault="004D55B8" w:rsidP="004D55B8">
      <w:pPr>
        <w:jc w:val="both"/>
        <w:rPr>
          <w:sz w:val="24"/>
        </w:rPr>
      </w:pPr>
      <w:r w:rsidRPr="004D55B8">
        <w:rPr>
          <w:sz w:val="24"/>
        </w:rPr>
        <w:t xml:space="preserve">On January 20, 2014 Government of Georgia adopted the “2014-2016 Action Plan for equal opportunities of persons with disabilities”. The Action Plan is designed to promote implementation of UNCRPD (convention on the rights of people with disabilities) in the country. </w:t>
      </w:r>
    </w:p>
    <w:p w:rsidR="004D55B8" w:rsidRDefault="004D55B8" w:rsidP="004D55B8">
      <w:pPr>
        <w:jc w:val="both"/>
        <w:rPr>
          <w:sz w:val="24"/>
        </w:rPr>
      </w:pPr>
      <w:r w:rsidRPr="004D55B8">
        <w:rPr>
          <w:sz w:val="24"/>
        </w:rPr>
        <w:t>The Action Plan addresses full range of issues covered by CRPD including shifting from “medical” to “social” assessment model of disability, improvement of accessibility of public buildings/premises and transportation systems and promotion of the public awareness around disability.</w:t>
      </w:r>
    </w:p>
    <w:p w:rsidR="004D55B8" w:rsidRDefault="004D55B8" w:rsidP="004D55B8">
      <w:pPr>
        <w:jc w:val="both"/>
        <w:rPr>
          <w:b/>
          <w:sz w:val="24"/>
        </w:rPr>
      </w:pPr>
      <w:r>
        <w:rPr>
          <w:b/>
          <w:sz w:val="24"/>
        </w:rPr>
        <w:t>18. Abortion</w:t>
      </w:r>
    </w:p>
    <w:p w:rsidR="004D55B8" w:rsidRPr="004D55B8" w:rsidRDefault="004D55B8" w:rsidP="004D55B8">
      <w:pPr>
        <w:jc w:val="both"/>
        <w:rPr>
          <w:sz w:val="24"/>
        </w:rPr>
      </w:pPr>
      <w:r w:rsidRPr="004D55B8">
        <w:rPr>
          <w:sz w:val="24"/>
        </w:rPr>
        <w:t xml:space="preserve">Despite substantial decrease in the total induced abortion rates (from 3.7 to 1.6 in 2000-2010 period) and parallel increase in contraceptive prevalence rates (from 20% to 54%), still uptake of modern and safe contraceptive methods remains low. At least 33,000 induced abortions are performed every year based on official statistics.  </w:t>
      </w:r>
    </w:p>
    <w:p w:rsidR="004D55B8" w:rsidRPr="004D55B8" w:rsidRDefault="004D55B8" w:rsidP="004D55B8">
      <w:pPr>
        <w:jc w:val="both"/>
        <w:rPr>
          <w:sz w:val="24"/>
        </w:rPr>
      </w:pPr>
      <w:r w:rsidRPr="004D55B8">
        <w:rPr>
          <w:sz w:val="24"/>
        </w:rPr>
        <w:t>In order to reduce induced abortion rates as well as increase public awareness and uptake of modern family planning methods, the Ministry has elaborated a comprehensive package of new and/or revised regulations. The package includes the following elements:</w:t>
      </w:r>
    </w:p>
    <w:p w:rsidR="004D55B8" w:rsidRPr="004D55B8" w:rsidRDefault="004D55B8" w:rsidP="004D55B8">
      <w:pPr>
        <w:jc w:val="both"/>
        <w:rPr>
          <w:sz w:val="24"/>
        </w:rPr>
      </w:pPr>
      <w:r>
        <w:rPr>
          <w:sz w:val="24"/>
        </w:rPr>
        <w:t xml:space="preserve">(1) </w:t>
      </w:r>
      <w:r w:rsidRPr="004D55B8">
        <w:rPr>
          <w:sz w:val="24"/>
        </w:rPr>
        <w:t xml:space="preserve">The first comprehensive “National protocol on safe termination of pregnancy” that covers evidence-based guidance on medication and surgical abortions, as well as pre- and post-abortion </w:t>
      </w:r>
      <w:proofErr w:type="spellStart"/>
      <w:r w:rsidRPr="004D55B8">
        <w:rPr>
          <w:sz w:val="24"/>
        </w:rPr>
        <w:t>counselling</w:t>
      </w:r>
      <w:proofErr w:type="spellEnd"/>
      <w:r w:rsidRPr="004D55B8">
        <w:rPr>
          <w:sz w:val="24"/>
        </w:rPr>
        <w:t xml:space="preserve"> for women and their partners. </w:t>
      </w:r>
    </w:p>
    <w:p w:rsidR="004D55B8" w:rsidRPr="004D55B8" w:rsidRDefault="004D55B8" w:rsidP="004D55B8">
      <w:pPr>
        <w:jc w:val="both"/>
        <w:rPr>
          <w:sz w:val="24"/>
        </w:rPr>
      </w:pPr>
      <w:r>
        <w:rPr>
          <w:sz w:val="24"/>
        </w:rPr>
        <w:lastRenderedPageBreak/>
        <w:t xml:space="preserve">(2) </w:t>
      </w:r>
      <w:r w:rsidRPr="004D55B8">
        <w:rPr>
          <w:sz w:val="24"/>
        </w:rPr>
        <w:t xml:space="preserve">Similarly, for the first time a patient protocol on “Abortion procedures” has been developed to ensure that every woman prior to the abortion receives appropriate </w:t>
      </w:r>
      <w:proofErr w:type="spellStart"/>
      <w:r w:rsidRPr="004D55B8">
        <w:rPr>
          <w:sz w:val="24"/>
        </w:rPr>
        <w:t>counselling</w:t>
      </w:r>
      <w:proofErr w:type="spellEnd"/>
      <w:r w:rsidRPr="004D55B8">
        <w:rPr>
          <w:sz w:val="24"/>
        </w:rPr>
        <w:t xml:space="preserve"> both on the abortion procedures as well as family planning issues to avoid further unintended pregnancies. Furthermore, the protocol ensures that women make informed decision on the induced abortion, including questions o</w:t>
      </w:r>
      <w:r>
        <w:rPr>
          <w:sz w:val="24"/>
        </w:rPr>
        <w:t xml:space="preserve">n gender selective abortion.   </w:t>
      </w:r>
    </w:p>
    <w:p w:rsidR="004D55B8" w:rsidRPr="004D55B8" w:rsidRDefault="004D55B8" w:rsidP="004D55B8">
      <w:pPr>
        <w:jc w:val="both"/>
        <w:rPr>
          <w:sz w:val="24"/>
        </w:rPr>
      </w:pPr>
      <w:r>
        <w:rPr>
          <w:sz w:val="24"/>
        </w:rPr>
        <w:t xml:space="preserve">(3) </w:t>
      </w:r>
      <w:r w:rsidRPr="004D55B8">
        <w:rPr>
          <w:sz w:val="24"/>
        </w:rPr>
        <w:t xml:space="preserve">A revised Ministerial Decree has updated the medical and social conditions that can substantiate a need for induced abortion after 12 weeks of gestation. The new decree has substantially reduced the list of medical conditions from a baseline 2000 Ministerial Decree and sets clear procedures for individual review of cases by medical commission.  Furthermore the Decree sets updated standards on out- and in-patient management of medical and </w:t>
      </w:r>
      <w:r>
        <w:rPr>
          <w:sz w:val="24"/>
        </w:rPr>
        <w:t xml:space="preserve">surgical abortion procedures.  </w:t>
      </w:r>
    </w:p>
    <w:p w:rsidR="004D55B8" w:rsidRPr="004D55B8" w:rsidRDefault="004D55B8" w:rsidP="004D55B8">
      <w:pPr>
        <w:jc w:val="both"/>
        <w:rPr>
          <w:sz w:val="24"/>
        </w:rPr>
      </w:pPr>
      <w:r>
        <w:rPr>
          <w:sz w:val="24"/>
        </w:rPr>
        <w:t xml:space="preserve">(4) </w:t>
      </w:r>
      <w:r w:rsidRPr="004D55B8">
        <w:rPr>
          <w:sz w:val="24"/>
        </w:rPr>
        <w:t xml:space="preserve">Finally, the new regulations propose that the deliberation period before abortions is increased from 3 to 5 days. The proposal intends to protect the right of the child to survival (prior to birth) as well as to ensure that women receive proper </w:t>
      </w:r>
      <w:proofErr w:type="spellStart"/>
      <w:r w:rsidRPr="004D55B8">
        <w:rPr>
          <w:sz w:val="24"/>
        </w:rPr>
        <w:t>counselling</w:t>
      </w:r>
      <w:proofErr w:type="spellEnd"/>
      <w:r w:rsidRPr="004D55B8">
        <w:rPr>
          <w:sz w:val="24"/>
        </w:rPr>
        <w:t xml:space="preserve"> prior to the abortion and thereby makes informed decisions on the pregnancy termination. The final decision on the induced abortion remains the right of the women and the family. The proposal for increasing the deliberation period up to 5 days is based on the recommendations of the Bioethics Committee, faith-based organizations as well as experience of a number of countries in the European Region that require pre-abortion deliberation period of 1 or 2 weeks. Furthermore, if a pregnant woman refers for abortion in the 12th week of pregnancy, in order to prevent delayed intervention after the 1st trimester, the deliberation period will remain at 3 days. </w:t>
      </w:r>
    </w:p>
    <w:p w:rsidR="004D55B8" w:rsidRPr="004D55B8" w:rsidRDefault="004D55B8" w:rsidP="004D55B8">
      <w:pPr>
        <w:jc w:val="both"/>
        <w:rPr>
          <w:sz w:val="24"/>
        </w:rPr>
      </w:pPr>
      <w:r w:rsidRPr="004D55B8">
        <w:rPr>
          <w:sz w:val="24"/>
        </w:rPr>
        <w:t>The new regulation on deliberation period has been submitted to the Parliament of Georgia for further discussions and decision-making. Other components of the abortion regulations will be approved by the Ministry and general consensus has been achieved between the national health authorities, international development partners, bio-ethics committee and professional associa</w:t>
      </w:r>
      <w:r>
        <w:rPr>
          <w:sz w:val="24"/>
        </w:rPr>
        <w:t xml:space="preserve">tions on all major provisions. </w:t>
      </w:r>
    </w:p>
    <w:p w:rsidR="004D55B8" w:rsidRPr="004D55B8" w:rsidRDefault="004D55B8" w:rsidP="004D55B8">
      <w:pPr>
        <w:jc w:val="both"/>
        <w:rPr>
          <w:sz w:val="24"/>
        </w:rPr>
      </w:pPr>
      <w:r w:rsidRPr="004D55B8">
        <w:rPr>
          <w:sz w:val="24"/>
        </w:rPr>
        <w:t xml:space="preserve">As for the selective abortion, Georgia lacks official statistics on selective abortions, though distorted sex ration at birth (1.09 ratio) and projections indicate at existence of this problem. Since April 2014 UNFPA and the World Bank are implementing a joint research to document the problem of prenatal sex selection and identify underlying causes of this important demographic phenomenon. The research findings to be published in October 2014 will set a foundation for relevant national policies and regulations. Maternal and Child Health Board under the Ministry will also review recommendations on the terms of prenatal sex identification and comprehensive regulations based on global knowledge and local evidence will be approved before the end of 2014.  Focus of new regulations will be on increased public awareness raising </w:t>
      </w:r>
      <w:r w:rsidRPr="004D55B8">
        <w:rPr>
          <w:sz w:val="24"/>
        </w:rPr>
        <w:lastRenderedPageBreak/>
        <w:t>and capacity building of medical professionals, through the research findings will depict the specific regulatory and cultural factors to target at.</w:t>
      </w:r>
    </w:p>
    <w:p w:rsidR="004D55B8" w:rsidRDefault="004D55B8" w:rsidP="005E3818">
      <w:pPr>
        <w:jc w:val="both"/>
        <w:rPr>
          <w:b/>
          <w:sz w:val="24"/>
        </w:rPr>
      </w:pPr>
      <w:r>
        <w:rPr>
          <w:b/>
          <w:sz w:val="24"/>
        </w:rPr>
        <w:t>19. Employment</w:t>
      </w:r>
    </w:p>
    <w:p w:rsidR="004D55B8" w:rsidRPr="004D55B8" w:rsidRDefault="004D55B8" w:rsidP="004D55B8">
      <w:pPr>
        <w:jc w:val="both"/>
        <w:rPr>
          <w:sz w:val="24"/>
        </w:rPr>
      </w:pPr>
      <w:r w:rsidRPr="004D55B8">
        <w:rPr>
          <w:sz w:val="24"/>
        </w:rPr>
        <w:t xml:space="preserve">For the purpose of employment promotion, development of the </w:t>
      </w:r>
      <w:proofErr w:type="spellStart"/>
      <w:r w:rsidRPr="004D55B8">
        <w:rPr>
          <w:sz w:val="24"/>
        </w:rPr>
        <w:t>labour</w:t>
      </w:r>
      <w:proofErr w:type="spellEnd"/>
      <w:r w:rsidRPr="004D55B8">
        <w:rPr>
          <w:sz w:val="24"/>
        </w:rPr>
        <w:t xml:space="preserve"> market infrastructure and enhancing  the range and quality of services available to job-seekers, including IDPs, </w:t>
      </w:r>
      <w:proofErr w:type="spellStart"/>
      <w:r w:rsidRPr="004D55B8">
        <w:rPr>
          <w:sz w:val="24"/>
        </w:rPr>
        <w:t>MoLHSA</w:t>
      </w:r>
      <w:proofErr w:type="spellEnd"/>
      <w:r w:rsidRPr="004D55B8">
        <w:rPr>
          <w:sz w:val="24"/>
        </w:rPr>
        <w:t xml:space="preserve"> has ensured: (1) Development of a legal framework and establishment of 63 Employment Promotion Centers (EPCs) countrywide; (2) Allocation of office spaces and equipment of 63 district level EPCs; (3) Selection, recruitment and training of staff for the 63 district EPCs; (4) Software development for management of databases of job-seekers and job openings, and (5) Creation, development and management of an integrated web-portal for the EPCs. </w:t>
      </w:r>
    </w:p>
    <w:p w:rsidR="004D55B8" w:rsidRPr="004D55B8" w:rsidRDefault="004D55B8" w:rsidP="004D55B8">
      <w:pPr>
        <w:jc w:val="both"/>
        <w:rPr>
          <w:sz w:val="24"/>
        </w:rPr>
      </w:pPr>
      <w:r w:rsidRPr="004D55B8">
        <w:rPr>
          <w:sz w:val="24"/>
        </w:rPr>
        <w:t xml:space="preserve">Finally in October 2013 </w:t>
      </w:r>
      <w:proofErr w:type="spellStart"/>
      <w:r w:rsidRPr="004D55B8">
        <w:rPr>
          <w:sz w:val="24"/>
        </w:rPr>
        <w:t>MoLHSA</w:t>
      </w:r>
      <w:proofErr w:type="spellEnd"/>
      <w:r w:rsidRPr="004D55B8">
        <w:rPr>
          <w:sz w:val="24"/>
        </w:rPr>
        <w:t xml:space="preserve"> has established an interactive web-portal (worknet.gov.ge) for registration of job-seekers and employers. The web-portal is part of the </w:t>
      </w:r>
      <w:proofErr w:type="spellStart"/>
      <w:r w:rsidRPr="004D55B8">
        <w:rPr>
          <w:sz w:val="24"/>
        </w:rPr>
        <w:t>Labour</w:t>
      </w:r>
      <w:proofErr w:type="spellEnd"/>
      <w:r w:rsidRPr="004D55B8">
        <w:rPr>
          <w:sz w:val="24"/>
        </w:rPr>
        <w:t xml:space="preserve"> Market Information System (LMIS) and the registration in the system is voluntary and free. IDPs are having equal opportunities to participate and benefit from all the above mentioned employment services.</w:t>
      </w:r>
    </w:p>
    <w:p w:rsidR="005E3818" w:rsidRPr="005E3818" w:rsidRDefault="004D55B8" w:rsidP="005E3818">
      <w:pPr>
        <w:jc w:val="both"/>
        <w:rPr>
          <w:b/>
          <w:sz w:val="24"/>
        </w:rPr>
      </w:pPr>
      <w:r>
        <w:rPr>
          <w:b/>
          <w:sz w:val="24"/>
        </w:rPr>
        <w:t xml:space="preserve">20. </w:t>
      </w:r>
      <w:r w:rsidR="005E3818" w:rsidRPr="005E3818">
        <w:rPr>
          <w:b/>
          <w:sz w:val="24"/>
        </w:rPr>
        <w:t>Requested information on Conventions</w:t>
      </w:r>
    </w:p>
    <w:p w:rsidR="005E3818" w:rsidRPr="005E3818" w:rsidRDefault="005E3818" w:rsidP="005E3818">
      <w:pPr>
        <w:jc w:val="both"/>
        <w:rPr>
          <w:sz w:val="24"/>
        </w:rPr>
      </w:pPr>
      <w:r w:rsidRPr="005E3818">
        <w:rPr>
          <w:sz w:val="24"/>
        </w:rPr>
        <w:t xml:space="preserve">European Outline Convention on </w:t>
      </w:r>
      <w:proofErr w:type="spellStart"/>
      <w:r w:rsidRPr="005E3818">
        <w:rPr>
          <w:sz w:val="24"/>
        </w:rPr>
        <w:t>Transfrontier</w:t>
      </w:r>
      <w:proofErr w:type="spellEnd"/>
      <w:r w:rsidRPr="005E3818">
        <w:rPr>
          <w:sz w:val="24"/>
        </w:rPr>
        <w:t xml:space="preserve"> Co-operation between Territorial Communities or Authorities – is in force for</w:t>
      </w:r>
      <w:r>
        <w:rPr>
          <w:sz w:val="24"/>
        </w:rPr>
        <w:t xml:space="preserve"> Georgia as of 25 October 2006.</w:t>
      </w:r>
    </w:p>
    <w:p w:rsidR="005E3818" w:rsidRPr="005E3818" w:rsidRDefault="005E3818" w:rsidP="005E3818">
      <w:pPr>
        <w:jc w:val="both"/>
        <w:rPr>
          <w:sz w:val="24"/>
        </w:rPr>
      </w:pPr>
      <w:r w:rsidRPr="005E3818">
        <w:rPr>
          <w:sz w:val="24"/>
        </w:rPr>
        <w:t xml:space="preserve">Additional Protocol to the European Outline Convention on </w:t>
      </w:r>
      <w:proofErr w:type="spellStart"/>
      <w:r w:rsidRPr="005E3818">
        <w:rPr>
          <w:sz w:val="24"/>
        </w:rPr>
        <w:t>Transfrontier</w:t>
      </w:r>
      <w:proofErr w:type="spellEnd"/>
      <w:r w:rsidRPr="005E3818">
        <w:rPr>
          <w:sz w:val="24"/>
        </w:rPr>
        <w:t xml:space="preserve"> Co-operation between Territorial Communities or Authorities –</w:t>
      </w:r>
      <w:r>
        <w:rPr>
          <w:sz w:val="24"/>
        </w:rPr>
        <w:t xml:space="preserve"> was signed in 2 November 2005.</w:t>
      </w:r>
    </w:p>
    <w:p w:rsidR="005E3818" w:rsidRPr="005E3818" w:rsidRDefault="005E3818" w:rsidP="005E3818">
      <w:pPr>
        <w:jc w:val="both"/>
        <w:rPr>
          <w:sz w:val="24"/>
        </w:rPr>
      </w:pPr>
      <w:r w:rsidRPr="005E3818">
        <w:rPr>
          <w:sz w:val="24"/>
        </w:rPr>
        <w:t xml:space="preserve">Protocol No. 2 to the European Outline Convention on </w:t>
      </w:r>
      <w:proofErr w:type="spellStart"/>
      <w:r w:rsidRPr="005E3818">
        <w:rPr>
          <w:sz w:val="24"/>
        </w:rPr>
        <w:t>Transfrontier</w:t>
      </w:r>
      <w:proofErr w:type="spellEnd"/>
      <w:r w:rsidRPr="005E3818">
        <w:rPr>
          <w:sz w:val="24"/>
        </w:rPr>
        <w:t xml:space="preserve"> Co-operation between Territorial Communities or Authorities concerning </w:t>
      </w:r>
      <w:proofErr w:type="spellStart"/>
      <w:r w:rsidRPr="005E3818">
        <w:rPr>
          <w:sz w:val="24"/>
        </w:rPr>
        <w:t>interterritorial</w:t>
      </w:r>
      <w:proofErr w:type="spellEnd"/>
      <w:r w:rsidRPr="005E3818">
        <w:rPr>
          <w:sz w:val="24"/>
        </w:rPr>
        <w:t xml:space="preserve"> co-operation </w:t>
      </w:r>
      <w:r>
        <w:rPr>
          <w:sz w:val="24"/>
        </w:rPr>
        <w:t xml:space="preserve">was signed on 2 November 2005. </w:t>
      </w:r>
    </w:p>
    <w:p w:rsidR="005E3818" w:rsidRDefault="005E3818" w:rsidP="005E3818">
      <w:pPr>
        <w:jc w:val="both"/>
        <w:rPr>
          <w:sz w:val="24"/>
        </w:rPr>
      </w:pPr>
      <w:r w:rsidRPr="005E3818">
        <w:rPr>
          <w:sz w:val="24"/>
        </w:rPr>
        <w:t xml:space="preserve">Protocol No. 3 to the European Outline Convention on </w:t>
      </w:r>
      <w:proofErr w:type="spellStart"/>
      <w:r w:rsidRPr="005E3818">
        <w:rPr>
          <w:sz w:val="24"/>
        </w:rPr>
        <w:t>Transfrontier</w:t>
      </w:r>
      <w:proofErr w:type="spellEnd"/>
      <w:r w:rsidRPr="005E3818">
        <w:rPr>
          <w:sz w:val="24"/>
        </w:rPr>
        <w:t xml:space="preserve"> Co-operation between Territorial Communities or Authorities concerning </w:t>
      </w:r>
      <w:proofErr w:type="spellStart"/>
      <w:r w:rsidRPr="005E3818">
        <w:rPr>
          <w:sz w:val="24"/>
        </w:rPr>
        <w:t>Euroregional</w:t>
      </w:r>
      <w:proofErr w:type="spellEnd"/>
      <w:r w:rsidRPr="005E3818">
        <w:rPr>
          <w:sz w:val="24"/>
        </w:rPr>
        <w:t xml:space="preserve"> Co-operation Groupings  entered </w:t>
      </w:r>
      <w:proofErr w:type="spellStart"/>
      <w:r w:rsidRPr="005E3818">
        <w:rPr>
          <w:sz w:val="24"/>
        </w:rPr>
        <w:t>info</w:t>
      </w:r>
      <w:proofErr w:type="spellEnd"/>
      <w:r w:rsidRPr="005E3818">
        <w:rPr>
          <w:sz w:val="24"/>
        </w:rPr>
        <w:t xml:space="preserve"> force for Georgia on 1 May 2013.   </w:t>
      </w:r>
    </w:p>
    <w:p w:rsidR="004D55B8" w:rsidRPr="005E3818" w:rsidRDefault="004D55B8" w:rsidP="005E3818">
      <w:pPr>
        <w:jc w:val="both"/>
        <w:rPr>
          <w:sz w:val="24"/>
        </w:rPr>
      </w:pPr>
    </w:p>
    <w:p w:rsidR="0003741A" w:rsidRPr="001E7557" w:rsidRDefault="0003741A" w:rsidP="00B52BD3">
      <w:pPr>
        <w:jc w:val="both"/>
        <w:rPr>
          <w:b/>
          <w:sz w:val="28"/>
        </w:rPr>
      </w:pPr>
    </w:p>
    <w:sectPr w:rsidR="0003741A" w:rsidRPr="001E7557" w:rsidSect="00D1408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4785" w:rsidRDefault="00E34785" w:rsidP="00EC7421">
      <w:pPr>
        <w:spacing w:after="0" w:line="240" w:lineRule="auto"/>
      </w:pPr>
      <w:r>
        <w:separator/>
      </w:r>
    </w:p>
  </w:endnote>
  <w:endnote w:type="continuationSeparator" w:id="0">
    <w:p w:rsidR="00E34785" w:rsidRDefault="00E34785" w:rsidP="00EC74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4785" w:rsidRDefault="00E34785" w:rsidP="00EC7421">
      <w:pPr>
        <w:spacing w:after="0" w:line="240" w:lineRule="auto"/>
      </w:pPr>
      <w:r>
        <w:separator/>
      </w:r>
    </w:p>
  </w:footnote>
  <w:footnote w:type="continuationSeparator" w:id="0">
    <w:p w:rsidR="00E34785" w:rsidRDefault="00E34785" w:rsidP="00EC7421">
      <w:pPr>
        <w:spacing w:after="0" w:line="240" w:lineRule="auto"/>
      </w:pPr>
      <w:r>
        <w:continuationSeparator/>
      </w:r>
    </w:p>
  </w:footnote>
  <w:footnote w:id="1">
    <w:p w:rsidR="00EC7421" w:rsidRDefault="00EC7421">
      <w:pPr>
        <w:pStyle w:val="FootnoteText"/>
      </w:pPr>
      <w:r>
        <w:rPr>
          <w:rStyle w:val="FootnoteReference"/>
        </w:rPr>
        <w:footnoteRef/>
      </w:r>
      <w:r>
        <w:t xml:space="preserve"> All the annexed documents are unofficial translations.</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0C41B0"/>
    <w:rsid w:val="0003741A"/>
    <w:rsid w:val="000C41B0"/>
    <w:rsid w:val="000F098D"/>
    <w:rsid w:val="001020EE"/>
    <w:rsid w:val="001E7557"/>
    <w:rsid w:val="001F3184"/>
    <w:rsid w:val="002B5033"/>
    <w:rsid w:val="002C5865"/>
    <w:rsid w:val="002E5F67"/>
    <w:rsid w:val="00311F4D"/>
    <w:rsid w:val="003204EE"/>
    <w:rsid w:val="004D0274"/>
    <w:rsid w:val="004D55B8"/>
    <w:rsid w:val="005176E5"/>
    <w:rsid w:val="005A3574"/>
    <w:rsid w:val="005E3818"/>
    <w:rsid w:val="005E701D"/>
    <w:rsid w:val="00672673"/>
    <w:rsid w:val="006E61B2"/>
    <w:rsid w:val="00786A9D"/>
    <w:rsid w:val="007C03E7"/>
    <w:rsid w:val="0085205C"/>
    <w:rsid w:val="008E2901"/>
    <w:rsid w:val="0090377F"/>
    <w:rsid w:val="009757BB"/>
    <w:rsid w:val="00982C94"/>
    <w:rsid w:val="009E22F0"/>
    <w:rsid w:val="009F13BD"/>
    <w:rsid w:val="009F33C7"/>
    <w:rsid w:val="00A137B1"/>
    <w:rsid w:val="00B06AA2"/>
    <w:rsid w:val="00B52BD3"/>
    <w:rsid w:val="00BB5AD7"/>
    <w:rsid w:val="00C0595D"/>
    <w:rsid w:val="00CC5C46"/>
    <w:rsid w:val="00CF008B"/>
    <w:rsid w:val="00CF242D"/>
    <w:rsid w:val="00D07B68"/>
    <w:rsid w:val="00D14083"/>
    <w:rsid w:val="00DA63C2"/>
    <w:rsid w:val="00DB0D4A"/>
    <w:rsid w:val="00E27C93"/>
    <w:rsid w:val="00E34785"/>
    <w:rsid w:val="00E64136"/>
    <w:rsid w:val="00EC7421"/>
    <w:rsid w:val="00F4498C"/>
    <w:rsid w:val="00FE34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0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C74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7421"/>
    <w:rPr>
      <w:sz w:val="20"/>
      <w:szCs w:val="20"/>
    </w:rPr>
  </w:style>
  <w:style w:type="character" w:styleId="FootnoteReference">
    <w:name w:val="footnote reference"/>
    <w:basedOn w:val="DefaultParagraphFont"/>
    <w:uiPriority w:val="99"/>
    <w:semiHidden/>
    <w:unhideWhenUsed/>
    <w:rsid w:val="00EC7421"/>
    <w:rPr>
      <w:vertAlign w:val="superscript"/>
    </w:rPr>
  </w:style>
  <w:style w:type="paragraph" w:styleId="BalloonText">
    <w:name w:val="Balloon Text"/>
    <w:basedOn w:val="Normal"/>
    <w:link w:val="BalloonTextChar"/>
    <w:uiPriority w:val="99"/>
    <w:semiHidden/>
    <w:unhideWhenUsed/>
    <w:rsid w:val="009F33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3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C74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7421"/>
    <w:rPr>
      <w:sz w:val="20"/>
      <w:szCs w:val="20"/>
    </w:rPr>
  </w:style>
  <w:style w:type="character" w:styleId="FootnoteReference">
    <w:name w:val="footnote reference"/>
    <w:basedOn w:val="DefaultParagraphFont"/>
    <w:uiPriority w:val="99"/>
    <w:semiHidden/>
    <w:unhideWhenUsed/>
    <w:rsid w:val="00EC7421"/>
    <w:rPr>
      <w:vertAlign w:val="superscript"/>
    </w:rPr>
  </w:style>
  <w:style w:type="paragraph" w:styleId="BalloonText">
    <w:name w:val="Balloon Text"/>
    <w:basedOn w:val="Normal"/>
    <w:link w:val="BalloonTextChar"/>
    <w:uiPriority w:val="99"/>
    <w:semiHidden/>
    <w:unhideWhenUsed/>
    <w:rsid w:val="009F33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3C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0AF5BA-8C6E-4C02-B62C-52E6961A7A33}"/>
</file>

<file path=customXml/itemProps2.xml><?xml version="1.0" encoding="utf-8"?>
<ds:datastoreItem xmlns:ds="http://schemas.openxmlformats.org/officeDocument/2006/customXml" ds:itemID="{77E6F814-F018-46E5-8168-A42ABDB3C538}"/>
</file>

<file path=customXml/itemProps3.xml><?xml version="1.0" encoding="utf-8"?>
<ds:datastoreItem xmlns:ds="http://schemas.openxmlformats.org/officeDocument/2006/customXml" ds:itemID="{F049255A-8626-43DB-87EC-5217DE878498}"/>
</file>

<file path=customXml/itemProps4.xml><?xml version="1.0" encoding="utf-8"?>
<ds:datastoreItem xmlns:ds="http://schemas.openxmlformats.org/officeDocument/2006/customXml" ds:itemID="{623A481F-646E-466E-B87F-F41EC3743FCE}"/>
</file>

<file path=docProps/app.xml><?xml version="1.0" encoding="utf-8"?>
<Properties xmlns="http://schemas.openxmlformats.org/officeDocument/2006/extended-properties" xmlns:vt="http://schemas.openxmlformats.org/officeDocument/2006/docPropsVTypes">
  <Template>Normal</Template>
  <TotalTime>299</TotalTime>
  <Pages>19</Pages>
  <Words>7392</Words>
  <Characters>42136</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Beka Dzamashvili</dc:creator>
  <cp:keywords/>
  <dc:description/>
  <cp:lastModifiedBy>ekipiani</cp:lastModifiedBy>
  <cp:revision>11</cp:revision>
  <cp:lastPrinted>2014-07-15T08:59:00Z</cp:lastPrinted>
  <dcterms:created xsi:type="dcterms:W3CDTF">2014-07-14T14:49:00Z</dcterms:created>
  <dcterms:modified xsi:type="dcterms:W3CDTF">2014-07-15T09:07:00Z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