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03C" w:rsidRDefault="00ED003C" w:rsidP="00ED003C">
      <w:pPr>
        <w:spacing w:after="60" w:line="240" w:lineRule="auto"/>
        <w:rPr>
          <w:rFonts w:ascii="Arial" w:eastAsia="Times New Roman" w:hAnsi="Arial" w:cs="Arial"/>
          <w:color w:val="000000"/>
          <w:sz w:val="52"/>
          <w:szCs w:val="52"/>
          <w:lang w:eastAsia="en-NZ"/>
        </w:rPr>
      </w:pPr>
      <w:bookmarkStart w:id="0" w:name="_GoBack"/>
      <w:bookmarkEnd w:id="0"/>
      <w:r w:rsidRPr="00ED003C">
        <w:rPr>
          <w:rFonts w:ascii="Arial" w:eastAsia="Times New Roman" w:hAnsi="Arial" w:cs="Arial"/>
          <w:color w:val="000000"/>
          <w:sz w:val="52"/>
          <w:szCs w:val="52"/>
          <w:lang w:eastAsia="en-NZ"/>
        </w:rPr>
        <w:t xml:space="preserve">The rights of rainbow children </w:t>
      </w:r>
      <w:r w:rsidRPr="00ED003C">
        <w:rPr>
          <w:rFonts w:ascii="Arial" w:eastAsia="Times New Roman" w:hAnsi="Arial" w:cs="Arial"/>
          <w:color w:val="000000"/>
          <w:sz w:val="52"/>
          <w:szCs w:val="52"/>
          <w:lang w:eastAsia="en-NZ"/>
        </w:rPr>
        <w:br/>
        <w:t>in Aotearoa New Zealand</w:t>
      </w:r>
    </w:p>
    <w:p w:rsidR="00ED003C" w:rsidRPr="00ED003C" w:rsidRDefault="00ED003C" w:rsidP="00375A94">
      <w:pPr>
        <w:rPr>
          <w:rFonts w:ascii="Times New Roman" w:hAnsi="Times New Roman" w:cs="Times New Roman"/>
          <w:sz w:val="24"/>
          <w:szCs w:val="24"/>
          <w:lang w:eastAsia="en-NZ"/>
        </w:rPr>
      </w:pPr>
      <w:r w:rsidRPr="00ED003C">
        <w:rPr>
          <w:lang w:eastAsia="en-NZ"/>
        </w:rPr>
        <w:t>A submission to the UN Committee on the Rights of the Child (Committee)</w:t>
      </w:r>
      <w:r w:rsidR="00375A94">
        <w:rPr>
          <w:rFonts w:ascii="Times New Roman" w:hAnsi="Times New Roman" w:cs="Times New Roman"/>
          <w:sz w:val="24"/>
          <w:szCs w:val="24"/>
          <w:lang w:eastAsia="en-NZ"/>
        </w:rPr>
        <w:br/>
      </w:r>
      <w:r w:rsidR="00375A94">
        <w:rPr>
          <w:lang w:eastAsia="en-NZ"/>
        </w:rPr>
        <w:t>for the draft List of Issues Prior to Reporting</w:t>
      </w:r>
      <w:r w:rsidR="00375A94">
        <w:rPr>
          <w:rFonts w:ascii="Times New Roman" w:hAnsi="Times New Roman" w:cs="Times New Roman"/>
          <w:sz w:val="24"/>
          <w:szCs w:val="24"/>
          <w:lang w:eastAsia="en-NZ"/>
        </w:rPr>
        <w:br/>
      </w:r>
      <w:r w:rsidRPr="00ED003C">
        <w:rPr>
          <w:lang w:eastAsia="en-NZ"/>
        </w:rPr>
        <w:t>March 2020</w:t>
      </w:r>
    </w:p>
    <w:p w:rsidR="00ED003C" w:rsidRPr="00ED003C" w:rsidRDefault="00ED003C" w:rsidP="00ED003C">
      <w:pPr>
        <w:spacing w:after="0" w:line="240" w:lineRule="auto"/>
        <w:rPr>
          <w:rFonts w:ascii="Times New Roman" w:eastAsia="Times New Roman" w:hAnsi="Times New Roman" w:cs="Times New Roman"/>
          <w:sz w:val="24"/>
          <w:szCs w:val="24"/>
          <w:lang w:eastAsia="en-NZ"/>
        </w:rPr>
      </w:pPr>
    </w:p>
    <w:p w:rsidR="00ED003C" w:rsidRPr="00ED003C" w:rsidRDefault="00375A94" w:rsidP="00375A94">
      <w:pPr>
        <w:rPr>
          <w:rFonts w:ascii="Times New Roman" w:hAnsi="Times New Roman" w:cs="Times New Roman"/>
          <w:sz w:val="24"/>
          <w:szCs w:val="24"/>
          <w:lang w:eastAsia="en-NZ"/>
        </w:rPr>
      </w:pPr>
      <w:r>
        <w:rPr>
          <w:lang w:eastAsia="en-NZ"/>
        </w:rPr>
        <w:t>This submission is made by Te Ngākau Kahukura, an NGO focused on rainbow youth rights and wellbeing.</w:t>
      </w:r>
    </w:p>
    <w:p w:rsidR="00ED003C" w:rsidRPr="00ED003C" w:rsidRDefault="00ED003C" w:rsidP="00375A94">
      <w:pPr>
        <w:rPr>
          <w:rFonts w:ascii="Times New Roman" w:hAnsi="Times New Roman" w:cs="Times New Roman"/>
          <w:sz w:val="24"/>
          <w:szCs w:val="24"/>
          <w:lang w:eastAsia="en-NZ"/>
        </w:rPr>
      </w:pPr>
      <w:r w:rsidRPr="00ED003C">
        <w:rPr>
          <w:lang w:eastAsia="en-NZ"/>
        </w:rPr>
        <w:t>It is informed by previous collective submissions made by rainbow community organisations including to the UN UPR</w:t>
      </w:r>
      <w:r>
        <w:rPr>
          <w:rStyle w:val="EndnoteReference"/>
          <w:rFonts w:ascii="Arial" w:eastAsia="Times New Roman" w:hAnsi="Arial" w:cs="Arial"/>
          <w:color w:val="000000"/>
          <w:lang w:eastAsia="en-NZ"/>
        </w:rPr>
        <w:endnoteReference w:id="1"/>
      </w:r>
      <w:r>
        <w:rPr>
          <w:lang w:eastAsia="en-NZ"/>
        </w:rPr>
        <w:t xml:space="preserve"> </w:t>
      </w:r>
      <w:r w:rsidRPr="00ED003C">
        <w:rPr>
          <w:lang w:eastAsia="en-NZ"/>
        </w:rPr>
        <w:t>and local policy processes</w:t>
      </w:r>
      <w:r>
        <w:rPr>
          <w:rStyle w:val="EndnoteReference"/>
          <w:rFonts w:ascii="Arial" w:eastAsia="Times New Roman" w:hAnsi="Arial" w:cs="Arial"/>
          <w:color w:val="000000"/>
          <w:lang w:eastAsia="en-NZ"/>
        </w:rPr>
        <w:endnoteReference w:id="2"/>
      </w:r>
      <w:r w:rsidRPr="00ED003C">
        <w:rPr>
          <w:lang w:eastAsia="en-NZ"/>
        </w:rPr>
        <w:t>.</w:t>
      </w:r>
    </w:p>
    <w:p w:rsidR="00ED003C" w:rsidRPr="00ED003C" w:rsidRDefault="00ED003C" w:rsidP="00375A94">
      <w:pPr>
        <w:rPr>
          <w:rFonts w:ascii="Times New Roman" w:hAnsi="Times New Roman" w:cs="Times New Roman"/>
          <w:sz w:val="24"/>
          <w:szCs w:val="24"/>
          <w:lang w:eastAsia="en-NZ"/>
        </w:rPr>
      </w:pPr>
      <w:r w:rsidRPr="00ED003C">
        <w:rPr>
          <w:lang w:eastAsia="en-NZ"/>
        </w:rPr>
        <w:t>All people have a sexual orientation, gender identity and expression, and sex characteristics (SOGIESC). These are distinct yet overlapping characteristics integral to each person. </w:t>
      </w:r>
    </w:p>
    <w:p w:rsidR="00ED003C" w:rsidRPr="00ED003C" w:rsidRDefault="00ED003C" w:rsidP="00375A94">
      <w:pPr>
        <w:rPr>
          <w:rFonts w:ascii="Times New Roman" w:hAnsi="Times New Roman" w:cs="Times New Roman"/>
          <w:sz w:val="24"/>
          <w:szCs w:val="24"/>
          <w:lang w:eastAsia="en-NZ"/>
        </w:rPr>
      </w:pPr>
      <w:r w:rsidRPr="00ED003C">
        <w:rPr>
          <w:lang w:eastAsia="en-NZ"/>
        </w:rPr>
        <w:t xml:space="preserve">In this submission, we are using </w:t>
      </w:r>
      <w:r w:rsidRPr="00ED003C">
        <w:rPr>
          <w:i/>
          <w:iCs/>
          <w:lang w:eastAsia="en-NZ"/>
        </w:rPr>
        <w:t xml:space="preserve">rainbow </w:t>
      </w:r>
      <w:r w:rsidRPr="00ED003C">
        <w:rPr>
          <w:lang w:eastAsia="en-NZ"/>
        </w:rPr>
        <w:t>as an umbrella term to describe people whose sexual orientation, gender identity, gender expression or sex characteristics SOGIESC differ from majority, binary norms. This includes people who either do not identify as heterosexual, have a gender identity that does not match the sex they were assigned at birth, do not fit typical gender norms, and/or were born with bodies that are more diverse than stereotypical definitions of male or female. It is inclusive of people who do not use specific words for their identity, as well as young people who are still forming their identity or are not sexually active. </w:t>
      </w:r>
    </w:p>
    <w:p w:rsidR="00ED003C" w:rsidRPr="00ED003C" w:rsidRDefault="00ED003C" w:rsidP="00375A94">
      <w:pPr>
        <w:rPr>
          <w:rFonts w:ascii="Times New Roman" w:hAnsi="Times New Roman" w:cs="Times New Roman"/>
          <w:sz w:val="24"/>
          <w:szCs w:val="24"/>
          <w:lang w:eastAsia="en-NZ"/>
        </w:rPr>
      </w:pPr>
      <w:r w:rsidRPr="00ED003C">
        <w:rPr>
          <w:lang w:eastAsia="en-NZ"/>
        </w:rPr>
        <w:t xml:space="preserve">In describing this diverse population as a distinct group, </w:t>
      </w:r>
      <w:r w:rsidRPr="00ED003C">
        <w:rPr>
          <w:i/>
          <w:iCs/>
          <w:lang w:eastAsia="en-NZ"/>
        </w:rPr>
        <w:t>rainbow</w:t>
      </w:r>
      <w:r w:rsidRPr="00ED003C">
        <w:rPr>
          <w:lang w:eastAsia="en-NZ"/>
        </w:rPr>
        <w:t xml:space="preserve"> is often used in New Zealand in preference to other terminology because it allows for acknowledging difference and diversity, is predicated on inclusion, and can encompass traditional and culturally-based identity terms which are not directly equivalent to Western views of sexuality, gender identity or expression, or sex characteristic diversity. </w:t>
      </w:r>
    </w:p>
    <w:p w:rsidR="00ED003C" w:rsidRPr="00ED003C" w:rsidRDefault="00ED003C" w:rsidP="00375A94">
      <w:pPr>
        <w:rPr>
          <w:rFonts w:ascii="Times New Roman" w:hAnsi="Times New Roman" w:cs="Times New Roman"/>
          <w:sz w:val="24"/>
          <w:szCs w:val="24"/>
          <w:lang w:eastAsia="en-NZ"/>
        </w:rPr>
      </w:pPr>
      <w:r w:rsidRPr="00ED003C">
        <w:rPr>
          <w:lang w:eastAsia="en-NZ"/>
        </w:rPr>
        <w:t>Children and young people in New Zealand face specific and unique barriers to the full enjoyment of human rights based on their actual or perceived SOGIESC. Experiences of violence, social exclusion and discrimination lead to poorer health and social outcomes, including disproportionate rates of suicidality</w:t>
      </w:r>
      <w:r>
        <w:rPr>
          <w:rStyle w:val="EndnoteReference"/>
          <w:rFonts w:ascii="Arial" w:eastAsia="Times New Roman" w:hAnsi="Arial" w:cs="Arial"/>
          <w:color w:val="000000"/>
          <w:lang w:eastAsia="en-NZ"/>
        </w:rPr>
        <w:endnoteReference w:id="3"/>
      </w:r>
      <w:r w:rsidRPr="00ED003C">
        <w:rPr>
          <w:lang w:eastAsia="en-NZ"/>
        </w:rPr>
        <w:t>, homelessness</w:t>
      </w:r>
      <w:r>
        <w:rPr>
          <w:rStyle w:val="EndnoteReference"/>
          <w:rFonts w:ascii="Arial" w:eastAsia="Times New Roman" w:hAnsi="Arial" w:cs="Arial"/>
          <w:color w:val="000000"/>
          <w:lang w:eastAsia="en-NZ"/>
        </w:rPr>
        <w:endnoteReference w:id="4"/>
      </w:r>
      <w:r w:rsidRPr="00ED003C">
        <w:rPr>
          <w:lang w:eastAsia="en-NZ"/>
        </w:rPr>
        <w:t xml:space="preserve"> and poor mental health</w:t>
      </w:r>
      <w:r>
        <w:rPr>
          <w:rStyle w:val="EndnoteReference"/>
          <w:rFonts w:ascii="Arial" w:eastAsia="Times New Roman" w:hAnsi="Arial" w:cs="Arial"/>
          <w:color w:val="000000"/>
          <w:lang w:eastAsia="en-NZ"/>
        </w:rPr>
        <w:endnoteReference w:id="5"/>
      </w:r>
      <w:r w:rsidRPr="00ED003C">
        <w:rPr>
          <w:lang w:eastAsia="en-NZ"/>
        </w:rPr>
        <w:t>.</w:t>
      </w:r>
    </w:p>
    <w:p w:rsidR="00ED003C" w:rsidRPr="00ED003C" w:rsidRDefault="00ED003C" w:rsidP="00ED003C">
      <w:pPr>
        <w:spacing w:before="360" w:after="120" w:line="240" w:lineRule="auto"/>
        <w:outlineLvl w:val="1"/>
        <w:rPr>
          <w:rFonts w:ascii="Times New Roman" w:eastAsia="Times New Roman" w:hAnsi="Times New Roman" w:cs="Times New Roman"/>
          <w:b/>
          <w:bCs/>
          <w:sz w:val="36"/>
          <w:szCs w:val="36"/>
          <w:lang w:eastAsia="en-NZ"/>
        </w:rPr>
      </w:pPr>
      <w:r w:rsidRPr="00ED003C">
        <w:rPr>
          <w:rFonts w:ascii="Arial" w:eastAsia="Times New Roman" w:hAnsi="Arial" w:cs="Arial"/>
          <w:color w:val="000000"/>
          <w:sz w:val="32"/>
          <w:szCs w:val="32"/>
          <w:lang w:eastAsia="en-NZ"/>
        </w:rPr>
        <w:t>Progress since the 5th periodic review of New Zealand</w:t>
      </w:r>
    </w:p>
    <w:p w:rsidR="00ED003C" w:rsidRPr="00ED003C" w:rsidRDefault="00ED003C" w:rsidP="00375A94">
      <w:pPr>
        <w:rPr>
          <w:rFonts w:ascii="Times New Roman" w:hAnsi="Times New Roman" w:cs="Times New Roman"/>
          <w:sz w:val="24"/>
          <w:szCs w:val="24"/>
          <w:lang w:eastAsia="en-NZ"/>
        </w:rPr>
      </w:pPr>
      <w:r w:rsidRPr="00ED003C">
        <w:rPr>
          <w:lang w:eastAsia="en-NZ"/>
        </w:rPr>
        <w:t>In their concluding observations on the fifth periodic report of New Zealand in 2016, the Committee made five recommendations that had direct reference to rainbow children. 15(b) recommended measures to ensure protection against discrimination, and 25(b)-(e) referred to harmful medical interventions on intersex children.</w:t>
      </w:r>
    </w:p>
    <w:p w:rsidR="00ED003C" w:rsidRPr="00ED003C" w:rsidRDefault="00ED003C" w:rsidP="00375A94">
      <w:pPr>
        <w:rPr>
          <w:rFonts w:ascii="Times New Roman" w:hAnsi="Times New Roman" w:cs="Times New Roman"/>
          <w:sz w:val="24"/>
          <w:szCs w:val="24"/>
          <w:lang w:eastAsia="en-NZ"/>
        </w:rPr>
      </w:pPr>
      <w:r w:rsidRPr="00ED003C">
        <w:rPr>
          <w:lang w:eastAsia="en-NZ"/>
        </w:rPr>
        <w:t xml:space="preserve">There has been limited progress towards addressing these recommendations, </w:t>
      </w:r>
      <w:r w:rsidR="00F86BBE">
        <w:rPr>
          <w:lang w:eastAsia="en-NZ"/>
        </w:rPr>
        <w:t xml:space="preserve">as detailed below, </w:t>
      </w:r>
      <w:r w:rsidRPr="00ED003C">
        <w:rPr>
          <w:lang w:eastAsia="en-NZ"/>
        </w:rPr>
        <w:t>and limited targeted action to ensure that rainbow children experience the full enjoyment of their human rights, since the fifth periodic review.</w:t>
      </w:r>
    </w:p>
    <w:p w:rsidR="00ED003C" w:rsidRPr="00ED003C" w:rsidRDefault="00ED003C" w:rsidP="00375A94">
      <w:pPr>
        <w:rPr>
          <w:rFonts w:ascii="Times New Roman" w:hAnsi="Times New Roman" w:cs="Times New Roman"/>
          <w:sz w:val="24"/>
          <w:szCs w:val="24"/>
          <w:lang w:eastAsia="en-NZ"/>
        </w:rPr>
      </w:pPr>
      <w:r w:rsidRPr="00ED003C">
        <w:rPr>
          <w:lang w:eastAsia="en-NZ"/>
        </w:rPr>
        <w:t>While the current government has a significant focus on child wellbeing, and has developed its first Child and Youth Wellbeing Strategy</w:t>
      </w:r>
      <w:r>
        <w:rPr>
          <w:rStyle w:val="EndnoteReference"/>
          <w:rFonts w:ascii="Arial" w:eastAsia="Times New Roman" w:hAnsi="Arial" w:cs="Arial"/>
          <w:color w:val="000000"/>
          <w:lang w:eastAsia="en-NZ"/>
        </w:rPr>
        <w:endnoteReference w:id="6"/>
      </w:r>
      <w:r w:rsidRPr="00ED003C">
        <w:rPr>
          <w:lang w:eastAsia="en-NZ"/>
        </w:rPr>
        <w:t>, its initial action plan does not include any actions to specifically address rainbow rights and discrimination.</w:t>
      </w:r>
    </w:p>
    <w:p w:rsidR="00ED003C" w:rsidRDefault="00A37913" w:rsidP="00375A94">
      <w:pPr>
        <w:rPr>
          <w:lang w:eastAsia="en-NZ"/>
        </w:rPr>
      </w:pPr>
      <w:r>
        <w:rPr>
          <w:lang w:eastAsia="en-NZ"/>
        </w:rPr>
        <w:lastRenderedPageBreak/>
        <w:t>In recent years, r</w:t>
      </w:r>
      <w:r w:rsidR="00F86BBE">
        <w:rPr>
          <w:lang w:eastAsia="en-NZ"/>
        </w:rPr>
        <w:t xml:space="preserve">ainbow communities have advocated for specific </w:t>
      </w:r>
      <w:r w:rsidR="00ED003C" w:rsidRPr="00ED003C">
        <w:rPr>
          <w:lang w:eastAsia="en-NZ"/>
        </w:rPr>
        <w:t>opportunities to improve rainbow human rights</w:t>
      </w:r>
      <w:r w:rsidR="00F86BBE">
        <w:rPr>
          <w:lang w:eastAsia="en-NZ"/>
        </w:rPr>
        <w:t xml:space="preserve">, and have encountered barriers and delays from government in making progress. These include </w:t>
      </w:r>
      <w:r w:rsidR="00ED003C" w:rsidRPr="00ED003C">
        <w:rPr>
          <w:lang w:eastAsia="en-NZ"/>
        </w:rPr>
        <w:t xml:space="preserve">simplifying the process of changing </w:t>
      </w:r>
      <w:r w:rsidR="00ED003C">
        <w:rPr>
          <w:lang w:eastAsia="en-NZ"/>
        </w:rPr>
        <w:t>gender markers on birth certificates</w:t>
      </w:r>
      <w:r w:rsidR="00ED003C">
        <w:rPr>
          <w:rStyle w:val="EndnoteReference"/>
          <w:rFonts w:ascii="Arial" w:eastAsia="Times New Roman" w:hAnsi="Arial" w:cs="Arial"/>
          <w:color w:val="000000"/>
          <w:lang w:eastAsia="en-NZ"/>
        </w:rPr>
        <w:endnoteReference w:id="7"/>
      </w:r>
      <w:r w:rsidR="00ED003C" w:rsidRPr="00ED003C">
        <w:rPr>
          <w:lang w:eastAsia="en-NZ"/>
        </w:rPr>
        <w:t xml:space="preserve">, banning </w:t>
      </w:r>
      <w:r w:rsidR="00ED003C">
        <w:rPr>
          <w:lang w:eastAsia="en-NZ"/>
        </w:rPr>
        <w:t xml:space="preserve">so-called </w:t>
      </w:r>
      <w:r w:rsidR="00ED003C" w:rsidRPr="00ED003C">
        <w:rPr>
          <w:lang w:eastAsia="en-NZ"/>
        </w:rPr>
        <w:t>“conversion therapy”</w:t>
      </w:r>
      <w:r w:rsidR="00ED003C">
        <w:rPr>
          <w:rStyle w:val="EndnoteReference"/>
          <w:rFonts w:ascii="Arial" w:eastAsia="Times New Roman" w:hAnsi="Arial" w:cs="Arial"/>
          <w:color w:val="000000"/>
          <w:lang w:eastAsia="en-NZ"/>
        </w:rPr>
        <w:endnoteReference w:id="8"/>
      </w:r>
      <w:r w:rsidR="00ED003C" w:rsidRPr="00ED003C">
        <w:rPr>
          <w:lang w:eastAsia="en-NZ"/>
        </w:rPr>
        <w:t>, and legally prohibiting discrimination on the grounds of gender identity or expression, or sex characteristics</w:t>
      </w:r>
      <w:r w:rsidR="00F86BBE">
        <w:rPr>
          <w:rStyle w:val="EndnoteReference"/>
          <w:rFonts w:ascii="Arial" w:eastAsia="Times New Roman" w:hAnsi="Arial" w:cs="Arial"/>
          <w:color w:val="000000"/>
          <w:lang w:eastAsia="en-NZ"/>
        </w:rPr>
        <w:endnoteReference w:id="9"/>
      </w:r>
      <w:r w:rsidR="00ED003C" w:rsidRPr="00ED003C">
        <w:rPr>
          <w:lang w:eastAsia="en-NZ"/>
        </w:rPr>
        <w:t xml:space="preserve">. </w:t>
      </w:r>
    </w:p>
    <w:p w:rsidR="00A37913" w:rsidRPr="00ED003C" w:rsidRDefault="00A37913" w:rsidP="00375A94">
      <w:pPr>
        <w:rPr>
          <w:rFonts w:ascii="Times New Roman" w:hAnsi="Times New Roman" w:cs="Times New Roman"/>
          <w:sz w:val="24"/>
          <w:szCs w:val="24"/>
          <w:lang w:eastAsia="en-NZ"/>
        </w:rPr>
      </w:pPr>
      <w:r>
        <w:rPr>
          <w:lang w:eastAsia="en-NZ"/>
        </w:rPr>
        <w:t>Specific focus, resourcing and action is needed to address rainbow children and young people’s rights, as part of New Zealand’s wider responsibility to upholding children’s rights.</w:t>
      </w:r>
    </w:p>
    <w:p w:rsidR="00F86BBE" w:rsidRDefault="00F86BBE" w:rsidP="00F86BBE">
      <w:pPr>
        <w:pStyle w:val="Heading3"/>
      </w:pPr>
      <w:r>
        <w:t>Progress on the Committee’s recommendations</w:t>
      </w:r>
    </w:p>
    <w:p w:rsidR="00F86BBE" w:rsidRPr="00ED003C" w:rsidRDefault="00F86BBE" w:rsidP="00F86BBE">
      <w:pPr>
        <w:spacing w:before="280" w:after="80" w:line="240" w:lineRule="auto"/>
        <w:outlineLvl w:val="3"/>
        <w:rPr>
          <w:rFonts w:ascii="Times New Roman" w:eastAsia="Times New Roman" w:hAnsi="Times New Roman" w:cs="Times New Roman"/>
          <w:b/>
          <w:bCs/>
          <w:sz w:val="24"/>
          <w:szCs w:val="24"/>
          <w:lang w:eastAsia="en-NZ"/>
        </w:rPr>
      </w:pPr>
      <w:r w:rsidRPr="00ED003C">
        <w:rPr>
          <w:rFonts w:ascii="Arial" w:eastAsia="Times New Roman" w:hAnsi="Arial" w:cs="Arial"/>
          <w:color w:val="666666"/>
          <w:sz w:val="24"/>
          <w:szCs w:val="24"/>
          <w:lang w:eastAsia="en-NZ"/>
        </w:rPr>
        <w:t>Protection from discrimination</w:t>
      </w:r>
    </w:p>
    <w:p w:rsidR="00F86BBE" w:rsidRPr="00ED003C" w:rsidRDefault="00F86BBE" w:rsidP="00375A94">
      <w:pPr>
        <w:rPr>
          <w:lang w:eastAsia="en-NZ"/>
        </w:rPr>
      </w:pPr>
      <w:r>
        <w:rPr>
          <w:lang w:eastAsia="en-NZ"/>
        </w:rPr>
        <w:t>The Committee’s concluding observations on the last report recommended that New Zealand “</w:t>
      </w:r>
      <w:r w:rsidRPr="00ED003C">
        <w:rPr>
          <w:lang w:eastAsia="en-NZ"/>
        </w:rPr>
        <w:t>Ensure full protection against discrimination on any ground, including by... strengthening its measures to combat negative attitudes among the public and other preventive activities against discrimination and, if necessary, taking affirmative action for the benefit of children in vulnerable situations, such as… lesbian, bisexual, gay, transgender and intersex children and children living with persons from those groups</w:t>
      </w:r>
      <w:r>
        <w:rPr>
          <w:lang w:eastAsia="en-NZ"/>
        </w:rPr>
        <w:t>”.</w:t>
      </w:r>
    </w:p>
    <w:p w:rsidR="00361AD0" w:rsidRPr="00ED003C" w:rsidRDefault="00F86BBE" w:rsidP="00375A94">
      <w:pPr>
        <w:rPr>
          <w:lang w:eastAsia="en-NZ"/>
        </w:rPr>
      </w:pPr>
      <w:r>
        <w:rPr>
          <w:lang w:eastAsia="en-NZ"/>
        </w:rPr>
        <w:t xml:space="preserve">New Zealand still does not have specific legal protection against discrimination for all rainbow children. The </w:t>
      </w:r>
      <w:r w:rsidRPr="00ED003C">
        <w:rPr>
          <w:lang w:eastAsia="en-NZ"/>
        </w:rPr>
        <w:t>Human Rights Act 1993 includes sex and sexual orientation as prohibited grounds of discrimination</w:t>
      </w:r>
      <w:r w:rsidR="00361AD0">
        <w:rPr>
          <w:rStyle w:val="EndnoteReference"/>
          <w:rFonts w:ascii="Arial" w:eastAsia="Times New Roman" w:hAnsi="Arial" w:cs="Arial"/>
          <w:color w:val="000000"/>
          <w:lang w:eastAsia="en-NZ"/>
        </w:rPr>
        <w:endnoteReference w:id="10"/>
      </w:r>
      <w:r w:rsidRPr="00ED003C">
        <w:rPr>
          <w:lang w:eastAsia="en-NZ"/>
        </w:rPr>
        <w:t>, but does not specifically include gender identity and expression, or sex characteristics. While the New Zealand Human Rights Commission accepts discrimination complaints based on a person’s gender identity or expression and sex characteristics</w:t>
      </w:r>
      <w:r w:rsidR="00361AD0">
        <w:rPr>
          <w:rStyle w:val="EndnoteReference"/>
          <w:rFonts w:ascii="Arial" w:eastAsia="Times New Roman" w:hAnsi="Arial" w:cs="Arial"/>
          <w:color w:val="000000"/>
          <w:lang w:eastAsia="en-NZ"/>
        </w:rPr>
        <w:endnoteReference w:id="11"/>
      </w:r>
      <w:r w:rsidRPr="00ED003C">
        <w:rPr>
          <w:lang w:eastAsia="en-NZ"/>
        </w:rPr>
        <w:t xml:space="preserve">, </w:t>
      </w:r>
      <w:r w:rsidR="00361AD0">
        <w:rPr>
          <w:lang w:eastAsia="en-NZ"/>
        </w:rPr>
        <w:t>the law does not provide explicit protection</w:t>
      </w:r>
      <w:r w:rsidR="00A37913">
        <w:rPr>
          <w:lang w:eastAsia="en-NZ"/>
        </w:rPr>
        <w:t xml:space="preserve"> on these grounds</w:t>
      </w:r>
      <w:r w:rsidR="00361AD0">
        <w:rPr>
          <w:lang w:eastAsia="en-NZ"/>
        </w:rPr>
        <w:t xml:space="preserve">. </w:t>
      </w:r>
    </w:p>
    <w:p w:rsidR="00361AD0" w:rsidRDefault="00361AD0" w:rsidP="00361AD0">
      <w:pPr>
        <w:spacing w:after="240" w:line="240" w:lineRule="auto"/>
        <w:rPr>
          <w:rFonts w:ascii="Times New Roman" w:eastAsia="Times New Roman" w:hAnsi="Times New Roman" w:cs="Times New Roman"/>
          <w:sz w:val="24"/>
          <w:szCs w:val="24"/>
          <w:lang w:eastAsia="en-NZ"/>
        </w:rPr>
      </w:pPr>
      <w:r>
        <w:rPr>
          <w:rFonts w:cstheme="minorHAnsi"/>
        </w:rPr>
        <w:t xml:space="preserve">Rainbow communities have seen a significant increase in targeted discrimination in the last two years, including organised advocacy against transgender human rights. Action to </w:t>
      </w:r>
      <w:r w:rsidRPr="00361AD0">
        <w:rPr>
          <w:rFonts w:cstheme="minorHAnsi"/>
        </w:rPr>
        <w:t>address discrimination, harassment and hate speech</w:t>
      </w:r>
      <w:r>
        <w:rPr>
          <w:rFonts w:cstheme="minorHAnsi"/>
        </w:rPr>
        <w:t xml:space="preserve">, particularly towards transgender, non-binary and gender diverse New Zealanders, is urgently needed. </w:t>
      </w:r>
      <w:r w:rsidR="00375A94">
        <w:rPr>
          <w:rFonts w:cstheme="minorHAnsi"/>
        </w:rPr>
        <w:t xml:space="preserve">Rainbow NGOs have undertaken </w:t>
      </w:r>
      <w:r>
        <w:rPr>
          <w:rFonts w:cstheme="minorHAnsi"/>
        </w:rPr>
        <w:t xml:space="preserve">media engagement work to reduce harmful portrayals of gender diversity issues in </w:t>
      </w:r>
      <w:r w:rsidR="00602CE9">
        <w:rPr>
          <w:rFonts w:cstheme="minorHAnsi"/>
        </w:rPr>
        <w:t xml:space="preserve">mass </w:t>
      </w:r>
      <w:r>
        <w:rPr>
          <w:rFonts w:cstheme="minorHAnsi"/>
        </w:rPr>
        <w:t>media</w:t>
      </w:r>
      <w:r>
        <w:rPr>
          <w:rStyle w:val="EndnoteReference"/>
          <w:rFonts w:cstheme="minorHAnsi"/>
        </w:rPr>
        <w:endnoteReference w:id="12"/>
      </w:r>
      <w:r>
        <w:rPr>
          <w:rFonts w:cstheme="minorHAnsi"/>
        </w:rPr>
        <w:t xml:space="preserve">, and </w:t>
      </w:r>
      <w:r w:rsidR="00375A94">
        <w:rPr>
          <w:rFonts w:cstheme="minorHAnsi"/>
        </w:rPr>
        <w:t xml:space="preserve">provide </w:t>
      </w:r>
      <w:r>
        <w:rPr>
          <w:rFonts w:cstheme="minorHAnsi"/>
        </w:rPr>
        <w:t>peer support to help transgender people affected</w:t>
      </w:r>
      <w:r w:rsidR="00375A94">
        <w:rPr>
          <w:rFonts w:cstheme="minorHAnsi"/>
        </w:rPr>
        <w:t>, but this work is not publically funded</w:t>
      </w:r>
      <w:r>
        <w:rPr>
          <w:rFonts w:cstheme="minorHAnsi"/>
        </w:rPr>
        <w:t>. The government is currently undertaking a review of hate speech legislation which has engaged with rainbow communities</w:t>
      </w:r>
      <w:r>
        <w:rPr>
          <w:rStyle w:val="EndnoteReference"/>
          <w:rFonts w:cstheme="minorHAnsi"/>
        </w:rPr>
        <w:endnoteReference w:id="13"/>
      </w:r>
      <w:r>
        <w:rPr>
          <w:rFonts w:cstheme="minorHAnsi"/>
        </w:rPr>
        <w:t xml:space="preserve">. </w:t>
      </w:r>
    </w:p>
    <w:p w:rsidR="00F86BBE" w:rsidRDefault="00361AD0" w:rsidP="00375A94">
      <w:pPr>
        <w:rPr>
          <w:lang w:eastAsia="en-NZ"/>
        </w:rPr>
      </w:pPr>
      <w:r>
        <w:rPr>
          <w:lang w:eastAsia="en-NZ"/>
        </w:rPr>
        <w:t xml:space="preserve">Rainbow young people face discrimination, prejudice and barriers to enjoying their human rights across a range of </w:t>
      </w:r>
      <w:r w:rsidR="00602CE9">
        <w:rPr>
          <w:lang w:eastAsia="en-NZ"/>
        </w:rPr>
        <w:t xml:space="preserve">other </w:t>
      </w:r>
      <w:r>
        <w:rPr>
          <w:lang w:eastAsia="en-NZ"/>
        </w:rPr>
        <w:t>areas of the Convention,</w:t>
      </w:r>
      <w:r w:rsidR="00297EBD">
        <w:rPr>
          <w:lang w:eastAsia="en-NZ"/>
        </w:rPr>
        <w:t xml:space="preserve"> including:</w:t>
      </w:r>
    </w:p>
    <w:p w:rsidR="00361AD0" w:rsidRDefault="00361AD0" w:rsidP="00375A94">
      <w:pPr>
        <w:rPr>
          <w:lang w:eastAsia="en-NZ"/>
        </w:rPr>
      </w:pPr>
      <w:r w:rsidRPr="00602CE9">
        <w:rPr>
          <w:b/>
          <w:lang w:eastAsia="en-NZ"/>
        </w:rPr>
        <w:t xml:space="preserve">The right to </w:t>
      </w:r>
      <w:r w:rsidR="00375A94" w:rsidRPr="00602CE9">
        <w:rPr>
          <w:b/>
          <w:lang w:eastAsia="en-NZ"/>
        </w:rPr>
        <w:t>life, survival and development</w:t>
      </w:r>
      <w:r w:rsidR="00375A94">
        <w:rPr>
          <w:lang w:eastAsia="en-NZ"/>
        </w:rPr>
        <w:t>: rainbow young people are at significantly higher risk of suicide than their peers</w:t>
      </w:r>
      <w:r w:rsidR="00602CE9">
        <w:rPr>
          <w:lang w:eastAsia="en-NZ"/>
        </w:rPr>
        <w:t>, because of experiences of discrimination and exclusion. While this issue has long been acknowledged, it is not reflected in New Zealand’s national response to youth suicide – no rainbow-specific suicide prevention initiatives are supported by government</w:t>
      </w:r>
      <w:r w:rsidR="00602CE9">
        <w:rPr>
          <w:rStyle w:val="EndnoteReference"/>
          <w:lang w:eastAsia="en-NZ"/>
        </w:rPr>
        <w:endnoteReference w:id="14"/>
      </w:r>
      <w:r w:rsidR="00602CE9">
        <w:rPr>
          <w:lang w:eastAsia="en-NZ"/>
        </w:rPr>
        <w:t>.</w:t>
      </w:r>
    </w:p>
    <w:p w:rsidR="00602CE9" w:rsidRDefault="00602CE9" w:rsidP="00375A94">
      <w:pPr>
        <w:rPr>
          <w:lang w:eastAsia="en-NZ"/>
        </w:rPr>
      </w:pPr>
      <w:r w:rsidRPr="00602CE9">
        <w:rPr>
          <w:b/>
          <w:lang w:eastAsia="en-NZ"/>
        </w:rPr>
        <w:t>The right to identity:</w:t>
      </w:r>
      <w:r>
        <w:rPr>
          <w:lang w:eastAsia="en-NZ"/>
        </w:rPr>
        <w:t xml:space="preserve"> rainbow young people face barriers to amending their official documents to match their gender identity. Public advocacy to simplify the process of obtaining a corrected birth certificate has not been supported by the current government, and a review of the relevant legislation has been stalled indefinitely</w:t>
      </w:r>
      <w:r>
        <w:rPr>
          <w:rStyle w:val="EndnoteReference"/>
          <w:rFonts w:ascii="Arial" w:eastAsia="Times New Roman" w:hAnsi="Arial" w:cs="Arial"/>
          <w:color w:val="000000"/>
          <w:lang w:eastAsia="en-NZ"/>
        </w:rPr>
        <w:endnoteReference w:id="15"/>
      </w:r>
      <w:r>
        <w:rPr>
          <w:lang w:eastAsia="en-NZ"/>
        </w:rPr>
        <w:t>.</w:t>
      </w:r>
    </w:p>
    <w:p w:rsidR="00602CE9" w:rsidRDefault="00602CE9" w:rsidP="00375A94">
      <w:pPr>
        <w:rPr>
          <w:lang w:eastAsia="en-NZ"/>
        </w:rPr>
      </w:pPr>
      <w:r w:rsidRPr="00602CE9">
        <w:rPr>
          <w:b/>
          <w:lang w:eastAsia="en-NZ"/>
        </w:rPr>
        <w:t>Protection from violence:</w:t>
      </w:r>
      <w:r>
        <w:rPr>
          <w:lang w:eastAsia="en-NZ"/>
        </w:rPr>
        <w:t xml:space="preserve"> rainbow young people face significantly higher rates of sexual and family violence, and school bullying</w:t>
      </w:r>
      <w:r>
        <w:rPr>
          <w:rStyle w:val="EndnoteReference"/>
          <w:lang w:eastAsia="en-NZ"/>
        </w:rPr>
        <w:endnoteReference w:id="16"/>
      </w:r>
      <w:r>
        <w:rPr>
          <w:lang w:eastAsia="en-NZ"/>
        </w:rPr>
        <w:t>,</w:t>
      </w:r>
      <w:r>
        <w:rPr>
          <w:rStyle w:val="EndnoteReference"/>
          <w:lang w:eastAsia="en-NZ"/>
        </w:rPr>
        <w:endnoteReference w:id="17"/>
      </w:r>
      <w:r>
        <w:rPr>
          <w:lang w:eastAsia="en-NZ"/>
        </w:rPr>
        <w:t>,</w:t>
      </w:r>
      <w:r>
        <w:rPr>
          <w:rStyle w:val="EndnoteReference"/>
          <w:lang w:eastAsia="en-NZ"/>
        </w:rPr>
        <w:endnoteReference w:id="18"/>
      </w:r>
      <w:r>
        <w:rPr>
          <w:lang w:eastAsia="en-NZ"/>
        </w:rPr>
        <w:t xml:space="preserve"> than their peers. Rainbow-specific responses are lacking within New Zealand’s responses to these issues. </w:t>
      </w:r>
    </w:p>
    <w:p w:rsidR="00602CE9" w:rsidRDefault="00602CE9" w:rsidP="00375A94">
      <w:pPr>
        <w:rPr>
          <w:lang w:eastAsia="en-NZ"/>
        </w:rPr>
      </w:pPr>
      <w:r w:rsidRPr="001314C0">
        <w:rPr>
          <w:b/>
          <w:lang w:eastAsia="en-NZ"/>
        </w:rPr>
        <w:lastRenderedPageBreak/>
        <w:t>Protection from harmful practices:</w:t>
      </w:r>
      <w:r>
        <w:rPr>
          <w:lang w:eastAsia="en-NZ"/>
        </w:rPr>
        <w:t xml:space="preserve"> so-called “conversion therapy” – </w:t>
      </w:r>
      <w:r w:rsidR="001314C0">
        <w:rPr>
          <w:lang w:eastAsia="en-NZ"/>
        </w:rPr>
        <w:t>non-therapeutic practice or treatment which aims to change a person’s sexual orientation or gender identity – is widely practiced in New Zealand</w:t>
      </w:r>
      <w:r w:rsidR="001314C0">
        <w:rPr>
          <w:rStyle w:val="EndnoteReference"/>
          <w:lang w:eastAsia="en-NZ"/>
        </w:rPr>
        <w:endnoteReference w:id="19"/>
      </w:r>
      <w:r w:rsidR="001314C0">
        <w:rPr>
          <w:lang w:eastAsia="en-NZ"/>
        </w:rPr>
        <w:t>. Community advocacy to legally ban this practice was rejected by the current government</w:t>
      </w:r>
      <w:r w:rsidR="001314C0">
        <w:rPr>
          <w:rStyle w:val="EndnoteReference"/>
          <w:lang w:eastAsia="en-NZ"/>
        </w:rPr>
        <w:endnoteReference w:id="20"/>
      </w:r>
      <w:r w:rsidR="001314C0">
        <w:rPr>
          <w:lang w:eastAsia="en-NZ"/>
        </w:rPr>
        <w:t>.</w:t>
      </w:r>
    </w:p>
    <w:p w:rsidR="001314C0" w:rsidRDefault="001314C0" w:rsidP="00375A94">
      <w:pPr>
        <w:rPr>
          <w:lang w:eastAsia="en-NZ"/>
        </w:rPr>
      </w:pPr>
      <w:r w:rsidRPr="00297EBD">
        <w:rPr>
          <w:b/>
          <w:lang w:eastAsia="en-NZ"/>
        </w:rPr>
        <w:t xml:space="preserve">The right to the highest standard of health: </w:t>
      </w:r>
      <w:r w:rsidR="00297EBD" w:rsidRPr="00297EBD">
        <w:rPr>
          <w:lang w:eastAsia="en-NZ"/>
        </w:rPr>
        <w:t>while rainbow young people experience higher rates of mental distress, the public mental health system is not equipped to provide them with competent care</w:t>
      </w:r>
      <w:r w:rsidR="00297EBD">
        <w:rPr>
          <w:rStyle w:val="EndnoteReference"/>
          <w:lang w:eastAsia="en-NZ"/>
        </w:rPr>
        <w:endnoteReference w:id="21"/>
      </w:r>
      <w:r w:rsidR="00297EBD" w:rsidRPr="00297EBD">
        <w:rPr>
          <w:lang w:eastAsia="en-NZ"/>
        </w:rPr>
        <w:t>.</w:t>
      </w:r>
      <w:r w:rsidR="00297EBD">
        <w:rPr>
          <w:lang w:eastAsia="en-NZ"/>
        </w:rPr>
        <w:t xml:space="preserve"> Access to gender-affirming healthcare for transgender and non-binary young people is limited and inconsistent across different parts of the country</w:t>
      </w:r>
      <w:r w:rsidR="00297EBD">
        <w:rPr>
          <w:rStyle w:val="EndnoteReference"/>
          <w:lang w:eastAsia="en-NZ"/>
        </w:rPr>
        <w:endnoteReference w:id="22"/>
      </w:r>
      <w:r w:rsidR="00297EBD">
        <w:rPr>
          <w:lang w:eastAsia="en-NZ"/>
        </w:rPr>
        <w:t>. Access to rainbow-competent disability, sexual health and general health services is also limited, and rainbow young people are more likely than their peers to report barriers to accessing healthcare when it is needed</w:t>
      </w:r>
      <w:r w:rsidR="00A37913">
        <w:rPr>
          <w:rStyle w:val="EndnoteReference"/>
          <w:lang w:eastAsia="en-NZ"/>
        </w:rPr>
        <w:endnoteReference w:id="23"/>
      </w:r>
      <w:r w:rsidR="00A37913">
        <w:rPr>
          <w:lang w:eastAsia="en-NZ"/>
        </w:rPr>
        <w:t>,</w:t>
      </w:r>
      <w:r w:rsidR="00A37913">
        <w:rPr>
          <w:rStyle w:val="EndnoteReference"/>
          <w:lang w:eastAsia="en-NZ"/>
        </w:rPr>
        <w:endnoteReference w:id="24"/>
      </w:r>
      <w:r w:rsidR="00A37913">
        <w:rPr>
          <w:lang w:eastAsia="en-NZ"/>
        </w:rPr>
        <w:t>,</w:t>
      </w:r>
      <w:r w:rsidR="00A37913">
        <w:rPr>
          <w:rStyle w:val="EndnoteReference"/>
          <w:lang w:eastAsia="en-NZ"/>
        </w:rPr>
        <w:endnoteReference w:id="25"/>
      </w:r>
      <w:r w:rsidR="00297EBD">
        <w:rPr>
          <w:lang w:eastAsia="en-NZ"/>
        </w:rPr>
        <w:t>.</w:t>
      </w:r>
    </w:p>
    <w:p w:rsidR="00297EBD" w:rsidRDefault="00297EBD" w:rsidP="00375A94">
      <w:pPr>
        <w:rPr>
          <w:lang w:eastAsia="en-NZ"/>
        </w:rPr>
      </w:pPr>
      <w:r w:rsidRPr="00297EBD">
        <w:rPr>
          <w:b/>
          <w:lang w:eastAsia="en-NZ"/>
        </w:rPr>
        <w:t>The right to an adequate standard of living:</w:t>
      </w:r>
      <w:r>
        <w:rPr>
          <w:lang w:eastAsia="en-NZ"/>
        </w:rPr>
        <w:t xml:space="preserve"> rainbow young people are more likely to experience homelessness and transient housing than their peers</w:t>
      </w:r>
      <w:r>
        <w:rPr>
          <w:rStyle w:val="EndnoteReference"/>
          <w:lang w:eastAsia="en-NZ"/>
        </w:rPr>
        <w:endnoteReference w:id="26"/>
      </w:r>
      <w:r>
        <w:rPr>
          <w:lang w:eastAsia="en-NZ"/>
        </w:rPr>
        <w:t>. A recently released national homelessness strategy does not target support towards rainbow young people</w:t>
      </w:r>
      <w:r>
        <w:rPr>
          <w:rStyle w:val="EndnoteReference"/>
          <w:lang w:eastAsia="en-NZ"/>
        </w:rPr>
        <w:endnoteReference w:id="27"/>
      </w:r>
      <w:r>
        <w:rPr>
          <w:lang w:eastAsia="en-NZ"/>
        </w:rPr>
        <w:t>.</w:t>
      </w:r>
    </w:p>
    <w:p w:rsidR="00375A94" w:rsidRPr="00A37913" w:rsidRDefault="00A37913" w:rsidP="00375A94">
      <w:pPr>
        <w:rPr>
          <w:lang w:eastAsia="en-NZ"/>
        </w:rPr>
      </w:pPr>
      <w:r>
        <w:rPr>
          <w:lang w:eastAsia="en-NZ"/>
        </w:rPr>
        <w:t>In general, t</w:t>
      </w:r>
      <w:r w:rsidR="00375A94" w:rsidRPr="00ED003C">
        <w:rPr>
          <w:lang w:eastAsia="en-NZ"/>
        </w:rPr>
        <w:t>he lack of population data about rainbow young people and their experiences is a major barrier to understanding and improving their enjoyment of human rights.</w:t>
      </w:r>
      <w:r w:rsidR="00375A94">
        <w:rPr>
          <w:lang w:eastAsia="en-NZ"/>
        </w:rPr>
        <w:t xml:space="preserve"> </w:t>
      </w:r>
      <w:r w:rsidR="00375A94" w:rsidRPr="00ED003C">
        <w:rPr>
          <w:lang w:eastAsia="en-NZ"/>
        </w:rPr>
        <w:t>Across all areas of the Convention, very little data collection is undertaken to understand the experiences of rainbow young people in New Zealand. Rainbow identity markers are not routinely included as demographic questions in the national Census, in national health and social surveys, or in research related to human rights and child wellbeing.</w:t>
      </w:r>
      <w:r>
        <w:rPr>
          <w:lang w:eastAsia="en-NZ"/>
        </w:rPr>
        <w:t xml:space="preserve"> </w:t>
      </w:r>
      <w:r w:rsidR="00375A94" w:rsidRPr="00ED003C">
        <w:rPr>
          <w:lang w:eastAsia="en-NZ"/>
        </w:rPr>
        <w:t>Statistics New Zealand (Stats NZ) is the agency tasked with collecting official statistics in New Zealand. They are undertaking a project to review current statistical standards regarding sex and gender demographic measurements</w:t>
      </w:r>
      <w:r w:rsidR="00375A94">
        <w:rPr>
          <w:rStyle w:val="EndnoteReference"/>
          <w:lang w:eastAsia="en-NZ"/>
        </w:rPr>
        <w:endnoteReference w:id="28"/>
      </w:r>
      <w:r w:rsidR="00375A94" w:rsidRPr="00ED003C">
        <w:rPr>
          <w:lang w:eastAsia="en-NZ"/>
        </w:rPr>
        <w:t xml:space="preserve">. </w:t>
      </w:r>
    </w:p>
    <w:p w:rsidR="00F86BBE" w:rsidRPr="00375A94" w:rsidRDefault="00F86BBE" w:rsidP="00375A94">
      <w:pPr>
        <w:rPr>
          <w:rFonts w:ascii="Times New Roman" w:hAnsi="Times New Roman" w:cs="Times New Roman"/>
          <w:b/>
          <w:sz w:val="24"/>
          <w:szCs w:val="24"/>
          <w:lang w:eastAsia="en-NZ"/>
        </w:rPr>
      </w:pPr>
      <w:r w:rsidRPr="00375A94">
        <w:rPr>
          <w:b/>
          <w:lang w:eastAsia="en-NZ"/>
        </w:rPr>
        <w:t xml:space="preserve">We recommend that the Committee seek the following information from the New Zealand government: </w:t>
      </w:r>
      <w:r w:rsidR="00375A94" w:rsidRPr="00375A94">
        <w:rPr>
          <w:b/>
          <w:i/>
          <w:lang w:eastAsia="en-NZ"/>
        </w:rPr>
        <w:t>How is New Zealand addressing discrimination, harassment and hate speech, particularly towards transgender, non-binary and gender diverse New Zealanders, and w</w:t>
      </w:r>
      <w:r w:rsidRPr="00375A94">
        <w:rPr>
          <w:b/>
          <w:i/>
          <w:lang w:eastAsia="en-NZ"/>
        </w:rPr>
        <w:t>hen will New Zealand amend the Human Rights Act 1993 to prohibit discrimination on the grounds of gender identity, expression, and sex characteristics, to ensure trans, gender</w:t>
      </w:r>
      <w:r w:rsidR="00375A94" w:rsidRPr="00375A94">
        <w:rPr>
          <w:b/>
          <w:i/>
          <w:lang w:eastAsia="en-NZ"/>
        </w:rPr>
        <w:t>-diverse and intersex children’s</w:t>
      </w:r>
      <w:r w:rsidRPr="00375A94">
        <w:rPr>
          <w:b/>
          <w:i/>
          <w:lang w:eastAsia="en-NZ"/>
        </w:rPr>
        <w:t xml:space="preserve"> right to be free from discrimination?</w:t>
      </w:r>
    </w:p>
    <w:p w:rsidR="00ED003C" w:rsidRPr="00ED003C" w:rsidRDefault="00297EBD" w:rsidP="00ED003C">
      <w:pPr>
        <w:spacing w:before="280" w:after="80" w:line="240" w:lineRule="auto"/>
        <w:outlineLvl w:val="3"/>
        <w:rPr>
          <w:rFonts w:ascii="Times New Roman" w:eastAsia="Times New Roman" w:hAnsi="Times New Roman" w:cs="Times New Roman"/>
          <w:b/>
          <w:bCs/>
          <w:sz w:val="24"/>
          <w:szCs w:val="24"/>
          <w:lang w:eastAsia="en-NZ"/>
        </w:rPr>
      </w:pPr>
      <w:r>
        <w:rPr>
          <w:rFonts w:ascii="Arial" w:eastAsia="Times New Roman" w:hAnsi="Arial" w:cs="Arial"/>
          <w:color w:val="666666"/>
          <w:sz w:val="24"/>
          <w:szCs w:val="24"/>
          <w:lang w:eastAsia="en-NZ"/>
        </w:rPr>
        <w:t xml:space="preserve">Harmful </w:t>
      </w:r>
      <w:r w:rsidR="00ED003C" w:rsidRPr="00ED003C">
        <w:rPr>
          <w:rFonts w:ascii="Arial" w:eastAsia="Times New Roman" w:hAnsi="Arial" w:cs="Arial"/>
          <w:color w:val="666666"/>
          <w:sz w:val="24"/>
          <w:szCs w:val="24"/>
          <w:lang w:eastAsia="en-NZ"/>
        </w:rPr>
        <w:t>medical practices on intersex children</w:t>
      </w:r>
    </w:p>
    <w:p w:rsidR="00ED003C" w:rsidRPr="001314C0" w:rsidRDefault="001314C0" w:rsidP="001314C0">
      <w:pPr>
        <w:spacing w:after="0" w:line="240" w:lineRule="auto"/>
        <w:rPr>
          <w:rFonts w:ascii="Times New Roman" w:eastAsia="Times New Roman" w:hAnsi="Times New Roman" w:cs="Times New Roman"/>
          <w:sz w:val="24"/>
          <w:szCs w:val="24"/>
          <w:lang w:eastAsia="en-NZ"/>
        </w:rPr>
      </w:pPr>
      <w:r>
        <w:rPr>
          <w:lang w:eastAsia="en-NZ"/>
        </w:rPr>
        <w:t>The Committee’s concluding observations on the last report recommended that New Zealand:</w:t>
      </w:r>
    </w:p>
    <w:p w:rsidR="00ED003C" w:rsidRPr="00ED003C" w:rsidRDefault="00ED003C" w:rsidP="001314C0">
      <w:pPr>
        <w:pStyle w:val="ListParagraph"/>
        <w:numPr>
          <w:ilvl w:val="0"/>
          <w:numId w:val="12"/>
        </w:numPr>
        <w:rPr>
          <w:lang w:eastAsia="en-NZ"/>
        </w:rPr>
      </w:pPr>
      <w:r w:rsidRPr="00ED003C">
        <w:rPr>
          <w:lang w:eastAsia="en-NZ"/>
        </w:rPr>
        <w:t>Develop and implement a child rights-based health care protocol for intersex children, setting the procedures and steps to be followed by health teams, ensuring that no one is subjected to unnecessary medical or surgical treatment during infancy or childhood, guaranteeing the rights of children to bodily integrity, autonomy and selfdetermination, and provide families with intersex children with adequate counselling and support; </w:t>
      </w:r>
    </w:p>
    <w:p w:rsidR="00ED003C" w:rsidRPr="00ED003C" w:rsidRDefault="00ED003C" w:rsidP="001314C0">
      <w:pPr>
        <w:pStyle w:val="ListParagraph"/>
        <w:numPr>
          <w:ilvl w:val="0"/>
          <w:numId w:val="12"/>
        </w:numPr>
        <w:rPr>
          <w:lang w:eastAsia="en-NZ"/>
        </w:rPr>
      </w:pPr>
      <w:r w:rsidRPr="00ED003C">
        <w:rPr>
          <w:lang w:eastAsia="en-NZ"/>
        </w:rPr>
        <w:t>Promptly investigate incidents of surgical and other medical treatment of intersex children without informed consent and adopt legal provisions to provide redress to victims of such treatment, including adequate compensation; </w:t>
      </w:r>
    </w:p>
    <w:p w:rsidR="00ED003C" w:rsidRPr="00ED003C" w:rsidRDefault="00ED003C" w:rsidP="001314C0">
      <w:pPr>
        <w:pStyle w:val="ListParagraph"/>
        <w:numPr>
          <w:ilvl w:val="0"/>
          <w:numId w:val="12"/>
        </w:numPr>
        <w:rPr>
          <w:lang w:eastAsia="en-NZ"/>
        </w:rPr>
      </w:pPr>
      <w:r w:rsidRPr="00ED003C">
        <w:rPr>
          <w:lang w:eastAsia="en-NZ"/>
        </w:rPr>
        <w:t>Educate and train medical and psychological professionals on the range of biological and physical sexual diversity and on the consequences of unnecessary surgical and other medical interventions on intersex children; </w:t>
      </w:r>
    </w:p>
    <w:p w:rsidR="00ED003C" w:rsidRPr="00ED003C" w:rsidRDefault="00ED003C" w:rsidP="001314C0">
      <w:pPr>
        <w:pStyle w:val="ListParagraph"/>
        <w:numPr>
          <w:ilvl w:val="0"/>
          <w:numId w:val="12"/>
        </w:numPr>
        <w:rPr>
          <w:lang w:eastAsia="en-NZ"/>
        </w:rPr>
      </w:pPr>
      <w:r w:rsidRPr="00ED003C">
        <w:rPr>
          <w:lang w:eastAsia="en-NZ"/>
        </w:rPr>
        <w:t>Extend free access to surgical interventions and medical treatment related to their intersex condition to intersex children between the age of 16 and 18.</w:t>
      </w:r>
    </w:p>
    <w:p w:rsidR="00ED003C" w:rsidRPr="00ED003C" w:rsidRDefault="00ED003C" w:rsidP="001314C0">
      <w:pPr>
        <w:rPr>
          <w:rFonts w:ascii="Times New Roman" w:hAnsi="Times New Roman" w:cs="Times New Roman"/>
          <w:sz w:val="24"/>
          <w:szCs w:val="24"/>
          <w:lang w:eastAsia="en-NZ"/>
        </w:rPr>
      </w:pPr>
      <w:r w:rsidRPr="00ED003C">
        <w:rPr>
          <w:lang w:eastAsia="en-NZ"/>
        </w:rPr>
        <w:t xml:space="preserve">Following the Committee’s recommendations, in 2017 an intersex Clinical Reference Group (CRG) was established by the Paediatric Society and funded by the Ministry of Health for a fixed term of </w:t>
      </w:r>
      <w:r w:rsidRPr="00ED003C">
        <w:rPr>
          <w:lang w:eastAsia="en-NZ"/>
        </w:rPr>
        <w:lastRenderedPageBreak/>
        <w:t>two years</w:t>
      </w:r>
      <w:r w:rsidR="001314C0">
        <w:rPr>
          <w:rStyle w:val="EndnoteReference"/>
          <w:lang w:eastAsia="en-NZ"/>
        </w:rPr>
        <w:endnoteReference w:id="29"/>
      </w:r>
      <w:r w:rsidRPr="00ED003C">
        <w:rPr>
          <w:lang w:eastAsia="en-NZ"/>
        </w:rPr>
        <w:t xml:space="preserve">. Its terms of reference state that the group was to develop a definition of intersex for New Zealand; undertake a stocktake of current educational resources </w:t>
      </w:r>
      <w:r w:rsidRPr="00ED003C">
        <w:rPr>
          <w:shd w:val="clear" w:color="auto" w:fill="FFFFFF"/>
          <w:lang w:eastAsia="en-NZ"/>
        </w:rPr>
        <w:t>relevant for the health workforce, intersex children and young people, and their whānau; recommend tools to establish a national data set of clinical outcomes for intersex children and youth; and develop a primary care referral pathway for intersex children and youth up to age 18</w:t>
      </w:r>
      <w:r w:rsidR="001314C0">
        <w:rPr>
          <w:rStyle w:val="EndnoteReference"/>
          <w:shd w:val="clear" w:color="auto" w:fill="FFFFFF"/>
          <w:lang w:eastAsia="en-NZ"/>
        </w:rPr>
        <w:endnoteReference w:id="30"/>
      </w:r>
      <w:r w:rsidRPr="00ED003C">
        <w:rPr>
          <w:shd w:val="clear" w:color="auto" w:fill="FFFFFF"/>
          <w:lang w:eastAsia="en-NZ"/>
        </w:rPr>
        <w:t>.</w:t>
      </w:r>
    </w:p>
    <w:p w:rsidR="00ED003C" w:rsidRPr="00ED003C" w:rsidRDefault="00ED003C" w:rsidP="001314C0">
      <w:pPr>
        <w:rPr>
          <w:rFonts w:ascii="Times New Roman" w:hAnsi="Times New Roman" w:cs="Times New Roman"/>
          <w:sz w:val="24"/>
          <w:szCs w:val="24"/>
          <w:lang w:eastAsia="en-NZ"/>
        </w:rPr>
      </w:pPr>
      <w:r w:rsidRPr="00ED003C">
        <w:rPr>
          <w:lang w:eastAsia="en-NZ"/>
        </w:rPr>
        <w:t>While progress has been made in some areas, the group has not considered the full breadth of 0-18 year olds as was intended, with a pathway beyond the first few days of life yet to be established. Further, the CRG has not addressed the issue of genital normalisation on intersex infants and youth; surgical interventions not necessary for the preservation of life. </w:t>
      </w:r>
    </w:p>
    <w:p w:rsidR="00ED003C" w:rsidRPr="00ED003C" w:rsidRDefault="00ED003C" w:rsidP="001314C0">
      <w:pPr>
        <w:rPr>
          <w:rFonts w:ascii="Times New Roman" w:hAnsi="Times New Roman" w:cs="Times New Roman"/>
          <w:sz w:val="24"/>
          <w:szCs w:val="24"/>
          <w:lang w:eastAsia="en-NZ"/>
        </w:rPr>
      </w:pPr>
      <w:r w:rsidRPr="00ED003C">
        <w:rPr>
          <w:lang w:eastAsia="en-NZ"/>
        </w:rPr>
        <w:t>Recommendations received from the Committee in 2016 have been refuted by clinicians due to the terms “non-consensual” and “unnecessary,” claiming that consent is always given [by the parent] and that no surgery would be performed were it not necessary. In the case of surgical or hormonal interventions which can be deferred until the person can participate in their own health related decisions, these processes constitute violations of the right to bodily autonomy, and associated rights to freedom from torture and ill-treatment. In its General Comment No. 20 on the rights of the child during adolescence, the Committee stated that, “[t]he voluntary and informed consent of the adolescent should be obtained whether or not the consent of a parent or guardian is required for any medical treatment or procedure.”</w:t>
      </w:r>
      <w:r w:rsidR="001314C0">
        <w:rPr>
          <w:rStyle w:val="EndnoteReference"/>
          <w:lang w:eastAsia="en-NZ"/>
        </w:rPr>
        <w:endnoteReference w:id="31"/>
      </w:r>
      <w:r w:rsidRPr="00ED003C">
        <w:rPr>
          <w:lang w:eastAsia="en-NZ"/>
        </w:rPr>
        <w:t xml:space="preserve"> Therefore, consent of the parent for their child’s surgery cannot be considered as the consent of the child.</w:t>
      </w:r>
    </w:p>
    <w:p w:rsidR="00ED003C" w:rsidRPr="00ED003C" w:rsidRDefault="00ED003C" w:rsidP="001314C0">
      <w:pPr>
        <w:rPr>
          <w:rFonts w:ascii="Times New Roman" w:hAnsi="Times New Roman" w:cs="Times New Roman"/>
          <w:sz w:val="24"/>
          <w:szCs w:val="24"/>
          <w:lang w:eastAsia="en-NZ"/>
        </w:rPr>
      </w:pPr>
      <w:r w:rsidRPr="00ED003C">
        <w:rPr>
          <w:lang w:eastAsia="en-NZ"/>
        </w:rPr>
        <w:t>The CRG's fixed term of two years has now ended, with possible options for the future remaining unclear and no ongoing funding commitment from the government.</w:t>
      </w:r>
    </w:p>
    <w:p w:rsidR="00ED003C" w:rsidRPr="00ED003C" w:rsidRDefault="00ED003C" w:rsidP="001314C0">
      <w:pPr>
        <w:rPr>
          <w:rFonts w:ascii="Times New Roman" w:hAnsi="Times New Roman" w:cs="Times New Roman"/>
          <w:sz w:val="24"/>
          <w:szCs w:val="24"/>
          <w:lang w:eastAsia="en-NZ"/>
        </w:rPr>
      </w:pPr>
      <w:r w:rsidRPr="00ED003C">
        <w:rPr>
          <w:b/>
          <w:bCs/>
          <w:lang w:eastAsia="en-NZ"/>
        </w:rPr>
        <w:t xml:space="preserve">We recommend that the Committee seek the following information from the New Zealand government: </w:t>
      </w:r>
      <w:r w:rsidRPr="00ED003C">
        <w:rPr>
          <w:b/>
          <w:bCs/>
          <w:i/>
          <w:iCs/>
          <w:lang w:eastAsia="en-NZ"/>
        </w:rPr>
        <w:t>In light of the Committee on the Elimination of Discrimination Against Women’s recommendation in its 2018 concluding observation of New Zealand, when will the government</w:t>
      </w:r>
      <w:r w:rsidRPr="00ED003C">
        <w:rPr>
          <w:i/>
          <w:iCs/>
          <w:lang w:eastAsia="en-NZ"/>
        </w:rPr>
        <w:t xml:space="preserve"> </w:t>
      </w:r>
      <w:r w:rsidRPr="00ED003C">
        <w:rPr>
          <w:b/>
          <w:bCs/>
          <w:i/>
          <w:iCs/>
          <w:lang w:eastAsia="en-NZ"/>
        </w:rPr>
        <w:t>adopt clear legislative provisions explicitly prohibiting the performance of hypospadias surgery, clitoral surgery, or feminizing genitoplasty on children</w:t>
      </w:r>
      <w:r w:rsidR="00297EBD">
        <w:rPr>
          <w:b/>
          <w:bCs/>
          <w:i/>
          <w:iCs/>
          <w:lang w:eastAsia="en-NZ"/>
        </w:rPr>
        <w:t>, as well as</w:t>
      </w:r>
      <w:r w:rsidR="00297EBD" w:rsidRPr="00297EBD">
        <w:rPr>
          <w:b/>
          <w:bCs/>
          <w:i/>
          <w:iCs/>
          <w:lang w:eastAsia="en-NZ"/>
        </w:rPr>
        <w:t xml:space="preserve"> </w:t>
      </w:r>
      <w:r w:rsidR="00297EBD" w:rsidRPr="00ED003C">
        <w:rPr>
          <w:b/>
          <w:bCs/>
          <w:i/>
          <w:iCs/>
          <w:lang w:eastAsia="en-NZ"/>
        </w:rPr>
        <w:t>surgical or other medical treatment on intersex children not necessary for the preservation of life before they reach the legal age of consent;</w:t>
      </w:r>
      <w:r w:rsidRPr="00ED003C">
        <w:rPr>
          <w:b/>
          <w:bCs/>
          <w:i/>
          <w:iCs/>
          <w:lang w:eastAsia="en-NZ"/>
        </w:rPr>
        <w:t xml:space="preserve"> provide intersex children</w:t>
      </w:r>
      <w:r w:rsidR="00297EBD">
        <w:rPr>
          <w:b/>
          <w:bCs/>
          <w:i/>
          <w:iCs/>
          <w:lang w:eastAsia="en-NZ"/>
        </w:rPr>
        <w:t>,</w:t>
      </w:r>
      <w:r w:rsidRPr="00ED003C">
        <w:rPr>
          <w:b/>
          <w:bCs/>
          <w:i/>
          <w:iCs/>
          <w:lang w:eastAsia="en-NZ"/>
        </w:rPr>
        <w:t xml:space="preserve"> young people and their families with specialised psychosocial support</w:t>
      </w:r>
      <w:r w:rsidR="00297EBD">
        <w:rPr>
          <w:b/>
          <w:bCs/>
          <w:i/>
          <w:iCs/>
          <w:lang w:eastAsia="en-NZ"/>
        </w:rPr>
        <w:t>;</w:t>
      </w:r>
      <w:r w:rsidR="001314C0">
        <w:rPr>
          <w:rFonts w:ascii="Times New Roman" w:hAnsi="Times New Roman" w:cs="Times New Roman"/>
          <w:sz w:val="24"/>
          <w:szCs w:val="24"/>
          <w:lang w:eastAsia="en-NZ"/>
        </w:rPr>
        <w:t xml:space="preserve"> </w:t>
      </w:r>
      <w:r w:rsidRPr="00ED003C">
        <w:rPr>
          <w:b/>
          <w:bCs/>
          <w:i/>
          <w:iCs/>
          <w:lang w:eastAsia="en-NZ"/>
        </w:rPr>
        <w:t>and provide redress to intersex persons who have undergone such surgical or medical treatment they did not consent to?</w:t>
      </w:r>
    </w:p>
    <w:p w:rsidR="00ED003C" w:rsidRPr="00ED003C" w:rsidRDefault="00ED003C" w:rsidP="00ED003C">
      <w:pPr>
        <w:spacing w:after="240" w:line="240" w:lineRule="auto"/>
        <w:rPr>
          <w:rFonts w:ascii="Times New Roman" w:eastAsia="Times New Roman" w:hAnsi="Times New Roman" w:cs="Times New Roman"/>
          <w:sz w:val="24"/>
          <w:szCs w:val="24"/>
          <w:lang w:eastAsia="en-NZ"/>
        </w:rPr>
      </w:pPr>
    </w:p>
    <w:p w:rsidR="007828B6" w:rsidRPr="00A37913" w:rsidRDefault="00297EBD">
      <w:pPr>
        <w:rPr>
          <w:b/>
        </w:rPr>
      </w:pPr>
      <w:r w:rsidRPr="00A37913">
        <w:rPr>
          <w:b/>
        </w:rPr>
        <w:t>Contact</w:t>
      </w:r>
    </w:p>
    <w:p w:rsidR="00297EBD" w:rsidRDefault="00297EBD">
      <w:pPr>
        <w:rPr>
          <w:lang w:eastAsia="en-NZ"/>
        </w:rPr>
      </w:pPr>
      <w:r>
        <w:t>Moira Clunie</w:t>
      </w:r>
      <w:r w:rsidR="00A37913">
        <w:br/>
      </w:r>
      <w:r>
        <w:t xml:space="preserve">Project Lead, </w:t>
      </w:r>
      <w:r>
        <w:rPr>
          <w:lang w:eastAsia="en-NZ"/>
        </w:rPr>
        <w:t>Te Ngākau Kahukura</w:t>
      </w:r>
      <w:r w:rsidR="00A37913">
        <w:br/>
      </w:r>
      <w:r>
        <w:rPr>
          <w:lang w:eastAsia="en-NZ"/>
        </w:rPr>
        <w:t>moira@tengakaukahukura.nz</w:t>
      </w:r>
    </w:p>
    <w:p w:rsidR="00A37913" w:rsidRDefault="00A37913"/>
    <w:sectPr w:rsidR="00A379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006A" w:rsidRDefault="0026006A" w:rsidP="00ED003C">
      <w:pPr>
        <w:spacing w:after="0" w:line="240" w:lineRule="auto"/>
      </w:pPr>
      <w:r>
        <w:separator/>
      </w:r>
    </w:p>
  </w:endnote>
  <w:endnote w:type="continuationSeparator" w:id="0">
    <w:p w:rsidR="0026006A" w:rsidRDefault="0026006A" w:rsidP="00ED003C">
      <w:pPr>
        <w:spacing w:after="0" w:line="240" w:lineRule="auto"/>
      </w:pPr>
      <w:r>
        <w:continuationSeparator/>
      </w:r>
    </w:p>
  </w:endnote>
  <w:endnote w:id="1">
    <w:p w:rsidR="00297EBD" w:rsidRPr="00297EBD" w:rsidRDefault="00297EBD">
      <w:pPr>
        <w:pStyle w:val="EndnoteText"/>
        <w:rPr>
          <w:b/>
        </w:rPr>
      </w:pPr>
      <w:r w:rsidRPr="00297EBD">
        <w:rPr>
          <w:b/>
        </w:rPr>
        <w:t>References</w:t>
      </w:r>
    </w:p>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Kerekere, E. (2019). </w:t>
      </w:r>
      <w:r w:rsidRPr="00297EBD">
        <w:rPr>
          <w:rFonts w:cs="Arial"/>
          <w:i/>
          <w:iCs/>
          <w:sz w:val="16"/>
          <w:szCs w:val="16"/>
        </w:rPr>
        <w:t>Submission from the Aotearoa New Zealand IDAHOBIT Day Coalition.</w:t>
      </w:r>
      <w:r w:rsidRPr="00297EBD">
        <w:rPr>
          <w:rFonts w:cs="Arial"/>
          <w:sz w:val="16"/>
          <w:szCs w:val="16"/>
        </w:rPr>
        <w:t xml:space="preserve"> Retrieved from InsideOUT: </w:t>
      </w:r>
      <w:hyperlink r:id="rId1" w:history="1">
        <w:r w:rsidRPr="00297EBD">
          <w:rPr>
            <w:rStyle w:val="Hyperlink"/>
            <w:rFonts w:cs="Arial"/>
            <w:color w:val="auto"/>
            <w:sz w:val="16"/>
            <w:szCs w:val="16"/>
          </w:rPr>
          <w:t>http://insideout.org.nz/wp-content/uploads/2018/10/UPR-Submission-2018.pdf</w:t>
        </w:r>
      </w:hyperlink>
    </w:p>
  </w:endnote>
  <w:endnote w:id="2">
    <w:p w:rsidR="00ED003C" w:rsidRPr="00297EBD" w:rsidRDefault="00ED003C" w:rsidP="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Clunie, M. et. al. (2018). </w:t>
      </w:r>
      <w:r w:rsidRPr="00297EBD">
        <w:rPr>
          <w:rFonts w:cs="Arial"/>
          <w:i/>
          <w:iCs/>
          <w:sz w:val="16"/>
          <w:szCs w:val="16"/>
        </w:rPr>
        <w:t>Rainbow communities, mental health and addictions: A submission to the Government Inquiry into Mental Health and Addiction</w:t>
      </w:r>
      <w:r w:rsidRPr="00297EBD">
        <w:rPr>
          <w:rFonts w:cs="Arial"/>
          <w:sz w:val="16"/>
          <w:szCs w:val="16"/>
        </w:rPr>
        <w:t>. Retrieved from Mental Health Foundation:</w:t>
      </w:r>
      <w:hyperlink r:id="rId2" w:history="1">
        <w:r w:rsidRPr="00297EBD">
          <w:rPr>
            <w:rStyle w:val="Hyperlink"/>
            <w:rFonts w:cs="Arial"/>
            <w:color w:val="auto"/>
            <w:sz w:val="16"/>
            <w:szCs w:val="16"/>
          </w:rPr>
          <w:t xml:space="preserve"> https://www.mentalhealth.org.nz/assets/Our-Work/policy-advocacy/Rainbow-communities-and-mental-health-submission-to-the-Inquiry-into-Mental-Health-and-Addiction-08062018.pdf</w:t>
        </w:r>
      </w:hyperlink>
    </w:p>
  </w:endnote>
  <w:endnote w:id="3">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Clunie, M. et. al. (2017). </w:t>
      </w:r>
      <w:r w:rsidRPr="00297EBD">
        <w:rPr>
          <w:rFonts w:cs="Arial"/>
          <w:i/>
          <w:iCs/>
          <w:sz w:val="16"/>
          <w:szCs w:val="16"/>
        </w:rPr>
        <w:t>Suicide prevention and the rainbow population A submission on: A Strategy to Prevent Suicide in New Zealand 2017: Draft for public consultation.</w:t>
      </w:r>
      <w:r w:rsidRPr="00297EBD">
        <w:rPr>
          <w:rFonts w:cs="Arial"/>
          <w:sz w:val="16"/>
          <w:szCs w:val="16"/>
        </w:rPr>
        <w:t xml:space="preserve"> Retrieved from Mental Health Foundation: https://www.mentalhealth.org.nz/assets/Our-Work/policy-advocacy/Suicide-prevention-and-the-rainbow-population-submission-to-the-draft-NZSPS-26062017.pdf</w:t>
      </w:r>
    </w:p>
  </w:endnote>
  <w:endnote w:id="4">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Housing First Auckland. (2019). </w:t>
      </w:r>
      <w:r w:rsidRPr="00297EBD">
        <w:rPr>
          <w:rFonts w:cs="Arial"/>
          <w:i/>
          <w:iCs/>
          <w:sz w:val="16"/>
          <w:szCs w:val="16"/>
        </w:rPr>
        <w:t>Ira Mata, Ira Tangata: Auckland’s Homeless Count report: Point in time count 2018.</w:t>
      </w:r>
      <w:r w:rsidRPr="00297EBD">
        <w:rPr>
          <w:rFonts w:cs="Arial"/>
          <w:sz w:val="16"/>
          <w:szCs w:val="16"/>
        </w:rPr>
        <w:t xml:space="preserve"> Retrieved from Auckland Council:</w:t>
      </w:r>
      <w:hyperlink r:id="rId3" w:history="1">
        <w:r w:rsidRPr="00297EBD">
          <w:rPr>
            <w:rStyle w:val="Hyperlink"/>
            <w:rFonts w:cs="Arial"/>
            <w:color w:val="auto"/>
            <w:sz w:val="16"/>
            <w:szCs w:val="16"/>
          </w:rPr>
          <w:t xml:space="preserve"> https://www.aucklandshomelesscount.org.nz/wp-content/uploads/2019/10/PiT-FinalReport-Final.pdf</w:t>
        </w:r>
      </w:hyperlink>
    </w:p>
  </w:endnote>
  <w:endnote w:id="5">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Adams, J., Dickinson, P. and Asiasiga, L. (2012) </w:t>
      </w:r>
      <w:r w:rsidRPr="00297EBD">
        <w:rPr>
          <w:rFonts w:cs="Arial"/>
          <w:i/>
          <w:iCs/>
          <w:sz w:val="16"/>
          <w:szCs w:val="16"/>
        </w:rPr>
        <w:t>Mental health promotion and prevention services to gay, lesbian, bisexual, transgender and intersex populations in New Zealand: Needs assessment report.</w:t>
      </w:r>
      <w:r w:rsidRPr="00297EBD">
        <w:rPr>
          <w:rFonts w:cs="Arial"/>
          <w:sz w:val="16"/>
          <w:szCs w:val="16"/>
        </w:rPr>
        <w:t xml:space="preserve"> Auckland, New Zealand: Te Pou.</w:t>
      </w:r>
    </w:p>
  </w:endnote>
  <w:endnote w:id="6">
    <w:p w:rsidR="00ED003C" w:rsidRPr="00297EBD" w:rsidRDefault="00ED003C" w:rsidP="00ED003C">
      <w:pPr>
        <w:pStyle w:val="NormalWeb"/>
        <w:spacing w:before="0" w:beforeAutospacing="0" w:after="0" w:afterAutospacing="0"/>
        <w:rPr>
          <w:rFonts w:asciiTheme="minorHAnsi" w:hAnsiTheme="minorHAnsi"/>
          <w:sz w:val="16"/>
          <w:szCs w:val="16"/>
        </w:rPr>
      </w:pPr>
      <w:r w:rsidRPr="00297EBD">
        <w:rPr>
          <w:rStyle w:val="EndnoteReference"/>
          <w:rFonts w:asciiTheme="minorHAnsi" w:hAnsiTheme="minorHAnsi"/>
          <w:sz w:val="16"/>
          <w:szCs w:val="16"/>
        </w:rPr>
        <w:endnoteRef/>
      </w:r>
      <w:r w:rsidRPr="00297EBD">
        <w:rPr>
          <w:rFonts w:asciiTheme="minorHAnsi" w:hAnsiTheme="minorHAnsi"/>
          <w:sz w:val="16"/>
          <w:szCs w:val="16"/>
        </w:rPr>
        <w:t xml:space="preserve"> </w:t>
      </w:r>
      <w:r w:rsidRPr="00297EBD">
        <w:rPr>
          <w:rFonts w:asciiTheme="minorHAnsi" w:hAnsiTheme="minorHAnsi" w:cs="Arial"/>
          <w:sz w:val="16"/>
          <w:szCs w:val="16"/>
        </w:rPr>
        <w:t xml:space="preserve">Department of the Prime Minister and Cabinet. (2019). Child and Youth Wellbeing Strategy. Retrieved from:  </w:t>
      </w:r>
      <w:hyperlink r:id="rId4" w:history="1">
        <w:r w:rsidRPr="00297EBD">
          <w:rPr>
            <w:rStyle w:val="Hyperlink"/>
            <w:rFonts w:asciiTheme="minorHAnsi" w:hAnsiTheme="minorHAnsi" w:cs="Arial"/>
            <w:color w:val="auto"/>
            <w:sz w:val="16"/>
            <w:szCs w:val="16"/>
          </w:rPr>
          <w:t>https://childyouthwellbeing.govt.nz/resources/child-and-youth-wellbeing-strategy</w:t>
        </w:r>
      </w:hyperlink>
    </w:p>
    <w:p w:rsidR="00ED003C" w:rsidRPr="00297EBD" w:rsidRDefault="00ED003C">
      <w:pPr>
        <w:pStyle w:val="EndnoteText"/>
        <w:rPr>
          <w:sz w:val="16"/>
          <w:szCs w:val="16"/>
        </w:rPr>
      </w:pPr>
    </w:p>
  </w:endnote>
  <w:endnote w:id="7">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Martin, T. (2019, February 25). </w:t>
      </w:r>
      <w:r w:rsidRPr="00297EBD">
        <w:rPr>
          <w:rFonts w:cs="Arial"/>
          <w:i/>
          <w:iCs/>
          <w:sz w:val="16"/>
          <w:szCs w:val="16"/>
        </w:rPr>
        <w:t>Births, Deaths, Marriages and Relationships Registration Bill to be deferred</w:t>
      </w:r>
      <w:r w:rsidRPr="00297EBD">
        <w:rPr>
          <w:rFonts w:cs="Arial"/>
          <w:sz w:val="16"/>
          <w:szCs w:val="16"/>
        </w:rPr>
        <w:t xml:space="preserve">. Beehive. </w:t>
      </w:r>
      <w:hyperlink r:id="rId5" w:history="1">
        <w:r w:rsidRPr="00297EBD">
          <w:rPr>
            <w:rStyle w:val="Hyperlink"/>
            <w:rFonts w:cs="Arial"/>
            <w:color w:val="auto"/>
            <w:sz w:val="16"/>
            <w:szCs w:val="16"/>
          </w:rPr>
          <w:t>https://www.beehive.govt.nz/release/births-deaths-marriages-and-relationships-registration-bill-be-deferred</w:t>
        </w:r>
      </w:hyperlink>
    </w:p>
  </w:endnote>
  <w:endnote w:id="8">
    <w:p w:rsidR="00ED003C" w:rsidRPr="00297EBD" w:rsidRDefault="00ED003C">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Fitzgerald, K. (2019, October 20). Select committee fails to recommend conversion therapy ban. </w:t>
      </w:r>
      <w:r w:rsidRPr="00297EBD">
        <w:rPr>
          <w:rFonts w:cs="Arial"/>
          <w:i/>
          <w:iCs/>
          <w:sz w:val="16"/>
          <w:szCs w:val="16"/>
        </w:rPr>
        <w:t>Newshub</w:t>
      </w:r>
      <w:r w:rsidRPr="00297EBD">
        <w:rPr>
          <w:rFonts w:cs="Arial"/>
          <w:sz w:val="16"/>
          <w:szCs w:val="16"/>
        </w:rPr>
        <w:t xml:space="preserve">. </w:t>
      </w:r>
      <w:hyperlink r:id="rId6" w:history="1">
        <w:r w:rsidRPr="00297EBD">
          <w:rPr>
            <w:rStyle w:val="Hyperlink"/>
            <w:rFonts w:cs="Arial"/>
            <w:color w:val="auto"/>
            <w:sz w:val="16"/>
            <w:szCs w:val="16"/>
          </w:rPr>
          <w:t>https://www.newshub.co.nz/home/politics/2019/10/select-committee-fails-to-recommend-conversion-therapy-ban.html</w:t>
        </w:r>
      </w:hyperlink>
    </w:p>
  </w:endnote>
  <w:endnote w:id="9">
    <w:p w:rsidR="00F86BBE" w:rsidRPr="00297EBD" w:rsidRDefault="00F86BBE">
      <w:pPr>
        <w:pStyle w:val="EndnoteText"/>
        <w:rPr>
          <w:sz w:val="16"/>
          <w:szCs w:val="16"/>
        </w:rPr>
      </w:pPr>
      <w:r w:rsidRPr="00297EBD">
        <w:rPr>
          <w:rStyle w:val="EndnoteReference"/>
          <w:sz w:val="16"/>
          <w:szCs w:val="16"/>
        </w:rPr>
        <w:endnoteRef/>
      </w:r>
      <w:r w:rsidRPr="00297EBD">
        <w:rPr>
          <w:sz w:val="16"/>
          <w:szCs w:val="16"/>
        </w:rPr>
        <w:t xml:space="preserve"> Radio New Zealand. (2019). </w:t>
      </w:r>
      <w:r w:rsidRPr="00297EBD">
        <w:rPr>
          <w:i/>
          <w:sz w:val="16"/>
          <w:szCs w:val="16"/>
        </w:rPr>
        <w:t>NZ govt criticised over UN trans and gender rights protection delays.</w:t>
      </w:r>
      <w:r w:rsidRPr="00297EBD">
        <w:rPr>
          <w:sz w:val="16"/>
          <w:szCs w:val="16"/>
        </w:rPr>
        <w:t xml:space="preserve"> Retrieved from RNZ: </w:t>
      </w:r>
      <w:hyperlink r:id="rId7" w:history="1">
        <w:r w:rsidRPr="00297EBD">
          <w:rPr>
            <w:rStyle w:val="Hyperlink"/>
            <w:color w:val="auto"/>
            <w:sz w:val="16"/>
            <w:szCs w:val="16"/>
          </w:rPr>
          <w:t>https://www.rnz.co.nz/news/national/393694/nz-govt-criticised-over-un-trans-and-gender-rights-protection-delays</w:t>
        </w:r>
      </w:hyperlink>
    </w:p>
  </w:endnote>
  <w:endnote w:id="10">
    <w:p w:rsidR="00361AD0" w:rsidRPr="00297EBD" w:rsidRDefault="00361AD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Human Rights Act 1993. </w:t>
      </w:r>
      <w:hyperlink r:id="rId8" w:history="1">
        <w:r w:rsidRPr="00297EBD">
          <w:rPr>
            <w:rStyle w:val="Hyperlink"/>
            <w:rFonts w:cs="Arial"/>
            <w:color w:val="auto"/>
            <w:sz w:val="16"/>
            <w:szCs w:val="16"/>
          </w:rPr>
          <w:t>http://www.legislation.govt.nz/act/public/1993/0082/latest/DLM304212.html</w:t>
        </w:r>
      </w:hyperlink>
      <w:r w:rsidRPr="00297EBD">
        <w:rPr>
          <w:rFonts w:cs="Arial"/>
          <w:sz w:val="16"/>
          <w:szCs w:val="16"/>
        </w:rPr>
        <w:t xml:space="preserve"> ‘Sex’ under s 21(1)(a) of the Act states that the term “includes pregnancy and childbirth,” while ‘sexual orientation’ is defined under s 21(1)(m) to mean a “heterosexual, homosexual, lesbian, or bisexual orientation.”</w:t>
      </w:r>
    </w:p>
  </w:endnote>
  <w:endnote w:id="11">
    <w:p w:rsidR="00361AD0" w:rsidRPr="00297EBD" w:rsidRDefault="00361AD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New Zealand Human Rights Commission. (2019, March 5). </w:t>
      </w:r>
      <w:r w:rsidRPr="00297EBD">
        <w:rPr>
          <w:rFonts w:cs="Arial"/>
          <w:i/>
          <w:iCs/>
          <w:sz w:val="16"/>
          <w:szCs w:val="16"/>
        </w:rPr>
        <w:t>Making a complaint: Information for transgender complainants</w:t>
      </w:r>
      <w:r w:rsidRPr="00297EBD">
        <w:rPr>
          <w:rFonts w:cs="Arial"/>
          <w:sz w:val="16"/>
          <w:szCs w:val="16"/>
        </w:rPr>
        <w:t xml:space="preserve"> [Status update]. Facebook. </w:t>
      </w:r>
      <w:hyperlink r:id="rId9" w:history="1">
        <w:r w:rsidRPr="00297EBD">
          <w:rPr>
            <w:rStyle w:val="Hyperlink"/>
            <w:rFonts w:cs="Arial"/>
            <w:color w:val="auto"/>
            <w:sz w:val="16"/>
            <w:szCs w:val="16"/>
          </w:rPr>
          <w:t>https://www.facebook.com/NZHumanRightsCommission/videos/372809606890096/</w:t>
        </w:r>
      </w:hyperlink>
    </w:p>
  </w:endnote>
  <w:endnote w:id="12">
    <w:p w:rsidR="00361AD0" w:rsidRPr="00297EBD" w:rsidRDefault="00361AD0" w:rsidP="00361AD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Bateman, S. (2019, April 10). </w:t>
      </w:r>
      <w:r w:rsidRPr="00297EBD">
        <w:rPr>
          <w:rFonts w:cs="Arial"/>
          <w:i/>
          <w:iCs/>
          <w:sz w:val="16"/>
          <w:szCs w:val="16"/>
        </w:rPr>
        <w:t>NZ Herald apologises for 'offensive' transgender comic strip.</w:t>
      </w:r>
      <w:r w:rsidRPr="00297EBD">
        <w:rPr>
          <w:rFonts w:cs="Arial"/>
          <w:sz w:val="16"/>
          <w:szCs w:val="16"/>
        </w:rPr>
        <w:t xml:space="preserve"> Newshub.</w:t>
      </w:r>
      <w:r w:rsidRPr="00297EBD">
        <w:rPr>
          <w:rFonts w:cs="Arial"/>
          <w:i/>
          <w:iCs/>
          <w:sz w:val="16"/>
          <w:szCs w:val="16"/>
        </w:rPr>
        <w:t xml:space="preserve"> </w:t>
      </w:r>
      <w:hyperlink r:id="rId10" w:history="1">
        <w:r w:rsidRPr="00297EBD">
          <w:rPr>
            <w:rStyle w:val="Hyperlink"/>
            <w:rFonts w:cs="Arial"/>
            <w:color w:val="auto"/>
            <w:sz w:val="16"/>
            <w:szCs w:val="16"/>
          </w:rPr>
          <w:t>https://www.newshub.co.nz/home/new-zealand/2019/04/nz-herald-apologises-for-offensive-transgender-comic-strip.html</w:t>
        </w:r>
      </w:hyperlink>
    </w:p>
  </w:endnote>
  <w:endnote w:id="13">
    <w:p w:rsidR="00361AD0" w:rsidRPr="00297EBD" w:rsidRDefault="00361AD0">
      <w:pPr>
        <w:pStyle w:val="EndnoteText"/>
        <w:rPr>
          <w:sz w:val="16"/>
          <w:szCs w:val="16"/>
        </w:rPr>
      </w:pPr>
      <w:r w:rsidRPr="00297EBD">
        <w:rPr>
          <w:rStyle w:val="EndnoteReference"/>
          <w:sz w:val="16"/>
          <w:szCs w:val="16"/>
        </w:rPr>
        <w:endnoteRef/>
      </w:r>
      <w:r w:rsidRPr="00297EBD">
        <w:rPr>
          <w:sz w:val="16"/>
          <w:szCs w:val="16"/>
        </w:rPr>
        <w:t xml:space="preserve"> Radio New Zealand. (2019). </w:t>
      </w:r>
      <w:r w:rsidRPr="00297EBD">
        <w:rPr>
          <w:i/>
          <w:sz w:val="16"/>
          <w:szCs w:val="16"/>
        </w:rPr>
        <w:t>Little plans fast-track review of hate speech laws.</w:t>
      </w:r>
      <w:r w:rsidRPr="00297EBD">
        <w:rPr>
          <w:sz w:val="16"/>
          <w:szCs w:val="16"/>
        </w:rPr>
        <w:t xml:space="preserve"> Retrieved from RNZ: </w:t>
      </w:r>
      <w:hyperlink r:id="rId11" w:history="1">
        <w:r w:rsidRPr="00297EBD">
          <w:rPr>
            <w:rStyle w:val="Hyperlink"/>
            <w:color w:val="auto"/>
            <w:sz w:val="16"/>
            <w:szCs w:val="16"/>
          </w:rPr>
          <w:t>https://www.rnz.co.nz/news/national/385955/little-plans-fast-track-review-of-hate-speech-laws</w:t>
        </w:r>
      </w:hyperlink>
    </w:p>
  </w:endnote>
  <w:endnote w:id="14">
    <w:p w:rsidR="00602CE9" w:rsidRPr="00297EBD" w:rsidRDefault="00602CE9">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Clunie, M. et. al. (2017). </w:t>
      </w:r>
      <w:r w:rsidRPr="00297EBD">
        <w:rPr>
          <w:rFonts w:cs="Arial"/>
          <w:i/>
          <w:iCs/>
          <w:sz w:val="16"/>
          <w:szCs w:val="16"/>
        </w:rPr>
        <w:t>Suicide prevention and the rainbow population A submission on: A Strategy to Prevent Suicide in New Zealand 2017: Draft for public consultation.</w:t>
      </w:r>
      <w:r w:rsidRPr="00297EBD">
        <w:rPr>
          <w:rFonts w:cs="Arial"/>
          <w:sz w:val="16"/>
          <w:szCs w:val="16"/>
        </w:rPr>
        <w:t xml:space="preserve"> Retrieved from Mental Health Foundation: https://www.mentalhealth.org.nz/assets/Our-Work/policy-advocacy/Suicide-prevention-and-the-rainbow-population-submission-to-the-draft-NZSPS-26062017.pdf</w:t>
      </w:r>
    </w:p>
  </w:endnote>
  <w:endnote w:id="15">
    <w:p w:rsidR="00602CE9" w:rsidRPr="00297EBD" w:rsidRDefault="00602CE9" w:rsidP="00602CE9">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Martin, T. (2019, February 25). </w:t>
      </w:r>
      <w:r w:rsidRPr="00297EBD">
        <w:rPr>
          <w:rFonts w:cs="Arial"/>
          <w:i/>
          <w:iCs/>
          <w:sz w:val="16"/>
          <w:szCs w:val="16"/>
        </w:rPr>
        <w:t>Births, Deaths, Marriages and Relationships Registration Bill to be deferred</w:t>
      </w:r>
      <w:r w:rsidRPr="00297EBD">
        <w:rPr>
          <w:rFonts w:cs="Arial"/>
          <w:sz w:val="16"/>
          <w:szCs w:val="16"/>
        </w:rPr>
        <w:t xml:space="preserve">. Beehive. </w:t>
      </w:r>
      <w:hyperlink r:id="rId12" w:history="1">
        <w:r w:rsidRPr="00297EBD">
          <w:rPr>
            <w:rStyle w:val="Hyperlink"/>
            <w:rFonts w:cs="Arial"/>
            <w:color w:val="auto"/>
            <w:sz w:val="16"/>
            <w:szCs w:val="16"/>
          </w:rPr>
          <w:t>https://www.beehive.govt.nz/release/births-deaths-marriages-and-relationships-registration-bill-be-deferred</w:t>
        </w:r>
      </w:hyperlink>
    </w:p>
  </w:endnote>
  <w:endnote w:id="16">
    <w:p w:rsidR="00602CE9" w:rsidRPr="00297EBD" w:rsidRDefault="00602CE9">
      <w:pPr>
        <w:pStyle w:val="EndnoteText"/>
        <w:rPr>
          <w:sz w:val="16"/>
          <w:szCs w:val="16"/>
        </w:rPr>
      </w:pPr>
      <w:r w:rsidRPr="00297EBD">
        <w:rPr>
          <w:rStyle w:val="EndnoteReference"/>
          <w:sz w:val="16"/>
          <w:szCs w:val="16"/>
        </w:rPr>
        <w:endnoteRef/>
      </w:r>
      <w:r w:rsidRPr="00297EBD">
        <w:rPr>
          <w:rStyle w:val="EndnoteReference"/>
          <w:sz w:val="16"/>
          <w:szCs w:val="16"/>
        </w:rPr>
        <w:endnoteRef/>
      </w:r>
      <w:r w:rsidRPr="00297EBD">
        <w:rPr>
          <w:sz w:val="16"/>
          <w:szCs w:val="16"/>
        </w:rPr>
        <w:t xml:space="preserve"> Veale, J., Byrne, J., Tan, K., Guy, S., Yee, A., Nopera, T. &amp; Bentham, R. (2019). </w:t>
      </w:r>
      <w:r w:rsidRPr="00297EBD">
        <w:rPr>
          <w:i/>
          <w:sz w:val="16"/>
          <w:szCs w:val="16"/>
        </w:rPr>
        <w:t>Counting Ourselves: The health and wellbeing of trans and non-binary people in Aotearoa New Zealand.</w:t>
      </w:r>
      <w:r w:rsidRPr="00297EBD">
        <w:rPr>
          <w:sz w:val="16"/>
          <w:szCs w:val="16"/>
        </w:rPr>
        <w:t xml:space="preserve"> Transgender Health Research Lab, University of Waikato: Hamilton NZ.</w:t>
      </w:r>
    </w:p>
  </w:endnote>
  <w:endnote w:id="17">
    <w:p w:rsidR="00602CE9" w:rsidRPr="00297EBD" w:rsidRDefault="00602CE9">
      <w:pPr>
        <w:pStyle w:val="EndnoteText"/>
        <w:rPr>
          <w:sz w:val="16"/>
          <w:szCs w:val="16"/>
        </w:rPr>
      </w:pPr>
      <w:r w:rsidRPr="00297EBD">
        <w:rPr>
          <w:rStyle w:val="EndnoteReference"/>
          <w:sz w:val="16"/>
          <w:szCs w:val="16"/>
        </w:rPr>
        <w:endnoteRef/>
      </w:r>
      <w:r w:rsidRPr="00297EBD">
        <w:rPr>
          <w:sz w:val="16"/>
          <w:szCs w:val="16"/>
        </w:rPr>
        <w:t xml:space="preserve"> Clark, T. C., Lucassen, M. F. G., Bullen, P., Denny, S. J., Fleming, T. M., Robinson, E. M., &amp; Rossen, F. V. (2014). The health and well-being of transgender high school students: Results from the New Zealand Adolescent Health Survey (Youth’12). Journal of Adolescent Health, 55, 93-99.</w:t>
      </w:r>
    </w:p>
  </w:endnote>
  <w:endnote w:id="18">
    <w:p w:rsidR="00602CE9" w:rsidRPr="00297EBD" w:rsidRDefault="00602CE9">
      <w:pPr>
        <w:pStyle w:val="EndnoteText"/>
        <w:rPr>
          <w:sz w:val="16"/>
          <w:szCs w:val="16"/>
        </w:rPr>
      </w:pPr>
      <w:r w:rsidRPr="00297EBD">
        <w:rPr>
          <w:rStyle w:val="EndnoteReference"/>
          <w:sz w:val="16"/>
          <w:szCs w:val="16"/>
        </w:rPr>
        <w:endnoteRef/>
      </w:r>
      <w:r w:rsidRPr="00297EBD">
        <w:rPr>
          <w:sz w:val="16"/>
          <w:szCs w:val="16"/>
        </w:rPr>
        <w:t xml:space="preserve"> Lucassen, M.F.G., Clark, T. C., Moselen, E., Robinson, E.M., &amp; The Adolescent Health Research Group. (2014). Youth’12 The Health and Wellbeing of Secondary School Students in New Zealand: Results for Young People Attracted to the Same Sex or Both Sexes. Auckland, New Zealand: The University of Auckland.</w:t>
      </w:r>
    </w:p>
  </w:endnote>
  <w:endnote w:id="19">
    <w:p w:rsidR="001314C0" w:rsidRPr="00297EBD" w:rsidRDefault="001314C0">
      <w:pPr>
        <w:pStyle w:val="EndnoteText"/>
        <w:rPr>
          <w:sz w:val="16"/>
          <w:szCs w:val="16"/>
        </w:rPr>
      </w:pPr>
      <w:r w:rsidRPr="00297EBD">
        <w:rPr>
          <w:rStyle w:val="EndnoteReference"/>
          <w:sz w:val="16"/>
          <w:szCs w:val="16"/>
        </w:rPr>
        <w:endnoteRef/>
      </w:r>
      <w:r w:rsidRPr="00297EBD">
        <w:rPr>
          <w:sz w:val="16"/>
          <w:szCs w:val="16"/>
        </w:rPr>
        <w:t xml:space="preserve"> Keogh, B. (2019). </w:t>
      </w:r>
      <w:r w:rsidRPr="00297EBD">
        <w:rPr>
          <w:i/>
          <w:sz w:val="16"/>
          <w:szCs w:val="16"/>
        </w:rPr>
        <w:t>Conversion therapy: one in six trans, non-binary people say a professional tried to change them.</w:t>
      </w:r>
      <w:r w:rsidRPr="00297EBD">
        <w:rPr>
          <w:sz w:val="16"/>
          <w:szCs w:val="16"/>
        </w:rPr>
        <w:t xml:space="preserve"> </w:t>
      </w:r>
      <w:hyperlink r:id="rId13" w:history="1">
        <w:r w:rsidRPr="00297EBD">
          <w:rPr>
            <w:rStyle w:val="Hyperlink"/>
            <w:color w:val="auto"/>
            <w:sz w:val="16"/>
            <w:szCs w:val="16"/>
          </w:rPr>
          <w:t>https://www.stuff.co.nz/national/health/116095754/conversion-therapy-one-in-six-trans-nonbinary-people-say-a-professional-tried-to-stop-them-being-themselves</w:t>
        </w:r>
      </w:hyperlink>
    </w:p>
  </w:endnote>
  <w:endnote w:id="20">
    <w:p w:rsidR="001314C0" w:rsidRPr="00297EBD" w:rsidRDefault="001314C0">
      <w:pPr>
        <w:pStyle w:val="EndnoteText"/>
        <w:rPr>
          <w:sz w:val="16"/>
          <w:szCs w:val="16"/>
        </w:rPr>
      </w:pPr>
      <w:r w:rsidRPr="00297EBD">
        <w:rPr>
          <w:rStyle w:val="EndnoteReference"/>
          <w:sz w:val="16"/>
          <w:szCs w:val="16"/>
        </w:rPr>
        <w:endnoteRef/>
      </w:r>
      <w:r w:rsidRPr="00297EBD">
        <w:rPr>
          <w:sz w:val="16"/>
          <w:szCs w:val="16"/>
        </w:rPr>
        <w:t xml:space="preserve"> Justice Committee. (2019). Petition of Max Tweedie for Young Labour and the Young Greens: Ban Gay Conversion Therapy. Petition of Amanda Ashley: Ban Conversion Therapy in New Zealand. Report of the Justice Committee - October 2019. Retrieved from NZ Parliament: </w:t>
      </w:r>
      <w:hyperlink r:id="rId14" w:history="1">
        <w:r w:rsidRPr="00297EBD">
          <w:rPr>
            <w:rStyle w:val="Hyperlink"/>
            <w:color w:val="auto"/>
            <w:sz w:val="16"/>
            <w:szCs w:val="16"/>
          </w:rPr>
          <w:t>https://www.parliament.nz/resource/en-NZ/SCR_92751/c6e6e71725e1e313965f8cf736f3813fd9bf9f06</w:t>
        </w:r>
      </w:hyperlink>
    </w:p>
  </w:endnote>
  <w:endnote w:id="21">
    <w:p w:rsidR="00297EBD" w:rsidRPr="00297EBD" w:rsidRDefault="00297EBD">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Clunie, M. et. al. (2018). </w:t>
      </w:r>
      <w:r w:rsidRPr="00297EBD">
        <w:rPr>
          <w:rFonts w:cs="Arial"/>
          <w:i/>
          <w:iCs/>
          <w:sz w:val="16"/>
          <w:szCs w:val="16"/>
        </w:rPr>
        <w:t>Rainbow communities, mental health and addictions: A submission to the Government Inquiry into Mental Health and Addiction</w:t>
      </w:r>
      <w:r w:rsidRPr="00297EBD">
        <w:rPr>
          <w:rFonts w:cs="Arial"/>
          <w:sz w:val="16"/>
          <w:szCs w:val="16"/>
        </w:rPr>
        <w:t>. Retrieved from Mental Health Foundation:</w:t>
      </w:r>
      <w:hyperlink r:id="rId15" w:history="1">
        <w:r w:rsidRPr="00297EBD">
          <w:rPr>
            <w:rStyle w:val="Hyperlink"/>
            <w:rFonts w:cs="Arial"/>
            <w:color w:val="auto"/>
            <w:sz w:val="16"/>
            <w:szCs w:val="16"/>
          </w:rPr>
          <w:t xml:space="preserve"> https://www.mentalhealth.org.nz/assets/Our-Work/policy-advocacy/Rainbow-communities-and-mental-health-submission-to-the-Inquiry-into-Mental-Health-and-Addiction-08062018.pdf</w:t>
        </w:r>
      </w:hyperlink>
    </w:p>
  </w:endnote>
  <w:endnote w:id="22">
    <w:p w:rsidR="00297EBD" w:rsidRPr="00297EBD" w:rsidRDefault="00297EBD">
      <w:pPr>
        <w:pStyle w:val="EndnoteText"/>
        <w:rPr>
          <w:sz w:val="16"/>
          <w:szCs w:val="16"/>
        </w:rPr>
      </w:pPr>
      <w:r w:rsidRPr="00297EBD">
        <w:rPr>
          <w:rStyle w:val="EndnoteReference"/>
          <w:sz w:val="16"/>
          <w:szCs w:val="16"/>
        </w:rPr>
        <w:endnoteRef/>
      </w:r>
      <w:r w:rsidRPr="00297EBD">
        <w:rPr>
          <w:sz w:val="16"/>
          <w:szCs w:val="16"/>
        </w:rPr>
        <w:t xml:space="preserve"> Professional Association of Transgender Healthcare Aotearoa. (2019). </w:t>
      </w:r>
      <w:r w:rsidRPr="00297EBD">
        <w:rPr>
          <w:i/>
          <w:sz w:val="16"/>
          <w:szCs w:val="16"/>
        </w:rPr>
        <w:t>Is the provision of gender affirming health care equitable across the District Health Boards in Aotearoa, New Zealand?</w:t>
      </w:r>
      <w:r w:rsidRPr="00297EBD">
        <w:rPr>
          <w:sz w:val="16"/>
          <w:szCs w:val="16"/>
        </w:rPr>
        <w:t xml:space="preserve"> </w:t>
      </w:r>
      <w:hyperlink r:id="rId16" w:history="1">
        <w:r w:rsidRPr="00297EBD">
          <w:rPr>
            <w:rStyle w:val="Hyperlink"/>
            <w:color w:val="auto"/>
            <w:sz w:val="16"/>
            <w:szCs w:val="16"/>
          </w:rPr>
          <w:t>https://patha.nz/News/8098808</w:t>
        </w:r>
      </w:hyperlink>
    </w:p>
  </w:endnote>
  <w:endnote w:id="23">
    <w:p w:rsidR="00A37913" w:rsidRPr="00297EBD" w:rsidRDefault="00A37913" w:rsidP="00A37913">
      <w:pPr>
        <w:pStyle w:val="EndnoteText"/>
        <w:rPr>
          <w:sz w:val="16"/>
          <w:szCs w:val="16"/>
        </w:rPr>
      </w:pPr>
      <w:r w:rsidRPr="00297EBD">
        <w:rPr>
          <w:rStyle w:val="EndnoteReference"/>
          <w:sz w:val="16"/>
          <w:szCs w:val="16"/>
        </w:rPr>
        <w:endnoteRef/>
      </w:r>
      <w:r w:rsidRPr="00297EBD">
        <w:rPr>
          <w:rStyle w:val="EndnoteReference"/>
          <w:sz w:val="16"/>
          <w:szCs w:val="16"/>
        </w:rPr>
        <w:endnoteRef/>
      </w:r>
      <w:r w:rsidRPr="00297EBD">
        <w:rPr>
          <w:sz w:val="16"/>
          <w:szCs w:val="16"/>
        </w:rPr>
        <w:t xml:space="preserve"> Veale, J., Byrne, J., Tan, K., Guy, S., Yee, A., Nopera, T. &amp; Bentham, R. (2019). </w:t>
      </w:r>
      <w:r w:rsidRPr="00297EBD">
        <w:rPr>
          <w:i/>
          <w:sz w:val="16"/>
          <w:szCs w:val="16"/>
        </w:rPr>
        <w:t>Counting Ourselves: The health and wellbeing of trans and non-binary people in Aotearoa New Zealand.</w:t>
      </w:r>
      <w:r w:rsidRPr="00297EBD">
        <w:rPr>
          <w:sz w:val="16"/>
          <w:szCs w:val="16"/>
        </w:rPr>
        <w:t xml:space="preserve"> Transgender Health Research Lab, University of Waikato: Hamilton NZ.</w:t>
      </w:r>
    </w:p>
  </w:endnote>
  <w:endnote w:id="24">
    <w:p w:rsidR="00A37913" w:rsidRPr="00297EBD" w:rsidRDefault="00A37913" w:rsidP="00A37913">
      <w:pPr>
        <w:pStyle w:val="EndnoteText"/>
        <w:rPr>
          <w:sz w:val="16"/>
          <w:szCs w:val="16"/>
        </w:rPr>
      </w:pPr>
      <w:r w:rsidRPr="00297EBD">
        <w:rPr>
          <w:rStyle w:val="EndnoteReference"/>
          <w:sz w:val="16"/>
          <w:szCs w:val="16"/>
        </w:rPr>
        <w:endnoteRef/>
      </w:r>
      <w:r w:rsidRPr="00297EBD">
        <w:rPr>
          <w:sz w:val="16"/>
          <w:szCs w:val="16"/>
        </w:rPr>
        <w:t xml:space="preserve"> Clark, T. C., Lucassen, M. F. G., Bullen, P., Denny, S. J., Fleming, T. M., Robinson, E. M., &amp; Rossen, F. V. (2014). The health and well-being of transgender high school students: Results from the New Zealand Adolescent Health Survey (Youth’12). Journal of Adolescent Health, 55, 93-99.</w:t>
      </w:r>
    </w:p>
  </w:endnote>
  <w:endnote w:id="25">
    <w:p w:rsidR="00A37913" w:rsidRPr="00297EBD" w:rsidRDefault="00A37913" w:rsidP="00A37913">
      <w:pPr>
        <w:pStyle w:val="EndnoteText"/>
        <w:rPr>
          <w:sz w:val="16"/>
          <w:szCs w:val="16"/>
        </w:rPr>
      </w:pPr>
      <w:r w:rsidRPr="00297EBD">
        <w:rPr>
          <w:rStyle w:val="EndnoteReference"/>
          <w:sz w:val="16"/>
          <w:szCs w:val="16"/>
        </w:rPr>
        <w:endnoteRef/>
      </w:r>
      <w:r w:rsidRPr="00297EBD">
        <w:rPr>
          <w:sz w:val="16"/>
          <w:szCs w:val="16"/>
        </w:rPr>
        <w:t xml:space="preserve"> Lucassen, M.F.G., Clark, T. C., Moselen, E., Robinson, E.M., &amp; The Adolescent Health Research Group. (2014). Youth’12 The Health and Wellbeing of Secondary School Students in New Zealand: Results for Young People Attracted to the Same Sex or Both Sexes. Auckland, New Zealand: The University of Auckland.</w:t>
      </w:r>
    </w:p>
  </w:endnote>
  <w:endnote w:id="26">
    <w:p w:rsidR="00297EBD" w:rsidRPr="00297EBD" w:rsidRDefault="00297EBD">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Housing First Auckland. (2019). </w:t>
      </w:r>
      <w:r w:rsidRPr="00297EBD">
        <w:rPr>
          <w:rFonts w:cs="Arial"/>
          <w:i/>
          <w:iCs/>
          <w:sz w:val="16"/>
          <w:szCs w:val="16"/>
        </w:rPr>
        <w:t>Ira Mata, Ira Tangata: Auckland’s Homeless Count report: Point in time count 2018.</w:t>
      </w:r>
      <w:r w:rsidRPr="00297EBD">
        <w:rPr>
          <w:rFonts w:cs="Arial"/>
          <w:sz w:val="16"/>
          <w:szCs w:val="16"/>
        </w:rPr>
        <w:t xml:space="preserve"> Retrieved from Auckland Council:</w:t>
      </w:r>
      <w:hyperlink r:id="rId17" w:history="1">
        <w:r w:rsidRPr="00297EBD">
          <w:rPr>
            <w:rStyle w:val="Hyperlink"/>
            <w:rFonts w:cs="Arial"/>
            <w:color w:val="auto"/>
            <w:sz w:val="16"/>
            <w:szCs w:val="16"/>
          </w:rPr>
          <w:t xml:space="preserve"> https://www.aucklandshomelesscount.org.nz/wp-content/uploads/2019/10/PiT-FinalReport-Final.pdf</w:t>
        </w:r>
      </w:hyperlink>
    </w:p>
  </w:endnote>
  <w:endnote w:id="27">
    <w:p w:rsidR="00297EBD" w:rsidRPr="00297EBD" w:rsidRDefault="00297EBD">
      <w:pPr>
        <w:pStyle w:val="EndnoteText"/>
        <w:rPr>
          <w:sz w:val="16"/>
          <w:szCs w:val="16"/>
        </w:rPr>
      </w:pPr>
      <w:r w:rsidRPr="00297EBD">
        <w:rPr>
          <w:rStyle w:val="EndnoteReference"/>
          <w:sz w:val="16"/>
          <w:szCs w:val="16"/>
        </w:rPr>
        <w:endnoteRef/>
      </w:r>
      <w:r w:rsidRPr="00297EBD">
        <w:rPr>
          <w:sz w:val="16"/>
          <w:szCs w:val="16"/>
        </w:rPr>
        <w:t xml:space="preserve"> Parliament. (2020). </w:t>
      </w:r>
      <w:r w:rsidRPr="00297EBD">
        <w:rPr>
          <w:i/>
          <w:sz w:val="16"/>
          <w:szCs w:val="16"/>
        </w:rPr>
        <w:t>Government steps up action to prevent homelessness.</w:t>
      </w:r>
      <w:r w:rsidRPr="00297EBD">
        <w:rPr>
          <w:sz w:val="16"/>
          <w:szCs w:val="16"/>
        </w:rPr>
        <w:t xml:space="preserve"> </w:t>
      </w:r>
      <w:hyperlink r:id="rId18" w:history="1">
        <w:r w:rsidRPr="00297EBD">
          <w:rPr>
            <w:rStyle w:val="Hyperlink"/>
            <w:color w:val="auto"/>
            <w:sz w:val="16"/>
            <w:szCs w:val="16"/>
          </w:rPr>
          <w:t>https://www.beehive.govt.nz/release/government-steps-action-prevent-homelessness</w:t>
        </w:r>
      </w:hyperlink>
    </w:p>
  </w:endnote>
  <w:endnote w:id="28">
    <w:p w:rsidR="00375A94" w:rsidRPr="00297EBD" w:rsidRDefault="00375A94" w:rsidP="00375A94">
      <w:pPr>
        <w:pStyle w:val="NormalWeb"/>
        <w:spacing w:before="0" w:beforeAutospacing="0" w:after="0" w:afterAutospacing="0"/>
        <w:rPr>
          <w:rFonts w:asciiTheme="minorHAnsi" w:hAnsiTheme="minorHAnsi"/>
          <w:sz w:val="16"/>
          <w:szCs w:val="16"/>
        </w:rPr>
      </w:pPr>
      <w:r w:rsidRPr="00297EBD">
        <w:rPr>
          <w:rStyle w:val="EndnoteReference"/>
          <w:rFonts w:asciiTheme="minorHAnsi" w:hAnsiTheme="minorHAnsi"/>
          <w:sz w:val="16"/>
          <w:szCs w:val="16"/>
        </w:rPr>
        <w:endnoteRef/>
      </w:r>
      <w:r w:rsidRPr="00297EBD">
        <w:rPr>
          <w:rFonts w:asciiTheme="minorHAnsi" w:hAnsiTheme="minorHAnsi"/>
          <w:sz w:val="16"/>
          <w:szCs w:val="16"/>
        </w:rPr>
        <w:t xml:space="preserve"> </w:t>
      </w:r>
      <w:r w:rsidRPr="00297EBD">
        <w:rPr>
          <w:rFonts w:asciiTheme="minorHAnsi" w:hAnsiTheme="minorHAnsi" w:cs="Arial"/>
          <w:sz w:val="16"/>
          <w:szCs w:val="16"/>
        </w:rPr>
        <w:t xml:space="preserve">Statistics New Zealand. (2019, December 19). </w:t>
      </w:r>
      <w:r w:rsidRPr="00297EBD">
        <w:rPr>
          <w:rFonts w:asciiTheme="minorHAnsi" w:hAnsiTheme="minorHAnsi" w:cs="Arial"/>
          <w:i/>
          <w:iCs/>
          <w:sz w:val="16"/>
          <w:szCs w:val="16"/>
        </w:rPr>
        <w:t>Reviewing the statistical standards for sex and gender</w:t>
      </w:r>
      <w:r w:rsidRPr="00297EBD">
        <w:rPr>
          <w:rFonts w:asciiTheme="minorHAnsi" w:hAnsiTheme="minorHAnsi" w:cs="Arial"/>
          <w:sz w:val="16"/>
          <w:szCs w:val="16"/>
        </w:rPr>
        <w:t>.</w:t>
      </w:r>
    </w:p>
    <w:p w:rsidR="00375A94" w:rsidRPr="00297EBD" w:rsidRDefault="00375A94" w:rsidP="00375A94">
      <w:pPr>
        <w:pStyle w:val="EndnoteText"/>
        <w:rPr>
          <w:sz w:val="16"/>
          <w:szCs w:val="16"/>
        </w:rPr>
      </w:pPr>
      <w:r w:rsidRPr="00297EBD">
        <w:rPr>
          <w:rFonts w:cs="Arial"/>
          <w:sz w:val="16"/>
          <w:szCs w:val="16"/>
        </w:rPr>
        <w:t> </w:t>
      </w:r>
      <w:hyperlink r:id="rId19" w:history="1">
        <w:r w:rsidRPr="00297EBD">
          <w:rPr>
            <w:rStyle w:val="Hyperlink"/>
            <w:rFonts w:cs="Arial"/>
            <w:color w:val="auto"/>
            <w:sz w:val="16"/>
            <w:szCs w:val="16"/>
          </w:rPr>
          <w:t>https://www.stats.govt.nz/reports/reviewing-the-statistical-standards-for-sex-and-gender</w:t>
        </w:r>
      </w:hyperlink>
    </w:p>
  </w:endnote>
  <w:endnote w:id="29">
    <w:p w:rsidR="001314C0" w:rsidRPr="00297EBD" w:rsidRDefault="001314C0" w:rsidP="001314C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Paediatric Society New Zealand. (2019).  </w:t>
      </w:r>
      <w:r w:rsidRPr="00297EBD">
        <w:rPr>
          <w:rFonts w:cs="Arial"/>
          <w:i/>
          <w:iCs/>
          <w:sz w:val="16"/>
          <w:szCs w:val="16"/>
        </w:rPr>
        <w:t>Annual Report 1 July 2017 – 30 June 2018: New Zealand Child and Youth Clinical Network</w:t>
      </w:r>
      <w:r w:rsidRPr="00297EBD">
        <w:rPr>
          <w:rFonts w:cs="Arial"/>
          <w:sz w:val="16"/>
          <w:szCs w:val="16"/>
        </w:rPr>
        <w:t xml:space="preserve">. </w:t>
      </w:r>
      <w:hyperlink r:id="rId20" w:history="1">
        <w:r w:rsidRPr="00297EBD">
          <w:rPr>
            <w:rStyle w:val="Hyperlink"/>
            <w:rFonts w:cs="Arial"/>
            <w:color w:val="auto"/>
            <w:sz w:val="16"/>
            <w:szCs w:val="16"/>
          </w:rPr>
          <w:t>https://media.starship.org.nz/nzcycn-annual-report-2017---2018/NZCYCN_Annual_Report_2017_-_2018.pdf</w:t>
        </w:r>
      </w:hyperlink>
    </w:p>
  </w:endnote>
  <w:endnote w:id="30">
    <w:p w:rsidR="001314C0" w:rsidRPr="00297EBD" w:rsidRDefault="001314C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rPr>
        <w:t xml:space="preserve">New Zealand Human Rights Commission. (2018). </w:t>
      </w:r>
      <w:r w:rsidRPr="00297EBD">
        <w:rPr>
          <w:rFonts w:cs="Arial"/>
          <w:i/>
          <w:iCs/>
          <w:sz w:val="16"/>
          <w:szCs w:val="16"/>
        </w:rPr>
        <w:t>Intersex Roundtable Report 2017: Ending the practice of genital normalisation on intersex children in Aotearoa New Zealand</w:t>
      </w:r>
      <w:r w:rsidRPr="00297EBD">
        <w:rPr>
          <w:rFonts w:cs="Arial"/>
          <w:sz w:val="16"/>
          <w:szCs w:val="16"/>
        </w:rPr>
        <w:t xml:space="preserve"> at 13. </w:t>
      </w:r>
      <w:hyperlink r:id="rId21" w:history="1">
        <w:r w:rsidRPr="00297EBD">
          <w:rPr>
            <w:rStyle w:val="Hyperlink"/>
            <w:rFonts w:cs="Arial"/>
            <w:color w:val="auto"/>
            <w:sz w:val="16"/>
            <w:szCs w:val="16"/>
          </w:rPr>
          <w:t>https://www.hrc.co.nz/files/9615/2270/4142/HRC_Intersex_Roundtable_2017.pdf</w:t>
        </w:r>
      </w:hyperlink>
    </w:p>
  </w:endnote>
  <w:endnote w:id="31">
    <w:p w:rsidR="001314C0" w:rsidRPr="00297EBD" w:rsidRDefault="001314C0">
      <w:pPr>
        <w:pStyle w:val="EndnoteText"/>
        <w:rPr>
          <w:sz w:val="16"/>
          <w:szCs w:val="16"/>
        </w:rPr>
      </w:pPr>
      <w:r w:rsidRPr="00297EBD">
        <w:rPr>
          <w:rStyle w:val="EndnoteReference"/>
          <w:sz w:val="16"/>
          <w:szCs w:val="16"/>
        </w:rPr>
        <w:endnoteRef/>
      </w:r>
      <w:r w:rsidRPr="00297EBD">
        <w:rPr>
          <w:sz w:val="16"/>
          <w:szCs w:val="16"/>
        </w:rPr>
        <w:t xml:space="preserve"> </w:t>
      </w:r>
      <w:r w:rsidRPr="00297EBD">
        <w:rPr>
          <w:rFonts w:cs="Arial"/>
          <w:sz w:val="16"/>
          <w:szCs w:val="16"/>
          <w:shd w:val="clear" w:color="auto" w:fill="FFFFFF"/>
        </w:rPr>
        <w:t xml:space="preserve">Committee on the Rights of the Child </w:t>
      </w:r>
      <w:r w:rsidRPr="00297EBD">
        <w:rPr>
          <w:rFonts w:cs="Arial"/>
          <w:i/>
          <w:iCs/>
          <w:sz w:val="16"/>
          <w:szCs w:val="16"/>
          <w:shd w:val="clear" w:color="auto" w:fill="FFFFFF"/>
        </w:rPr>
        <w:t>General comment No. 20 (2016) on the implementation of the rights of the child during adolescence</w:t>
      </w:r>
      <w:r w:rsidRPr="00297EBD">
        <w:rPr>
          <w:rFonts w:cs="Arial"/>
          <w:sz w:val="16"/>
          <w:szCs w:val="16"/>
          <w:shd w:val="clear" w:color="auto" w:fill="FFFFFF"/>
        </w:rPr>
        <w:t xml:space="preserve"> UN Doc CRC/C/GC/20 (6 December 2016) at [39].</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006A" w:rsidRDefault="0026006A" w:rsidP="00ED003C">
      <w:pPr>
        <w:spacing w:after="0" w:line="240" w:lineRule="auto"/>
      </w:pPr>
      <w:r>
        <w:separator/>
      </w:r>
    </w:p>
  </w:footnote>
  <w:footnote w:type="continuationSeparator" w:id="0">
    <w:p w:rsidR="0026006A" w:rsidRDefault="0026006A" w:rsidP="00ED00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778A8"/>
    <w:multiLevelType w:val="multilevel"/>
    <w:tmpl w:val="29E0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67738"/>
    <w:multiLevelType w:val="hybridMultilevel"/>
    <w:tmpl w:val="BF2C9A0A"/>
    <w:lvl w:ilvl="0" w:tplc="DB98D34A">
      <w:start w:val="4"/>
      <w:numFmt w:val="upperLetter"/>
      <w:lvlText w:val="%1."/>
      <w:lvlJc w:val="left"/>
      <w:pPr>
        <w:tabs>
          <w:tab w:val="num" w:pos="720"/>
        </w:tabs>
        <w:ind w:left="720" w:hanging="360"/>
      </w:pPr>
    </w:lvl>
    <w:lvl w:ilvl="1" w:tplc="3F80A56A" w:tentative="1">
      <w:start w:val="1"/>
      <w:numFmt w:val="decimal"/>
      <w:lvlText w:val="%2."/>
      <w:lvlJc w:val="left"/>
      <w:pPr>
        <w:tabs>
          <w:tab w:val="num" w:pos="1440"/>
        </w:tabs>
        <w:ind w:left="1440" w:hanging="360"/>
      </w:pPr>
    </w:lvl>
    <w:lvl w:ilvl="2" w:tplc="4594B8EA" w:tentative="1">
      <w:start w:val="1"/>
      <w:numFmt w:val="decimal"/>
      <w:lvlText w:val="%3."/>
      <w:lvlJc w:val="left"/>
      <w:pPr>
        <w:tabs>
          <w:tab w:val="num" w:pos="2160"/>
        </w:tabs>
        <w:ind w:left="2160" w:hanging="360"/>
      </w:pPr>
    </w:lvl>
    <w:lvl w:ilvl="3" w:tplc="5FB4F4E2" w:tentative="1">
      <w:start w:val="1"/>
      <w:numFmt w:val="decimal"/>
      <w:lvlText w:val="%4."/>
      <w:lvlJc w:val="left"/>
      <w:pPr>
        <w:tabs>
          <w:tab w:val="num" w:pos="2880"/>
        </w:tabs>
        <w:ind w:left="2880" w:hanging="360"/>
      </w:pPr>
    </w:lvl>
    <w:lvl w:ilvl="4" w:tplc="455C4E38" w:tentative="1">
      <w:start w:val="1"/>
      <w:numFmt w:val="decimal"/>
      <w:lvlText w:val="%5."/>
      <w:lvlJc w:val="left"/>
      <w:pPr>
        <w:tabs>
          <w:tab w:val="num" w:pos="3600"/>
        </w:tabs>
        <w:ind w:left="3600" w:hanging="360"/>
      </w:pPr>
    </w:lvl>
    <w:lvl w:ilvl="5" w:tplc="38B49EAE" w:tentative="1">
      <w:start w:val="1"/>
      <w:numFmt w:val="decimal"/>
      <w:lvlText w:val="%6."/>
      <w:lvlJc w:val="left"/>
      <w:pPr>
        <w:tabs>
          <w:tab w:val="num" w:pos="4320"/>
        </w:tabs>
        <w:ind w:left="4320" w:hanging="360"/>
      </w:pPr>
    </w:lvl>
    <w:lvl w:ilvl="6" w:tplc="2146DA58" w:tentative="1">
      <w:start w:val="1"/>
      <w:numFmt w:val="decimal"/>
      <w:lvlText w:val="%7."/>
      <w:lvlJc w:val="left"/>
      <w:pPr>
        <w:tabs>
          <w:tab w:val="num" w:pos="5040"/>
        </w:tabs>
        <w:ind w:left="5040" w:hanging="360"/>
      </w:pPr>
    </w:lvl>
    <w:lvl w:ilvl="7" w:tplc="07941B2C" w:tentative="1">
      <w:start w:val="1"/>
      <w:numFmt w:val="decimal"/>
      <w:lvlText w:val="%8."/>
      <w:lvlJc w:val="left"/>
      <w:pPr>
        <w:tabs>
          <w:tab w:val="num" w:pos="5760"/>
        </w:tabs>
        <w:ind w:left="5760" w:hanging="360"/>
      </w:pPr>
    </w:lvl>
    <w:lvl w:ilvl="8" w:tplc="A59245B4" w:tentative="1">
      <w:start w:val="1"/>
      <w:numFmt w:val="decimal"/>
      <w:lvlText w:val="%9."/>
      <w:lvlJc w:val="left"/>
      <w:pPr>
        <w:tabs>
          <w:tab w:val="num" w:pos="6480"/>
        </w:tabs>
        <w:ind w:left="6480" w:hanging="360"/>
      </w:pPr>
    </w:lvl>
  </w:abstractNum>
  <w:abstractNum w:abstractNumId="2" w15:restartNumberingAfterBreak="0">
    <w:nsid w:val="2C416E8D"/>
    <w:multiLevelType w:val="hybridMultilevel"/>
    <w:tmpl w:val="E7ECFF40"/>
    <w:lvl w:ilvl="0" w:tplc="DF904E04">
      <w:start w:val="8"/>
      <w:numFmt w:val="upperLetter"/>
      <w:lvlText w:val="%1."/>
      <w:lvlJc w:val="left"/>
      <w:pPr>
        <w:tabs>
          <w:tab w:val="num" w:pos="720"/>
        </w:tabs>
        <w:ind w:left="720" w:hanging="360"/>
      </w:pPr>
    </w:lvl>
    <w:lvl w:ilvl="1" w:tplc="464C55C8" w:tentative="1">
      <w:start w:val="1"/>
      <w:numFmt w:val="decimal"/>
      <w:lvlText w:val="%2."/>
      <w:lvlJc w:val="left"/>
      <w:pPr>
        <w:tabs>
          <w:tab w:val="num" w:pos="1440"/>
        </w:tabs>
        <w:ind w:left="1440" w:hanging="360"/>
      </w:pPr>
    </w:lvl>
    <w:lvl w:ilvl="2" w:tplc="33106202" w:tentative="1">
      <w:start w:val="1"/>
      <w:numFmt w:val="decimal"/>
      <w:lvlText w:val="%3."/>
      <w:lvlJc w:val="left"/>
      <w:pPr>
        <w:tabs>
          <w:tab w:val="num" w:pos="2160"/>
        </w:tabs>
        <w:ind w:left="2160" w:hanging="360"/>
      </w:pPr>
    </w:lvl>
    <w:lvl w:ilvl="3" w:tplc="3D1A6136" w:tentative="1">
      <w:start w:val="1"/>
      <w:numFmt w:val="decimal"/>
      <w:lvlText w:val="%4."/>
      <w:lvlJc w:val="left"/>
      <w:pPr>
        <w:tabs>
          <w:tab w:val="num" w:pos="2880"/>
        </w:tabs>
        <w:ind w:left="2880" w:hanging="360"/>
      </w:pPr>
    </w:lvl>
    <w:lvl w:ilvl="4" w:tplc="BB26349E" w:tentative="1">
      <w:start w:val="1"/>
      <w:numFmt w:val="decimal"/>
      <w:lvlText w:val="%5."/>
      <w:lvlJc w:val="left"/>
      <w:pPr>
        <w:tabs>
          <w:tab w:val="num" w:pos="3600"/>
        </w:tabs>
        <w:ind w:left="3600" w:hanging="360"/>
      </w:pPr>
    </w:lvl>
    <w:lvl w:ilvl="5" w:tplc="F27058A4" w:tentative="1">
      <w:start w:val="1"/>
      <w:numFmt w:val="decimal"/>
      <w:lvlText w:val="%6."/>
      <w:lvlJc w:val="left"/>
      <w:pPr>
        <w:tabs>
          <w:tab w:val="num" w:pos="4320"/>
        </w:tabs>
        <w:ind w:left="4320" w:hanging="360"/>
      </w:pPr>
    </w:lvl>
    <w:lvl w:ilvl="6" w:tplc="239A112A" w:tentative="1">
      <w:start w:val="1"/>
      <w:numFmt w:val="decimal"/>
      <w:lvlText w:val="%7."/>
      <w:lvlJc w:val="left"/>
      <w:pPr>
        <w:tabs>
          <w:tab w:val="num" w:pos="5040"/>
        </w:tabs>
        <w:ind w:left="5040" w:hanging="360"/>
      </w:pPr>
    </w:lvl>
    <w:lvl w:ilvl="7" w:tplc="DE4CAD7E" w:tentative="1">
      <w:start w:val="1"/>
      <w:numFmt w:val="decimal"/>
      <w:lvlText w:val="%8."/>
      <w:lvlJc w:val="left"/>
      <w:pPr>
        <w:tabs>
          <w:tab w:val="num" w:pos="5760"/>
        </w:tabs>
        <w:ind w:left="5760" w:hanging="360"/>
      </w:pPr>
    </w:lvl>
    <w:lvl w:ilvl="8" w:tplc="4BDA8094" w:tentative="1">
      <w:start w:val="1"/>
      <w:numFmt w:val="decimal"/>
      <w:lvlText w:val="%9."/>
      <w:lvlJc w:val="left"/>
      <w:pPr>
        <w:tabs>
          <w:tab w:val="num" w:pos="6480"/>
        </w:tabs>
        <w:ind w:left="6480" w:hanging="360"/>
      </w:pPr>
    </w:lvl>
  </w:abstractNum>
  <w:abstractNum w:abstractNumId="3" w15:restartNumberingAfterBreak="0">
    <w:nsid w:val="37352AD0"/>
    <w:multiLevelType w:val="hybridMultilevel"/>
    <w:tmpl w:val="6ABE8B64"/>
    <w:lvl w:ilvl="0" w:tplc="07F6A950">
      <w:start w:val="2"/>
      <w:numFmt w:val="upperLetter"/>
      <w:lvlText w:val="%1."/>
      <w:lvlJc w:val="left"/>
      <w:pPr>
        <w:tabs>
          <w:tab w:val="num" w:pos="720"/>
        </w:tabs>
        <w:ind w:left="720" w:hanging="360"/>
      </w:pPr>
    </w:lvl>
    <w:lvl w:ilvl="1" w:tplc="E4787FA8" w:tentative="1">
      <w:start w:val="1"/>
      <w:numFmt w:val="decimal"/>
      <w:lvlText w:val="%2."/>
      <w:lvlJc w:val="left"/>
      <w:pPr>
        <w:tabs>
          <w:tab w:val="num" w:pos="1440"/>
        </w:tabs>
        <w:ind w:left="1440" w:hanging="360"/>
      </w:pPr>
    </w:lvl>
    <w:lvl w:ilvl="2" w:tplc="B2168AF8" w:tentative="1">
      <w:start w:val="1"/>
      <w:numFmt w:val="decimal"/>
      <w:lvlText w:val="%3."/>
      <w:lvlJc w:val="left"/>
      <w:pPr>
        <w:tabs>
          <w:tab w:val="num" w:pos="2160"/>
        </w:tabs>
        <w:ind w:left="2160" w:hanging="360"/>
      </w:pPr>
    </w:lvl>
    <w:lvl w:ilvl="3" w:tplc="D1203988" w:tentative="1">
      <w:start w:val="1"/>
      <w:numFmt w:val="decimal"/>
      <w:lvlText w:val="%4."/>
      <w:lvlJc w:val="left"/>
      <w:pPr>
        <w:tabs>
          <w:tab w:val="num" w:pos="2880"/>
        </w:tabs>
        <w:ind w:left="2880" w:hanging="360"/>
      </w:pPr>
    </w:lvl>
    <w:lvl w:ilvl="4" w:tplc="955682CA" w:tentative="1">
      <w:start w:val="1"/>
      <w:numFmt w:val="decimal"/>
      <w:lvlText w:val="%5."/>
      <w:lvlJc w:val="left"/>
      <w:pPr>
        <w:tabs>
          <w:tab w:val="num" w:pos="3600"/>
        </w:tabs>
        <w:ind w:left="3600" w:hanging="360"/>
      </w:pPr>
    </w:lvl>
    <w:lvl w:ilvl="5" w:tplc="EF621AF6" w:tentative="1">
      <w:start w:val="1"/>
      <w:numFmt w:val="decimal"/>
      <w:lvlText w:val="%6."/>
      <w:lvlJc w:val="left"/>
      <w:pPr>
        <w:tabs>
          <w:tab w:val="num" w:pos="4320"/>
        </w:tabs>
        <w:ind w:left="4320" w:hanging="360"/>
      </w:pPr>
    </w:lvl>
    <w:lvl w:ilvl="6" w:tplc="9C921972" w:tentative="1">
      <w:start w:val="1"/>
      <w:numFmt w:val="decimal"/>
      <w:lvlText w:val="%7."/>
      <w:lvlJc w:val="left"/>
      <w:pPr>
        <w:tabs>
          <w:tab w:val="num" w:pos="5040"/>
        </w:tabs>
        <w:ind w:left="5040" w:hanging="360"/>
      </w:pPr>
    </w:lvl>
    <w:lvl w:ilvl="7" w:tplc="A5CC34A6" w:tentative="1">
      <w:start w:val="1"/>
      <w:numFmt w:val="decimal"/>
      <w:lvlText w:val="%8."/>
      <w:lvlJc w:val="left"/>
      <w:pPr>
        <w:tabs>
          <w:tab w:val="num" w:pos="5760"/>
        </w:tabs>
        <w:ind w:left="5760" w:hanging="360"/>
      </w:pPr>
    </w:lvl>
    <w:lvl w:ilvl="8" w:tplc="1DAA5CD0" w:tentative="1">
      <w:start w:val="1"/>
      <w:numFmt w:val="decimal"/>
      <w:lvlText w:val="%9."/>
      <w:lvlJc w:val="left"/>
      <w:pPr>
        <w:tabs>
          <w:tab w:val="num" w:pos="6480"/>
        </w:tabs>
        <w:ind w:left="6480" w:hanging="360"/>
      </w:pPr>
    </w:lvl>
  </w:abstractNum>
  <w:abstractNum w:abstractNumId="4" w15:restartNumberingAfterBreak="0">
    <w:nsid w:val="39EB2955"/>
    <w:multiLevelType w:val="hybridMultilevel"/>
    <w:tmpl w:val="A22A9BDC"/>
    <w:lvl w:ilvl="0" w:tplc="C04CCF3E">
      <w:start w:val="5"/>
      <w:numFmt w:val="upperLetter"/>
      <w:lvlText w:val="%1."/>
      <w:lvlJc w:val="left"/>
      <w:pPr>
        <w:tabs>
          <w:tab w:val="num" w:pos="720"/>
        </w:tabs>
        <w:ind w:left="720" w:hanging="360"/>
      </w:pPr>
    </w:lvl>
    <w:lvl w:ilvl="1" w:tplc="17381BB8" w:tentative="1">
      <w:start w:val="1"/>
      <w:numFmt w:val="decimal"/>
      <w:lvlText w:val="%2."/>
      <w:lvlJc w:val="left"/>
      <w:pPr>
        <w:tabs>
          <w:tab w:val="num" w:pos="1440"/>
        </w:tabs>
        <w:ind w:left="1440" w:hanging="360"/>
      </w:pPr>
    </w:lvl>
    <w:lvl w:ilvl="2" w:tplc="B5C00CBC" w:tentative="1">
      <w:start w:val="1"/>
      <w:numFmt w:val="decimal"/>
      <w:lvlText w:val="%3."/>
      <w:lvlJc w:val="left"/>
      <w:pPr>
        <w:tabs>
          <w:tab w:val="num" w:pos="2160"/>
        </w:tabs>
        <w:ind w:left="2160" w:hanging="360"/>
      </w:pPr>
    </w:lvl>
    <w:lvl w:ilvl="3" w:tplc="E6303BC8" w:tentative="1">
      <w:start w:val="1"/>
      <w:numFmt w:val="decimal"/>
      <w:lvlText w:val="%4."/>
      <w:lvlJc w:val="left"/>
      <w:pPr>
        <w:tabs>
          <w:tab w:val="num" w:pos="2880"/>
        </w:tabs>
        <w:ind w:left="2880" w:hanging="360"/>
      </w:pPr>
    </w:lvl>
    <w:lvl w:ilvl="4" w:tplc="D0A8566A" w:tentative="1">
      <w:start w:val="1"/>
      <w:numFmt w:val="decimal"/>
      <w:lvlText w:val="%5."/>
      <w:lvlJc w:val="left"/>
      <w:pPr>
        <w:tabs>
          <w:tab w:val="num" w:pos="3600"/>
        </w:tabs>
        <w:ind w:left="3600" w:hanging="360"/>
      </w:pPr>
    </w:lvl>
    <w:lvl w:ilvl="5" w:tplc="B808820A" w:tentative="1">
      <w:start w:val="1"/>
      <w:numFmt w:val="decimal"/>
      <w:lvlText w:val="%6."/>
      <w:lvlJc w:val="left"/>
      <w:pPr>
        <w:tabs>
          <w:tab w:val="num" w:pos="4320"/>
        </w:tabs>
        <w:ind w:left="4320" w:hanging="360"/>
      </w:pPr>
    </w:lvl>
    <w:lvl w:ilvl="6" w:tplc="61E882E6" w:tentative="1">
      <w:start w:val="1"/>
      <w:numFmt w:val="decimal"/>
      <w:lvlText w:val="%7."/>
      <w:lvlJc w:val="left"/>
      <w:pPr>
        <w:tabs>
          <w:tab w:val="num" w:pos="5040"/>
        </w:tabs>
        <w:ind w:left="5040" w:hanging="360"/>
      </w:pPr>
    </w:lvl>
    <w:lvl w:ilvl="7" w:tplc="58505034" w:tentative="1">
      <w:start w:val="1"/>
      <w:numFmt w:val="decimal"/>
      <w:lvlText w:val="%8."/>
      <w:lvlJc w:val="left"/>
      <w:pPr>
        <w:tabs>
          <w:tab w:val="num" w:pos="5760"/>
        </w:tabs>
        <w:ind w:left="5760" w:hanging="360"/>
      </w:pPr>
    </w:lvl>
    <w:lvl w:ilvl="8" w:tplc="581EE23C" w:tentative="1">
      <w:start w:val="1"/>
      <w:numFmt w:val="decimal"/>
      <w:lvlText w:val="%9."/>
      <w:lvlJc w:val="left"/>
      <w:pPr>
        <w:tabs>
          <w:tab w:val="num" w:pos="6480"/>
        </w:tabs>
        <w:ind w:left="6480" w:hanging="360"/>
      </w:pPr>
    </w:lvl>
  </w:abstractNum>
  <w:abstractNum w:abstractNumId="5" w15:restartNumberingAfterBreak="0">
    <w:nsid w:val="40E6064D"/>
    <w:multiLevelType w:val="hybridMultilevel"/>
    <w:tmpl w:val="C63C73BA"/>
    <w:lvl w:ilvl="0" w:tplc="401E459C">
      <w:start w:val="7"/>
      <w:numFmt w:val="upperLetter"/>
      <w:lvlText w:val="%1."/>
      <w:lvlJc w:val="left"/>
      <w:pPr>
        <w:tabs>
          <w:tab w:val="num" w:pos="720"/>
        </w:tabs>
        <w:ind w:left="720" w:hanging="360"/>
      </w:pPr>
    </w:lvl>
    <w:lvl w:ilvl="1" w:tplc="F2F42BA2" w:tentative="1">
      <w:start w:val="1"/>
      <w:numFmt w:val="decimal"/>
      <w:lvlText w:val="%2."/>
      <w:lvlJc w:val="left"/>
      <w:pPr>
        <w:tabs>
          <w:tab w:val="num" w:pos="1440"/>
        </w:tabs>
        <w:ind w:left="1440" w:hanging="360"/>
      </w:pPr>
    </w:lvl>
    <w:lvl w:ilvl="2" w:tplc="5338F82E" w:tentative="1">
      <w:start w:val="1"/>
      <w:numFmt w:val="decimal"/>
      <w:lvlText w:val="%3."/>
      <w:lvlJc w:val="left"/>
      <w:pPr>
        <w:tabs>
          <w:tab w:val="num" w:pos="2160"/>
        </w:tabs>
        <w:ind w:left="2160" w:hanging="360"/>
      </w:pPr>
    </w:lvl>
    <w:lvl w:ilvl="3" w:tplc="A154A406" w:tentative="1">
      <w:start w:val="1"/>
      <w:numFmt w:val="decimal"/>
      <w:lvlText w:val="%4."/>
      <w:lvlJc w:val="left"/>
      <w:pPr>
        <w:tabs>
          <w:tab w:val="num" w:pos="2880"/>
        </w:tabs>
        <w:ind w:left="2880" w:hanging="360"/>
      </w:pPr>
    </w:lvl>
    <w:lvl w:ilvl="4" w:tplc="087A85F4" w:tentative="1">
      <w:start w:val="1"/>
      <w:numFmt w:val="decimal"/>
      <w:lvlText w:val="%5."/>
      <w:lvlJc w:val="left"/>
      <w:pPr>
        <w:tabs>
          <w:tab w:val="num" w:pos="3600"/>
        </w:tabs>
        <w:ind w:left="3600" w:hanging="360"/>
      </w:pPr>
    </w:lvl>
    <w:lvl w:ilvl="5" w:tplc="529CA776" w:tentative="1">
      <w:start w:val="1"/>
      <w:numFmt w:val="decimal"/>
      <w:lvlText w:val="%6."/>
      <w:lvlJc w:val="left"/>
      <w:pPr>
        <w:tabs>
          <w:tab w:val="num" w:pos="4320"/>
        </w:tabs>
        <w:ind w:left="4320" w:hanging="360"/>
      </w:pPr>
    </w:lvl>
    <w:lvl w:ilvl="6" w:tplc="DE701B16" w:tentative="1">
      <w:start w:val="1"/>
      <w:numFmt w:val="decimal"/>
      <w:lvlText w:val="%7."/>
      <w:lvlJc w:val="left"/>
      <w:pPr>
        <w:tabs>
          <w:tab w:val="num" w:pos="5040"/>
        </w:tabs>
        <w:ind w:left="5040" w:hanging="360"/>
      </w:pPr>
    </w:lvl>
    <w:lvl w:ilvl="7" w:tplc="5EE26300" w:tentative="1">
      <w:start w:val="1"/>
      <w:numFmt w:val="decimal"/>
      <w:lvlText w:val="%8."/>
      <w:lvlJc w:val="left"/>
      <w:pPr>
        <w:tabs>
          <w:tab w:val="num" w:pos="5760"/>
        </w:tabs>
        <w:ind w:left="5760" w:hanging="360"/>
      </w:pPr>
    </w:lvl>
    <w:lvl w:ilvl="8" w:tplc="7EAC0FB6" w:tentative="1">
      <w:start w:val="1"/>
      <w:numFmt w:val="decimal"/>
      <w:lvlText w:val="%9."/>
      <w:lvlJc w:val="left"/>
      <w:pPr>
        <w:tabs>
          <w:tab w:val="num" w:pos="6480"/>
        </w:tabs>
        <w:ind w:left="6480" w:hanging="360"/>
      </w:pPr>
    </w:lvl>
  </w:abstractNum>
  <w:abstractNum w:abstractNumId="6" w15:restartNumberingAfterBreak="0">
    <w:nsid w:val="420E4B0C"/>
    <w:multiLevelType w:val="hybridMultilevel"/>
    <w:tmpl w:val="A554F97C"/>
    <w:lvl w:ilvl="0" w:tplc="A6F4614E">
      <w:start w:val="9"/>
      <w:numFmt w:val="upperLetter"/>
      <w:lvlText w:val="%1."/>
      <w:lvlJc w:val="left"/>
      <w:pPr>
        <w:tabs>
          <w:tab w:val="num" w:pos="720"/>
        </w:tabs>
        <w:ind w:left="720" w:hanging="360"/>
      </w:pPr>
    </w:lvl>
    <w:lvl w:ilvl="1" w:tplc="7B2CE756" w:tentative="1">
      <w:start w:val="1"/>
      <w:numFmt w:val="decimal"/>
      <w:lvlText w:val="%2."/>
      <w:lvlJc w:val="left"/>
      <w:pPr>
        <w:tabs>
          <w:tab w:val="num" w:pos="1440"/>
        </w:tabs>
        <w:ind w:left="1440" w:hanging="360"/>
      </w:pPr>
    </w:lvl>
    <w:lvl w:ilvl="2" w:tplc="714CE9E0" w:tentative="1">
      <w:start w:val="1"/>
      <w:numFmt w:val="decimal"/>
      <w:lvlText w:val="%3."/>
      <w:lvlJc w:val="left"/>
      <w:pPr>
        <w:tabs>
          <w:tab w:val="num" w:pos="2160"/>
        </w:tabs>
        <w:ind w:left="2160" w:hanging="360"/>
      </w:pPr>
    </w:lvl>
    <w:lvl w:ilvl="3" w:tplc="CC14A440" w:tentative="1">
      <w:start w:val="1"/>
      <w:numFmt w:val="decimal"/>
      <w:lvlText w:val="%4."/>
      <w:lvlJc w:val="left"/>
      <w:pPr>
        <w:tabs>
          <w:tab w:val="num" w:pos="2880"/>
        </w:tabs>
        <w:ind w:left="2880" w:hanging="360"/>
      </w:pPr>
    </w:lvl>
    <w:lvl w:ilvl="4" w:tplc="CA62C77C" w:tentative="1">
      <w:start w:val="1"/>
      <w:numFmt w:val="decimal"/>
      <w:lvlText w:val="%5."/>
      <w:lvlJc w:val="left"/>
      <w:pPr>
        <w:tabs>
          <w:tab w:val="num" w:pos="3600"/>
        </w:tabs>
        <w:ind w:left="3600" w:hanging="360"/>
      </w:pPr>
    </w:lvl>
    <w:lvl w:ilvl="5" w:tplc="8F88C442" w:tentative="1">
      <w:start w:val="1"/>
      <w:numFmt w:val="decimal"/>
      <w:lvlText w:val="%6."/>
      <w:lvlJc w:val="left"/>
      <w:pPr>
        <w:tabs>
          <w:tab w:val="num" w:pos="4320"/>
        </w:tabs>
        <w:ind w:left="4320" w:hanging="360"/>
      </w:pPr>
    </w:lvl>
    <w:lvl w:ilvl="6" w:tplc="B96E64EA" w:tentative="1">
      <w:start w:val="1"/>
      <w:numFmt w:val="decimal"/>
      <w:lvlText w:val="%7."/>
      <w:lvlJc w:val="left"/>
      <w:pPr>
        <w:tabs>
          <w:tab w:val="num" w:pos="5040"/>
        </w:tabs>
        <w:ind w:left="5040" w:hanging="360"/>
      </w:pPr>
    </w:lvl>
    <w:lvl w:ilvl="7" w:tplc="C1DA6C34" w:tentative="1">
      <w:start w:val="1"/>
      <w:numFmt w:val="decimal"/>
      <w:lvlText w:val="%8."/>
      <w:lvlJc w:val="left"/>
      <w:pPr>
        <w:tabs>
          <w:tab w:val="num" w:pos="5760"/>
        </w:tabs>
        <w:ind w:left="5760" w:hanging="360"/>
      </w:pPr>
    </w:lvl>
    <w:lvl w:ilvl="8" w:tplc="A112DD44" w:tentative="1">
      <w:start w:val="1"/>
      <w:numFmt w:val="decimal"/>
      <w:lvlText w:val="%9."/>
      <w:lvlJc w:val="left"/>
      <w:pPr>
        <w:tabs>
          <w:tab w:val="num" w:pos="6480"/>
        </w:tabs>
        <w:ind w:left="6480" w:hanging="360"/>
      </w:pPr>
    </w:lvl>
  </w:abstractNum>
  <w:abstractNum w:abstractNumId="7" w15:restartNumberingAfterBreak="0">
    <w:nsid w:val="543407B8"/>
    <w:multiLevelType w:val="multilevel"/>
    <w:tmpl w:val="7818C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84E3E2B"/>
    <w:multiLevelType w:val="multilevel"/>
    <w:tmpl w:val="505C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2F550C"/>
    <w:multiLevelType w:val="hybridMultilevel"/>
    <w:tmpl w:val="CAD4E25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7663119B"/>
    <w:multiLevelType w:val="hybridMultilevel"/>
    <w:tmpl w:val="5798BB58"/>
    <w:lvl w:ilvl="0" w:tplc="D8C204BC">
      <w:start w:val="6"/>
      <w:numFmt w:val="upperLetter"/>
      <w:lvlText w:val="%1."/>
      <w:lvlJc w:val="left"/>
      <w:pPr>
        <w:tabs>
          <w:tab w:val="num" w:pos="720"/>
        </w:tabs>
        <w:ind w:left="720" w:hanging="360"/>
      </w:pPr>
    </w:lvl>
    <w:lvl w:ilvl="1" w:tplc="0C4C17AE" w:tentative="1">
      <w:start w:val="1"/>
      <w:numFmt w:val="decimal"/>
      <w:lvlText w:val="%2."/>
      <w:lvlJc w:val="left"/>
      <w:pPr>
        <w:tabs>
          <w:tab w:val="num" w:pos="1440"/>
        </w:tabs>
        <w:ind w:left="1440" w:hanging="360"/>
      </w:pPr>
    </w:lvl>
    <w:lvl w:ilvl="2" w:tplc="DA8CAE22" w:tentative="1">
      <w:start w:val="1"/>
      <w:numFmt w:val="decimal"/>
      <w:lvlText w:val="%3."/>
      <w:lvlJc w:val="left"/>
      <w:pPr>
        <w:tabs>
          <w:tab w:val="num" w:pos="2160"/>
        </w:tabs>
        <w:ind w:left="2160" w:hanging="360"/>
      </w:pPr>
    </w:lvl>
    <w:lvl w:ilvl="3" w:tplc="FD7E95CA" w:tentative="1">
      <w:start w:val="1"/>
      <w:numFmt w:val="decimal"/>
      <w:lvlText w:val="%4."/>
      <w:lvlJc w:val="left"/>
      <w:pPr>
        <w:tabs>
          <w:tab w:val="num" w:pos="2880"/>
        </w:tabs>
        <w:ind w:left="2880" w:hanging="360"/>
      </w:pPr>
    </w:lvl>
    <w:lvl w:ilvl="4" w:tplc="F60A9C04" w:tentative="1">
      <w:start w:val="1"/>
      <w:numFmt w:val="decimal"/>
      <w:lvlText w:val="%5."/>
      <w:lvlJc w:val="left"/>
      <w:pPr>
        <w:tabs>
          <w:tab w:val="num" w:pos="3600"/>
        </w:tabs>
        <w:ind w:left="3600" w:hanging="360"/>
      </w:pPr>
    </w:lvl>
    <w:lvl w:ilvl="5" w:tplc="C56AE818" w:tentative="1">
      <w:start w:val="1"/>
      <w:numFmt w:val="decimal"/>
      <w:lvlText w:val="%6."/>
      <w:lvlJc w:val="left"/>
      <w:pPr>
        <w:tabs>
          <w:tab w:val="num" w:pos="4320"/>
        </w:tabs>
        <w:ind w:left="4320" w:hanging="360"/>
      </w:pPr>
    </w:lvl>
    <w:lvl w:ilvl="6" w:tplc="953465D4" w:tentative="1">
      <w:start w:val="1"/>
      <w:numFmt w:val="decimal"/>
      <w:lvlText w:val="%7."/>
      <w:lvlJc w:val="left"/>
      <w:pPr>
        <w:tabs>
          <w:tab w:val="num" w:pos="5040"/>
        </w:tabs>
        <w:ind w:left="5040" w:hanging="360"/>
      </w:pPr>
    </w:lvl>
    <w:lvl w:ilvl="7" w:tplc="CBA2A27A" w:tentative="1">
      <w:start w:val="1"/>
      <w:numFmt w:val="decimal"/>
      <w:lvlText w:val="%8."/>
      <w:lvlJc w:val="left"/>
      <w:pPr>
        <w:tabs>
          <w:tab w:val="num" w:pos="5760"/>
        </w:tabs>
        <w:ind w:left="5760" w:hanging="360"/>
      </w:pPr>
    </w:lvl>
    <w:lvl w:ilvl="8" w:tplc="CCBE521C" w:tentative="1">
      <w:start w:val="1"/>
      <w:numFmt w:val="decimal"/>
      <w:lvlText w:val="%9."/>
      <w:lvlJc w:val="left"/>
      <w:pPr>
        <w:tabs>
          <w:tab w:val="num" w:pos="6480"/>
        </w:tabs>
        <w:ind w:left="6480" w:hanging="360"/>
      </w:pPr>
    </w:lvl>
  </w:abstractNum>
  <w:abstractNum w:abstractNumId="11" w15:restartNumberingAfterBreak="0">
    <w:nsid w:val="7ABD73EB"/>
    <w:multiLevelType w:val="hybridMultilevel"/>
    <w:tmpl w:val="B442B97C"/>
    <w:lvl w:ilvl="0" w:tplc="7FD23300">
      <w:start w:val="3"/>
      <w:numFmt w:val="upperLetter"/>
      <w:lvlText w:val="%1."/>
      <w:lvlJc w:val="left"/>
      <w:pPr>
        <w:tabs>
          <w:tab w:val="num" w:pos="720"/>
        </w:tabs>
        <w:ind w:left="720" w:hanging="360"/>
      </w:pPr>
    </w:lvl>
    <w:lvl w:ilvl="1" w:tplc="FC82A4F6" w:tentative="1">
      <w:start w:val="1"/>
      <w:numFmt w:val="decimal"/>
      <w:lvlText w:val="%2."/>
      <w:lvlJc w:val="left"/>
      <w:pPr>
        <w:tabs>
          <w:tab w:val="num" w:pos="1440"/>
        </w:tabs>
        <w:ind w:left="1440" w:hanging="360"/>
      </w:pPr>
    </w:lvl>
    <w:lvl w:ilvl="2" w:tplc="18E67794" w:tentative="1">
      <w:start w:val="1"/>
      <w:numFmt w:val="decimal"/>
      <w:lvlText w:val="%3."/>
      <w:lvlJc w:val="left"/>
      <w:pPr>
        <w:tabs>
          <w:tab w:val="num" w:pos="2160"/>
        </w:tabs>
        <w:ind w:left="2160" w:hanging="360"/>
      </w:pPr>
    </w:lvl>
    <w:lvl w:ilvl="3" w:tplc="C3F8819A" w:tentative="1">
      <w:start w:val="1"/>
      <w:numFmt w:val="decimal"/>
      <w:lvlText w:val="%4."/>
      <w:lvlJc w:val="left"/>
      <w:pPr>
        <w:tabs>
          <w:tab w:val="num" w:pos="2880"/>
        </w:tabs>
        <w:ind w:left="2880" w:hanging="360"/>
      </w:pPr>
    </w:lvl>
    <w:lvl w:ilvl="4" w:tplc="6EF2BC0A" w:tentative="1">
      <w:start w:val="1"/>
      <w:numFmt w:val="decimal"/>
      <w:lvlText w:val="%5."/>
      <w:lvlJc w:val="left"/>
      <w:pPr>
        <w:tabs>
          <w:tab w:val="num" w:pos="3600"/>
        </w:tabs>
        <w:ind w:left="3600" w:hanging="360"/>
      </w:pPr>
    </w:lvl>
    <w:lvl w:ilvl="5" w:tplc="53A44F6A" w:tentative="1">
      <w:start w:val="1"/>
      <w:numFmt w:val="decimal"/>
      <w:lvlText w:val="%6."/>
      <w:lvlJc w:val="left"/>
      <w:pPr>
        <w:tabs>
          <w:tab w:val="num" w:pos="4320"/>
        </w:tabs>
        <w:ind w:left="4320" w:hanging="360"/>
      </w:pPr>
    </w:lvl>
    <w:lvl w:ilvl="6" w:tplc="EA0C6EA0" w:tentative="1">
      <w:start w:val="1"/>
      <w:numFmt w:val="decimal"/>
      <w:lvlText w:val="%7."/>
      <w:lvlJc w:val="left"/>
      <w:pPr>
        <w:tabs>
          <w:tab w:val="num" w:pos="5040"/>
        </w:tabs>
        <w:ind w:left="5040" w:hanging="360"/>
      </w:pPr>
    </w:lvl>
    <w:lvl w:ilvl="7" w:tplc="5F86EC66" w:tentative="1">
      <w:start w:val="1"/>
      <w:numFmt w:val="decimal"/>
      <w:lvlText w:val="%8."/>
      <w:lvlJc w:val="left"/>
      <w:pPr>
        <w:tabs>
          <w:tab w:val="num" w:pos="5760"/>
        </w:tabs>
        <w:ind w:left="5760" w:hanging="360"/>
      </w:pPr>
    </w:lvl>
    <w:lvl w:ilvl="8" w:tplc="85E88EF0" w:tentative="1">
      <w:start w:val="1"/>
      <w:numFmt w:val="decimal"/>
      <w:lvlText w:val="%9."/>
      <w:lvlJc w:val="left"/>
      <w:pPr>
        <w:tabs>
          <w:tab w:val="num" w:pos="6480"/>
        </w:tabs>
        <w:ind w:left="6480" w:hanging="360"/>
      </w:pPr>
    </w:lvl>
  </w:abstractNum>
  <w:num w:numId="1">
    <w:abstractNumId w:val="7"/>
    <w:lvlOverride w:ilvl="0">
      <w:lvl w:ilvl="0">
        <w:numFmt w:val="upperLetter"/>
        <w:lvlText w:val="%1."/>
        <w:lvlJc w:val="left"/>
      </w:lvl>
    </w:lvlOverride>
  </w:num>
  <w:num w:numId="2">
    <w:abstractNumId w:val="3"/>
  </w:num>
  <w:num w:numId="3">
    <w:abstractNumId w:val="11"/>
  </w:num>
  <w:num w:numId="4">
    <w:abstractNumId w:val="0"/>
  </w:num>
  <w:num w:numId="5">
    <w:abstractNumId w:val="1"/>
  </w:num>
  <w:num w:numId="6">
    <w:abstractNumId w:val="4"/>
  </w:num>
  <w:num w:numId="7">
    <w:abstractNumId w:val="8"/>
  </w:num>
  <w:num w:numId="8">
    <w:abstractNumId w:val="10"/>
  </w:num>
  <w:num w:numId="9">
    <w:abstractNumId w:val="5"/>
  </w:num>
  <w:num w:numId="10">
    <w:abstractNumId w:val="2"/>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03C"/>
    <w:rsid w:val="001314C0"/>
    <w:rsid w:val="0026006A"/>
    <w:rsid w:val="00297EBD"/>
    <w:rsid w:val="00361AD0"/>
    <w:rsid w:val="00375A94"/>
    <w:rsid w:val="00602CE9"/>
    <w:rsid w:val="00744CB8"/>
    <w:rsid w:val="007828B6"/>
    <w:rsid w:val="00A37913"/>
    <w:rsid w:val="00ED003C"/>
    <w:rsid w:val="00F86BBE"/>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D595F5-FAF8-4535-B8DD-25F17A7E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7E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D003C"/>
    <w:pPr>
      <w:spacing w:before="100" w:beforeAutospacing="1" w:after="100" w:afterAutospacing="1" w:line="240" w:lineRule="auto"/>
      <w:outlineLvl w:val="1"/>
    </w:pPr>
    <w:rPr>
      <w:rFonts w:ascii="Times New Roman" w:eastAsia="Times New Roman" w:hAnsi="Times New Roman" w:cs="Times New Roman"/>
      <w:b/>
      <w:bCs/>
      <w:sz w:val="36"/>
      <w:szCs w:val="36"/>
      <w:lang w:eastAsia="en-NZ"/>
    </w:rPr>
  </w:style>
  <w:style w:type="paragraph" w:styleId="Heading3">
    <w:name w:val="heading 3"/>
    <w:basedOn w:val="Normal"/>
    <w:link w:val="Heading3Char"/>
    <w:uiPriority w:val="9"/>
    <w:qFormat/>
    <w:rsid w:val="00375A94"/>
    <w:pPr>
      <w:spacing w:before="100" w:beforeAutospacing="1" w:after="100" w:afterAutospacing="1" w:line="240" w:lineRule="auto"/>
      <w:outlineLvl w:val="2"/>
    </w:pPr>
    <w:rPr>
      <w:rFonts w:eastAsia="Times New Roman" w:cs="Times New Roman"/>
      <w:b/>
      <w:bCs/>
      <w:sz w:val="27"/>
      <w:szCs w:val="27"/>
      <w:lang w:eastAsia="en-NZ"/>
    </w:rPr>
  </w:style>
  <w:style w:type="paragraph" w:styleId="Heading4">
    <w:name w:val="heading 4"/>
    <w:basedOn w:val="Normal"/>
    <w:link w:val="Heading4Char"/>
    <w:uiPriority w:val="9"/>
    <w:qFormat/>
    <w:rsid w:val="00ED003C"/>
    <w:pPr>
      <w:spacing w:before="100" w:beforeAutospacing="1" w:after="100" w:afterAutospacing="1" w:line="240" w:lineRule="auto"/>
      <w:outlineLvl w:val="3"/>
    </w:pPr>
    <w:rPr>
      <w:rFonts w:ascii="Times New Roman" w:eastAsia="Times New Roman" w:hAnsi="Times New Roman" w:cs="Times New Roman"/>
      <w:b/>
      <w:bCs/>
      <w:sz w:val="24"/>
      <w:szCs w:val="24"/>
      <w:lang w:eastAsia="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003C"/>
    <w:rPr>
      <w:rFonts w:ascii="Times New Roman" w:eastAsia="Times New Roman" w:hAnsi="Times New Roman" w:cs="Times New Roman"/>
      <w:b/>
      <w:bCs/>
      <w:sz w:val="36"/>
      <w:szCs w:val="36"/>
      <w:lang w:eastAsia="en-NZ"/>
    </w:rPr>
  </w:style>
  <w:style w:type="character" w:customStyle="1" w:styleId="Heading3Char">
    <w:name w:val="Heading 3 Char"/>
    <w:basedOn w:val="DefaultParagraphFont"/>
    <w:link w:val="Heading3"/>
    <w:uiPriority w:val="9"/>
    <w:rsid w:val="00375A94"/>
    <w:rPr>
      <w:rFonts w:eastAsia="Times New Roman" w:cs="Times New Roman"/>
      <w:b/>
      <w:bCs/>
      <w:sz w:val="27"/>
      <w:szCs w:val="27"/>
      <w:lang w:eastAsia="en-NZ"/>
    </w:rPr>
  </w:style>
  <w:style w:type="character" w:customStyle="1" w:styleId="Heading4Char">
    <w:name w:val="Heading 4 Char"/>
    <w:basedOn w:val="DefaultParagraphFont"/>
    <w:link w:val="Heading4"/>
    <w:uiPriority w:val="9"/>
    <w:rsid w:val="00ED003C"/>
    <w:rPr>
      <w:rFonts w:ascii="Times New Roman" w:eastAsia="Times New Roman" w:hAnsi="Times New Roman" w:cs="Times New Roman"/>
      <w:b/>
      <w:bCs/>
      <w:sz w:val="24"/>
      <w:szCs w:val="24"/>
      <w:lang w:eastAsia="en-NZ"/>
    </w:rPr>
  </w:style>
  <w:style w:type="paragraph" w:styleId="NormalWeb">
    <w:name w:val="Normal (Web)"/>
    <w:basedOn w:val="Normal"/>
    <w:uiPriority w:val="99"/>
    <w:semiHidden/>
    <w:unhideWhenUsed/>
    <w:rsid w:val="00ED003C"/>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styleId="Hyperlink">
    <w:name w:val="Hyperlink"/>
    <w:basedOn w:val="DefaultParagraphFont"/>
    <w:uiPriority w:val="99"/>
    <w:unhideWhenUsed/>
    <w:rsid w:val="00ED003C"/>
    <w:rPr>
      <w:color w:val="0000FF"/>
      <w:u w:val="single"/>
    </w:rPr>
  </w:style>
  <w:style w:type="paragraph" w:styleId="EndnoteText">
    <w:name w:val="endnote text"/>
    <w:basedOn w:val="Normal"/>
    <w:link w:val="EndnoteTextChar"/>
    <w:uiPriority w:val="99"/>
    <w:semiHidden/>
    <w:unhideWhenUsed/>
    <w:rsid w:val="00ED00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D003C"/>
    <w:rPr>
      <w:sz w:val="20"/>
      <w:szCs w:val="20"/>
    </w:rPr>
  </w:style>
  <w:style w:type="character" w:styleId="EndnoteReference">
    <w:name w:val="endnote reference"/>
    <w:basedOn w:val="DefaultParagraphFont"/>
    <w:uiPriority w:val="99"/>
    <w:semiHidden/>
    <w:unhideWhenUsed/>
    <w:rsid w:val="00ED003C"/>
    <w:rPr>
      <w:vertAlign w:val="superscript"/>
    </w:rPr>
  </w:style>
  <w:style w:type="paragraph" w:styleId="ListParagraph">
    <w:name w:val="List Paragraph"/>
    <w:basedOn w:val="Normal"/>
    <w:uiPriority w:val="34"/>
    <w:qFormat/>
    <w:rsid w:val="001314C0"/>
    <w:pPr>
      <w:ind w:left="720"/>
      <w:contextualSpacing/>
    </w:pPr>
  </w:style>
  <w:style w:type="character" w:customStyle="1" w:styleId="Heading1Char">
    <w:name w:val="Heading 1 Char"/>
    <w:basedOn w:val="DefaultParagraphFont"/>
    <w:link w:val="Heading1"/>
    <w:uiPriority w:val="9"/>
    <w:rsid w:val="00297EBD"/>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901">
      <w:bodyDiv w:val="1"/>
      <w:marLeft w:val="0"/>
      <w:marRight w:val="0"/>
      <w:marTop w:val="0"/>
      <w:marBottom w:val="0"/>
      <w:divBdr>
        <w:top w:val="none" w:sz="0" w:space="0" w:color="auto"/>
        <w:left w:val="none" w:sz="0" w:space="0" w:color="auto"/>
        <w:bottom w:val="none" w:sz="0" w:space="0" w:color="auto"/>
        <w:right w:val="none" w:sz="0" w:space="0" w:color="auto"/>
      </w:divBdr>
    </w:div>
    <w:div w:id="778909648">
      <w:bodyDiv w:val="1"/>
      <w:marLeft w:val="0"/>
      <w:marRight w:val="0"/>
      <w:marTop w:val="0"/>
      <w:marBottom w:val="0"/>
      <w:divBdr>
        <w:top w:val="none" w:sz="0" w:space="0" w:color="auto"/>
        <w:left w:val="none" w:sz="0" w:space="0" w:color="auto"/>
        <w:bottom w:val="none" w:sz="0" w:space="0" w:color="auto"/>
        <w:right w:val="none" w:sz="0" w:space="0" w:color="auto"/>
      </w:divBdr>
    </w:div>
    <w:div w:id="1322540810">
      <w:bodyDiv w:val="1"/>
      <w:marLeft w:val="0"/>
      <w:marRight w:val="0"/>
      <w:marTop w:val="0"/>
      <w:marBottom w:val="0"/>
      <w:divBdr>
        <w:top w:val="none" w:sz="0" w:space="0" w:color="auto"/>
        <w:left w:val="none" w:sz="0" w:space="0" w:color="auto"/>
        <w:bottom w:val="none" w:sz="0" w:space="0" w:color="auto"/>
        <w:right w:val="none" w:sz="0" w:space="0" w:color="auto"/>
      </w:divBdr>
    </w:div>
    <w:div w:id="14725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www.legislation.govt.nz/act/public/1993/0082/latest/DLM304212.html" TargetMode="External"/><Relationship Id="rId13" Type="http://schemas.openxmlformats.org/officeDocument/2006/relationships/hyperlink" Target="https://www.stuff.co.nz/national/health/116095754/conversion-therapy-one-in-six-trans-nonbinary-people-say-a-professional-tried-to-stop-them-being-themselves" TargetMode="External"/><Relationship Id="rId18" Type="http://schemas.openxmlformats.org/officeDocument/2006/relationships/hyperlink" Target="https://www.beehive.govt.nz/release/government-steps-action-prevent-homelessness" TargetMode="External"/><Relationship Id="rId3" Type="http://schemas.openxmlformats.org/officeDocument/2006/relationships/hyperlink" Target="https://www.aucklandshomelesscount.org.nz/wp-content/uploads/2019/10/PiT-FinalReport-Final.pdf" TargetMode="External"/><Relationship Id="rId21" Type="http://schemas.openxmlformats.org/officeDocument/2006/relationships/hyperlink" Target="https://www.hrc.co.nz/files/9615/2270/4142/HRC_Intersex_Roundtable_2017.pdf" TargetMode="External"/><Relationship Id="rId7" Type="http://schemas.openxmlformats.org/officeDocument/2006/relationships/hyperlink" Target="https://www.rnz.co.nz/news/national/393694/nz-govt-criticised-over-un-trans-and-gender-rights-protection-delays" TargetMode="External"/><Relationship Id="rId12" Type="http://schemas.openxmlformats.org/officeDocument/2006/relationships/hyperlink" Target="https://www.beehive.govt.nz/release/births-deaths-marriages-and-relationships-registration-bill-be-deferred" TargetMode="External"/><Relationship Id="rId17" Type="http://schemas.openxmlformats.org/officeDocument/2006/relationships/hyperlink" Target="https://www.aucklandshomelesscount.org.nz/wp-content/uploads/2019/10/PiT-FinalReport-Final.pdf" TargetMode="External"/><Relationship Id="rId2" Type="http://schemas.openxmlformats.org/officeDocument/2006/relationships/hyperlink" Target="https://www.mentalhealth.org.nz/assets/Our-Work/policy-advocacy/Rainbow-communities-and-mental-health-submission-to-the-Inquiry-into-Mental-Health-and-Addiction-08062018.pdf" TargetMode="External"/><Relationship Id="rId16" Type="http://schemas.openxmlformats.org/officeDocument/2006/relationships/hyperlink" Target="https://patha.nz/News/8098808" TargetMode="External"/><Relationship Id="rId20" Type="http://schemas.openxmlformats.org/officeDocument/2006/relationships/hyperlink" Target="https://media.starship.org.nz/nzcycn-annual-report-2017---2018/NZCYCN_Annual_Report_2017_-_2018.pdf" TargetMode="External"/><Relationship Id="rId1" Type="http://schemas.openxmlformats.org/officeDocument/2006/relationships/hyperlink" Target="http://insideout.org.nz/wp-content/uploads/2018/10/UPR-Submission-2018.pdf" TargetMode="External"/><Relationship Id="rId6" Type="http://schemas.openxmlformats.org/officeDocument/2006/relationships/hyperlink" Target="https://www.newshub.co.nz/home/politics/2019/10/select-committee-fails-to-recommend-conversion-therapy-ban.html" TargetMode="External"/><Relationship Id="rId11" Type="http://schemas.openxmlformats.org/officeDocument/2006/relationships/hyperlink" Target="https://www.rnz.co.nz/news/national/385955/little-plans-fast-track-review-of-hate-speech-laws" TargetMode="External"/><Relationship Id="rId5" Type="http://schemas.openxmlformats.org/officeDocument/2006/relationships/hyperlink" Target="https://www.beehive.govt.nz/release/births-deaths-marriages-and-relationships-registration-bill-be-deferred" TargetMode="External"/><Relationship Id="rId15" Type="http://schemas.openxmlformats.org/officeDocument/2006/relationships/hyperlink" Target="https://www.mentalhealth.org.nz/assets/Our-Work/policy-advocacy/Rainbow-communities-and-mental-health-submission-to-the-Inquiry-into-Mental-Health-and-Addiction-08062018.pdf" TargetMode="External"/><Relationship Id="rId10" Type="http://schemas.openxmlformats.org/officeDocument/2006/relationships/hyperlink" Target="https://www.newshub.co.nz/home/new-zealand/2019/04/nz-herald-apologises-for-offensive-transgender-comic-strip.html" TargetMode="External"/><Relationship Id="rId19" Type="http://schemas.openxmlformats.org/officeDocument/2006/relationships/hyperlink" Target="https://www.stats.govt.nz/reports/reviewing-the-statistical-standards-for-sex-and-gender" TargetMode="External"/><Relationship Id="rId4" Type="http://schemas.openxmlformats.org/officeDocument/2006/relationships/hyperlink" Target="https://childyouthwellbeing.govt.nz/resources/child-and-youth-wellbeing-strategy" TargetMode="External"/><Relationship Id="rId9" Type="http://schemas.openxmlformats.org/officeDocument/2006/relationships/hyperlink" Target="https://www.facebook.com/NZHumanRightsCommission/videos/372809606890096/" TargetMode="External"/><Relationship Id="rId14" Type="http://schemas.openxmlformats.org/officeDocument/2006/relationships/hyperlink" Target="https://www.parliament.nz/resource/en-NZ/SCR_92751/c6e6e71725e1e313965f8cf736f3813fd9bf9f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CA770D-D89A-4990-9F4F-8D1A8EBFF65C}">
  <ds:schemaRefs>
    <ds:schemaRef ds:uri="http://schemas.openxmlformats.org/officeDocument/2006/bibliography"/>
  </ds:schemaRefs>
</ds:datastoreItem>
</file>

<file path=customXml/itemProps2.xml><?xml version="1.0" encoding="utf-8"?>
<ds:datastoreItem xmlns:ds="http://schemas.openxmlformats.org/officeDocument/2006/customXml" ds:itemID="{5E762D31-F2DD-47B9-93CE-83DFC426B41A}"/>
</file>

<file path=customXml/itemProps3.xml><?xml version="1.0" encoding="utf-8"?>
<ds:datastoreItem xmlns:ds="http://schemas.openxmlformats.org/officeDocument/2006/customXml" ds:itemID="{C14A601E-7409-4F11-8F55-0DDC3BACAB9F}"/>
</file>

<file path=customXml/itemProps4.xml><?xml version="1.0" encoding="utf-8"?>
<ds:datastoreItem xmlns:ds="http://schemas.openxmlformats.org/officeDocument/2006/customXml" ds:itemID="{BFDD3324-B999-48D7-BDC0-26AB51FE735C}"/>
</file>

<file path=docProps/app.xml><?xml version="1.0" encoding="utf-8"?>
<Properties xmlns="http://schemas.openxmlformats.org/officeDocument/2006/extended-properties" xmlns:vt="http://schemas.openxmlformats.org/officeDocument/2006/docPropsVTypes">
  <Template>Normal.dotm</Template>
  <TotalTime>1</TotalTime>
  <Pages>5</Pages>
  <Words>1931</Words>
  <Characters>11009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12915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dc:creator>
  <cp:keywords/>
  <dc:description/>
  <cp:lastModifiedBy>BOIT James</cp:lastModifiedBy>
  <cp:revision>2</cp:revision>
  <dcterms:created xsi:type="dcterms:W3CDTF">2020-05-12T07:50:00Z</dcterms:created>
  <dcterms:modified xsi:type="dcterms:W3CDTF">2020-05-12T07:50:00Z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