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settings.xml" ContentType="application/vnd.openxmlformats-officedocument.wordprocessingml.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pStyle w:val="19"/>
        <w:spacing w:line="240" w:lineRule="auto"/>
        <w:ind w:left="4818" w:right="-136" w:firstLine="0"/>
        <w:jc w:val="both"/>
        <w:rPr>
          <w:color w:val="000000"/>
          <w:sz w:val="22"/>
          <w:szCs w:val="22"/>
        </w:rPr>
      </w:pPr>
      <w:bookmarkStart w:id="0" w:name="_heading=h.rpvg7y1qtbu7" w:colFirst="0" w:colLast="0"/>
      <w:bookmarkEnd w:id="0"/>
      <w:r>
        <w:rPr>
          <w:color w:val="000000"/>
          <w:sz w:val="22"/>
          <w:szCs w:val="22"/>
          <w:rtl w:val="0"/>
        </w:rPr>
        <w:t xml:space="preserve">                                                                                                                                                                                                                                          Alternative report to the 113th session of the UN Committee on the Elimination of Racial Discrimination (CERD) for the review of the United Kingdom of Great Britain and Northern Ireland.</w:t>
      </w:r>
    </w:p>
    <w:p w14:paraId="00000002">
      <w:pPr>
        <w:spacing w:line="240" w:lineRule="auto"/>
        <w:jc w:val="center"/>
        <w:rPr>
          <w:highlight w:val="white"/>
        </w:rPr>
      </w:pPr>
    </w:p>
    <w:p w14:paraId="00000003">
      <w:pPr>
        <w:spacing w:line="240" w:lineRule="auto"/>
        <w:jc w:val="center"/>
        <w:rPr>
          <w:highlight w:val="white"/>
        </w:rPr>
      </w:pPr>
    </w:p>
    <w:p w14:paraId="00000004">
      <w:pPr>
        <w:pStyle w:val="20"/>
        <w:spacing w:before="240" w:after="240"/>
        <w:jc w:val="center"/>
        <w:rPr>
          <w:b/>
          <w:sz w:val="28"/>
          <w:szCs w:val="28"/>
        </w:rPr>
      </w:pPr>
      <w:bookmarkStart w:id="1" w:name="_heading=h.lwz1sc8e52oo" w:colFirst="0" w:colLast="0"/>
      <w:bookmarkEnd w:id="1"/>
      <w:r>
        <w:rPr>
          <w:b/>
          <w:sz w:val="28"/>
          <w:szCs w:val="28"/>
          <w:rtl w:val="0"/>
        </w:rPr>
        <w:t xml:space="preserve">THE ROLE OF THE UNITED KINGDOM </w:t>
      </w:r>
    </w:p>
    <w:p w14:paraId="00000005">
      <w:pPr>
        <w:pStyle w:val="20"/>
        <w:spacing w:before="240" w:after="240"/>
        <w:jc w:val="center"/>
        <w:rPr>
          <w:b/>
          <w:sz w:val="28"/>
          <w:szCs w:val="28"/>
        </w:rPr>
      </w:pPr>
      <w:bookmarkStart w:id="2" w:name="_heading=h.6zaz2x1njxw4" w:colFirst="0" w:colLast="0"/>
      <w:bookmarkEnd w:id="2"/>
      <w:r>
        <w:rPr>
          <w:b/>
          <w:sz w:val="28"/>
          <w:szCs w:val="28"/>
          <w:rtl w:val="0"/>
        </w:rPr>
        <w:t>IN THE DEBT CRISIS OF THE GLOBAL SOUTH</w:t>
      </w:r>
    </w:p>
    <w:p w14:paraId="00000006">
      <w:pPr>
        <w:spacing w:before="240" w:after="240"/>
        <w:jc w:val="both"/>
        <w:rPr>
          <w:highlight w:val="white"/>
        </w:rPr>
      </w:pPr>
      <w:r>
        <w:rPr>
          <w:highlight w:val="white"/>
          <w:rtl w:val="0"/>
        </w:rPr>
        <w:t xml:space="preserve"> </w:t>
      </w:r>
    </w:p>
    <w:p w14:paraId="00000007">
      <w:pPr>
        <w:spacing w:line="240" w:lineRule="auto"/>
        <w:jc w:val="left"/>
        <w:rPr>
          <w:highlight w:val="white"/>
        </w:rPr>
      </w:pPr>
    </w:p>
    <w:p w14:paraId="00000008">
      <w:pPr>
        <w:spacing w:line="240" w:lineRule="auto"/>
        <w:jc w:val="center"/>
        <w:rPr>
          <w:b/>
          <w:highlight w:val="white"/>
        </w:rPr>
      </w:pPr>
    </w:p>
    <w:p w14:paraId="00000009">
      <w:pPr>
        <w:spacing w:line="240" w:lineRule="auto"/>
        <w:jc w:val="center"/>
        <w:rPr>
          <w:highlight w:val="white"/>
        </w:rPr>
      </w:pPr>
      <w:r>
        <w:rPr>
          <w:b/>
          <w:highlight w:val="white"/>
          <w:rtl w:val="0"/>
        </w:rPr>
        <w:t>Third World Network (TWN)</w:t>
      </w:r>
      <w:r>
        <w:rPr>
          <w:highlight w:val="white"/>
          <w:rtl w:val="0"/>
        </w:rPr>
        <w:t xml:space="preserve">                                                                                                                                                                                                                                                                                                                                                                                                                                                                                                                                                                                              </w:t>
      </w:r>
    </w:p>
    <w:p w14:paraId="0000000A">
      <w:pPr>
        <w:spacing w:line="240" w:lineRule="auto"/>
        <w:rPr>
          <w:highlight w:val="white"/>
        </w:rPr>
      </w:pPr>
      <w:r>
        <w:rPr>
          <w:highlight w:val="white"/>
          <w:rtl w:val="0"/>
        </w:rPr>
        <w:t xml:space="preserve"> </w:t>
      </w:r>
    </w:p>
    <w:p w14:paraId="0000000B">
      <w:pPr>
        <w:spacing w:line="240" w:lineRule="auto"/>
        <w:jc w:val="center"/>
        <w:rPr>
          <w:b/>
        </w:rPr>
      </w:pPr>
      <w:r>
        <w:rPr>
          <w:rtl w:val="0"/>
        </w:rPr>
        <w:t>12 July 2024</w:t>
      </w:r>
    </w:p>
    <w:p w14:paraId="0000000C">
      <w:pPr>
        <w:spacing w:before="240" w:after="240"/>
        <w:jc w:val="both"/>
        <w:rPr>
          <w:highlight w:val="cyan"/>
        </w:rPr>
      </w:pPr>
      <w:r>
        <w:rPr>
          <w:highlight w:val="cyan"/>
          <w:rtl w:val="0"/>
        </w:rPr>
        <w:t xml:space="preserve"> </w:t>
      </w:r>
    </w:p>
    <w:p w14:paraId="0000000D">
      <w:pPr>
        <w:spacing w:before="240" w:after="240"/>
        <w:jc w:val="both"/>
        <w:rPr>
          <w:highlight w:val="cyan"/>
        </w:rPr>
      </w:pPr>
    </w:p>
    <w:p w14:paraId="0000000E">
      <w:pPr>
        <w:spacing w:before="240" w:after="240"/>
        <w:jc w:val="both"/>
        <w:rPr>
          <w:highlight w:val="cyan"/>
        </w:rPr>
      </w:pPr>
    </w:p>
    <w:p w14:paraId="0000000F">
      <w:pPr>
        <w:spacing w:before="240" w:after="240"/>
        <w:jc w:val="both"/>
        <w:rPr>
          <w:highlight w:val="cyan"/>
        </w:rPr>
      </w:pPr>
    </w:p>
    <w:p w14:paraId="00000010">
      <w:pPr>
        <w:spacing w:before="240" w:after="240"/>
        <w:jc w:val="both"/>
        <w:rPr>
          <w:highlight w:val="cyan"/>
        </w:rPr>
      </w:pPr>
    </w:p>
    <w:p w14:paraId="00000011">
      <w:pPr>
        <w:spacing w:before="240" w:after="240"/>
        <w:jc w:val="both"/>
        <w:rPr>
          <w:highlight w:val="cyan"/>
        </w:rPr>
      </w:pPr>
    </w:p>
    <w:p w14:paraId="00000012">
      <w:pPr>
        <w:spacing w:before="240" w:after="240"/>
        <w:jc w:val="both"/>
        <w:rPr>
          <w:highlight w:val="cyan"/>
        </w:rPr>
      </w:pPr>
    </w:p>
    <w:p w14:paraId="00000013">
      <w:pPr>
        <w:spacing w:before="240" w:after="240"/>
        <w:jc w:val="both"/>
        <w:rPr>
          <w:highlight w:val="cyan"/>
        </w:rPr>
      </w:pPr>
    </w:p>
    <w:p w14:paraId="00000014">
      <w:pPr>
        <w:spacing w:before="240" w:after="240"/>
        <w:jc w:val="both"/>
        <w:rPr>
          <w:highlight w:val="cyan"/>
        </w:rPr>
      </w:pPr>
    </w:p>
    <w:p w14:paraId="00000015">
      <w:pPr>
        <w:spacing w:before="240" w:after="240"/>
        <w:jc w:val="both"/>
        <w:rPr>
          <w:highlight w:val="cyan"/>
        </w:rPr>
      </w:pPr>
    </w:p>
    <w:p w14:paraId="00000016">
      <w:pPr>
        <w:spacing w:before="240" w:after="240"/>
        <w:jc w:val="both"/>
        <w:rPr>
          <w:highlight w:val="cyan"/>
        </w:rPr>
      </w:pPr>
    </w:p>
    <w:p w14:paraId="00000017">
      <w:pPr>
        <w:spacing w:before="240" w:after="240"/>
        <w:jc w:val="both"/>
      </w:pPr>
      <w:r>
        <w:rPr>
          <w:rtl w:val="0"/>
        </w:rPr>
        <w:t xml:space="preserve">This report is filed under Articles 1, 2 and 5 of the International Convention on the  Elimination of All Forms of Racial Discrimination (ICERD) and General  Recommendations 34 in relation to African Descendants. Reference is also made  to the Guiding Principles on Foreign Debt and Human Rights.   </w:t>
      </w:r>
    </w:p>
    <w:p w14:paraId="00000018">
      <w:pPr>
        <w:spacing w:before="240" w:after="240"/>
        <w:jc w:val="both"/>
      </w:pPr>
    </w:p>
    <w:p w14:paraId="00000019">
      <w:pPr>
        <w:spacing w:before="240" w:after="240" w:line="360" w:lineRule="auto"/>
        <w:ind w:left="283" w:firstLine="0"/>
        <w:jc w:val="center"/>
        <w:rPr>
          <w:b/>
        </w:rPr>
      </w:pPr>
      <w:r>
        <w:rPr>
          <w:b/>
          <w:rtl w:val="0"/>
        </w:rPr>
        <w:t>SUMMARY</w:t>
      </w:r>
    </w:p>
    <w:sdt>
      <w:sdtPr>
        <w:id w:val="1"/>
        <w:docPartObj>
          <w:docPartGallery w:val="Table of Contents"/>
          <w:docPartUnique/>
        </w:docPartObj>
      </w:sdtPr>
      <w:sdtContent>
        <w:p w14:paraId="0000001A">
          <w:pPr>
            <w:widowControl w:val="0"/>
            <w:tabs>
              <w:tab w:val="right" w:pos="12000"/>
            </w:tabs>
            <w:spacing w:before="60" w:line="360" w:lineRule="auto"/>
            <w:rPr>
              <w:rFonts w:ascii="Arial" w:hAnsi="Arial" w:eastAsia="Arial" w:cs="Arial"/>
              <w:b/>
              <w:i w:val="0"/>
              <w:smallCaps w:val="0"/>
              <w:strike w:val="0"/>
              <w:color w:val="000000"/>
              <w:sz w:val="22"/>
              <w:szCs w:val="22"/>
              <w:u w:val="none"/>
              <w:shd w:val="clear" w:fill="auto"/>
              <w:vertAlign w:val="baseline"/>
            </w:rPr>
          </w:pPr>
          <w:r>
            <w:fldChar w:fldCharType="begin"/>
          </w:r>
          <w:r>
            <w:instrText xml:space="preserve"> TOC \h \u \z \t "Heading 1,1,Heading 2,2,Heading 3,3,Heading 4,4,Heading 5,5,Heading 6,6,"</w:instrText>
          </w:r>
          <w:r>
            <w:fldChar w:fldCharType="separate"/>
          </w:r>
          <w:r>
            <w:fldChar w:fldCharType="begin"/>
          </w:r>
          <w:r>
            <w:instrText xml:space="preserve"> HYPERLINK \l "_heading=h.u95axj3ps7b0" \h </w:instrText>
          </w:r>
          <w:r>
            <w:fldChar w:fldCharType="separate"/>
          </w:r>
          <w:r>
            <w:rPr>
              <w:rFonts w:ascii="Arial" w:hAnsi="Arial" w:eastAsia="Arial" w:cs="Arial"/>
              <w:b/>
              <w:i w:val="0"/>
              <w:smallCaps w:val="0"/>
              <w:strike w:val="0"/>
              <w:color w:val="000000"/>
              <w:sz w:val="22"/>
              <w:szCs w:val="22"/>
              <w:u w:val="none"/>
              <w:shd w:val="clear" w:fill="auto"/>
              <w:vertAlign w:val="baseline"/>
              <w:rtl w:val="0"/>
            </w:rPr>
            <w:t>1. REPORTING ORGANISATION</w:t>
          </w:r>
          <w:r>
            <w:rPr>
              <w:rFonts w:ascii="Arial" w:hAnsi="Arial" w:eastAsia="Arial" w:cs="Arial"/>
              <w:b/>
              <w:i w:val="0"/>
              <w:smallCaps w:val="0"/>
              <w:strike w:val="0"/>
              <w:color w:val="000000"/>
              <w:sz w:val="22"/>
              <w:szCs w:val="22"/>
              <w:u w:val="none"/>
              <w:shd w:val="clear" w:fill="auto"/>
              <w:vertAlign w:val="baseline"/>
              <w:rtl w:val="0"/>
            </w:rPr>
            <w:tab/>
          </w:r>
          <w:r>
            <w:rPr>
              <w:rFonts w:ascii="Arial" w:hAnsi="Arial" w:eastAsia="Arial" w:cs="Arial"/>
              <w:b/>
              <w:i w:val="0"/>
              <w:smallCaps w:val="0"/>
              <w:strike w:val="0"/>
              <w:color w:val="000000"/>
              <w:sz w:val="22"/>
              <w:szCs w:val="22"/>
              <w:u w:val="none"/>
              <w:shd w:val="clear" w:fill="auto"/>
              <w:vertAlign w:val="baseline"/>
              <w:rtl w:val="0"/>
            </w:rPr>
            <w:t>3</w:t>
          </w:r>
          <w:r>
            <w:rPr>
              <w:rFonts w:ascii="Arial" w:hAnsi="Arial" w:eastAsia="Arial" w:cs="Arial"/>
              <w:b/>
              <w:i w:val="0"/>
              <w:smallCaps w:val="0"/>
              <w:strike w:val="0"/>
              <w:color w:val="000000"/>
              <w:sz w:val="22"/>
              <w:szCs w:val="22"/>
              <w:u w:val="none"/>
              <w:shd w:val="clear" w:fill="auto"/>
              <w:vertAlign w:val="baseline"/>
              <w:rtl w:val="0"/>
            </w:rPr>
            <w:fldChar w:fldCharType="end"/>
          </w:r>
        </w:p>
        <w:p w14:paraId="0000001B">
          <w:pPr>
            <w:widowControl w:val="0"/>
            <w:tabs>
              <w:tab w:val="right" w:pos="12000"/>
            </w:tabs>
            <w:spacing w:before="60" w:line="360" w:lineRule="auto"/>
            <w:rPr>
              <w:rFonts w:ascii="Arial" w:hAnsi="Arial" w:eastAsia="Arial" w:cs="Arial"/>
              <w:b/>
              <w:i w:val="0"/>
              <w:smallCaps w:val="0"/>
              <w:strike w:val="0"/>
              <w:color w:val="000000"/>
              <w:sz w:val="22"/>
              <w:szCs w:val="22"/>
              <w:u w:val="none"/>
              <w:shd w:val="clear" w:fill="auto"/>
              <w:vertAlign w:val="baseline"/>
            </w:rPr>
          </w:pPr>
          <w:r>
            <w:fldChar w:fldCharType="begin"/>
          </w:r>
          <w:r>
            <w:instrText xml:space="preserve"> HYPERLINK \l "_heading=h.r74t8xwkho04" \h </w:instrText>
          </w:r>
          <w:r>
            <w:fldChar w:fldCharType="separate"/>
          </w:r>
          <w:r>
            <w:rPr>
              <w:rFonts w:ascii="Arial" w:hAnsi="Arial" w:eastAsia="Arial" w:cs="Arial"/>
              <w:b/>
              <w:i w:val="0"/>
              <w:smallCaps w:val="0"/>
              <w:strike w:val="0"/>
              <w:color w:val="000000"/>
              <w:sz w:val="22"/>
              <w:szCs w:val="22"/>
              <w:u w:val="none"/>
              <w:shd w:val="clear" w:fill="auto"/>
              <w:vertAlign w:val="baseline"/>
              <w:rtl w:val="0"/>
            </w:rPr>
            <w:t>2. THE CAUSES OF THE DEBT CRISIS IN THE GLOBAL SOUTH</w:t>
          </w:r>
          <w:r>
            <w:rPr>
              <w:rFonts w:ascii="Arial" w:hAnsi="Arial" w:eastAsia="Arial" w:cs="Arial"/>
              <w:b/>
              <w:i w:val="0"/>
              <w:smallCaps w:val="0"/>
              <w:strike w:val="0"/>
              <w:color w:val="000000"/>
              <w:sz w:val="22"/>
              <w:szCs w:val="22"/>
              <w:u w:val="none"/>
              <w:shd w:val="clear" w:fill="auto"/>
              <w:vertAlign w:val="baseline"/>
              <w:rtl w:val="0"/>
            </w:rPr>
            <w:tab/>
          </w:r>
          <w:r>
            <w:rPr>
              <w:rFonts w:ascii="Arial" w:hAnsi="Arial" w:eastAsia="Arial" w:cs="Arial"/>
              <w:b/>
              <w:i w:val="0"/>
              <w:smallCaps w:val="0"/>
              <w:strike w:val="0"/>
              <w:color w:val="000000"/>
              <w:sz w:val="22"/>
              <w:szCs w:val="22"/>
              <w:u w:val="none"/>
              <w:shd w:val="clear" w:fill="auto"/>
              <w:vertAlign w:val="baseline"/>
              <w:rtl w:val="0"/>
            </w:rPr>
            <w:t>4</w:t>
          </w:r>
          <w:r>
            <w:rPr>
              <w:rFonts w:ascii="Arial" w:hAnsi="Arial" w:eastAsia="Arial" w:cs="Arial"/>
              <w:b/>
              <w:i w:val="0"/>
              <w:smallCaps w:val="0"/>
              <w:strike w:val="0"/>
              <w:color w:val="000000"/>
              <w:sz w:val="22"/>
              <w:szCs w:val="22"/>
              <w:u w:val="none"/>
              <w:shd w:val="clear" w:fill="auto"/>
              <w:vertAlign w:val="baseline"/>
              <w:rtl w:val="0"/>
            </w:rPr>
            <w:fldChar w:fldCharType="end"/>
          </w:r>
        </w:p>
        <w:p w14:paraId="0000001C">
          <w:pPr>
            <w:widowControl w:val="0"/>
            <w:tabs>
              <w:tab w:val="right" w:pos="12000"/>
            </w:tabs>
            <w:spacing w:before="60" w:line="360" w:lineRule="auto"/>
            <w:ind w:left="360" w:firstLine="0"/>
            <w:rPr>
              <w:rFonts w:ascii="Arial" w:hAnsi="Arial" w:eastAsia="Arial" w:cs="Arial"/>
              <w:b w:val="0"/>
              <w:i w:val="0"/>
              <w:smallCaps w:val="0"/>
              <w:strike w:val="0"/>
              <w:color w:val="000000"/>
              <w:sz w:val="22"/>
              <w:szCs w:val="22"/>
              <w:u w:val="none"/>
              <w:shd w:val="clear" w:fill="auto"/>
              <w:vertAlign w:val="baseline"/>
            </w:rPr>
          </w:pPr>
          <w:r>
            <w:fldChar w:fldCharType="begin"/>
          </w:r>
          <w:r>
            <w:instrText xml:space="preserve"> HYPERLINK \l "_heading=h.p5jvhtvei75d"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The United Kingdom’s responsibility</w:t>
          </w:r>
          <w:r>
            <w:rPr>
              <w:rFonts w:ascii="Arial" w:hAnsi="Arial" w:eastAsia="Arial" w:cs="Arial"/>
              <w:b w:val="0"/>
              <w:i w:val="0"/>
              <w:smallCaps w:val="0"/>
              <w:strike w:val="0"/>
              <w:color w:val="000000"/>
              <w:sz w:val="22"/>
              <w:szCs w:val="22"/>
              <w:u w:val="none"/>
              <w:shd w:val="clear" w:fill="auto"/>
              <w:vertAlign w:val="baseline"/>
              <w:rtl w:val="0"/>
            </w:rPr>
            <w:tab/>
          </w:r>
          <w:r>
            <w:rPr>
              <w:rFonts w:ascii="Arial" w:hAnsi="Arial" w:eastAsia="Arial" w:cs="Arial"/>
              <w:b w:val="0"/>
              <w:i w:val="0"/>
              <w:smallCaps w:val="0"/>
              <w:strike w:val="0"/>
              <w:color w:val="000000"/>
              <w:sz w:val="22"/>
              <w:szCs w:val="22"/>
              <w:u w:val="none"/>
              <w:shd w:val="clear" w:fill="auto"/>
              <w:vertAlign w:val="baseline"/>
              <w:rtl w:val="0"/>
            </w:rPr>
            <w:t>4</w:t>
          </w:r>
          <w:r>
            <w:rPr>
              <w:rFonts w:ascii="Arial" w:hAnsi="Arial" w:eastAsia="Arial" w:cs="Arial"/>
              <w:b w:val="0"/>
              <w:i w:val="0"/>
              <w:smallCaps w:val="0"/>
              <w:strike w:val="0"/>
              <w:color w:val="000000"/>
              <w:sz w:val="22"/>
              <w:szCs w:val="22"/>
              <w:u w:val="none"/>
              <w:shd w:val="clear" w:fill="auto"/>
              <w:vertAlign w:val="baseline"/>
              <w:rtl w:val="0"/>
            </w:rPr>
            <w:fldChar w:fldCharType="end"/>
          </w:r>
        </w:p>
        <w:p w14:paraId="0000001D">
          <w:pPr>
            <w:widowControl w:val="0"/>
            <w:tabs>
              <w:tab w:val="right" w:pos="12000"/>
            </w:tabs>
            <w:spacing w:before="60" w:line="360" w:lineRule="auto"/>
            <w:ind w:left="360" w:firstLine="0"/>
            <w:rPr>
              <w:rFonts w:ascii="Arial" w:hAnsi="Arial" w:eastAsia="Arial" w:cs="Arial"/>
              <w:b w:val="0"/>
              <w:i w:val="0"/>
              <w:smallCaps w:val="0"/>
              <w:strike w:val="0"/>
              <w:color w:val="000000"/>
              <w:sz w:val="22"/>
              <w:szCs w:val="22"/>
              <w:u w:val="none"/>
              <w:shd w:val="clear" w:fill="auto"/>
              <w:vertAlign w:val="baseline"/>
            </w:rPr>
          </w:pPr>
          <w:r>
            <w:fldChar w:fldCharType="begin"/>
          </w:r>
          <w:r>
            <w:instrText xml:space="preserve"> HYPERLINK \l "_heading=h.ixjt4bs5xh2m"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Austerity and Structural Adjustment</w:t>
          </w:r>
          <w:r>
            <w:rPr>
              <w:rFonts w:ascii="Arial" w:hAnsi="Arial" w:eastAsia="Arial" w:cs="Arial"/>
              <w:b w:val="0"/>
              <w:i w:val="0"/>
              <w:smallCaps w:val="0"/>
              <w:strike w:val="0"/>
              <w:color w:val="000000"/>
              <w:sz w:val="22"/>
              <w:szCs w:val="22"/>
              <w:u w:val="none"/>
              <w:shd w:val="clear" w:fill="auto"/>
              <w:vertAlign w:val="baseline"/>
              <w:rtl w:val="0"/>
            </w:rPr>
            <w:tab/>
          </w:r>
          <w:r>
            <w:rPr>
              <w:rFonts w:ascii="Arial" w:hAnsi="Arial" w:eastAsia="Arial" w:cs="Arial"/>
              <w:b w:val="0"/>
              <w:i w:val="0"/>
              <w:smallCaps w:val="0"/>
              <w:strike w:val="0"/>
              <w:color w:val="000000"/>
              <w:sz w:val="22"/>
              <w:szCs w:val="22"/>
              <w:u w:val="none"/>
              <w:shd w:val="clear" w:fill="auto"/>
              <w:vertAlign w:val="baseline"/>
              <w:rtl w:val="0"/>
            </w:rPr>
            <w:t>7</w:t>
          </w:r>
          <w:r>
            <w:rPr>
              <w:rFonts w:ascii="Arial" w:hAnsi="Arial" w:eastAsia="Arial" w:cs="Arial"/>
              <w:b w:val="0"/>
              <w:i w:val="0"/>
              <w:smallCaps w:val="0"/>
              <w:strike w:val="0"/>
              <w:color w:val="000000"/>
              <w:sz w:val="22"/>
              <w:szCs w:val="22"/>
              <w:u w:val="none"/>
              <w:shd w:val="clear" w:fill="auto"/>
              <w:vertAlign w:val="baseline"/>
              <w:rtl w:val="0"/>
            </w:rPr>
            <w:fldChar w:fldCharType="end"/>
          </w:r>
        </w:p>
        <w:p w14:paraId="0000001E">
          <w:pPr>
            <w:widowControl w:val="0"/>
            <w:tabs>
              <w:tab w:val="right" w:pos="12000"/>
            </w:tabs>
            <w:spacing w:before="60" w:line="360" w:lineRule="auto"/>
            <w:ind w:left="360" w:firstLine="0"/>
            <w:rPr>
              <w:rFonts w:ascii="Arial" w:hAnsi="Arial" w:eastAsia="Arial" w:cs="Arial"/>
              <w:b w:val="0"/>
              <w:i w:val="0"/>
              <w:smallCaps w:val="0"/>
              <w:strike w:val="0"/>
              <w:color w:val="000000"/>
              <w:sz w:val="22"/>
              <w:szCs w:val="22"/>
              <w:u w:val="none"/>
              <w:shd w:val="clear" w:fill="auto"/>
              <w:vertAlign w:val="baseline"/>
            </w:rPr>
          </w:pPr>
          <w:r>
            <w:fldChar w:fldCharType="begin"/>
          </w:r>
          <w:r>
            <w:instrText xml:space="preserve"> HYPERLINK \l "_heading=h.x0k45w2eb8wi"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Increase in private lending</w:t>
          </w:r>
          <w:r>
            <w:rPr>
              <w:rFonts w:ascii="Arial" w:hAnsi="Arial" w:eastAsia="Arial" w:cs="Arial"/>
              <w:b w:val="0"/>
              <w:i w:val="0"/>
              <w:smallCaps w:val="0"/>
              <w:strike w:val="0"/>
              <w:color w:val="000000"/>
              <w:sz w:val="22"/>
              <w:szCs w:val="22"/>
              <w:u w:val="none"/>
              <w:shd w:val="clear" w:fill="auto"/>
              <w:vertAlign w:val="baseline"/>
              <w:rtl w:val="0"/>
            </w:rPr>
            <w:tab/>
          </w:r>
          <w:r>
            <w:rPr>
              <w:rFonts w:ascii="Arial" w:hAnsi="Arial" w:eastAsia="Arial" w:cs="Arial"/>
              <w:b w:val="0"/>
              <w:i w:val="0"/>
              <w:smallCaps w:val="0"/>
              <w:strike w:val="0"/>
              <w:color w:val="000000"/>
              <w:sz w:val="22"/>
              <w:szCs w:val="22"/>
              <w:u w:val="none"/>
              <w:shd w:val="clear" w:fill="auto"/>
              <w:vertAlign w:val="baseline"/>
              <w:rtl w:val="0"/>
            </w:rPr>
            <w:t>9</w:t>
          </w:r>
          <w:r>
            <w:rPr>
              <w:rFonts w:ascii="Arial" w:hAnsi="Arial" w:eastAsia="Arial" w:cs="Arial"/>
              <w:b w:val="0"/>
              <w:i w:val="0"/>
              <w:smallCaps w:val="0"/>
              <w:strike w:val="0"/>
              <w:color w:val="000000"/>
              <w:sz w:val="22"/>
              <w:szCs w:val="22"/>
              <w:u w:val="none"/>
              <w:shd w:val="clear" w:fill="auto"/>
              <w:vertAlign w:val="baseline"/>
              <w:rtl w:val="0"/>
            </w:rPr>
            <w:fldChar w:fldCharType="end"/>
          </w:r>
        </w:p>
        <w:p w14:paraId="0000001F">
          <w:pPr>
            <w:widowControl w:val="0"/>
            <w:tabs>
              <w:tab w:val="right" w:pos="12000"/>
            </w:tabs>
            <w:spacing w:before="60" w:line="360" w:lineRule="auto"/>
            <w:rPr>
              <w:rFonts w:ascii="Arial" w:hAnsi="Arial" w:eastAsia="Arial" w:cs="Arial"/>
              <w:b/>
              <w:i w:val="0"/>
              <w:smallCaps w:val="0"/>
              <w:strike w:val="0"/>
              <w:color w:val="000000"/>
              <w:sz w:val="22"/>
              <w:szCs w:val="22"/>
              <w:u w:val="none"/>
              <w:shd w:val="clear" w:fill="auto"/>
              <w:vertAlign w:val="baseline"/>
            </w:rPr>
          </w:pPr>
          <w:r>
            <w:fldChar w:fldCharType="begin"/>
          </w:r>
          <w:r>
            <w:instrText xml:space="preserve"> HYPERLINK \l "_heading=h.r2ijy2yant8l" \h </w:instrText>
          </w:r>
          <w:r>
            <w:fldChar w:fldCharType="separate"/>
          </w:r>
          <w:r>
            <w:rPr>
              <w:rFonts w:ascii="Arial" w:hAnsi="Arial" w:eastAsia="Arial" w:cs="Arial"/>
              <w:b/>
              <w:i w:val="0"/>
              <w:smallCaps w:val="0"/>
              <w:strike w:val="0"/>
              <w:color w:val="000000"/>
              <w:sz w:val="22"/>
              <w:szCs w:val="22"/>
              <w:u w:val="none"/>
              <w:shd w:val="clear" w:fill="auto"/>
              <w:vertAlign w:val="baseline"/>
              <w:rtl w:val="0"/>
            </w:rPr>
            <w:t>3. SOLUTIONS REQUIRED</w:t>
          </w:r>
          <w:r>
            <w:rPr>
              <w:rFonts w:ascii="Arial" w:hAnsi="Arial" w:eastAsia="Arial" w:cs="Arial"/>
              <w:b/>
              <w:i w:val="0"/>
              <w:smallCaps w:val="0"/>
              <w:strike w:val="0"/>
              <w:color w:val="000000"/>
              <w:sz w:val="22"/>
              <w:szCs w:val="22"/>
              <w:u w:val="none"/>
              <w:shd w:val="clear" w:fill="auto"/>
              <w:vertAlign w:val="baseline"/>
              <w:rtl w:val="0"/>
            </w:rPr>
            <w:tab/>
          </w:r>
          <w:r>
            <w:rPr>
              <w:rFonts w:ascii="Arial" w:hAnsi="Arial" w:eastAsia="Arial" w:cs="Arial"/>
              <w:b/>
              <w:i w:val="0"/>
              <w:smallCaps w:val="0"/>
              <w:strike w:val="0"/>
              <w:color w:val="000000"/>
              <w:sz w:val="22"/>
              <w:szCs w:val="22"/>
              <w:u w:val="none"/>
              <w:shd w:val="clear" w:fill="auto"/>
              <w:vertAlign w:val="baseline"/>
              <w:rtl w:val="0"/>
            </w:rPr>
            <w:t>11</w:t>
          </w:r>
          <w:r>
            <w:rPr>
              <w:rFonts w:ascii="Arial" w:hAnsi="Arial" w:eastAsia="Arial" w:cs="Arial"/>
              <w:b/>
              <w:i w:val="0"/>
              <w:smallCaps w:val="0"/>
              <w:strike w:val="0"/>
              <w:color w:val="000000"/>
              <w:sz w:val="22"/>
              <w:szCs w:val="22"/>
              <w:u w:val="none"/>
              <w:shd w:val="clear" w:fill="auto"/>
              <w:vertAlign w:val="baseline"/>
              <w:rtl w:val="0"/>
            </w:rPr>
            <w:fldChar w:fldCharType="end"/>
          </w:r>
        </w:p>
        <w:p w14:paraId="00000020">
          <w:pPr>
            <w:widowControl w:val="0"/>
            <w:tabs>
              <w:tab w:val="right" w:pos="12000"/>
            </w:tabs>
            <w:spacing w:before="60" w:line="360" w:lineRule="auto"/>
            <w:ind w:left="360" w:firstLine="0"/>
            <w:rPr>
              <w:rFonts w:ascii="Arial" w:hAnsi="Arial" w:eastAsia="Arial" w:cs="Arial"/>
              <w:b w:val="0"/>
              <w:i w:val="0"/>
              <w:smallCaps w:val="0"/>
              <w:strike w:val="0"/>
              <w:color w:val="000000"/>
              <w:sz w:val="22"/>
              <w:szCs w:val="22"/>
              <w:u w:val="none"/>
              <w:shd w:val="clear" w:fill="auto"/>
              <w:vertAlign w:val="baseline"/>
            </w:rPr>
          </w:pPr>
          <w:r>
            <w:fldChar w:fldCharType="begin"/>
          </w:r>
          <w:r>
            <w:instrText xml:space="preserve"> HYPERLINK \l "_heading=h.ke1xobfoqscb"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(i) Reform of IMF and World Bank</w:t>
          </w:r>
          <w:r>
            <w:rPr>
              <w:rFonts w:ascii="Arial" w:hAnsi="Arial" w:eastAsia="Arial" w:cs="Arial"/>
              <w:b w:val="0"/>
              <w:i w:val="0"/>
              <w:smallCaps w:val="0"/>
              <w:strike w:val="0"/>
              <w:color w:val="000000"/>
              <w:sz w:val="22"/>
              <w:szCs w:val="22"/>
              <w:u w:val="none"/>
              <w:shd w:val="clear" w:fill="auto"/>
              <w:vertAlign w:val="baseline"/>
              <w:rtl w:val="0"/>
            </w:rPr>
            <w:tab/>
          </w:r>
          <w:r>
            <w:rPr>
              <w:rFonts w:ascii="Arial" w:hAnsi="Arial" w:eastAsia="Arial" w:cs="Arial"/>
              <w:b w:val="0"/>
              <w:i w:val="0"/>
              <w:smallCaps w:val="0"/>
              <w:strike w:val="0"/>
              <w:color w:val="000000"/>
              <w:sz w:val="22"/>
              <w:szCs w:val="22"/>
              <w:u w:val="none"/>
              <w:shd w:val="clear" w:fill="auto"/>
              <w:vertAlign w:val="baseline"/>
              <w:rtl w:val="0"/>
            </w:rPr>
            <w:t>11</w:t>
          </w:r>
          <w:r>
            <w:rPr>
              <w:rFonts w:ascii="Arial" w:hAnsi="Arial" w:eastAsia="Arial" w:cs="Arial"/>
              <w:b w:val="0"/>
              <w:i w:val="0"/>
              <w:smallCaps w:val="0"/>
              <w:strike w:val="0"/>
              <w:color w:val="000000"/>
              <w:sz w:val="22"/>
              <w:szCs w:val="22"/>
              <w:u w:val="none"/>
              <w:shd w:val="clear" w:fill="auto"/>
              <w:vertAlign w:val="baseline"/>
              <w:rtl w:val="0"/>
            </w:rPr>
            <w:fldChar w:fldCharType="end"/>
          </w:r>
        </w:p>
        <w:p w14:paraId="00000021">
          <w:pPr>
            <w:widowControl w:val="0"/>
            <w:tabs>
              <w:tab w:val="right" w:pos="12000"/>
            </w:tabs>
            <w:spacing w:before="60" w:line="360" w:lineRule="auto"/>
            <w:ind w:left="360" w:firstLine="0"/>
            <w:rPr>
              <w:rFonts w:ascii="Arial" w:hAnsi="Arial" w:eastAsia="Arial" w:cs="Arial"/>
              <w:b w:val="0"/>
              <w:i w:val="0"/>
              <w:smallCaps w:val="0"/>
              <w:strike w:val="0"/>
              <w:color w:val="000000"/>
              <w:sz w:val="22"/>
              <w:szCs w:val="22"/>
              <w:u w:val="none"/>
              <w:shd w:val="clear" w:fill="auto"/>
              <w:vertAlign w:val="baseline"/>
            </w:rPr>
          </w:pPr>
          <w:r>
            <w:fldChar w:fldCharType="begin"/>
          </w:r>
          <w:r>
            <w:instrText xml:space="preserve"> HYPERLINK \l "_heading=h.jhjpes9milug"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(ii) On private creditors and UK governance</w:t>
          </w:r>
          <w:r>
            <w:rPr>
              <w:rFonts w:ascii="Arial" w:hAnsi="Arial" w:eastAsia="Arial" w:cs="Arial"/>
              <w:b w:val="0"/>
              <w:i w:val="0"/>
              <w:smallCaps w:val="0"/>
              <w:strike w:val="0"/>
              <w:color w:val="000000"/>
              <w:sz w:val="22"/>
              <w:szCs w:val="22"/>
              <w:u w:val="none"/>
              <w:shd w:val="clear" w:fill="auto"/>
              <w:vertAlign w:val="baseline"/>
              <w:rtl w:val="0"/>
            </w:rPr>
            <w:tab/>
          </w:r>
          <w:r>
            <w:rPr>
              <w:rFonts w:ascii="Arial" w:hAnsi="Arial" w:eastAsia="Arial" w:cs="Arial"/>
              <w:b w:val="0"/>
              <w:i w:val="0"/>
              <w:smallCaps w:val="0"/>
              <w:strike w:val="0"/>
              <w:color w:val="000000"/>
              <w:sz w:val="22"/>
              <w:szCs w:val="22"/>
              <w:u w:val="none"/>
              <w:shd w:val="clear" w:fill="auto"/>
              <w:vertAlign w:val="baseline"/>
              <w:rtl w:val="0"/>
            </w:rPr>
            <w:t>13</w:t>
          </w:r>
          <w:r>
            <w:rPr>
              <w:rFonts w:ascii="Arial" w:hAnsi="Arial" w:eastAsia="Arial" w:cs="Arial"/>
              <w:b w:val="0"/>
              <w:i w:val="0"/>
              <w:smallCaps w:val="0"/>
              <w:strike w:val="0"/>
              <w:color w:val="000000"/>
              <w:sz w:val="22"/>
              <w:szCs w:val="22"/>
              <w:u w:val="none"/>
              <w:shd w:val="clear" w:fill="auto"/>
              <w:vertAlign w:val="baseline"/>
              <w:rtl w:val="0"/>
            </w:rPr>
            <w:fldChar w:fldCharType="end"/>
          </w:r>
        </w:p>
        <w:p w14:paraId="00000022">
          <w:pPr>
            <w:widowControl w:val="0"/>
            <w:tabs>
              <w:tab w:val="right" w:pos="12000"/>
            </w:tabs>
            <w:spacing w:before="60" w:line="360" w:lineRule="auto"/>
            <w:ind w:left="360" w:firstLine="0"/>
            <w:rPr>
              <w:rFonts w:ascii="Arial" w:hAnsi="Arial" w:eastAsia="Arial" w:cs="Arial"/>
              <w:b w:val="0"/>
              <w:i w:val="0"/>
              <w:smallCaps w:val="0"/>
              <w:strike w:val="0"/>
              <w:color w:val="000000"/>
              <w:sz w:val="22"/>
              <w:szCs w:val="22"/>
              <w:u w:val="none"/>
              <w:shd w:val="clear" w:fill="auto"/>
              <w:vertAlign w:val="baseline"/>
            </w:rPr>
          </w:pPr>
          <w:r>
            <w:fldChar w:fldCharType="begin"/>
          </w:r>
          <w:r>
            <w:instrText xml:space="preserve"> HYPERLINK \l "_heading=h.n85w1wfx7hmb"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(iii) Tax Haven</w:t>
          </w:r>
          <w:r>
            <w:rPr>
              <w:rFonts w:ascii="Arial" w:hAnsi="Arial" w:eastAsia="Arial" w:cs="Arial"/>
              <w:b w:val="0"/>
              <w:i w:val="0"/>
              <w:smallCaps w:val="0"/>
              <w:strike w:val="0"/>
              <w:color w:val="000000"/>
              <w:sz w:val="22"/>
              <w:szCs w:val="22"/>
              <w:u w:val="none"/>
              <w:shd w:val="clear" w:fill="auto"/>
              <w:vertAlign w:val="baseline"/>
              <w:rtl w:val="0"/>
            </w:rPr>
            <w:tab/>
          </w:r>
          <w:r>
            <w:rPr>
              <w:rFonts w:ascii="Arial" w:hAnsi="Arial" w:eastAsia="Arial" w:cs="Arial"/>
              <w:b w:val="0"/>
              <w:i w:val="0"/>
              <w:smallCaps w:val="0"/>
              <w:strike w:val="0"/>
              <w:color w:val="000000"/>
              <w:sz w:val="22"/>
              <w:szCs w:val="22"/>
              <w:u w:val="none"/>
              <w:shd w:val="clear" w:fill="auto"/>
              <w:vertAlign w:val="baseline"/>
              <w:rtl w:val="0"/>
            </w:rPr>
            <w:t>15</w:t>
          </w:r>
          <w:r>
            <w:rPr>
              <w:rFonts w:ascii="Arial" w:hAnsi="Arial" w:eastAsia="Arial" w:cs="Arial"/>
              <w:b w:val="0"/>
              <w:i w:val="0"/>
              <w:smallCaps w:val="0"/>
              <w:strike w:val="0"/>
              <w:color w:val="000000"/>
              <w:sz w:val="22"/>
              <w:szCs w:val="22"/>
              <w:u w:val="none"/>
              <w:shd w:val="clear" w:fill="auto"/>
              <w:vertAlign w:val="baseline"/>
              <w:rtl w:val="0"/>
            </w:rPr>
            <w:fldChar w:fldCharType="end"/>
          </w:r>
        </w:p>
        <w:p w14:paraId="00000023">
          <w:pPr>
            <w:widowControl w:val="0"/>
            <w:tabs>
              <w:tab w:val="right" w:pos="12000"/>
            </w:tabs>
            <w:spacing w:before="60" w:line="360" w:lineRule="auto"/>
            <w:ind w:left="360" w:firstLine="0"/>
            <w:rPr>
              <w:rFonts w:ascii="Arial" w:hAnsi="Arial" w:eastAsia="Arial" w:cs="Arial"/>
              <w:b w:val="0"/>
              <w:i w:val="0"/>
              <w:smallCaps w:val="0"/>
              <w:strike w:val="0"/>
              <w:color w:val="000000"/>
              <w:sz w:val="22"/>
              <w:szCs w:val="22"/>
              <w:u w:val="none"/>
              <w:shd w:val="clear" w:fill="auto"/>
              <w:vertAlign w:val="baseline"/>
            </w:rPr>
          </w:pPr>
          <w:r>
            <w:fldChar w:fldCharType="begin"/>
          </w:r>
          <w:r>
            <w:instrText xml:space="preserve"> HYPERLINK \l "_heading=h.sa2cdgaylutj"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(iv) Trade</w:t>
          </w:r>
          <w:r>
            <w:rPr>
              <w:rFonts w:ascii="Arial" w:hAnsi="Arial" w:eastAsia="Arial" w:cs="Arial"/>
              <w:b w:val="0"/>
              <w:i w:val="0"/>
              <w:smallCaps w:val="0"/>
              <w:strike w:val="0"/>
              <w:color w:val="000000"/>
              <w:sz w:val="22"/>
              <w:szCs w:val="22"/>
              <w:u w:val="none"/>
              <w:shd w:val="clear" w:fill="auto"/>
              <w:vertAlign w:val="baseline"/>
              <w:rtl w:val="0"/>
            </w:rPr>
            <w:tab/>
          </w:r>
          <w:r>
            <w:rPr>
              <w:rFonts w:ascii="Arial" w:hAnsi="Arial" w:eastAsia="Arial" w:cs="Arial"/>
              <w:b w:val="0"/>
              <w:i w:val="0"/>
              <w:smallCaps w:val="0"/>
              <w:strike w:val="0"/>
              <w:color w:val="000000"/>
              <w:sz w:val="22"/>
              <w:szCs w:val="22"/>
              <w:u w:val="none"/>
              <w:shd w:val="clear" w:fill="auto"/>
              <w:vertAlign w:val="baseline"/>
              <w:rtl w:val="0"/>
            </w:rPr>
            <w:t>17</w:t>
          </w:r>
          <w:r>
            <w:rPr>
              <w:rFonts w:ascii="Arial" w:hAnsi="Arial" w:eastAsia="Arial" w:cs="Arial"/>
              <w:b w:val="0"/>
              <w:i w:val="0"/>
              <w:smallCaps w:val="0"/>
              <w:strike w:val="0"/>
              <w:color w:val="000000"/>
              <w:sz w:val="22"/>
              <w:szCs w:val="22"/>
              <w:u w:val="none"/>
              <w:shd w:val="clear" w:fill="auto"/>
              <w:vertAlign w:val="baseline"/>
              <w:rtl w:val="0"/>
            </w:rPr>
            <w:fldChar w:fldCharType="end"/>
          </w:r>
        </w:p>
        <w:p w14:paraId="00000024">
          <w:pPr>
            <w:widowControl w:val="0"/>
            <w:tabs>
              <w:tab w:val="right" w:pos="12000"/>
            </w:tabs>
            <w:spacing w:before="60" w:line="360" w:lineRule="auto"/>
            <w:rPr>
              <w:rFonts w:ascii="Arial" w:hAnsi="Arial" w:eastAsia="Arial" w:cs="Arial"/>
              <w:b/>
              <w:i w:val="0"/>
              <w:smallCaps w:val="0"/>
              <w:strike w:val="0"/>
              <w:color w:val="000000"/>
              <w:sz w:val="22"/>
              <w:szCs w:val="22"/>
              <w:u w:val="none"/>
              <w:shd w:val="clear" w:fill="auto"/>
              <w:vertAlign w:val="baseline"/>
            </w:rPr>
          </w:pPr>
          <w:r>
            <w:fldChar w:fldCharType="begin"/>
          </w:r>
          <w:r>
            <w:instrText xml:space="preserve"> HYPERLINK \l "_heading=h.dklj3sr3gqc6" \h </w:instrText>
          </w:r>
          <w:r>
            <w:fldChar w:fldCharType="separate"/>
          </w:r>
          <w:r>
            <w:rPr>
              <w:rFonts w:ascii="Arial" w:hAnsi="Arial" w:eastAsia="Arial" w:cs="Arial"/>
              <w:b/>
              <w:i w:val="0"/>
              <w:smallCaps w:val="0"/>
              <w:strike w:val="0"/>
              <w:color w:val="000000"/>
              <w:sz w:val="22"/>
              <w:szCs w:val="22"/>
              <w:u w:val="none"/>
              <w:shd w:val="clear" w:fill="auto"/>
              <w:vertAlign w:val="baseline"/>
              <w:rtl w:val="0"/>
            </w:rPr>
            <w:t>4. RECOMMENDATIONS SOUGHT</w:t>
          </w:r>
          <w:r>
            <w:rPr>
              <w:rFonts w:ascii="Arial" w:hAnsi="Arial" w:eastAsia="Arial" w:cs="Arial"/>
              <w:b/>
              <w:i w:val="0"/>
              <w:smallCaps w:val="0"/>
              <w:strike w:val="0"/>
              <w:color w:val="000000"/>
              <w:sz w:val="22"/>
              <w:szCs w:val="22"/>
              <w:u w:val="none"/>
              <w:shd w:val="clear" w:fill="auto"/>
              <w:vertAlign w:val="baseline"/>
              <w:rtl w:val="0"/>
            </w:rPr>
            <w:tab/>
          </w:r>
          <w:r>
            <w:rPr>
              <w:rFonts w:ascii="Arial" w:hAnsi="Arial" w:eastAsia="Arial" w:cs="Arial"/>
              <w:b/>
              <w:i w:val="0"/>
              <w:smallCaps w:val="0"/>
              <w:strike w:val="0"/>
              <w:color w:val="000000"/>
              <w:sz w:val="22"/>
              <w:szCs w:val="22"/>
              <w:u w:val="none"/>
              <w:shd w:val="clear" w:fill="auto"/>
              <w:vertAlign w:val="baseline"/>
              <w:rtl w:val="0"/>
            </w:rPr>
            <w:t>18</w:t>
          </w:r>
          <w:r>
            <w:rPr>
              <w:rFonts w:ascii="Arial" w:hAnsi="Arial" w:eastAsia="Arial" w:cs="Arial"/>
              <w:b/>
              <w:i w:val="0"/>
              <w:smallCaps w:val="0"/>
              <w:strike w:val="0"/>
              <w:color w:val="000000"/>
              <w:sz w:val="22"/>
              <w:szCs w:val="22"/>
              <w:u w:val="none"/>
              <w:shd w:val="clear" w:fill="auto"/>
              <w:vertAlign w:val="baseline"/>
              <w:rtl w:val="0"/>
            </w:rPr>
            <w:fldChar w:fldCharType="end"/>
          </w:r>
        </w:p>
        <w:p w14:paraId="00000025">
          <w:pPr>
            <w:widowControl w:val="0"/>
            <w:tabs>
              <w:tab w:val="right" w:pos="12000"/>
            </w:tabs>
            <w:spacing w:before="60" w:line="360" w:lineRule="auto"/>
            <w:rPr>
              <w:rFonts w:ascii="Arial" w:hAnsi="Arial" w:eastAsia="Arial" w:cs="Arial"/>
              <w:b/>
              <w:i w:val="0"/>
              <w:smallCaps w:val="0"/>
              <w:strike w:val="0"/>
              <w:color w:val="000000"/>
              <w:sz w:val="22"/>
              <w:szCs w:val="22"/>
              <w:u w:val="none"/>
              <w:shd w:val="clear" w:fill="auto"/>
              <w:vertAlign w:val="baseline"/>
            </w:rPr>
          </w:pPr>
          <w:r>
            <w:fldChar w:fldCharType="begin"/>
          </w:r>
          <w:r>
            <w:instrText xml:space="preserve"> HYPERLINK \l "_heading=h.42d7e0yrv8x2" \h </w:instrText>
          </w:r>
          <w:r>
            <w:fldChar w:fldCharType="separate"/>
          </w:r>
          <w:r>
            <w:rPr>
              <w:rFonts w:ascii="Arial" w:hAnsi="Arial" w:eastAsia="Arial" w:cs="Arial"/>
              <w:b/>
              <w:i w:val="0"/>
              <w:smallCaps w:val="0"/>
              <w:strike w:val="0"/>
              <w:color w:val="000000"/>
              <w:sz w:val="22"/>
              <w:szCs w:val="22"/>
              <w:u w:val="none"/>
              <w:shd w:val="clear" w:fill="auto"/>
              <w:vertAlign w:val="baseline"/>
              <w:rtl w:val="0"/>
            </w:rPr>
            <w:t>LIST OF REFERENCES</w:t>
          </w:r>
          <w:r>
            <w:rPr>
              <w:rFonts w:ascii="Arial" w:hAnsi="Arial" w:eastAsia="Arial" w:cs="Arial"/>
              <w:b/>
              <w:i w:val="0"/>
              <w:smallCaps w:val="0"/>
              <w:strike w:val="0"/>
              <w:color w:val="000000"/>
              <w:sz w:val="22"/>
              <w:szCs w:val="22"/>
              <w:u w:val="none"/>
              <w:shd w:val="clear" w:fill="auto"/>
              <w:vertAlign w:val="baseline"/>
              <w:rtl w:val="0"/>
            </w:rPr>
            <w:tab/>
          </w:r>
          <w:r>
            <w:rPr>
              <w:rFonts w:ascii="Arial" w:hAnsi="Arial" w:eastAsia="Arial" w:cs="Arial"/>
              <w:b/>
              <w:i w:val="0"/>
              <w:smallCaps w:val="0"/>
              <w:strike w:val="0"/>
              <w:color w:val="000000"/>
              <w:sz w:val="22"/>
              <w:szCs w:val="22"/>
              <w:u w:val="none"/>
              <w:shd w:val="clear" w:fill="auto"/>
              <w:vertAlign w:val="baseline"/>
              <w:rtl w:val="0"/>
            </w:rPr>
            <w:t>21</w:t>
          </w:r>
          <w:r>
            <w:rPr>
              <w:rFonts w:ascii="Arial" w:hAnsi="Arial" w:eastAsia="Arial" w:cs="Arial"/>
              <w:b/>
              <w:i w:val="0"/>
              <w:smallCaps w:val="0"/>
              <w:strike w:val="0"/>
              <w:color w:val="000000"/>
              <w:sz w:val="22"/>
              <w:szCs w:val="22"/>
              <w:u w:val="none"/>
              <w:shd w:val="clear" w:fill="auto"/>
              <w:vertAlign w:val="baseline"/>
              <w:rtl w:val="0"/>
            </w:rPr>
            <w:fldChar w:fldCharType="end"/>
          </w:r>
          <w:r>
            <w:fldChar w:fldCharType="end"/>
          </w:r>
        </w:p>
      </w:sdtContent>
    </w:sdt>
    <w:p w14:paraId="00000026">
      <w:pPr>
        <w:pStyle w:val="2"/>
        <w:spacing w:before="240" w:after="240" w:line="360" w:lineRule="auto"/>
        <w:ind w:left="720" w:firstLine="0"/>
        <w:jc w:val="both"/>
        <w:rPr>
          <w:b/>
          <w:sz w:val="22"/>
          <w:szCs w:val="22"/>
        </w:rPr>
      </w:pPr>
      <w:bookmarkStart w:id="3" w:name="_heading=h.t2cucqwdtx1j" w:colFirst="0" w:colLast="0"/>
      <w:bookmarkEnd w:id="3"/>
      <w:r>
        <w:br w:type="page"/>
      </w:r>
    </w:p>
    <w:p w14:paraId="00000027">
      <w:pPr>
        <w:pStyle w:val="2"/>
        <w:numPr>
          <w:ilvl w:val="0"/>
          <w:numId w:val="1"/>
        </w:numPr>
        <w:spacing w:before="240" w:after="240"/>
        <w:ind w:left="720" w:hanging="360"/>
        <w:jc w:val="both"/>
        <w:rPr>
          <w:b/>
          <w:sz w:val="22"/>
          <w:szCs w:val="22"/>
          <w:u w:val="none"/>
        </w:rPr>
      </w:pPr>
      <w:bookmarkStart w:id="4" w:name="_heading=h.u95axj3ps7b0" w:colFirst="0" w:colLast="0"/>
      <w:bookmarkEnd w:id="4"/>
      <w:r>
        <w:rPr>
          <w:b/>
          <w:sz w:val="22"/>
          <w:szCs w:val="22"/>
          <w:rtl w:val="0"/>
        </w:rPr>
        <w:t xml:space="preserve">REPORTING ORGANISATION </w:t>
      </w:r>
    </w:p>
    <w:p w14:paraId="00000028">
      <w:pPr>
        <w:spacing w:before="240" w:after="240"/>
        <w:jc w:val="both"/>
      </w:pPr>
      <w:r>
        <w:rPr>
          <w:rtl w:val="0"/>
        </w:rPr>
        <w:t>Third World Network (TWN) is grateful for the opportunity to file this shadow report in relation to the United Kingdom’s responsibility towards the nations of the South in the current debt crises.</w:t>
      </w:r>
    </w:p>
    <w:p w14:paraId="00000029">
      <w:pPr>
        <w:spacing w:before="240" w:after="240"/>
        <w:jc w:val="both"/>
      </w:pPr>
      <w:r>
        <w:rPr>
          <w:rtl w:val="0"/>
        </w:rPr>
        <w:t xml:space="preserve">TWN is an NGO with ECOSOC consultative status. Based in Malaysia with offices and researchers and collaborating partners in Europe, Asia, Oceania, Africa, North America, and Latin America, TWN is an independent non-profit international research and advocacy organisation involved in issues relating to development, developing countries and North-South affairs. </w:t>
      </w:r>
    </w:p>
    <w:p w14:paraId="0000002A">
      <w:pPr>
        <w:spacing w:before="240" w:after="240"/>
        <w:jc w:val="both"/>
      </w:pPr>
      <w:r>
        <w:rPr>
          <w:rtl w:val="0"/>
        </w:rPr>
        <w:t xml:space="preserve">It seeks to bring about a greater articulation of the needs and rights of peoples in the Global South, a fair distribution of world resources, and forms of development which are ecologically sustainable and fulfill human needs, and to deepen the understanding of the development dilemmas and challenges facing developing countries and to contribute to policy changes in pursuit of just, equitable and ecologically sustainable development. </w:t>
      </w:r>
    </w:p>
    <w:p w14:paraId="0000002B">
      <w:pPr>
        <w:spacing w:before="240" w:after="240"/>
        <w:jc w:val="both"/>
      </w:pPr>
      <w:r>
        <w:rPr>
          <w:rtl w:val="0"/>
        </w:rPr>
        <w:t>Among other things, TWN provides a platform representing broadly developing country interests and perspectives at international fora such as United Nations agencies UN General Assembly, UN Human Rights Council, UNCTAD, UNFCCC, UNEP, Convention on Biological Diversity, and specialized agencies such as FAO, WHO and WIPO, as well as WTO, the World Bank and IMF.</w:t>
      </w:r>
    </w:p>
    <w:p w14:paraId="0000002C">
      <w:pPr>
        <w:spacing w:before="240" w:after="240"/>
        <w:jc w:val="both"/>
        <w:rPr>
          <w:b/>
          <w:sz w:val="22"/>
          <w:szCs w:val="22"/>
        </w:rPr>
      </w:pPr>
      <w:r>
        <w:rPr>
          <w:highlight w:val="yellow"/>
          <w:rtl w:val="0"/>
        </w:rPr>
        <w:br w:type="textWrapping"/>
      </w:r>
    </w:p>
    <w:p w14:paraId="0000002D">
      <w:pPr>
        <w:pStyle w:val="2"/>
        <w:spacing w:before="240" w:after="240"/>
        <w:ind w:left="720" w:firstLine="0"/>
        <w:jc w:val="both"/>
        <w:rPr>
          <w:b/>
          <w:sz w:val="22"/>
          <w:szCs w:val="22"/>
        </w:rPr>
      </w:pPr>
      <w:bookmarkStart w:id="5" w:name="_heading=h.vfhj84zb3k6t" w:colFirst="0" w:colLast="0"/>
      <w:bookmarkEnd w:id="5"/>
      <w:r>
        <w:br w:type="page"/>
      </w:r>
    </w:p>
    <w:p w14:paraId="0000002E">
      <w:pPr>
        <w:pStyle w:val="2"/>
        <w:numPr>
          <w:ilvl w:val="0"/>
          <w:numId w:val="1"/>
        </w:numPr>
        <w:spacing w:before="240" w:after="240"/>
        <w:ind w:left="720" w:hanging="360"/>
        <w:jc w:val="both"/>
        <w:rPr>
          <w:b/>
          <w:sz w:val="22"/>
          <w:szCs w:val="22"/>
          <w:u w:val="none"/>
        </w:rPr>
      </w:pPr>
      <w:bookmarkStart w:id="6" w:name="_heading=h.r74t8xwkho04" w:colFirst="0" w:colLast="0"/>
      <w:bookmarkEnd w:id="6"/>
      <w:r>
        <w:rPr>
          <w:b/>
          <w:sz w:val="22"/>
          <w:szCs w:val="22"/>
          <w:rtl w:val="0"/>
        </w:rPr>
        <w:t>THE CAUSES OF THE DEBT CRISIS IN THE GLOBAL SOUTH</w:t>
      </w:r>
    </w:p>
    <w:p w14:paraId="0000002F">
      <w:pPr>
        <w:pStyle w:val="3"/>
        <w:spacing w:before="240" w:after="240"/>
        <w:jc w:val="both"/>
        <w:rPr>
          <w:b/>
          <w:sz w:val="22"/>
          <w:szCs w:val="22"/>
          <w:u w:val="single"/>
        </w:rPr>
      </w:pPr>
      <w:bookmarkStart w:id="7" w:name="_heading=h.p5jvhtvei75d" w:colFirst="0" w:colLast="0"/>
      <w:bookmarkEnd w:id="7"/>
      <w:r>
        <w:rPr>
          <w:b/>
          <w:sz w:val="22"/>
          <w:szCs w:val="22"/>
          <w:u w:val="single"/>
          <w:rtl w:val="0"/>
        </w:rPr>
        <w:t>The United Kingdom’s responsibility</w:t>
      </w:r>
    </w:p>
    <w:p w14:paraId="00000030">
      <w:pPr>
        <w:jc w:val="both"/>
        <w:rPr>
          <w:b/>
        </w:rPr>
      </w:pPr>
      <w:r>
        <w:rPr>
          <w:b/>
          <w:rtl w:val="0"/>
        </w:rPr>
        <w:t xml:space="preserve">Developing countries are facing unprecedented debt burdens, with debt service obligations posing a significant threat to sustainable development and combating climate and humanitarian crises. The disproportionate impact of debt on countries in the Global South must be placed in the context of a historical and contemporary legacy of slavery, colonialism and post-colonial resource and financial exploitation of developing countries by developed countries. Contemporary sovereign debt is connected to historical injustices and the current financial architecture, crafted before most of the Global South were independent nations, perpetuates racial, gendered, and economic hierarchies. The United Kingdom (UK) bears significant responsibility as heir to the British empire to redress these current asymmetries predicated on the historical legacy of an international economic and financial order based on racial superiority and domination. </w:t>
      </w:r>
    </w:p>
    <w:p w14:paraId="00000031">
      <w:pPr>
        <w:jc w:val="both"/>
        <w:rPr>
          <w:b/>
        </w:rPr>
      </w:pPr>
    </w:p>
    <w:p w14:paraId="00000032">
      <w:pPr>
        <w:jc w:val="both"/>
      </w:pPr>
      <w:r>
        <w:rPr>
          <w:rtl w:val="0"/>
        </w:rPr>
        <w:t xml:space="preserve">The new UK government has announced in its </w:t>
      </w:r>
      <w:r>
        <w:fldChar w:fldCharType="begin"/>
      </w:r>
      <w:r>
        <w:instrText xml:space="preserve"> HYPERLINK "https://labour.org.uk/change/" \h </w:instrText>
      </w:r>
      <w:r>
        <w:fldChar w:fldCharType="separate"/>
      </w:r>
      <w:r>
        <w:rPr>
          <w:color w:val="1155CC"/>
          <w:u w:val="single"/>
          <w:rtl w:val="0"/>
        </w:rPr>
        <w:t>Manifesto</w:t>
      </w:r>
      <w:r>
        <w:rPr>
          <w:color w:val="1155CC"/>
          <w:u w:val="single"/>
          <w:rtl w:val="0"/>
        </w:rPr>
        <w:fldChar w:fldCharType="end"/>
      </w:r>
      <w:r>
        <w:rPr>
          <w:rtl w:val="0"/>
        </w:rPr>
        <w:t xml:space="preserve"> that ‘tackling unsustainable debt’ will be one of its key international development priorities. Making good on this commitment is critical as the sovereign debt crisis is having deep adverse impacts on the ability of countries to support economic transformation, deliver on climate action, respond to humanitarian needs and empowering women and girls, and all other priorities of the UK government. Fifty-four countries, primarily in Africa, are already in debt crisis with many others at significant risk of debt crisis (Debt Justice, n.d.). Debt service constitutes an average of 38% of budget revenue in developing countries and 30% of government expenditure in developing countries, rising to 54% of revenue and 40% of spending in Africa</w:t>
      </w:r>
      <w:r>
        <w:rPr>
          <w:vertAlign w:val="superscript"/>
          <w:rtl w:val="0"/>
        </w:rPr>
        <w:t xml:space="preserve"> </w:t>
      </w:r>
      <w:r>
        <w:rPr>
          <w:rtl w:val="0"/>
        </w:rPr>
        <w:t>(Debt Service Watch, 2023)</w:t>
      </w:r>
    </w:p>
    <w:p w14:paraId="00000033">
      <w:pPr>
        <w:jc w:val="both"/>
        <w:rPr>
          <w:b/>
        </w:rPr>
      </w:pPr>
      <w:r>
        <w:rPr>
          <w:b/>
          <w:rtl w:val="0"/>
        </w:rPr>
        <w:t xml:space="preserve"> </w:t>
      </w:r>
    </w:p>
    <w:p w14:paraId="00000034">
      <w:pPr>
        <w:ind w:left="283" w:firstLine="0"/>
        <w:jc w:val="both"/>
        <w:rPr>
          <w:highlight w:val="white"/>
        </w:rPr>
      </w:pPr>
      <w:r>
        <w:rPr>
          <w:rtl w:val="0"/>
        </w:rPr>
        <w:t>Debt’s origins come from colonialism’s origins. Those who lend us money are those who colonized us. They are the same ones who used to manage our states and economies. These are the colonizers who indebted Africa [...] Debt is neo-colonialism[...] (Sankara, 1987)</w:t>
      </w:r>
    </w:p>
    <w:p w14:paraId="00000035">
      <w:pPr>
        <w:jc w:val="both"/>
        <w:rPr>
          <w:highlight w:val="white"/>
        </w:rPr>
      </w:pPr>
      <w:r>
        <w:rPr>
          <w:highlight w:val="white"/>
          <w:rtl w:val="0"/>
        </w:rPr>
        <w:t xml:space="preserve"> </w:t>
      </w:r>
    </w:p>
    <w:p w14:paraId="00000036">
      <w:pPr>
        <w:jc w:val="both"/>
      </w:pPr>
      <w:r>
        <w:rPr>
          <w:rtl w:val="0"/>
        </w:rPr>
        <w:t>Nana Addo Dankwa Akufo-Addo (2023), President of Ghana at the 78th Session of the United Nations General Assembly (UNGA), while recognizing that African countries do not seek to shirk the responsibility for the problems they face — that are of their own making — he also said that “It is time to acknowledge openly that much of Europe and the United States have been built from the  vast wealth harvested from the sweat, tears, blood and horrors of the transatlantic slave trade.[...] It is time to bring the subject of reparations to the fore” (Akufo-Addo, 2023).</w:t>
      </w:r>
    </w:p>
    <w:p w14:paraId="00000037">
      <w:pPr>
        <w:spacing w:before="240" w:after="240"/>
        <w:jc w:val="both"/>
      </w:pPr>
      <w:r>
        <w:rPr>
          <w:highlight w:val="white"/>
          <w:rtl w:val="0"/>
        </w:rPr>
        <w:t>The British Empire was built on the plunder of its colonies. S</w:t>
      </w:r>
      <w:r>
        <w:rPr>
          <w:rtl w:val="0"/>
        </w:rPr>
        <w:t>trong indigenous economies, such as the textile industry in India, were destroyed, colonies were turned into sites of extraction of labour and resources, drawing value and income away from the colonies for the industrialisation of European powers. Utsa Panaik’s work revealed that i</w:t>
      </w:r>
      <w:r>
        <w:rPr>
          <w:highlight w:val="white"/>
          <w:rtl w:val="0"/>
        </w:rPr>
        <w:t xml:space="preserve">n India, during the period 1765 to 1938, </w:t>
      </w:r>
      <w:r>
        <w:rPr>
          <w:rtl w:val="0"/>
        </w:rPr>
        <w:t xml:space="preserve">Britain drained a total of nearly US$45 trillion from India, 17 times                                                                                             more than the total annual gross domestic product of the UK in 2018.  </w:t>
      </w:r>
    </w:p>
    <w:p w14:paraId="00000038">
      <w:pPr>
        <w:spacing w:before="240" w:after="240"/>
        <w:ind w:left="283" w:firstLine="0"/>
        <w:jc w:val="both"/>
        <w:rPr>
          <w:i/>
        </w:rPr>
      </w:pPr>
      <w:r>
        <w:rPr>
          <w:rtl w:val="0"/>
        </w:rPr>
        <w:t xml:space="preserve">[...] during the entire 200-year history of British rule in India, there was almost </w:t>
      </w:r>
      <w:r>
        <w:fldChar w:fldCharType="begin"/>
      </w:r>
      <w:r>
        <w:instrText xml:space="preserve"> HYPERLINK "https://www.versobooks.com/books/2311-late-victorian-holocausts" \h </w:instrText>
      </w:r>
      <w:r>
        <w:fldChar w:fldCharType="separate"/>
      </w:r>
      <w:r>
        <w:rPr>
          <w:u w:val="single"/>
          <w:rtl w:val="0"/>
        </w:rPr>
        <w:t>no increase</w:t>
      </w:r>
      <w:r>
        <w:rPr>
          <w:u w:val="single"/>
          <w:rtl w:val="0"/>
        </w:rPr>
        <w:fldChar w:fldCharType="end"/>
      </w:r>
      <w:r>
        <w:rPr>
          <w:rtl w:val="0"/>
        </w:rPr>
        <w:t xml:space="preserve"> in per capita income. In fact, during the last half of the 19th century - the heyday of British intervention - income in India collapsed by half. The average life expectancy of Indians dropped by a fifth from 1870 to 1920. Tens of millions died needlessly of policy-induced famine. (Hickel, 2018)</w:t>
      </w:r>
    </w:p>
    <w:p w14:paraId="00000039">
      <w:pPr>
        <w:spacing w:before="240" w:after="240"/>
        <w:jc w:val="both"/>
      </w:pPr>
      <w:r>
        <w:rPr>
          <w:rtl w:val="0"/>
        </w:rPr>
        <w:t>Research by Nunn (2008) supports the view that Africa’s poor economic performance is due to its history of extraction characterised by colonialisation and the slave trade.  The African continent experienced four slave trade waves between 1400 and 1900. The largest is known as the Trans-Atlantic slave trade where approximately 12 million slaves were exported from Africa. This figure does not include those who were killed in raids or died during the journey to the coast. By 1850, the slave trades halved the African population. The research shows that the volume of slaves traded was unprecedented.</w:t>
      </w:r>
    </w:p>
    <w:p w14:paraId="0000003A">
      <w:pPr>
        <w:spacing w:before="240" w:after="240"/>
        <w:jc w:val="both"/>
      </w:pPr>
      <w:r>
        <w:rPr>
          <w:rtl w:val="0"/>
        </w:rPr>
        <w:t>Not only was the use of slaves detrimental for a society, but the production of slaves, which occurred through domestic warfare, raiding, and kidnapping, led to social and ethnic fragmentation. In Africa the enslavement of slaves occurred not only between villages but also in the same or similar ethnicities. This has resulted in Africa’s high level of ethnic fractionalization and long-term political instability today, negatively impacting economic growth. The slave trades also destroyed complex state systems which were in the process of evolving. Nathan Nunn (2008) finds that:</w:t>
      </w:r>
    </w:p>
    <w:p w14:paraId="0000003B">
      <w:pPr>
        <w:spacing w:before="240" w:after="240"/>
        <w:ind w:left="283" w:firstLine="0"/>
        <w:jc w:val="both"/>
      </w:pPr>
      <w:r>
        <w:rPr>
          <w:rtl w:val="0"/>
        </w:rPr>
        <w:t xml:space="preserve">[...] ethnic fractionalization reduces the provision of public goods, such as education, health facilities, access to water, and transportation infrastructure, all of which are important for economic development. A second, and closely related, consequence of the slave trades was the weakening and underdevelopment of states. (Nunn, 2008, p. 165)                                                                                                                                                                                                </w:t>
      </w:r>
    </w:p>
    <w:p w14:paraId="0000003C">
      <w:pPr>
        <w:spacing w:before="240" w:after="240"/>
        <w:jc w:val="both"/>
        <w:rPr>
          <w:b/>
        </w:rPr>
      </w:pPr>
      <w:r>
        <w:rPr>
          <w:b/>
          <w:rtl w:val="0"/>
        </w:rPr>
        <w:t xml:space="preserve">Colonisation by the Europeans left behind embedded systems of patriarchy and racism, and left structural dependencies and value-chain lock-ins that has long outlasted formal independence. </w:t>
      </w:r>
    </w:p>
    <w:p w14:paraId="0000003D">
      <w:pPr>
        <w:spacing w:before="240" w:after="240"/>
        <w:ind w:right="1134"/>
        <w:jc w:val="both"/>
      </w:pPr>
      <w:r>
        <w:rPr>
          <w:b/>
          <w:rtl w:val="0"/>
        </w:rPr>
        <w:t>Paragraph 6 of General Recommendation 34 of CERD</w:t>
      </w:r>
      <w:r>
        <w:rPr>
          <w:rtl w:val="0"/>
        </w:rPr>
        <w:t xml:space="preserve"> recognises that: </w:t>
      </w:r>
    </w:p>
    <w:p w14:paraId="0000003E">
      <w:pPr>
        <w:spacing w:before="240" w:after="240"/>
        <w:ind w:left="283" w:right="5" w:firstLine="0"/>
        <w:jc w:val="both"/>
      </w:pPr>
      <w:r>
        <w:rPr>
          <w:rtl w:val="0"/>
        </w:rPr>
        <w:t>Racism and structural discrimination against people of African descent, rooted in the infamous regime of slavery, are evident in the situations of inequality affecting them and reflected, inter alia, in the following domains: their grouping, together with indigenous peoples, among the poorest of the poor; their low rate of participation and representation in political and institutional decision-making processes; additional difficulties they face in access to and completion and quality of education, which results in the transmission of poverty from generation to generation; inequality in access to the labour market; limited social</w:t>
      </w:r>
      <w:r>
        <w:rPr>
          <w:i/>
          <w:rtl w:val="0"/>
        </w:rPr>
        <w:t xml:space="preserve"> </w:t>
      </w:r>
      <w:r>
        <w:rPr>
          <w:rtl w:val="0"/>
        </w:rPr>
        <w:t>recognition and valuation of their ethnic and cultural diversity; and a disproportionate presence in prison populations.</w:t>
      </w:r>
    </w:p>
    <w:p w14:paraId="0000003F">
      <w:pPr>
        <w:spacing w:before="240" w:after="240"/>
        <w:jc w:val="both"/>
        <w:rPr>
          <w:b/>
        </w:rPr>
      </w:pPr>
      <w:r>
        <w:rPr>
          <w:b/>
          <w:rtl w:val="0"/>
        </w:rPr>
        <w:t xml:space="preserve">As the Chair of this Committee, Verene A. Shepherd, recently stated: </w:t>
      </w:r>
    </w:p>
    <w:p w14:paraId="00000040">
      <w:pPr>
        <w:spacing w:before="240" w:after="240"/>
        <w:ind w:left="283" w:firstLine="0"/>
        <w:jc w:val="both"/>
        <w:rPr>
          <w:b/>
        </w:rPr>
      </w:pPr>
      <w:r>
        <w:rPr>
          <w:b/>
          <w:rtl w:val="0"/>
        </w:rPr>
        <w:t>Political independence and decolonization efforts had not, however, meant the end of colonialism. Decolonization had given ex-colonies freedom of action but seldom the opportunity to exploit it to full advantage because economic decolonization, especially in the Global South, had not always been accompanied by political de                                                                                                                                                                                                                                                                                                     colonization. Moreover, the development that was expected to accompany independence did not materialize for many former colonial countries; the right to development was not recognized [...]” (hampered by) “[...] the lingering legacies of colonialism, especially the ideology of white supremacy, and the post-colonial world had retained forms of colonialism as expressed through manipulation, exploitation, cultural expropriation and inequalities. (Shepherd, 2022)</w:t>
      </w:r>
    </w:p>
    <w:p w14:paraId="00000041">
      <w:pPr>
        <w:spacing w:after="100"/>
        <w:jc w:val="both"/>
      </w:pPr>
      <w:r>
        <w:rPr>
          <w:rtl w:val="0"/>
        </w:rPr>
        <w:t>Today,</w:t>
      </w:r>
      <w:r>
        <w:rPr>
          <w:b/>
          <w:rtl w:val="0"/>
        </w:rPr>
        <w:t xml:space="preserve"> </w:t>
      </w:r>
      <w:r>
        <w:rPr>
          <w:rtl w:val="0"/>
        </w:rPr>
        <w:t xml:space="preserve">civil society organization War on Want reports that 101 companies listed on the London Stock Exchange (LSE) have mining operations in 37 sub-Saharan African countries. They collectively control over US$1 trillion worth of Africa’s most valuable resources (oil, gold, diamonds, cold and platinum). Out of the 101 companies, 59 are incorporated in the UK and a further 12 incorporated in the British tax havens of Guernsey and Jersey. Many of the remaining companies are based in London, regardless of country of incorporation (Curtis, 2016, pp. 1-3). Through the way Britain conducts trade with Africa, the British government has the power to influence and control British companies’ access to these raw materials. </w:t>
      </w:r>
    </w:p>
    <w:p w14:paraId="00000042">
      <w:pPr>
        <w:spacing w:before="240" w:after="240"/>
        <w:jc w:val="both"/>
      </w:pPr>
      <w:r>
        <w:rPr>
          <w:rtl w:val="0"/>
        </w:rPr>
        <w:t>The report further shows that although US$134 billion is said to have flowed from the UK into the continent each year (in the form of loans, foreign investment and aid), US$192 billion has flowed out from Africa mainly in profits by foreign companies, tax dodging and the cost of adapting to climate change. The British government aids and abets in this extraction by reason of its policies.</w:t>
      </w:r>
    </w:p>
    <w:p w14:paraId="00000043">
      <w:pPr>
        <w:spacing w:before="240" w:after="240"/>
        <w:jc w:val="both"/>
      </w:pPr>
      <w:r>
        <w:rPr>
          <w:rtl w:val="0"/>
        </w:rPr>
        <w:t>Under colonisation, strong indigenous communities were shut down to avoid competition with European industries. Colonizers plundered much of the wealth of these southern nations that could have been used to develop their economies, transforming them into exporters of raw materials such as fossil fuels, metals and cash crops to feed industrial growth across Europe. As a result, newly independent countries inherited economies that were vulnerable to shocks, with low economic and human development, trapped in the state of commodity dependence. Newly independent countries also operate within a global economy where financial and tax rules and the terms of trade are fixed to favour the global North.</w:t>
      </w:r>
    </w:p>
    <w:p w14:paraId="00000044">
      <w:pPr>
        <w:spacing w:before="240" w:after="240"/>
        <w:jc w:val="both"/>
        <w:rPr>
          <w:b/>
        </w:rPr>
      </w:pPr>
      <w:r>
        <w:rPr>
          <w:b/>
          <w:rtl w:val="0"/>
        </w:rPr>
        <w:t xml:space="preserve">Efficient debt restructuring becomes especially critical in the context of climate change, where heavily indebted countries often face severe climate impacts. Research by ActionAid (2023) shows that 93% of the countries most vulnerable to the climate crisis are in debt distress, or at significant risk of debt distress. </w:t>
      </w:r>
    </w:p>
    <w:p w14:paraId="00000045">
      <w:pPr>
        <w:spacing w:before="240" w:after="240"/>
        <w:ind w:left="283" w:firstLine="0"/>
        <w:jc w:val="both"/>
      </w:pPr>
      <w:r>
        <w:rPr>
          <w:b/>
          <w:rtl w:val="0"/>
        </w:rPr>
        <w:t xml:space="preserve">There is a vicious cycle between the debt and climate crises, each reinforcing the other. It is thus profoundly contradictory that more than two thirds of climate finance arrives in the form of loans that serve to exacerbate this debt crisis, forcing countries into actions that entrench the climate crisis. (ActionAid, 2023, p. 2) </w:t>
      </w:r>
      <w:r>
        <w:rPr>
          <w:rtl w:val="0"/>
        </w:rPr>
        <w:t xml:space="preserve"> </w:t>
      </w:r>
    </w:p>
    <w:p w14:paraId="00000046">
      <w:pPr>
        <w:spacing w:before="240" w:after="240"/>
        <w:jc w:val="both"/>
      </w:pPr>
      <w:r>
        <w:rPr>
          <w:rtl w:val="0"/>
        </w:rPr>
        <w:t>ActionAid further points out that as external debt always has to be paid in foreign currency, countries of the global South must focus on an export-oriented economy according to the demands of the global economy. This “</w:t>
      </w:r>
      <w:r>
        <w:rPr>
          <w:b/>
          <w:rtl w:val="0"/>
        </w:rPr>
        <w:t>reinforces a subservient role for most low-income countries, little changed from the colonial era, based on exporting raw materials for low prices whilst having to import processed goods from high-income countries at high prices.” (Ibid, p. 3)</w:t>
      </w:r>
      <w:r>
        <w:rPr>
          <w:rtl w:val="0"/>
        </w:rPr>
        <w:t xml:space="preserve"> This then accelerates investing in extractive industries and the exploitation of fossil fuels and other natural resources. It also accelerates investment in industrial agriculture that can produce commodity exports such as soybeans or palm oil on a large scale (to earn foreign currency). All of these investments are recognised contributors to climate change. Further, the former often results in human rights abuses while the latter is a substantial cause of food insecurity.</w:t>
      </w:r>
    </w:p>
    <w:p w14:paraId="00000047">
      <w:pPr>
        <w:pStyle w:val="3"/>
        <w:spacing w:before="240" w:after="240"/>
        <w:jc w:val="both"/>
        <w:rPr>
          <w:b/>
          <w:sz w:val="24"/>
          <w:szCs w:val="24"/>
          <w:u w:val="single"/>
        </w:rPr>
      </w:pPr>
      <w:bookmarkStart w:id="8" w:name="_heading=h.ixjt4bs5xh2m" w:colFirst="0" w:colLast="0"/>
      <w:bookmarkEnd w:id="8"/>
      <w:r>
        <w:rPr>
          <w:b/>
          <w:sz w:val="24"/>
          <w:szCs w:val="24"/>
          <w:u w:val="single"/>
          <w:rtl w:val="0"/>
        </w:rPr>
        <w:t>Austerity and Structural Adjustment</w:t>
      </w:r>
    </w:p>
    <w:p w14:paraId="00000048">
      <w:pPr>
        <w:spacing w:before="240" w:after="240"/>
        <w:jc w:val="both"/>
      </w:pPr>
      <w:r>
        <w:rPr>
          <w:rtl w:val="0"/>
        </w:rPr>
        <w:t>These newly independent countries were further saddled with harmful levels of debt racked up by colonial powers while in power. They had to borrow from Global North banks, former European colonisers and international financial institutions (IFIs) established by the dominant colonial powers to meet their nations’ basic needs and sustain their economies (Debt Justice, 2022).</w:t>
      </w:r>
    </w:p>
    <w:p w14:paraId="00000049">
      <w:pPr>
        <w:spacing w:before="240" w:after="240"/>
        <w:jc w:val="both"/>
      </w:pPr>
      <w:r>
        <w:rPr>
          <w:rtl w:val="0"/>
        </w:rPr>
        <w:t>The global financial crisis of 2007-08, saw a decade of austerity from 2010 to 2019 for both developed and developing countries (Muchhala et al., 2022, p. 1). Setting out the evolution in structural adjustment responses to financial crises as countries turned to the International Monetary Fund (IMF) to bridge finance or advice on how to deal with the financial impacts of the crises, the 2017 Thematic Report of the Independent Expert on the effects of foreign debt and other related international financial obligations of States on the full enjoyment of all human rights, particularly economic, social and cultural rights at the 37th Session of the Human Rights Council</w:t>
      </w:r>
      <w:r>
        <w:rPr>
          <w:i/>
          <w:rtl w:val="0"/>
        </w:rPr>
        <w:t xml:space="preserve"> </w:t>
      </w:r>
      <w:r>
        <w:rPr>
          <w:rtl w:val="0"/>
        </w:rPr>
        <w:t xml:space="preserve">(HRC), </w:t>
      </w:r>
      <w:r>
        <w:fldChar w:fldCharType="begin"/>
      </w:r>
      <w:r>
        <w:instrText xml:space="preserve"> HYPERLINK "https://www.ohchr.org/EN/Issues/Development/IEDebt/Pages/CVJuanPabloBohoslavsky.aspx" \h </w:instrText>
      </w:r>
      <w:r>
        <w:fldChar w:fldCharType="separate"/>
      </w:r>
      <w:r>
        <w:rPr>
          <w:rtl w:val="0"/>
        </w:rPr>
        <w:t>Juan Pablo Bohoslavsky</w:t>
      </w:r>
      <w:r>
        <w:rPr>
          <w:rtl w:val="0"/>
        </w:rPr>
        <w:fldChar w:fldCharType="end"/>
      </w:r>
      <w:r>
        <w:rPr>
          <w:rtl w:val="0"/>
        </w:rPr>
        <w:t>, affirms:</w:t>
      </w:r>
    </w:p>
    <w:p w14:paraId="0000004A">
      <w:pPr>
        <w:spacing w:before="240" w:after="240"/>
        <w:ind w:left="283" w:right="5" w:firstLine="0"/>
        <w:jc w:val="both"/>
      </w:pPr>
      <w:r>
        <w:rPr>
          <w:rtl w:val="0"/>
        </w:rPr>
        <w:t>[...] austerity has been the predominant response to the recent financial crisis, and fiscal consolidation policies have largely remained human rights blind, with their principal focus on ensuring balanced public budgets at all costs. International and regional human rights mechanisms have pointed out that budget cuts in various countries have affected the rights to health, education, food, housing, work, social security, water, as well as political and civil rights, such as access to justice, the right to participation, the freedoms of expression, assembly and association. They have also resulted in worsening detention and prison conditions. The right to life and personal integrity has not been spared; economic crises further entrenched by austerity policies have triggered an increase in suicides in some countries, resulted in the exclusion of individuals from life-saving public health care and weakened public healthcare systems to such extent that they have been ill-equipped to respond to epidemics.[...] Women, persons with disabilities, children in single-parent families, migrants and refugees and other social groups at risk of marginalization have often been disproportionately affected. For example, the reduction in public services, including childcare facilities, disproportionately affect women. Women are also often the first to be laid off when labour legislation is made more “flexible”. (Bohoslavsky, 2017a, p. 3)</w:t>
      </w:r>
    </w:p>
    <w:p w14:paraId="0000004B">
      <w:pPr>
        <w:spacing w:before="240" w:after="240"/>
        <w:jc w:val="both"/>
      </w:pPr>
      <w:r>
        <w:rPr>
          <w:rtl w:val="0"/>
        </w:rPr>
        <w:t>Seven of the most common fiscal consolidation measures as set out in the Independent Expert’s report are: (a) public expenditure cuts affecting fields such as public health care, social security and education; (b) regressive tax changes; (c) wage bill cuts and caps and reduction of positions in the public sector; (d) pension reforms; (e) rationalization and further targeting of safety nets; (f) privatization of public utilities and service providers and introduction of user fees; and (g) reduction in food, energy and other subsidies affecting the prices of essential goods and services such as food, heating and housing. Fiscal consolidation measures are often accompanied by structural reforms, such as deregulation, labour market flexibilization, reduction in labour rights and various administrative and legal reforms.</w:t>
      </w:r>
    </w:p>
    <w:p w14:paraId="0000004C">
      <w:pPr>
        <w:spacing w:before="240" w:after="240"/>
        <w:jc w:val="both"/>
      </w:pPr>
      <w:r>
        <w:rPr>
          <w:rtl w:val="0"/>
        </w:rPr>
        <w:t>Although it is said to be established on notions of consensual decision-making and cooperation in the realm of trade and economic relations, lower and middle income countries, although making up about 85% of the world’s population, have less than 50% of voting allocation in both institutions. Also, leaders of these institutions are voted by the US and Europe, with the position of World Bank president being reserved for an American, while leadership of the International Monetary Fund (IMF) is always European (Bach, 2019).</w:t>
      </w:r>
    </w:p>
    <w:p w14:paraId="0000004D">
      <w:pPr>
        <w:spacing w:before="240" w:after="240"/>
        <w:jc w:val="both"/>
      </w:pPr>
      <w:r>
        <w:rPr>
          <w:rtl w:val="0"/>
        </w:rPr>
        <w:t>Further, austerity policies are simplistic in blaming excessive public expenditure to the exclusion of other factors such as external shocks, insufficient revenue streams, financial deregulation, widening inequalities, depressed wages among low- and middle-income households or other failures owing to globalization.</w:t>
      </w:r>
    </w:p>
    <w:p w14:paraId="0000004E">
      <w:pPr>
        <w:spacing w:before="240" w:after="240"/>
        <w:jc w:val="both"/>
        <w:rPr>
          <w:b/>
        </w:rPr>
      </w:pPr>
      <w:r>
        <w:rPr>
          <w:b/>
          <w:rtl w:val="0"/>
        </w:rPr>
        <w:t>Austerity has recalibrated institutions, universal rules, policy norms and legal protections, in ways that protect and strengthen the private sector, directing finances away from developmental needs towards foreign debt repayments (Muchhala et al, 2022). The absence of a general framework or methodology for adequately assessing the human right impact of economic reform policies and the lack of transparency of such institutions' processes, which do not account for meaningful civil society participation, as highlighted by Bohoslavsky (2017), makes assessing the real impacts of austerity policies difficult.</w:t>
      </w:r>
    </w:p>
    <w:p w14:paraId="0000004F">
      <w:pPr>
        <w:spacing w:before="240" w:after="240"/>
        <w:jc w:val="both"/>
      </w:pPr>
      <w:r>
        <w:rPr>
          <w:rtl w:val="0"/>
        </w:rPr>
        <w:t xml:space="preserve">The COVID-19 pandemic triggered what the IMF has called the worst economic downturn since the Great Depression. The pandemic, intersecting with climate and conflict crises, has worsened the financial and economic status for lower income and other developing countries that entered in the pandemic in much more fragile and perilous conditions. Joint IMF-World Bank research shows that even before the pandemic, half of the world’s 76 lower-income economies were in debt distress and were no longer able to pay their debt service obligations in full or were at high risk of debt distress (IMF-World Bank, 2023).  </w:t>
      </w:r>
    </w:p>
    <w:p w14:paraId="00000050">
      <w:pPr>
        <w:spacing w:before="240" w:after="240"/>
        <w:jc w:val="both"/>
      </w:pPr>
      <w:r>
        <w:rPr>
          <w:rtl w:val="0"/>
        </w:rPr>
        <w:t>Since the onset of the COVID-19 pandemic, the role of the IMF has heightened to an unprecedented level, with 221 loans being arranged with 88 developing countries as of August 2021. The austerity measures, more premature and severe than in the aftermath of the global financial crisis of 2007-08, was projected to affect approximately 85% of the world population in 2022. 80% of the affected population are in developing countries across the Middle East and North Africa, Sub-Saharan Africa, South and East Asia and the Pacific, and Latin America and the Caribbean (Muchhala et al, 2022).</w:t>
      </w:r>
    </w:p>
    <w:p w14:paraId="00000051">
      <w:pPr>
        <w:spacing w:before="240" w:after="240"/>
        <w:jc w:val="both"/>
        <w:rPr>
          <w:b/>
        </w:rPr>
      </w:pPr>
      <w:r>
        <w:rPr>
          <w:b/>
          <w:rtl w:val="0"/>
        </w:rPr>
        <w:t xml:space="preserve">For every US$1 the Global South is encouraged to spend on the provision of public goods, the IMF has told them to cut four times more through austerity measures and the loans are largely gender blind (Kentikelenis &amp; Stubbs, 2023). “The evidence is clear: the IMF not only engineers austerity-driven debt crises, but its policies are designed to ensure and manage a permanent debt crisis, not to erase debt". (Tricontinental, 2023) </w:t>
      </w:r>
    </w:p>
    <w:p w14:paraId="00000052">
      <w:pPr>
        <w:spacing w:before="240" w:after="240"/>
        <w:jc w:val="both"/>
        <w:rPr>
          <w:b/>
        </w:rPr>
      </w:pPr>
      <w:r>
        <w:rPr>
          <w:b/>
          <w:rtl w:val="0"/>
        </w:rPr>
        <w:t>The above may derail health and economic recovery as well as achievement of the 2030 Sustainable Development Goals (SDG), deepen intersectional inequalities, particularly those of gender and race.</w:t>
      </w:r>
    </w:p>
    <w:p w14:paraId="00000053">
      <w:pPr>
        <w:spacing w:before="240" w:after="240"/>
        <w:jc w:val="both"/>
      </w:pPr>
      <w:r>
        <w:rPr>
          <w:rtl w:val="0"/>
        </w:rPr>
        <w:t>Take, for example, the measures imposed by IMF in Ecuador. Required budget cuts reduced public investment in healthcare by 64% between 2017 and 2019, leading to the dismissal of 3,680 workers from the ministry of public health in 2019, exacerbating the effects of COVID-19, stymying pandemic and economic recovery. Further, the public wage bill was to be reduced from 9.1% to 8.2% of GDP by 2025, amounting to a loss of 50,000 public jobs or 10% of the current payroll, and retired workers and temporary contract workers are not to be replaced with new employees. Spending on goods and services is to be reduced from 4% of GDP in 2021 to 3% in 2025, while public investments would narrow from 7.3% of GDP in 2021 to 6.1% in 2025. The emergency expenditure of the national vaccination programme would be reduced in 2022 by 0.9% of GDP per annum, while the elimination of the fuel subsidy would generate an additional billion dollars per annum. The specific target behind IMF’s loan programme is to allocate financial resources generated by expenditure cuts to the foreign exchange reserve for use in international payments, namely foreign debt repayment and purchasing imports (Muchhala et al, 2022, p. 7).</w:t>
      </w:r>
    </w:p>
    <w:p w14:paraId="00000054">
      <w:pPr>
        <w:spacing w:before="240" w:after="240"/>
        <w:jc w:val="both"/>
      </w:pPr>
      <w:r>
        <w:rPr>
          <w:rtl w:val="0"/>
        </w:rPr>
        <w:t>Austerity measures disproportionately affect women and girls, through three dominant channels: diminished access to essential services, loss of livelihoods, and increased unpaid work and time poverty. In Ecuador, 60% of workers in the health sector, and 85% of those in the nursing profession, are women (Ibid, p. 8).</w:t>
      </w:r>
    </w:p>
    <w:p w14:paraId="00000055">
      <w:pPr>
        <w:spacing w:before="240" w:after="240"/>
        <w:jc w:val="both"/>
      </w:pPr>
      <w:r>
        <w:rPr>
          <w:rtl w:val="0"/>
        </w:rPr>
        <w:t>In Kenya, deadly violence erupted over proposed tax increases via the 2024 Finance Bill, related to austerity measures under IMF loans. Proposals included a 16% sales tax on bread, 25% duty on cooking oil, and eco levies on essential items such as babies’ nappies and sanitary pads, in an attempt to raise US$2.7 billion in additional taxes to finance budget deficit and borrowing (Rukanga, 2024). Kenya's public debt stands at 68% of its GDP (Miriri &amp; Kumwenda-mtambo, 2024). Kenyan president has since withdrawn his support for the bill.</w:t>
      </w:r>
    </w:p>
    <w:p w14:paraId="00000056">
      <w:pPr>
        <w:pStyle w:val="3"/>
        <w:spacing w:before="240" w:after="240"/>
        <w:jc w:val="both"/>
        <w:rPr>
          <w:sz w:val="24"/>
          <w:szCs w:val="24"/>
        </w:rPr>
      </w:pPr>
      <w:bookmarkStart w:id="9" w:name="_heading=h.x0k45w2eb8wi" w:colFirst="0" w:colLast="0"/>
      <w:bookmarkEnd w:id="9"/>
      <w:r>
        <w:rPr>
          <w:b/>
          <w:sz w:val="24"/>
          <w:szCs w:val="24"/>
          <w:u w:val="single"/>
          <w:rtl w:val="0"/>
        </w:rPr>
        <w:t>Increase in private lending</w:t>
      </w:r>
      <w:r>
        <w:rPr>
          <w:sz w:val="24"/>
          <w:szCs w:val="24"/>
          <w:rtl w:val="0"/>
        </w:rPr>
        <w:t xml:space="preserve"> </w:t>
      </w:r>
    </w:p>
    <w:p w14:paraId="00000057">
      <w:pPr>
        <w:spacing w:before="240" w:after="240"/>
        <w:jc w:val="both"/>
      </w:pPr>
      <w:r>
        <w:rPr>
          <w:rtl w:val="0"/>
        </w:rPr>
        <w:t>The United Nations Conference on Trade and Development (UNCTAD) reports that the portion of external public debt owed to private creditors has risen across all regions since 2010, accounting for 61% of developing countries’ total external public debt in 2022. In 2022, bilateral and multilateral creditors provided a total of US$40 billion in positive transfers, while private creditors withdrew a record US$89 billion from developing countries (UNCTAD, 2024).</w:t>
      </w:r>
    </w:p>
    <w:p w14:paraId="00000058">
      <w:pPr>
        <w:spacing w:before="240" w:after="240"/>
        <w:jc w:val="both"/>
      </w:pPr>
      <w:r>
        <w:rPr>
          <w:rtl w:val="0"/>
        </w:rPr>
        <w:t xml:space="preserve">Borrowing from private sources on commercial terms is more expensive than concessional financing from multilateral and bilateral sources and the burden of this debt varies significantly with countries’ ability to repay it. Credit ratings agencies (CRA) have been implicated in the dysfunction of the international financial architecture. The ‘Big Three’ credit rating agencies (Standard and Poor’s, Moody’s Investors Service and Fitch Ratings), </w:t>
      </w:r>
      <w:r>
        <w:rPr>
          <w:highlight w:val="white"/>
          <w:rtl w:val="0"/>
        </w:rPr>
        <w:t xml:space="preserve">have </w:t>
      </w:r>
      <w:r>
        <w:rPr>
          <w:rtl w:val="0"/>
        </w:rPr>
        <w:t>been criticised for having excessive influence and decisive impact over lending decisions, and conditions and interest rates of sovereign debts and it has been argued that the assessments of these rating agencies do not take into account human rights considerations and exacerbate financial market volatility, reducing fiscal space for investments on health services, vaccines or social protection (Li', 2021).</w:t>
      </w:r>
    </w:p>
    <w:p w14:paraId="00000059">
      <w:pPr>
        <w:spacing w:before="240" w:after="240"/>
        <w:jc w:val="both"/>
        <w:rPr>
          <w:b/>
        </w:rPr>
      </w:pPr>
      <w:r>
        <w:rPr>
          <w:b/>
          <w:rtl w:val="0"/>
        </w:rPr>
        <w:t>The borrowing costs of developing countries far exceed those of developed countries. Developing regions borrow at rates that are 2 to 4 times higher than those of the United States and 6 to 12 times higher than those of Germany. In 2022, developing countries paid US$49 billion more to their external creditors than they received in fresh disbursements, resulting in a negative net resource transfer. Most of the countries experiencing net outflows were in most of the affected countries being in Africa and Asia and Oceania (Raja, 2024).</w:t>
      </w:r>
    </w:p>
    <w:p w14:paraId="0000005A">
      <w:pPr>
        <w:spacing w:before="240" w:after="240"/>
        <w:jc w:val="both"/>
        <w:rPr>
          <w:b/>
          <w:sz w:val="24"/>
          <w:szCs w:val="24"/>
          <w:u w:val="single"/>
        </w:rPr>
      </w:pPr>
      <w:r>
        <w:rPr>
          <w:b/>
          <w:sz w:val="24"/>
          <w:szCs w:val="24"/>
          <w:u w:val="single"/>
          <w:rtl w:val="0"/>
        </w:rPr>
        <w:t>The situation in Africa</w:t>
      </w:r>
    </w:p>
    <w:p w14:paraId="0000005B">
      <w:pPr>
        <w:spacing w:before="240" w:after="240"/>
        <w:jc w:val="both"/>
      </w:pPr>
      <w:r>
        <w:rPr>
          <w:rtl w:val="0"/>
        </w:rPr>
        <w:t xml:space="preserve">The IMF says governments struggle to pay external debts once they are higher than 14%–23% of government revenue. In 2023, a record 54 developing countries, allocated 10% or more of government revenues to interest payments, with nearly half of them in Africa, outpacing growth in critical public expenditures such as health and education (UNCTAD, 2024). The UNCTAD report also shows that: </w:t>
      </w:r>
    </w:p>
    <w:p w14:paraId="0000005C">
      <w:pPr>
        <w:numPr>
          <w:ilvl w:val="0"/>
          <w:numId w:val="2"/>
        </w:numPr>
        <w:spacing w:before="240"/>
        <w:ind w:left="720" w:hanging="360"/>
        <w:jc w:val="both"/>
      </w:pPr>
      <w:r>
        <w:rPr>
          <w:rtl w:val="0"/>
        </w:rPr>
        <w:t>The debt crisis is severe in Africa. While other regions see declining debt-to-GDP ratios (inflation + stronger recovery) Africa's continue to climb. Nearly half of countries with ratios above 60% are in Africa.</w:t>
      </w:r>
    </w:p>
    <w:p w14:paraId="0000005D">
      <w:pPr>
        <w:numPr>
          <w:ilvl w:val="0"/>
          <w:numId w:val="2"/>
        </w:numPr>
        <w:ind w:left="720" w:hanging="360"/>
        <w:jc w:val="both"/>
      </w:pPr>
      <w:r>
        <w:rPr>
          <w:rtl w:val="0"/>
        </w:rPr>
        <w:t xml:space="preserve">The current financial system cannot handle 21st-century problems. A world that is volatile and uncertain requires countervailing stabilizing forces. Yet, in times of crisis, the debt system compounds matters. </w:t>
      </w:r>
    </w:p>
    <w:p w14:paraId="0000005E">
      <w:pPr>
        <w:numPr>
          <w:ilvl w:val="0"/>
          <w:numId w:val="2"/>
        </w:numPr>
        <w:spacing w:after="240"/>
        <w:ind w:left="720" w:hanging="360"/>
        <w:jc w:val="both"/>
      </w:pPr>
      <w:r>
        <w:rPr>
          <w:rtl w:val="0"/>
        </w:rPr>
        <w:t>Interest payments are outpacing other development expenditures. In the case of Africa, the region is spending more on per capita terms on interest (US$70) than education (US$60) or health (US$39).  Over half the population in developing countries live in nations spending more on interest than on education or health, even amid a global pandemic. The problem also concerns the climate emergency. Every fraction of a degree matters, every penny invested in climate action counts. Yet, developing countries are currently spending more on interest than investments on climate action.</w:t>
      </w:r>
    </w:p>
    <w:p w14:paraId="0000005F">
      <w:pPr>
        <w:spacing w:before="240" w:after="240"/>
        <w:jc w:val="both"/>
      </w:pPr>
      <w:r>
        <w:rPr>
          <w:rtl w:val="0"/>
        </w:rPr>
        <w:t>A report by Christian Aid (Larbie &amp; Jones, 2024) calculates that, in 2024, 28 African countries will have external debt payments over 14% of government revenue, with 23 of these paying over 20% of government revenue, the highest of any region in the world. Figures given by AFRODAD (2024) report show that Africa’s total debt stands at US$1.13 trillion, representing a 374% increase in public debt from the year 2000 to 2024. Around 30 million people in Africa were pushed into extreme poverty in 2021 and the trend continued upwards in 2022 and 2023. Debt to GDP ratio average of 198% in Sudan, and over 100% in the Democratic Republic of Congo, Mozambique and Zambia (Son, Lopert, Gleeson et al, 2018).</w:t>
      </w:r>
    </w:p>
    <w:p w14:paraId="00000060">
      <w:pPr>
        <w:spacing w:before="240" w:after="240"/>
        <w:jc w:val="both"/>
      </w:pPr>
      <w:r>
        <w:rPr>
          <w:rtl w:val="0"/>
        </w:rPr>
        <w:t xml:space="preserve">In contrast, in 2010, no African governments were spending over 20% of revenue on external debt payments, and only one, Tunisia, was spending more than 14%. </w:t>
      </w:r>
    </w:p>
    <w:p w14:paraId="00000061">
      <w:pPr>
        <w:spacing w:before="240" w:after="240"/>
        <w:jc w:val="both"/>
      </w:pPr>
      <w:r>
        <w:rPr>
          <w:rtl w:val="0"/>
        </w:rPr>
        <w:t xml:space="preserve">Every dollar spent servicing debt is one that is not spent on critical services such as education, health and social protection, climate investments. This further drives inequalities, poverty and suffering within and between States.  </w:t>
      </w:r>
    </w:p>
    <w:p w14:paraId="00000062">
      <w:pPr>
        <w:spacing w:before="240" w:after="240"/>
        <w:jc w:val="both"/>
        <w:rPr>
          <w:b/>
        </w:rPr>
      </w:pPr>
      <w:r>
        <w:rPr>
          <w:rtl w:val="0"/>
        </w:rPr>
        <w:t xml:space="preserve">The current debt crisis has been exacerbated by </w:t>
      </w:r>
      <w:r>
        <w:rPr>
          <w:b/>
          <w:rtl w:val="0"/>
        </w:rPr>
        <w:t>deficiencies in the legal framework and governing regime for sovereign financing and the shortcomings in the international architecture of public finance.</w:t>
      </w:r>
    </w:p>
    <w:p w14:paraId="00000063">
      <w:pPr>
        <w:spacing w:before="240" w:after="240"/>
        <w:jc w:val="both"/>
      </w:pPr>
      <w:r>
        <w:rPr>
          <w:rtl w:val="0"/>
        </w:rPr>
        <w:t>The protection and advancement of economic and social rights must address:</w:t>
      </w:r>
    </w:p>
    <w:p w14:paraId="00000064">
      <w:pPr>
        <w:spacing w:before="240" w:after="240"/>
        <w:ind w:left="283" w:right="5" w:firstLine="0"/>
        <w:jc w:val="both"/>
        <w:rPr>
          <w:i/>
        </w:rPr>
      </w:pPr>
      <w:r>
        <w:rPr>
          <w:rtl w:val="0"/>
        </w:rPr>
        <w:t>the heritage of four major historical processes: conquest, state building, migration, and economic development. Modern states have been built by powerful groups at the expense of the less powerful, with racial prejudice underlying the entire process. For those concerned with economic justice, the questions to be confronted today include the following: How is it possible to overcome and reverse this historical record of racial bias? What political and economic structures perpetuate racial bias in economic outcomes? What policies can be implemented at the national and international levels to create real economic opportunity for all races? (Felice, 1950, p. 130)</w:t>
      </w:r>
    </w:p>
    <w:p w14:paraId="00000065">
      <w:pPr>
        <w:spacing w:before="240" w:after="240"/>
        <w:jc w:val="both"/>
        <w:rPr>
          <w:b/>
        </w:rPr>
      </w:pPr>
      <w:r>
        <w:rPr>
          <w:b/>
          <w:rtl w:val="0"/>
        </w:rPr>
        <w:t xml:space="preserve">Creditors, international financial institutions and governments in the Global North are putting paying back creditors ahead of people’s lives. </w:t>
      </w:r>
    </w:p>
    <w:p w14:paraId="00000066">
      <w:pPr>
        <w:pStyle w:val="2"/>
        <w:numPr>
          <w:ilvl w:val="0"/>
          <w:numId w:val="1"/>
        </w:numPr>
        <w:spacing w:before="240" w:after="240"/>
        <w:ind w:left="720" w:hanging="360"/>
        <w:jc w:val="both"/>
        <w:rPr>
          <w:b/>
          <w:sz w:val="24"/>
          <w:szCs w:val="24"/>
          <w:u w:val="none"/>
        </w:rPr>
      </w:pPr>
      <w:bookmarkStart w:id="10" w:name="_heading=h.r2ijy2yant8l" w:colFirst="0" w:colLast="0"/>
      <w:bookmarkEnd w:id="10"/>
      <w:r>
        <w:rPr>
          <w:b/>
          <w:sz w:val="24"/>
          <w:szCs w:val="24"/>
          <w:rtl w:val="0"/>
        </w:rPr>
        <w:t>SOLUTIONS REQUIRED</w:t>
      </w:r>
    </w:p>
    <w:p w14:paraId="00000067">
      <w:pPr>
        <w:pStyle w:val="3"/>
        <w:spacing w:before="240" w:after="240"/>
        <w:jc w:val="both"/>
        <w:rPr>
          <w:b/>
          <w:sz w:val="24"/>
          <w:szCs w:val="24"/>
        </w:rPr>
      </w:pPr>
      <w:bookmarkStart w:id="11" w:name="_heading=h.ke1xobfoqscb" w:colFirst="0" w:colLast="0"/>
      <w:bookmarkEnd w:id="11"/>
      <w:r>
        <w:rPr>
          <w:b/>
          <w:sz w:val="24"/>
          <w:szCs w:val="24"/>
          <w:rtl w:val="0"/>
        </w:rPr>
        <w:t>(i) Reform of IMF and World Bank</w:t>
      </w:r>
    </w:p>
    <w:p w14:paraId="00000068">
      <w:pPr>
        <w:spacing w:before="240" w:after="240"/>
        <w:jc w:val="both"/>
      </w:pPr>
      <w:r>
        <w:rPr>
          <w:rtl w:val="0"/>
        </w:rPr>
        <w:t>There needs to be a comprehensive reform of the multilateral development bank (MDB) system, beginning with the World Bank Group, a major lender to developing countries, especially low-income countries. The World Bank’s operational policies and lending practices have contributed towards the build-up of unsustainable debt in developing countries. Not only has the World Bank been at the forefront of extending loans to countries, contributing to the build-up of external debt stock, the policy conditionalties attached to World Bank lending, including trade liberalisation and privatisation of state-owned enterprises (SOEs), can undermine rather than support economic growth that can generate resources for developing countries to repay their debt. Additionally, recent changes in its operational practices have extended the exposure of developing countries to the instability of international financial markets by encouraging greater reliance on private finance.</w:t>
      </w:r>
    </w:p>
    <w:p w14:paraId="00000069">
      <w:pPr>
        <w:spacing w:before="240" w:after="240"/>
        <w:jc w:val="both"/>
      </w:pPr>
      <w:r>
        <w:rPr>
          <w:rtl w:val="0"/>
        </w:rPr>
        <w:t xml:space="preserve">For example, the World Bank’s new ‘Evolution Roadmap’ (Roadmap) will further deepen existing structural inequalities through the ‘Cascade’ approach which prioritised using official sector finance, including grants, to ostensibly catalyse private finance to developing countries, ahead of provision of public finance. The effect is actually assuming risks for the private finance sector. The Roadmap is undermined by an incomplete analysis of the current ‘crisis of development’ and seeks to incentivize private lending by </w:t>
      </w:r>
      <w:r>
        <w:rPr>
          <w:b/>
          <w:rtl w:val="0"/>
        </w:rPr>
        <w:t xml:space="preserve">shaping </w:t>
      </w:r>
      <w:r>
        <w:rPr>
          <w:b/>
          <w:highlight w:val="white"/>
          <w:rtl w:val="0"/>
        </w:rPr>
        <w:t>developing states as de-risking agents for private capital, with the IFIs helping to facilitate this process.</w:t>
      </w:r>
      <w:r>
        <w:rPr>
          <w:highlight w:val="white"/>
          <w:rtl w:val="0"/>
        </w:rPr>
        <w:t xml:space="preserve"> Rather than ‘evolution’, the promotion of the Cascade represents the reaffirmation by World Bank management and shareholders of a flawed development paradigm that assumes incentivising private finance is inherently benign and productive. </w:t>
      </w:r>
      <w:r>
        <w:rPr>
          <w:b/>
          <w:rtl w:val="0"/>
        </w:rPr>
        <w:t xml:space="preserve">A civil society briefing paper endorsed by more than 70 organizations and individuals around the world </w:t>
      </w:r>
      <w:r>
        <w:fldChar w:fldCharType="begin"/>
      </w:r>
      <w:r>
        <w:instrText xml:space="preserve"> HYPERLINK "https://www.brettonwoodsproject.org/2023/07/civil-society-calls-for-rethink-of-world-banks-evolution-roadmap-as-part-of-wider-reforms-to-highly-unequal-global-financial-architecture/" \h </w:instrText>
      </w:r>
      <w:r>
        <w:fldChar w:fldCharType="separate"/>
      </w:r>
      <w:r>
        <w:rPr>
          <w:b/>
          <w:color w:val="1155CC"/>
          <w:u w:val="single"/>
          <w:rtl w:val="0"/>
        </w:rPr>
        <w:t>stresses</w:t>
      </w:r>
      <w:r>
        <w:rPr>
          <w:b/>
          <w:color w:val="1155CC"/>
          <w:u w:val="single"/>
          <w:rtl w:val="0"/>
        </w:rPr>
        <w:fldChar w:fldCharType="end"/>
      </w:r>
      <w:r>
        <w:rPr>
          <w:b/>
          <w:rtl w:val="0"/>
        </w:rPr>
        <w:t xml:space="preserve"> that a</w:t>
      </w:r>
      <w:r>
        <w:rPr>
          <w:b/>
          <w:highlight w:val="white"/>
          <w:rtl w:val="0"/>
        </w:rPr>
        <w:t xml:space="preserve">ny solution must tackle the </w:t>
      </w:r>
      <w:r>
        <w:rPr>
          <w:b/>
          <w:rtl w:val="0"/>
        </w:rPr>
        <w:t>the chronic need for governance reform at the World Bank, with a proper evaluation on whether the Bank’s policy prescriptions for developing countries over recent decades have been successful in assisting countries to achieve sustainable economic transformation.</w:t>
      </w:r>
      <w:r>
        <w:rPr>
          <w:b/>
          <w:rtl w:val="0"/>
        </w:rPr>
        <w:br w:type="textWrapping"/>
      </w:r>
      <w:r>
        <w:rPr>
          <w:b/>
          <w:rtl w:val="0"/>
        </w:rPr>
        <w:br w:type="textWrapping"/>
      </w:r>
      <w:r>
        <w:rPr>
          <w:rtl w:val="0"/>
        </w:rPr>
        <w:t xml:space="preserve">The report provides a series of recommendations for a roadmap that prioritizes people, participation and the planet through: </w:t>
      </w:r>
    </w:p>
    <w:p w14:paraId="0000006A">
      <w:pPr>
        <w:numPr>
          <w:ilvl w:val="0"/>
          <w:numId w:val="3"/>
        </w:numPr>
        <w:ind w:left="720" w:hanging="360"/>
        <w:jc w:val="both"/>
        <w:rPr>
          <w:highlight w:val="white"/>
        </w:rPr>
      </w:pPr>
      <w:r>
        <w:rPr>
          <w:highlight w:val="white"/>
          <w:rtl w:val="0"/>
        </w:rPr>
        <w:t>an external and independent review of the World Bank Group’s development effectiveness</w:t>
      </w:r>
    </w:p>
    <w:p w14:paraId="0000006B">
      <w:pPr>
        <w:numPr>
          <w:ilvl w:val="0"/>
          <w:numId w:val="3"/>
        </w:numPr>
        <w:ind w:left="720" w:hanging="360"/>
        <w:jc w:val="both"/>
        <w:rPr>
          <w:highlight w:val="white"/>
        </w:rPr>
      </w:pPr>
      <w:r>
        <w:rPr>
          <w:highlight w:val="white"/>
          <w:rtl w:val="0"/>
        </w:rPr>
        <w:t>focusing any reform on putting the public at the core of the World Bank’s efforts to support global public goods</w:t>
      </w:r>
    </w:p>
    <w:p w14:paraId="0000006C">
      <w:pPr>
        <w:numPr>
          <w:ilvl w:val="0"/>
          <w:numId w:val="3"/>
        </w:numPr>
        <w:ind w:left="720" w:hanging="360"/>
        <w:jc w:val="both"/>
        <w:rPr>
          <w:highlight w:val="white"/>
        </w:rPr>
      </w:pPr>
      <w:r>
        <w:rPr>
          <w:highlight w:val="white"/>
          <w:rtl w:val="0"/>
        </w:rPr>
        <w:t>mainstreaming human rights, climate justice and a gender lens into the Bank’s operations</w:t>
      </w:r>
    </w:p>
    <w:p w14:paraId="0000006D">
      <w:pPr>
        <w:numPr>
          <w:ilvl w:val="0"/>
          <w:numId w:val="3"/>
        </w:numPr>
        <w:ind w:left="720" w:hanging="360"/>
        <w:jc w:val="both"/>
        <w:rPr>
          <w:highlight w:val="white"/>
        </w:rPr>
      </w:pPr>
      <w:r>
        <w:rPr>
          <w:highlight w:val="white"/>
          <w:rtl w:val="0"/>
        </w:rPr>
        <w:t xml:space="preserve"> developing better metrics for measuring - and policies to tackle – inequality.</w:t>
      </w:r>
    </w:p>
    <w:p w14:paraId="0000006E">
      <w:pPr>
        <w:spacing w:before="240" w:after="240"/>
        <w:jc w:val="both"/>
        <w:rPr>
          <w:b/>
        </w:rPr>
      </w:pPr>
      <w:r>
        <w:rPr>
          <w:b/>
          <w:rtl w:val="0"/>
        </w:rPr>
        <w:t>As a founding member and a major shareholder of the World Bank Group, the UK has substantial influence over the Bank’s developmental policies and can steer the World Bank into policies that can better support sustainable lending and borrowing in developing countries and to prescribe policies that promote rather than undermine economic development and poverty reduction in developing countries, nncluding expanding rather than restricting policy space. This will not only enable better domestic resource mobilisation, it will also enhance the capacity of developing countries to withstand financial and economic shocks that lead to and/or compound existing sovereign debt pressures.</w:t>
      </w:r>
    </w:p>
    <w:p w14:paraId="0000006F">
      <w:pPr>
        <w:spacing w:line="240" w:lineRule="auto"/>
        <w:jc w:val="both"/>
      </w:pPr>
      <w:r>
        <w:rPr>
          <w:rtl w:val="0"/>
        </w:rPr>
        <w:t xml:space="preserve">Principle 14 of the </w:t>
      </w:r>
      <w:r>
        <w:fldChar w:fldCharType="begin"/>
      </w:r>
      <w:r>
        <w:instrText xml:space="preserve"> HYPERLINK "https://www.ohchr.org/sites/default/files/GuidePrinciples_EN.pdf" \h </w:instrText>
      </w:r>
      <w:r>
        <w:fldChar w:fldCharType="separate"/>
      </w:r>
      <w:r>
        <w:rPr>
          <w:rtl w:val="0"/>
        </w:rPr>
        <w:t>Guiding Principles on Human Rights Impact Assessment of Economic Reforms</w:t>
      </w:r>
      <w:r>
        <w:rPr>
          <w:rtl w:val="0"/>
        </w:rPr>
        <w:fldChar w:fldCharType="end"/>
      </w:r>
      <w:r>
        <w:rPr>
          <w:rtl w:val="0"/>
        </w:rPr>
        <w:t xml:space="preserve"> states:</w:t>
      </w:r>
    </w:p>
    <w:p w14:paraId="00000070">
      <w:pPr>
        <w:spacing w:line="240" w:lineRule="auto"/>
        <w:jc w:val="both"/>
      </w:pPr>
      <w:r>
        <w:rPr>
          <w:rtl w:val="0"/>
        </w:rPr>
        <w:t xml:space="preserve"> </w:t>
      </w:r>
    </w:p>
    <w:p w14:paraId="00000071">
      <w:pPr>
        <w:spacing w:line="240" w:lineRule="auto"/>
        <w:ind w:left="283" w:right="5" w:firstLine="0"/>
        <w:jc w:val="both"/>
      </w:pPr>
      <w:r>
        <w:rPr>
          <w:rtl w:val="0"/>
        </w:rPr>
        <w:t>Non-state actors such as financial institutions, have the responsibility to contribute to these efforts. The Guiding Principles specify that other States and non-State actors should refrain from exerting undue influence over the State undertaking the reforms. They should respect each State’s need for policy space to deal with its economic challenges in a way that is consistent with its human rights obligations.</w:t>
      </w:r>
      <w:r>
        <w:rPr>
          <w:vertAlign w:val="superscript"/>
        </w:rPr>
        <w:footnoteReference w:id="0"/>
      </w:r>
    </w:p>
    <w:p w14:paraId="00000072">
      <w:pPr>
        <w:pStyle w:val="3"/>
        <w:spacing w:before="240" w:after="240"/>
        <w:jc w:val="both"/>
        <w:rPr>
          <w:b/>
          <w:sz w:val="24"/>
          <w:szCs w:val="24"/>
        </w:rPr>
      </w:pPr>
      <w:bookmarkStart w:id="12" w:name="_heading=h.jhjpes9milug" w:colFirst="0" w:colLast="0"/>
      <w:bookmarkEnd w:id="12"/>
      <w:r>
        <w:rPr>
          <w:b/>
          <w:sz w:val="24"/>
          <w:szCs w:val="24"/>
          <w:rtl w:val="0"/>
        </w:rPr>
        <w:t>(ii) On private creditors and UK governance</w:t>
      </w:r>
    </w:p>
    <w:p w14:paraId="00000073">
      <w:pPr>
        <w:spacing w:before="240" w:after="240"/>
        <w:jc w:val="both"/>
      </w:pPr>
      <w:r>
        <w:rPr>
          <w:shd w:val="clear" w:fill="FEFEFE"/>
          <w:rtl w:val="0"/>
        </w:rPr>
        <w:t>Greater diversification in the creditor market has made it more challenging for countries to restructure their debts through traditional frameworks and multilateral debt coordination initiatives, such as the G20 Common Framework for Debt Treatments and t</w:t>
      </w:r>
      <w:r>
        <w:rPr>
          <w:rtl w:val="0"/>
        </w:rPr>
        <w:t>he Debt Service Suspension Initiative (DSSI)</w:t>
      </w:r>
      <w:r>
        <w:rPr>
          <w:shd w:val="clear" w:fill="FEFEFE"/>
          <w:rtl w:val="0"/>
        </w:rPr>
        <w:t xml:space="preserve">. It is a challenge to secure private creditor participation in sovereign debt restructurings in the </w:t>
      </w:r>
      <w:r>
        <w:rPr>
          <w:rtl w:val="0"/>
        </w:rPr>
        <w:t>absence of a mechanism to compel private sector creditors - including bondholders as well as banks and other financial institutions – to engage in multilateral debt relief initiatives, resulting in compounded sovereign debt distress and messy and disorderly debt restructuring processes (Connelly, Lima &amp; Tan, 2024).</w:t>
      </w:r>
    </w:p>
    <w:p w14:paraId="00000074">
      <w:pPr>
        <w:spacing w:before="240" w:after="240"/>
        <w:jc w:val="both"/>
      </w:pPr>
      <w:r>
        <w:rPr>
          <w:rtl w:val="0"/>
        </w:rPr>
        <w:t>Overall, measures taken to address the solvency crises of developing countries have so far been patchwork, ad-hoc and largely reliant on the goodwill of major creditor states and bilateral negotiations between debtor states and their creditors and financiers. Most importantly, as set out above, there remains little global collective action to deal with the structural defects of the current financial architecture.</w:t>
      </w:r>
    </w:p>
    <w:p w14:paraId="00000075">
      <w:pPr>
        <w:shd w:val="clear" w:fill="FFFFFF"/>
        <w:spacing w:after="240"/>
        <w:jc w:val="both"/>
      </w:pPr>
      <w:r>
        <w:rPr>
          <w:rtl w:val="0"/>
        </w:rPr>
        <w:t>The G20, representing the world’s 20 biggest economies, is still the pre-eminent body of global economic decision-making. The mechanisms put in place by the G20 have failed to provide a proper response to the challenge.</w:t>
      </w:r>
    </w:p>
    <w:p w14:paraId="00000076">
      <w:pPr>
        <w:shd w:val="clear" w:fill="FFFFFF"/>
        <w:spacing w:after="240"/>
        <w:jc w:val="both"/>
      </w:pPr>
      <w:r>
        <w:rPr>
          <w:rtl w:val="0"/>
        </w:rPr>
        <w:t>The DSSI which was reinstated from 1 May 2020 to the end of 2021, was critiqued by analysts, international organisations and the UN Secretary General as too limited in scope and duration, with suspension expiring just as interest rates soared. Connelly, Lima &amp; Tan (2024) that suspension of debt on a temporary basis also meant a ‘kick the can down the road’ approach rather than sustainably restructuring debt in a fair manner that divided burden sharing between creditors and debtors. Although it did deliver approximately US$10.3 billion in relief to more than 40 eligible countries, IMF and World Bank debt data reveal that the 46 lower-income countries that applied for the scheme still paid out more than three times in debt payments, or about US$36.4 billion. Meanwhile, only US$600 million of debt was canceled.</w:t>
      </w:r>
    </w:p>
    <w:p w14:paraId="00000077">
      <w:pPr>
        <w:shd w:val="clear" w:fill="FFFFFF"/>
        <w:spacing w:before="100" w:after="100"/>
        <w:jc w:val="both"/>
        <w:rPr>
          <w:b/>
        </w:rPr>
      </w:pPr>
      <w:r>
        <w:rPr>
          <w:b/>
          <w:rtl w:val="0"/>
        </w:rPr>
        <w:t>Further, private creditors did not offer debt service suspension at all. Private creditors, especially big commercial banks, asset management companies, investment banks, hedge funds and oil traders, provided no relief and received US$14.9 billion in debt repayment from the poorest countries (April 2020-June 2021).</w:t>
      </w:r>
    </w:p>
    <w:p w14:paraId="00000078">
      <w:pPr>
        <w:shd w:val="clear" w:fill="FFFFFF"/>
        <w:spacing w:before="100" w:after="100"/>
        <w:jc w:val="both"/>
      </w:pPr>
      <w:r>
        <w:rPr>
          <w:rtl w:val="0"/>
        </w:rPr>
        <w:t>Another initiative, the G20’s Common Framework for Debt Treatments (Common Framework) was established in 2020 to reduce debt burdens by a case-by-case approach individualising debt restructuring by debtor country, rather than addressing the systemic nature of debt.</w:t>
      </w:r>
    </w:p>
    <w:p w14:paraId="00000079">
      <w:pPr>
        <w:spacing w:before="240" w:after="240"/>
        <w:jc w:val="both"/>
        <w:rPr>
          <w:highlight w:val="white"/>
        </w:rPr>
      </w:pPr>
      <w:r>
        <w:rPr>
          <w:highlight w:val="white"/>
          <w:rtl w:val="0"/>
        </w:rPr>
        <w:t>The shortcomings of the Common Framework have been acknowledged by a range of actors, from the IMF and World Bank to the financial press and international civil society. UN Secretary General, Antonio Guterres has pointed out that the process is too slow and too passive. He gave the example of Zambia, which endured more than three years of negotiations before a comprehensive restructuring agreement was reached (UN News, 2024). While waiting for relief, the Government had to scramble to consolidate its finances, which impacted public services in health, nutrition and education.</w:t>
      </w:r>
    </w:p>
    <w:p w14:paraId="0000007A">
      <w:pPr>
        <w:shd w:val="clear" w:fill="FFFFFF"/>
        <w:spacing w:before="100" w:after="100"/>
        <w:jc w:val="both"/>
      </w:pPr>
      <w:r>
        <w:rPr>
          <w:rtl w:val="0"/>
        </w:rPr>
        <w:t>Here too, private creditors have consistently refused voluntary engagement to deliver on comparability of treatment, a principle developed to ensure that all creditors contribute with their fair share in debt restructuring and cancellation. Importantly, none of the countries that have applied to the Common Framework have had any debt canceled.</w:t>
      </w:r>
    </w:p>
    <w:p w14:paraId="0000007B">
      <w:pPr>
        <w:spacing w:before="240" w:after="240"/>
        <w:jc w:val="both"/>
      </w:pPr>
      <w:r>
        <w:rPr>
          <w:b/>
          <w:rtl w:val="0"/>
        </w:rPr>
        <w:t>As shown above, there is a lack of appropriate mechanisms to deal with the debt owed by sovereigns to private creditors and the reluctance of private creditors to participate in debt restructuring schemes.</w:t>
      </w:r>
      <w:r>
        <w:rPr>
          <w:rtl w:val="0"/>
        </w:rPr>
        <w:t xml:space="preserve"> Unlike corporate debtors, where established restructuring and insolvency regimes offer a structured approach to debt resolution, there is </w:t>
      </w:r>
      <w:r>
        <w:rPr>
          <w:b/>
          <w:rtl w:val="0"/>
        </w:rPr>
        <w:t>no parallel legal framework that provides for a structured and binding process for states to negotiate with their creditors</w:t>
      </w:r>
      <w:r>
        <w:rPr>
          <w:rtl w:val="0"/>
        </w:rPr>
        <w:t xml:space="preserve"> in the face of debt distress or insolvency.</w:t>
      </w:r>
    </w:p>
    <w:p w14:paraId="0000007C">
      <w:pPr>
        <w:spacing w:before="240" w:after="240"/>
        <w:jc w:val="both"/>
        <w:rPr>
          <w:b/>
          <w:highlight w:val="white"/>
        </w:rPr>
      </w:pPr>
      <w:r>
        <w:rPr>
          <w:rtl w:val="0"/>
        </w:rPr>
        <w:t xml:space="preserve">Therefore, what is required where there is a sovereign solvency crisis, are debt write offs. </w:t>
      </w:r>
      <w:r>
        <w:rPr>
          <w:b/>
          <w:highlight w:val="white"/>
          <w:rtl w:val="0"/>
        </w:rPr>
        <w:t xml:space="preserve">The World Bank’s 2022 </w:t>
      </w:r>
      <w:r>
        <w:rPr>
          <w:b/>
          <w:i/>
          <w:highlight w:val="white"/>
          <w:rtl w:val="0"/>
        </w:rPr>
        <w:t>Global Economic Prospects</w:t>
      </w:r>
      <w:r>
        <w:rPr>
          <w:b/>
          <w:highlight w:val="white"/>
          <w:rtl w:val="0"/>
        </w:rPr>
        <w:t xml:space="preserve"> report acknowledges that, rather than a liquidity issue, many countries actually face a solvency crisis which requires ‘debt stock reductions’ instead of debt re-profiling which only addresses the terms of repayment. Debt write-offs or outright cancellation is required to address unsustainable debt.</w:t>
      </w:r>
    </w:p>
    <w:p w14:paraId="0000007D">
      <w:pPr>
        <w:spacing w:before="240" w:after="240"/>
        <w:jc w:val="both"/>
      </w:pPr>
      <w:r>
        <w:rPr>
          <w:rtl w:val="0"/>
        </w:rPr>
        <w:t xml:space="preserve">In their briefing paper to the UK Parliament, Stephen Connelly, Karina Patricio Lima and Celine Tan (2024) argue that, as </w:t>
      </w:r>
      <w:r>
        <w:rPr>
          <w:b/>
          <w:rtl w:val="0"/>
        </w:rPr>
        <w:t>most debt (up to 90%) owed by developing and emerging economies (DEEs) and lower income countries (LICs) to private creditors is governed by English law</w:t>
      </w:r>
      <w:r>
        <w:rPr>
          <w:rtl w:val="0"/>
        </w:rPr>
        <w:t xml:space="preserve">, the UK is well-placed to address the sovereign debt crisis in those countries through its domestic legal responses. They set out in detail the issues and solutions to be adopted: </w:t>
      </w:r>
    </w:p>
    <w:p w14:paraId="0000007E">
      <w:pPr>
        <w:numPr>
          <w:ilvl w:val="0"/>
          <w:numId w:val="4"/>
        </w:numPr>
        <w:spacing w:before="240"/>
        <w:ind w:left="720" w:hanging="360"/>
        <w:jc w:val="both"/>
      </w:pPr>
      <w:r>
        <w:rPr>
          <w:rtl w:val="0"/>
        </w:rPr>
        <w:t xml:space="preserve">The legal instruments employed in the lending of bilateral official and private creditors are largely similar, consisting of contracts governed by private law in domestic legal jurisdictions. Official bilateral lending involves mostly loan-based agreements while private lending includes syndicated bank loans, other forms of commercial lending, and bonds and these different types of debt are governed by the laws of major legal jurisdictions, notably England and Wales and New York. </w:t>
      </w:r>
    </w:p>
    <w:p w14:paraId="0000007F">
      <w:pPr>
        <w:numPr>
          <w:ilvl w:val="0"/>
          <w:numId w:val="4"/>
        </w:numPr>
        <w:ind w:left="720" w:hanging="360"/>
        <w:jc w:val="both"/>
      </w:pPr>
      <w:r>
        <w:rPr>
          <w:rtl w:val="0"/>
        </w:rPr>
        <w:t>It is in the interests of the UK government to adopt a comprehensive approach to debt restructuring. The issue has important legal and important implications for the UK, as public finance intended to support official debt relief and other financial flows to indebted countries, including concessional official development assistance (ODA), could end up being redirected to other creditors as debt repayments or service. If current debt relief mechanisms are not complemented by statutory standstills and restructurings for sovereign debt, English courts could end up enforcing the claims of private creditors who are free riding on official debt relief initiatives, including the Common Framework and DSSI, funded by UK taxpayers.</w:t>
      </w:r>
    </w:p>
    <w:p w14:paraId="00000080">
      <w:pPr>
        <w:numPr>
          <w:ilvl w:val="0"/>
          <w:numId w:val="4"/>
        </w:numPr>
        <w:spacing w:after="240"/>
        <w:ind w:left="720" w:hanging="360"/>
        <w:jc w:val="both"/>
      </w:pPr>
      <w:r>
        <w:rPr>
          <w:rtl w:val="0"/>
        </w:rPr>
        <w:t>The UK holds a unique position in offering effective mechanisms to address sovereign debt distress, ensuring equitable treatment to creditors and fostering global economic growth and development. The UK can do this through:</w:t>
      </w:r>
    </w:p>
    <w:p w14:paraId="00000081">
      <w:pPr>
        <w:spacing w:before="240" w:after="240"/>
        <w:ind w:left="1440" w:firstLine="0"/>
        <w:jc w:val="both"/>
      </w:pPr>
      <w:r>
        <w:rPr>
          <w:rtl w:val="0"/>
        </w:rPr>
        <w:t>1. Enforcing the principle of comparable treatment in debt restructurings by extending the mechanisms of the Debt Relief (Developing Countries) Act 2010, to debt treatments under the Common Framework and other arrangements specified by the Secretary of State;</w:t>
      </w:r>
    </w:p>
    <w:p w14:paraId="00000082">
      <w:pPr>
        <w:spacing w:before="240" w:after="240"/>
        <w:ind w:left="1440" w:firstLine="0"/>
        <w:jc w:val="both"/>
      </w:pPr>
      <w:r>
        <w:rPr>
          <w:rtl w:val="0"/>
        </w:rPr>
        <w:t>2. Extending the eligibility for application of corporate debt restructuring mechanisms to sovereigns. Under UK legislation, companies facing financial distress may enter into a compromise or arrangement with their members or creditors (or any class of them) to restructure their financial obligations, including any type of debt. This flexible solution could be extended to sovereigns by adapting the existing requirements of the UK legislation to their unique situation. (Connelly, Lima &amp; Tan, 2024)</w:t>
      </w:r>
      <w:r>
        <w:rPr>
          <w:vertAlign w:val="superscript"/>
          <w:rtl w:val="0"/>
        </w:rPr>
        <w:t xml:space="preserve"> </w:t>
      </w:r>
    </w:p>
    <w:p w14:paraId="00000083">
      <w:pPr>
        <w:spacing w:before="240" w:after="240"/>
        <w:jc w:val="both"/>
      </w:pPr>
      <w:r>
        <w:rPr>
          <w:rtl w:val="0"/>
        </w:rPr>
        <w:br w:type="textWrapping"/>
      </w:r>
      <w:r>
        <w:rPr>
          <w:rtl w:val="0"/>
        </w:rPr>
        <w:t>The new UK government should honour its commitment to ‘tackle unsustainable debt’ by exploring domestic legislation to compel private creditors to participate in multilateral debt relief initiatives. Given its role as a premier governing jurisdiction for sovereign debt contracts, the UK can play a leadership role within the G20 to legislate, as it did in 2010 with the Debt Relief (Developing Countries) Act, to improve on the current fragmented and dysfunctional sovereign debt landscape. Doing so will enable it to reset its relationship with the global south, a key priority for the new UK government.</w:t>
      </w:r>
    </w:p>
    <w:p w14:paraId="00000084">
      <w:pPr>
        <w:pStyle w:val="3"/>
        <w:spacing w:before="240" w:after="240"/>
        <w:jc w:val="both"/>
        <w:rPr>
          <w:b/>
          <w:sz w:val="24"/>
          <w:szCs w:val="24"/>
        </w:rPr>
      </w:pPr>
      <w:bookmarkStart w:id="13" w:name="_heading=h.n85w1wfx7hmb" w:colFirst="0" w:colLast="0"/>
      <w:bookmarkEnd w:id="13"/>
      <w:r>
        <w:rPr>
          <w:b/>
          <w:sz w:val="24"/>
          <w:szCs w:val="24"/>
          <w:rtl w:val="0"/>
        </w:rPr>
        <w:t>(iii) Tax Haven</w:t>
      </w:r>
    </w:p>
    <w:p w14:paraId="00000085">
      <w:pPr>
        <w:spacing w:before="240" w:after="240"/>
        <w:jc w:val="both"/>
      </w:pPr>
      <w:r>
        <w:rPr>
          <w:rtl w:val="0"/>
        </w:rPr>
        <w:t xml:space="preserve">The Corporate Tax Haven Index 2021 (the Index), published by the Tax Justice Network, is a ranking of countries most complicit in helping multinational corporations pay less tax than they are expected to. The Index ranks Britain’s overseas territories at the top of the world’s most significant tax havens. The British Virgin Islands were ranked as the greatest enabler of corporate tax abuse, with the Cayman Islands in second place and Bermuda third. The UK itself ranked 13th. </w:t>
      </w:r>
    </w:p>
    <w:p w14:paraId="00000086">
      <w:pPr>
        <w:spacing w:before="240" w:after="240"/>
        <w:ind w:left="283" w:firstLine="0"/>
        <w:jc w:val="both"/>
      </w:pPr>
      <w:r>
        <w:rPr>
          <w:rtl w:val="0"/>
        </w:rPr>
        <w:t xml:space="preserve">[...] Infamously referred to as the “UK spider’s web” for the way in which the network operates as a web of tax havens centred around the City of London, the UK and its network are collectively responsible for 31 per cent of the world’s corporate tax abuse risks – or nearly half (45 per cent) of corporate tax abuse risks enabled by OECD countries and their dependencies. (Corporate Tax Haven Index, n.d.) </w:t>
      </w:r>
    </w:p>
    <w:p w14:paraId="00000087">
      <w:pPr>
        <w:spacing w:before="240" w:after="240"/>
        <w:jc w:val="both"/>
      </w:pPr>
      <w:r>
        <w:rPr>
          <w:rtl w:val="0"/>
        </w:rPr>
        <w:t>In the circumstances, the UK government has full control to impose lawmaking to ensure that fair and equitable taxation is established, making efforts at reparations. However, the UK’s “second empire” compounds the debt which it owes globally.</w:t>
      </w:r>
    </w:p>
    <w:p w14:paraId="00000088">
      <w:pPr>
        <w:spacing w:before="240" w:after="240"/>
        <w:jc w:val="both"/>
      </w:pPr>
      <w:r>
        <w:rPr>
          <w:rtl w:val="0"/>
        </w:rPr>
        <w:t>O’Hare et al (2022) research on the potential for progress towards the SDGs associated with an increase in government revenue equivalent to the global tax abuse attributable to the UK and Overseas Territories and Crown Dependencies estimate that 6.7 million people would gain access to basic drinking water, 13.4 million would gain access to basic sanitation, and 2.6 million children would be able to attend school for an extra year, if global tax losses caused by the UK, Crown Dependencies and British Overseas Territories were to be reversed. The knock-on effect of these positive impacts would in turn reduce child mortality, saving the lives of over 228,860 children under the age of five over the next decade.</w:t>
      </w:r>
    </w:p>
    <w:p w14:paraId="00000089">
      <w:pPr>
        <w:spacing w:before="240" w:after="240"/>
        <w:jc w:val="both"/>
      </w:pPr>
      <w:r>
        <w:rPr>
          <w:rtl w:val="0"/>
        </w:rPr>
        <w:t xml:space="preserve">The impact of tax abuse was also pointed out by the Hon. Irene Ovonji-Odida, a panelist on the UN High Level Panel on International Financial Accountability, Transparency and Integrity and a commissioner of the Independent Commission for the Reform of International Corporate Taxation: </w:t>
      </w:r>
    </w:p>
    <w:p w14:paraId="0000008A">
      <w:pPr>
        <w:spacing w:before="240" w:after="240"/>
        <w:ind w:left="283" w:firstLine="0"/>
        <w:jc w:val="both"/>
        <w:rPr>
          <w:vertAlign w:val="superscript"/>
        </w:rPr>
      </w:pPr>
      <w:r>
        <w:rPr>
          <w:rtl w:val="0"/>
        </w:rPr>
        <w:t>Global tax abuse by big corporations and wealthy individuals robs billions of a better future, but particularly women who systematically have less opportunities to begin with. When the tax needed to pay for public services ends up instead in tax havens or financial secrecy jurisdictions – many in advanced economies – women are far more often the ones who foot the bill with their unpaid time and labour. While the impact of an unfair global financial system has hit developing countries hardest for several decades, inequalities and exploitation enabled by these rules are increasingly being felt by majorities in all countries including in now-developed countries, distorting economies and undermining the ability of governments to even respond effectively to crisis citizens face in health, education, food, agriculture, labour, income, social security or environment. (Mansour, 2021)</w:t>
      </w:r>
    </w:p>
    <w:p w14:paraId="0000008B">
      <w:pPr>
        <w:spacing w:before="240" w:after="240"/>
        <w:ind w:left="0" w:firstLine="0"/>
        <w:jc w:val="both"/>
      </w:pPr>
      <w:r>
        <w:rPr>
          <w:rtl w:val="0"/>
        </w:rPr>
        <w:t>In a historic moment in November 2023, the UN General Assembly voted overwhelmingly to adopt a resolution tabled by Nigeria calling for an inclusive U.N. forum to tackle international tax dodging, corporate tax reform, wealth taxes, environmental taxes, and more, despite strong opposition from the OECD and its members including the UK. The first round of talks which concluded in May 2024, saw the UK pushing back on  terms of reference to include high-level commitments such as those concerning equitable taxation of multinational corporations and the taxation of</w:t>
      </w:r>
      <w:r>
        <w:fldChar w:fldCharType="begin"/>
      </w:r>
      <w:r>
        <w:instrText xml:space="preserve"> HYPERLINK "https://www.icij.org/investigations/paradise-papers/a-global-billionaire-tax-could-generate-250-billion-annually-researchers-say/" \h </w:instrText>
      </w:r>
      <w:r>
        <w:fldChar w:fldCharType="separate"/>
      </w:r>
      <w:r>
        <w:rPr>
          <w:rtl w:val="0"/>
        </w:rPr>
        <w:t xml:space="preserve"> ultra wealthy individuals</w:t>
      </w:r>
      <w:r>
        <w:rPr>
          <w:rtl w:val="0"/>
        </w:rPr>
        <w:fldChar w:fldCharType="end"/>
      </w:r>
      <w:r>
        <w:rPr>
          <w:rtl w:val="0"/>
        </w:rPr>
        <w:t>’ incomes and assets. The next round of talks is to take place from July 29 to August 16 (Matonga, 2024).</w:t>
      </w:r>
    </w:p>
    <w:p w14:paraId="0000008C">
      <w:pPr>
        <w:spacing w:before="240" w:after="240"/>
        <w:jc w:val="both"/>
        <w:rPr>
          <w:b/>
        </w:rPr>
      </w:pPr>
      <w:r>
        <w:rPr>
          <w:rtl w:val="0"/>
        </w:rPr>
        <w:t xml:space="preserve">The UK must engage in the negotiations in good faith to promote fair and effective taxation. </w:t>
      </w:r>
      <w:r>
        <w:rPr>
          <w:b/>
          <w:rtl w:val="0"/>
        </w:rPr>
        <w:t>And the way forward must include the imposition of wealth and windfall taxes.</w:t>
      </w:r>
      <w:r>
        <w:rPr>
          <w:rtl w:val="0"/>
        </w:rPr>
        <w:t xml:space="preserve"> ActionAid reports show that wealth taxes of just 5% on the world’s multi-millionaires and billionaires could raise $1.7 trillion a year (£1.4 trillion) and more targeted windfall taxes on the excess profits of the biggest fossil fuel companies could potentially yield hundreds of billions (ActionAid, 2024). Taxing just five big tech companies could raise $32 billion. </w:t>
      </w:r>
    </w:p>
    <w:p w14:paraId="0000008D">
      <w:pPr>
        <w:pStyle w:val="3"/>
        <w:spacing w:before="240" w:after="240"/>
        <w:jc w:val="both"/>
        <w:rPr>
          <w:b/>
          <w:sz w:val="24"/>
          <w:szCs w:val="24"/>
        </w:rPr>
      </w:pPr>
      <w:bookmarkStart w:id="14" w:name="_heading=h.sa2cdgaylutj" w:colFirst="0" w:colLast="0"/>
      <w:bookmarkEnd w:id="14"/>
      <w:r>
        <w:rPr>
          <w:b/>
          <w:sz w:val="24"/>
          <w:szCs w:val="24"/>
          <w:rtl w:val="0"/>
        </w:rPr>
        <w:t>(iv) Trade</w:t>
      </w:r>
    </w:p>
    <w:p w14:paraId="0000008E">
      <w:pPr>
        <w:spacing w:before="240" w:after="240"/>
        <w:ind w:left="283" w:firstLine="0"/>
        <w:jc w:val="both"/>
      </w:pPr>
      <w:r>
        <w:rPr>
          <w:rtl w:val="0"/>
        </w:rPr>
        <w:t>Western governments would like to be seen as generous beneficiaries, doing what they can to help those unable to help themselves”. But the first task is to stop perpetuating the harm they are doing. Governments need to stop forcing African governments to open up their economy to privatisation, and their markets to unfair competition.[...] If African countries are to benefit from foreign investment, they must be allowed to – even helped to – legally regulate that investment and the corporations that often bring it. (Dearden, 2017)</w:t>
      </w:r>
    </w:p>
    <w:p w14:paraId="0000008F">
      <w:pPr>
        <w:spacing w:before="240" w:after="240"/>
        <w:jc w:val="both"/>
      </w:pPr>
      <w:r>
        <w:rPr>
          <w:rtl w:val="0"/>
        </w:rPr>
        <w:t>Upon Brexit, UK officials promised that the UK would</w:t>
      </w:r>
      <w:r>
        <w:fldChar w:fldCharType="begin"/>
      </w:r>
      <w:r>
        <w:instrText xml:space="preserve"> HYPERLINK "http://www.voteleavetakecontrol.org/speech_by_james_cleverly_mp.html" \h </w:instrText>
      </w:r>
      <w:r>
        <w:fldChar w:fldCharType="separate"/>
      </w:r>
      <w:r>
        <w:rPr>
          <w:rtl w:val="0"/>
        </w:rPr>
        <w:t xml:space="preserve"> </w:t>
      </w:r>
      <w:r>
        <w:rPr>
          <w:rtl w:val="0"/>
        </w:rPr>
        <w:fldChar w:fldCharType="end"/>
      </w:r>
      <w:r>
        <w:fldChar w:fldCharType="begin"/>
      </w:r>
      <w:r>
        <w:instrText xml:space="preserve"> HYPERLINK "http://www.voteleavetakecontrol.org/speech_by_james_cleverly_mp.html" \h </w:instrText>
      </w:r>
      <w:r>
        <w:fldChar w:fldCharType="separate"/>
      </w:r>
      <w:r>
        <w:rPr>
          <w:b/>
          <w:rtl w:val="0"/>
        </w:rPr>
        <w:t>offer fairer trade and aid provisions to African nations</w:t>
      </w:r>
      <w:r>
        <w:rPr>
          <w:b/>
          <w:rtl w:val="0"/>
        </w:rPr>
        <w:fldChar w:fldCharType="end"/>
      </w:r>
      <w:r>
        <w:rPr>
          <w:rtl w:val="0"/>
        </w:rPr>
        <w:t xml:space="preserve"> inside the Commonwealth ‘family’ as part of its Global Britain project. Mark Langan (2024) reports, however, that t</w:t>
      </w:r>
      <w:r>
        <w:fldChar w:fldCharType="begin"/>
      </w:r>
      <w:r>
        <w:instrText xml:space="preserve"> HYPERLINK "https://link.springer.com/book/10.1007/978-3-031-42482-3" \h </w:instrText>
      </w:r>
      <w:r>
        <w:fldChar w:fldCharType="separate"/>
      </w:r>
      <w:r>
        <w:rPr>
          <w:rtl w:val="0"/>
        </w:rPr>
        <w:t>he Global Britain project has not brought development dividends for Africa. Rather, it has</w:t>
      </w:r>
      <w:r>
        <w:rPr>
          <w:rtl w:val="0"/>
        </w:rPr>
        <w:fldChar w:fldCharType="end"/>
      </w:r>
      <w:r>
        <w:rPr>
          <w:rtl w:val="0"/>
        </w:rPr>
        <w:t xml:space="preserve"> intensified trade, aid, finance, and security links that actively undermine the health and well-being of African citizens. </w:t>
      </w:r>
    </w:p>
    <w:p w14:paraId="00000090">
      <w:pPr>
        <w:keepNext w:val="0"/>
        <w:keepLines w:val="0"/>
        <w:pageBreakBefore w:val="0"/>
        <w:widowControl/>
        <w:shd w:val="clear" w:fill="FFFFFF"/>
        <w:kinsoku/>
        <w:wordWrap/>
        <w:overflowPunct/>
        <w:topLinePunct w:val="0"/>
        <w:autoSpaceDE/>
        <w:autoSpaceDN/>
        <w:bidi w:val="0"/>
        <w:adjustRightInd/>
        <w:snapToGrid/>
        <w:spacing w:before="100" w:after="100" w:line="276" w:lineRule="auto"/>
        <w:jc w:val="both"/>
        <w:textAlignment w:val="auto"/>
      </w:pPr>
      <w:r>
        <w:rPr>
          <w:rtl w:val="0"/>
        </w:rPr>
        <w:t>Two such trade deals are the UK and Ghana Trade Partnership Agreement and the UK and India Trade Agreement. The UK and Ghana Trade Partnership Agreement (TPA) was negotiated soon after the Brexit. It was reported that Ghana was reluctant to enter into the deal as it replicated the provisions of the controversial free trade agreement previously signed between Ghana and the European Union (Langan, 2024). The UK proceeded with action to impose new tariffs on Ghana’s exports to the UK. This resulted in Ghanaian exporters experiencing weekly excess costs of up to</w:t>
      </w:r>
      <w:r>
        <w:fldChar w:fldCharType="begin"/>
      </w:r>
      <w:r>
        <w:instrText xml:space="preserve"> HYPERLINK "https://committees.parliament.uk/publications/6126/documents/68343/default/" \h </w:instrText>
      </w:r>
      <w:r>
        <w:fldChar w:fldCharType="separate"/>
      </w:r>
      <w:r>
        <w:rPr>
          <w:rtl w:val="0"/>
        </w:rPr>
        <w:t xml:space="preserve"> £20,000 in sectors including tuna and bananas.</w:t>
      </w:r>
      <w:r>
        <w:rPr>
          <w:rtl w:val="0"/>
        </w:rPr>
        <w:fldChar w:fldCharType="end"/>
      </w:r>
      <w:r>
        <w:rPr>
          <w:rtl w:val="0"/>
        </w:rPr>
        <w:t xml:space="preserve"> Soon after, Ghana signed the TPA.</w:t>
      </w:r>
    </w:p>
    <w:p w14:paraId="00000091">
      <w:pPr>
        <w:shd w:val="clear" w:fill="FFFFFF"/>
        <w:spacing w:before="100" w:after="100"/>
        <w:jc w:val="both"/>
      </w:pPr>
      <w:r>
        <w:rPr>
          <w:rtl w:val="0"/>
        </w:rPr>
        <w:t xml:space="preserve">Leaked text of the intellectual property chapter of the UK and India trade negotiations prompted a civil society </w:t>
      </w:r>
      <w:r>
        <w:fldChar w:fldCharType="begin"/>
      </w:r>
      <w:r>
        <w:instrText xml:space="preserve"> HYPERLINK "https://www.twn.my/announcement/Civil%20Society%20Letter%20to%20UK%20Secretary%20of%20State%20on%20UK.htm" \h </w:instrText>
      </w:r>
      <w:r>
        <w:fldChar w:fldCharType="separate"/>
      </w:r>
      <w:r>
        <w:rPr>
          <w:color w:val="1155CC"/>
          <w:u w:val="single"/>
          <w:rtl w:val="0"/>
        </w:rPr>
        <w:t>letter</w:t>
      </w:r>
      <w:r>
        <w:rPr>
          <w:color w:val="1155CC"/>
          <w:u w:val="single"/>
          <w:rtl w:val="0"/>
        </w:rPr>
        <w:fldChar w:fldCharType="end"/>
      </w:r>
      <w:r>
        <w:rPr>
          <w:rtl w:val="0"/>
        </w:rPr>
        <w:t xml:space="preserve"> to the UK Secretary of State for International Trade in 2023. The chapter as it was being negotiated contained provisions that posed serious challenges to access to pharmaceutical products globally. The chapter reflected the positions of the multinational bio-pharmaceutical industry and included provisions which would have:</w:t>
      </w:r>
    </w:p>
    <w:p w14:paraId="00000092">
      <w:pPr>
        <w:numPr>
          <w:ilvl w:val="0"/>
          <w:numId w:val="5"/>
        </w:numPr>
        <w:spacing w:before="100"/>
        <w:ind w:left="720" w:hanging="360"/>
        <w:jc w:val="both"/>
        <w:rPr>
          <w:highlight w:val="white"/>
        </w:rPr>
      </w:pPr>
      <w:r>
        <w:rPr>
          <w:highlight w:val="white"/>
          <w:rtl w:val="0"/>
        </w:rPr>
        <w:t>Interfered with or limit the right to challenge patents in India before they are granted;</w:t>
      </w:r>
    </w:p>
    <w:p w14:paraId="00000093">
      <w:pPr>
        <w:numPr>
          <w:ilvl w:val="0"/>
          <w:numId w:val="5"/>
        </w:numPr>
        <w:ind w:left="720" w:hanging="360"/>
        <w:jc w:val="both"/>
        <w:rPr>
          <w:highlight w:val="white"/>
        </w:rPr>
      </w:pPr>
      <w:r>
        <w:rPr>
          <w:highlight w:val="white"/>
          <w:rtl w:val="0"/>
        </w:rPr>
        <w:t>Enabled ‘evergreening’ of medicines, thereby potentially providing extension of patent monopolies beyond the 20 year term;</w:t>
      </w:r>
    </w:p>
    <w:p w14:paraId="00000094">
      <w:pPr>
        <w:numPr>
          <w:ilvl w:val="0"/>
          <w:numId w:val="5"/>
        </w:numPr>
        <w:spacing w:after="100"/>
        <w:ind w:left="720" w:hanging="360"/>
        <w:jc w:val="both"/>
        <w:rPr>
          <w:highlight w:val="white"/>
        </w:rPr>
      </w:pPr>
      <w:r>
        <w:rPr>
          <w:highlight w:val="white"/>
          <w:rtl w:val="0"/>
        </w:rPr>
        <w:t>Required grant of market exclusivities on any clinical data. Such exclusivities are aimed at delaying the marketing of generic medicines by stalling approval by India’s national drug regulatory authority.</w:t>
      </w:r>
    </w:p>
    <w:p w14:paraId="00000095">
      <w:pPr>
        <w:shd w:val="clear" w:fill="FFFFFF"/>
        <w:spacing w:before="100" w:after="100"/>
        <w:jc w:val="both"/>
      </w:pPr>
      <w:r>
        <w:rPr>
          <w:rtl w:val="0"/>
        </w:rPr>
        <w:t>These provisions would have impacted global health as India is the largest provider of generic drugs globally, accounting for more than 20% of the world’s generic medicine supply (GaBI Online, 2013) and 62% of the world’s vaccine supply (IATA, 2021). Indian-made HIV medicines constitute 80% of Africa’s total consumption (Krishnan &amp; Mandakini, 2015).</w:t>
      </w:r>
    </w:p>
    <w:p w14:paraId="00000096">
      <w:pPr>
        <w:spacing w:before="240" w:after="240"/>
        <w:jc w:val="both"/>
      </w:pPr>
      <w:r>
        <w:rPr>
          <w:rtl w:val="0"/>
        </w:rPr>
        <w:t xml:space="preserve">The manner in which the UK government has carried on its trade policy has also been called into question by the UK Parliament. The 2022-2023 </w:t>
      </w:r>
      <w:r>
        <w:fldChar w:fldCharType="begin"/>
      </w:r>
      <w:r>
        <w:instrText xml:space="preserve"> HYPERLINK "https://committees.parliament.uk/publications/30492/documents/175947/default/" \h </w:instrText>
      </w:r>
      <w:r>
        <w:fldChar w:fldCharType="separate"/>
      </w:r>
      <w:r>
        <w:rPr>
          <w:color w:val="1155CC"/>
          <w:u w:val="single"/>
          <w:rtl w:val="0"/>
        </w:rPr>
        <w:t>report</w:t>
      </w:r>
      <w:r>
        <w:rPr>
          <w:color w:val="1155CC"/>
          <w:u w:val="single"/>
          <w:rtl w:val="0"/>
        </w:rPr>
        <w:fldChar w:fldCharType="end"/>
      </w:r>
      <w:r>
        <w:rPr>
          <w:rtl w:val="0"/>
        </w:rPr>
        <w:t xml:space="preserve"> by the House of Commons International Trade Committee on UK Trade Negotiations has called on the Government “to accept specific recommendations to enable better scrutiny of any FTAs which are signed” requiring the Government to ensure proper debate in Parliament before negotiations start on the Government’s strategic approach and objectives for individual FTAs.</w:t>
      </w:r>
    </w:p>
    <w:p w14:paraId="00000097">
      <w:pPr>
        <w:spacing w:before="240" w:after="240"/>
        <w:jc w:val="both"/>
      </w:pPr>
      <w:r>
        <w:rPr>
          <w:rtl w:val="0"/>
        </w:rPr>
        <w:t xml:space="preserve">The report of the Independent Expert on the effects of foreign debt and other related international financial obligations of States on the full enjoyment of all human rights, particularly economic, social and cultural rights in the 72nd session of the UN General Assembly recognises that “investment treaties often constrain the ability of States to provide adequate national regulation in relation to labour standards, the rights to health, food, water and sanitation, and expose States to compensation claims by private and public investors” (Boholavsky, 2017). Further, the Independent Expert emphasised that oftentimes the negotiations of these treaties lack transparency and accountability, being concluded without public participation processes. </w:t>
      </w:r>
    </w:p>
    <w:p w14:paraId="00000098">
      <w:pPr>
        <w:pStyle w:val="2"/>
        <w:numPr>
          <w:ilvl w:val="0"/>
          <w:numId w:val="1"/>
        </w:numPr>
        <w:spacing w:before="240" w:after="240"/>
        <w:ind w:left="720" w:hanging="360"/>
        <w:jc w:val="both"/>
        <w:rPr>
          <w:b/>
          <w:sz w:val="24"/>
          <w:szCs w:val="24"/>
          <w:u w:val="none"/>
        </w:rPr>
      </w:pPr>
      <w:bookmarkStart w:id="15" w:name="_heading=h.dklj3sr3gqc6" w:colFirst="0" w:colLast="0"/>
      <w:bookmarkEnd w:id="15"/>
      <w:r>
        <w:rPr>
          <w:b/>
          <w:sz w:val="24"/>
          <w:szCs w:val="24"/>
          <w:rtl w:val="0"/>
        </w:rPr>
        <w:t>RECOMMENDATIONS SOUGHT</w:t>
      </w:r>
    </w:p>
    <w:p w14:paraId="00000099">
      <w:pPr>
        <w:spacing w:before="240" w:after="240"/>
        <w:jc w:val="both"/>
        <w:rPr>
          <w:b/>
          <w:highlight w:val="yellow"/>
          <w:u w:val="single"/>
        </w:rPr>
      </w:pPr>
      <w:r>
        <w:rPr>
          <w:rtl w:val="0"/>
        </w:rPr>
        <w:t xml:space="preserve">The challenges are central to multilateral discussions. At the most recent UN General Assembly, 149 countries discussed financing and debt, with nearly 50 leaders </w:t>
      </w:r>
      <w:r>
        <w:fldChar w:fldCharType="begin"/>
      </w:r>
      <w:r>
        <w:instrText xml:space="preserve"> HYPERLINK "https://unctad.org/system/files/official-document/osgttinf2024d1_en.pdf" \h </w:instrText>
      </w:r>
      <w:r>
        <w:fldChar w:fldCharType="separate"/>
      </w:r>
      <w:r>
        <w:rPr>
          <w:color w:val="1155CC"/>
          <w:u w:val="single"/>
          <w:rtl w:val="0"/>
        </w:rPr>
        <w:t>calling</w:t>
      </w:r>
      <w:r>
        <w:rPr>
          <w:color w:val="1155CC"/>
          <w:u w:val="single"/>
          <w:rtl w:val="0"/>
        </w:rPr>
        <w:fldChar w:fldCharType="end"/>
      </w:r>
      <w:r>
        <w:rPr>
          <w:rtl w:val="0"/>
        </w:rPr>
        <w:t xml:space="preserve"> for  reforms of the international financial architecture.</w:t>
      </w:r>
    </w:p>
    <w:p w14:paraId="0000009A">
      <w:pPr>
        <w:spacing w:line="240" w:lineRule="auto"/>
        <w:jc w:val="both"/>
      </w:pPr>
      <w:r>
        <w:rPr>
          <w:rtl w:val="0"/>
        </w:rPr>
        <w:t>The ICERD remains the principal international human rights instrument defining and prohibiting racial discrimination in all sectors of private and public life, based on the principles of dignity and equality of all human beings. By becoming a party to ICERD, States have declared that racial discrimination should be outlawed and have pledged themselves to abide by the terms of the Convention. Article 1 lays out the principle of non-discrimination, with General Recommendation 34 being of particular relevance to people of African descent. GR 34 requires that States “effectively acknowledge in their policies and actions the negative effects of the wrongs occasioned on people of African descent in the past, chief among which are colonialism and the transatlantic slave trade, the effects of which continue to disadvantage people of African descent today” and that women of African descent are often victims of multiple discrimination. In so doing, among other things, States are to:</w:t>
      </w:r>
    </w:p>
    <w:p w14:paraId="0000009B">
      <w:pPr>
        <w:spacing w:line="240" w:lineRule="auto"/>
        <w:jc w:val="both"/>
      </w:pPr>
    </w:p>
    <w:p w14:paraId="0000009C">
      <w:pPr>
        <w:numPr>
          <w:ilvl w:val="0"/>
          <w:numId w:val="6"/>
        </w:numPr>
        <w:spacing w:line="240" w:lineRule="auto"/>
        <w:ind w:left="720" w:hanging="360"/>
        <w:jc w:val="both"/>
      </w:pPr>
      <w:r>
        <w:rPr>
          <w:rtl w:val="0"/>
        </w:rPr>
        <w:t>take steps not only to “remove all obstacles that prevent the enjoyment of economic, social and cultural rights by people of African descent especially in the areas of education, housing, employment and health” but to ensure access to the same;</w:t>
      </w:r>
    </w:p>
    <w:p w14:paraId="0000009D">
      <w:pPr>
        <w:spacing w:line="240" w:lineRule="auto"/>
        <w:ind w:left="720" w:firstLine="0"/>
        <w:jc w:val="both"/>
      </w:pPr>
    </w:p>
    <w:p w14:paraId="0000009E">
      <w:pPr>
        <w:numPr>
          <w:ilvl w:val="0"/>
          <w:numId w:val="6"/>
        </w:numPr>
        <w:spacing w:line="240" w:lineRule="auto"/>
        <w:ind w:left="720" w:hanging="360"/>
        <w:jc w:val="both"/>
      </w:pPr>
      <w:r>
        <w:rPr>
          <w:rtl w:val="0"/>
        </w:rPr>
        <w:t>to “design and implement programmes aimed at creating opportunities for the general empowerment of people of African descent” and “work with intergovernmental organizations, including international financial institutions, to ensure that development or assistance projects which they support take into account the economic and social situation of people of African descent.”</w:t>
      </w:r>
    </w:p>
    <w:p w14:paraId="0000009F">
      <w:pPr>
        <w:spacing w:line="240" w:lineRule="auto"/>
        <w:jc w:val="both"/>
      </w:pPr>
      <w:r>
        <w:rPr>
          <w:rtl w:val="0"/>
        </w:rPr>
        <w:t xml:space="preserve"> </w:t>
      </w:r>
    </w:p>
    <w:p w14:paraId="000000A0">
      <w:pPr>
        <w:spacing w:line="240" w:lineRule="auto"/>
        <w:jc w:val="both"/>
      </w:pPr>
      <w:r>
        <w:rPr>
          <w:rtl w:val="0"/>
        </w:rPr>
        <w:t>In General Recommendation 32, in relation to “special measures” under ICERD. It is further stated that ICERD is “</w:t>
      </w:r>
      <w:r>
        <w:rPr>
          <w:i/>
          <w:rtl w:val="0"/>
        </w:rPr>
        <w:t>a living instrument that must be interpreted and applied taking into account the circumstances of contemporary society.</w:t>
      </w:r>
      <w:r>
        <w:rPr>
          <w:rtl w:val="0"/>
        </w:rPr>
        <w:t>”</w:t>
      </w:r>
    </w:p>
    <w:p w14:paraId="000000A1">
      <w:pPr>
        <w:spacing w:line="240" w:lineRule="auto"/>
        <w:jc w:val="both"/>
      </w:pPr>
    </w:p>
    <w:p w14:paraId="000000A2">
      <w:pPr>
        <w:keepLines/>
        <w:spacing w:line="240" w:lineRule="auto"/>
        <w:jc w:val="both"/>
      </w:pPr>
      <w:r>
        <w:rPr>
          <w:rtl w:val="0"/>
        </w:rPr>
        <w:t>In addition thereto, the</w:t>
      </w:r>
      <w:r>
        <w:rPr>
          <w:b/>
          <w:rtl w:val="0"/>
        </w:rPr>
        <w:t xml:space="preserve"> Guiding Principles on Foreign Debt and Human Rights</w:t>
      </w:r>
      <w:r>
        <w:rPr>
          <w:rtl w:val="0"/>
        </w:rPr>
        <w:t xml:space="preserve"> sets out the following, inter alia:</w:t>
      </w:r>
    </w:p>
    <w:p w14:paraId="000000A3">
      <w:pPr>
        <w:keepLines/>
        <w:spacing w:line="240" w:lineRule="auto"/>
        <w:jc w:val="both"/>
      </w:pPr>
    </w:p>
    <w:p w14:paraId="000000A4">
      <w:pPr>
        <w:keepLines/>
        <w:numPr>
          <w:ilvl w:val="0"/>
          <w:numId w:val="7"/>
        </w:numPr>
        <w:spacing w:line="240" w:lineRule="auto"/>
        <w:ind w:left="720" w:hanging="360"/>
        <w:jc w:val="both"/>
      </w:pPr>
      <w:r>
        <w:rPr>
          <w:rtl w:val="0"/>
        </w:rPr>
        <w:t>All States, whether acting individually or collectively (including through international and regional organizations of which they are members), have the obligations to respect, protect and fulfil human rights. They should ensure that any and all of their activities concerning their lending and borrowing decisions, those of international or national public or private institutions to which they belong or in which they have an interest, the negotiation and implementation of loan agreements or other debt instruments, the utilization of loan funds, debt repayments, the renegotiation and restructuring of external debt, and the provision of debt relief when appropriate, do not derogate from these obligations.</w:t>
      </w:r>
    </w:p>
    <w:p w14:paraId="000000A5">
      <w:pPr>
        <w:keepLines/>
        <w:spacing w:line="240" w:lineRule="auto"/>
        <w:ind w:left="720" w:firstLine="0"/>
        <w:jc w:val="both"/>
      </w:pPr>
    </w:p>
    <w:p w14:paraId="000000A6">
      <w:pPr>
        <w:keepLines/>
        <w:numPr>
          <w:ilvl w:val="0"/>
          <w:numId w:val="7"/>
        </w:numPr>
        <w:spacing w:line="240" w:lineRule="auto"/>
        <w:ind w:left="720" w:hanging="360"/>
        <w:jc w:val="both"/>
        <w:rPr>
          <w:i/>
        </w:rPr>
      </w:pPr>
      <w:r>
        <w:rPr>
          <w:rtl w:val="0"/>
        </w:rPr>
        <w:t xml:space="preserve"> Any foreign debt strategy must be designed not to hamper the improvement of conditions guaranteeing the enjoyment of human rights and must be directed, inter alia, to ensuring that debtor States achieve an adequate level of growth to meet their social and economic needs and their development requirements, as well as fulfilment of their human rights obligations. </w:t>
      </w:r>
    </w:p>
    <w:p w14:paraId="508BD40B">
      <w:pPr>
        <w:keepLines/>
        <w:numPr>
          <w:numId w:val="0"/>
        </w:numPr>
        <w:spacing w:line="240" w:lineRule="auto"/>
        <w:ind w:left="360" w:leftChars="0"/>
        <w:jc w:val="both"/>
        <w:rPr>
          <w:i/>
        </w:rPr>
      </w:pPr>
    </w:p>
    <w:p w14:paraId="000000A7">
      <w:pPr>
        <w:keepLines/>
        <w:numPr>
          <w:ilvl w:val="0"/>
          <w:numId w:val="7"/>
        </w:numPr>
        <w:spacing w:line="240" w:lineRule="auto"/>
        <w:ind w:left="720" w:hanging="360"/>
        <w:jc w:val="both"/>
      </w:pPr>
      <w:r>
        <w:rPr>
          <w:rtl w:val="0"/>
        </w:rPr>
        <w:t>International financial organizations and private corporations have an obligation to respect international human rights. This implies a duty to refrain from formulating, adopting, funding and implementing policies and programmes which directly or indirectly contravene the enjoyment of human rights.</w:t>
      </w:r>
    </w:p>
    <w:p w14:paraId="000000A8">
      <w:pPr>
        <w:keepLines/>
        <w:spacing w:line="240" w:lineRule="auto"/>
        <w:ind w:left="720" w:firstLine="0"/>
        <w:jc w:val="both"/>
      </w:pPr>
    </w:p>
    <w:p w14:paraId="000000A9">
      <w:pPr>
        <w:keepLines/>
        <w:numPr>
          <w:ilvl w:val="0"/>
          <w:numId w:val="7"/>
        </w:numPr>
        <w:spacing w:line="240" w:lineRule="auto"/>
        <w:ind w:left="720" w:hanging="360"/>
        <w:jc w:val="both"/>
      </w:pPr>
      <w:r>
        <w:rPr>
          <w:rtl w:val="0"/>
        </w:rPr>
        <w:t>States are to cooperate with and assist each other in order to achieve goals, including ensuring development and eliminating obstacles to development, finding solutions to international economic, social, health and related problems, and promoting universal respect for, and observance of, human rights and fundamental freedoms.</w:t>
      </w:r>
    </w:p>
    <w:p w14:paraId="000000AA">
      <w:pPr>
        <w:keepLines/>
        <w:spacing w:line="240" w:lineRule="auto"/>
        <w:jc w:val="both"/>
      </w:pPr>
    </w:p>
    <w:p w14:paraId="000000AB">
      <w:pPr>
        <w:keepLines/>
        <w:numPr>
          <w:ilvl w:val="0"/>
          <w:numId w:val="7"/>
        </w:numPr>
        <w:spacing w:line="240" w:lineRule="auto"/>
        <w:ind w:left="720" w:hanging="360"/>
        <w:jc w:val="both"/>
        <w:rPr>
          <w:i/>
        </w:rPr>
      </w:pPr>
      <w:r>
        <w:rPr>
          <w:rtl w:val="0"/>
        </w:rPr>
        <w:t>The duty of international assistance and cooperation enjoins States to ensure that their activities, and those of their residents and corporations, do not violate the human rights of people abroad and that States, individually or through membership of international institutions, do not adopt or engage in policies that undermine the enjoyment of human rights or further engender disparities between and within States.</w:t>
      </w:r>
    </w:p>
    <w:p w14:paraId="000000AC">
      <w:pPr>
        <w:spacing w:before="240" w:after="240"/>
        <w:jc w:val="both"/>
        <w:rPr>
          <w:vertAlign w:val="superscript"/>
        </w:rPr>
      </w:pPr>
      <w:r>
        <w:rPr>
          <w:rtl w:val="0"/>
        </w:rPr>
        <w:t>Further, international financial organizations and private corporations have an obligation to respect international human rights. This implies a duty to refrain from formulating, adopting, funding and implementing policies and programmes which directly or indirectly contravene the enjoyment of human rights (Lumina, 2011).</w:t>
      </w:r>
    </w:p>
    <w:p w14:paraId="000000AD">
      <w:pPr>
        <w:spacing w:before="240" w:after="240"/>
        <w:jc w:val="both"/>
        <w:rPr>
          <w:b/>
        </w:rPr>
      </w:pPr>
      <w:r>
        <w:rPr>
          <w:b/>
          <w:rtl w:val="0"/>
        </w:rPr>
        <w:t xml:space="preserve">By reason of the above and on the data as presented to this august Committee, we reiterate our call as set out in the </w:t>
      </w:r>
      <w:r>
        <w:fldChar w:fldCharType="begin"/>
      </w:r>
      <w:r>
        <w:instrText xml:space="preserve"> HYPERLINK "https://www.cadtm.org/An-Urgent-Call-for-Debt-Climate-and-Economic-Justice" \h </w:instrText>
      </w:r>
      <w:r>
        <w:fldChar w:fldCharType="separate"/>
      </w:r>
      <w:r>
        <w:rPr>
          <w:b/>
          <w:color w:val="1155CC"/>
          <w:u w:val="single"/>
          <w:rtl w:val="0"/>
        </w:rPr>
        <w:t>global urgent call for debt, climate and economic justice</w:t>
      </w:r>
      <w:r>
        <w:rPr>
          <w:b/>
          <w:color w:val="1155CC"/>
          <w:u w:val="single"/>
          <w:rtl w:val="0"/>
        </w:rPr>
        <w:fldChar w:fldCharType="end"/>
      </w:r>
      <w:r>
        <w:rPr>
          <w:b/>
          <w:rtl w:val="0"/>
        </w:rPr>
        <w:t xml:space="preserve"> and respectfully request the CERD Committee to recommend that the UK: </w:t>
      </w:r>
    </w:p>
    <w:p w14:paraId="000000AF">
      <w:pPr>
        <w:shd w:val="clear" w:fill="FFFFFF"/>
        <w:spacing w:line="240" w:lineRule="auto"/>
        <w:jc w:val="both"/>
      </w:pPr>
      <w:r>
        <w:rPr>
          <w:rtl w:val="0"/>
        </w:rPr>
        <w:t>(i) Push for and support efforts for urgently needed and real reform of the international financial architecture and to undertake systemic solutions domestically and internationally towards building post-carbon societies and economies where financial, food and energy sovereignty are a reality;</w:t>
      </w:r>
    </w:p>
    <w:p w14:paraId="000000B0">
      <w:pPr>
        <w:shd w:val="clear" w:fill="FFFFFF"/>
        <w:spacing w:line="240" w:lineRule="auto"/>
        <w:jc w:val="both"/>
      </w:pPr>
    </w:p>
    <w:p w14:paraId="000000B1">
      <w:pPr>
        <w:spacing w:line="240" w:lineRule="auto"/>
        <w:jc w:val="both"/>
        <w:rPr>
          <w:highlight w:val="white"/>
        </w:rPr>
      </w:pPr>
      <w:r>
        <w:rPr>
          <w:highlight w:val="white"/>
          <w:rtl w:val="0"/>
        </w:rPr>
        <w:t>(ii) Undertake immediate and unconditional external debt cancellation for African countries, starting with the cancellation of illegitimate debts, in order to fulfill the universal human rights obligation to create an international economic order that enables all countries to deal with the multiple crises and comply with the rights of their peoples and the planet;</w:t>
      </w:r>
    </w:p>
    <w:p w14:paraId="000000B2">
      <w:pPr>
        <w:spacing w:line="240" w:lineRule="auto"/>
        <w:jc w:val="both"/>
        <w:rPr>
          <w:highlight w:val="white"/>
        </w:rPr>
      </w:pPr>
    </w:p>
    <w:p w14:paraId="000000B3">
      <w:pPr>
        <w:spacing w:line="240" w:lineRule="auto"/>
        <w:jc w:val="both"/>
        <w:rPr>
          <w:highlight w:val="white"/>
        </w:rPr>
      </w:pPr>
      <w:r>
        <w:rPr>
          <w:highlight w:val="white"/>
          <w:rtl w:val="0"/>
        </w:rPr>
        <w:t>(iii) Ensure and support through its participation in the IFIs that all lending policies and safeguards of the IMF and other international financial institutions give primacy to human rights obligations and environmental protections and provide accessible mechanisms for popular redress and reparations.</w:t>
      </w:r>
    </w:p>
    <w:p w14:paraId="000000B4">
      <w:pPr>
        <w:spacing w:line="240" w:lineRule="auto"/>
        <w:jc w:val="both"/>
        <w:rPr>
          <w:highlight w:val="white"/>
        </w:rPr>
      </w:pPr>
    </w:p>
    <w:p w14:paraId="000000B5">
      <w:pPr>
        <w:spacing w:line="240" w:lineRule="auto"/>
        <w:jc w:val="both"/>
        <w:rPr>
          <w:highlight w:val="white"/>
        </w:rPr>
      </w:pPr>
      <w:r>
        <w:rPr>
          <w:highlight w:val="white"/>
          <w:rtl w:val="0"/>
        </w:rPr>
        <w:t>(iv) Push for and support a new multilateral debt resolution framework under UN auspices, rather than lender-dominated processes, that addresses unsustainable and illegitimate debt;</w:t>
      </w:r>
    </w:p>
    <w:p w14:paraId="000000B6">
      <w:pPr>
        <w:spacing w:line="240" w:lineRule="auto"/>
        <w:jc w:val="both"/>
        <w:rPr>
          <w:highlight w:val="white"/>
        </w:rPr>
      </w:pPr>
    </w:p>
    <w:p w14:paraId="000000B7">
      <w:pPr>
        <w:spacing w:line="240" w:lineRule="auto"/>
        <w:jc w:val="both"/>
        <w:rPr>
          <w:highlight w:val="white"/>
        </w:rPr>
      </w:pPr>
      <w:r>
        <w:rPr>
          <w:highlight w:val="white"/>
          <w:rtl w:val="0"/>
        </w:rPr>
        <w:t>(v) Push for and support a new approach to debt sustainability that has the financing needs for the Sustainable Development Goals, climate, and gender equality at its core and recognizes the primacy of human and nature rights obligations;</w:t>
      </w:r>
    </w:p>
    <w:p w14:paraId="000000B8">
      <w:pPr>
        <w:spacing w:line="240" w:lineRule="auto"/>
        <w:jc w:val="both"/>
        <w:rPr>
          <w:highlight w:val="white"/>
        </w:rPr>
      </w:pPr>
    </w:p>
    <w:p w14:paraId="000000B9">
      <w:pPr>
        <w:spacing w:line="240" w:lineRule="auto"/>
        <w:jc w:val="both"/>
        <w:rPr>
          <w:highlight w:val="white"/>
        </w:rPr>
      </w:pPr>
      <w:r>
        <w:rPr>
          <w:highlight w:val="white"/>
          <w:rtl w:val="0"/>
        </w:rPr>
        <w:t>(vi) Legislate to make it mandatory for private lenders to participate in debt cancellation;</w:t>
      </w:r>
    </w:p>
    <w:p w14:paraId="000000BA">
      <w:pPr>
        <w:spacing w:line="240" w:lineRule="auto"/>
        <w:jc w:val="both"/>
        <w:rPr>
          <w:highlight w:val="white"/>
        </w:rPr>
      </w:pPr>
    </w:p>
    <w:p w14:paraId="000000BB">
      <w:pPr>
        <w:spacing w:line="240" w:lineRule="auto"/>
        <w:ind w:left="-360" w:firstLine="360"/>
        <w:jc w:val="both"/>
        <w:rPr>
          <w:highlight w:val="white"/>
        </w:rPr>
      </w:pPr>
      <w:r>
        <w:rPr>
          <w:highlight w:val="white"/>
          <w:rtl w:val="0"/>
        </w:rPr>
        <w:t>(vii) Legislate to end the predatory action of vulture funds;</w:t>
      </w:r>
    </w:p>
    <w:p w14:paraId="000000BC">
      <w:pPr>
        <w:spacing w:line="240" w:lineRule="auto"/>
        <w:ind w:left="-360" w:firstLine="360"/>
        <w:jc w:val="both"/>
        <w:rPr>
          <w:highlight w:val="white"/>
        </w:rPr>
      </w:pPr>
    </w:p>
    <w:p w14:paraId="000000BD">
      <w:pPr>
        <w:spacing w:line="240" w:lineRule="auto"/>
        <w:jc w:val="both"/>
        <w:rPr>
          <w:highlight w:val="white"/>
        </w:rPr>
      </w:pPr>
      <w:r>
        <w:rPr>
          <w:highlight w:val="white"/>
          <w:rtl w:val="0"/>
        </w:rPr>
        <w:t>(viii) Establish binding principles on responsible lending and borrowing that put an end to lending that leads to the exploitation of peoples and destruction of the environment;</w:t>
      </w:r>
    </w:p>
    <w:p w14:paraId="000000BE">
      <w:pPr>
        <w:spacing w:line="240" w:lineRule="auto"/>
        <w:jc w:val="both"/>
        <w:rPr>
          <w:highlight w:val="white"/>
        </w:rPr>
      </w:pPr>
    </w:p>
    <w:p w14:paraId="000000BF">
      <w:pPr>
        <w:spacing w:line="240" w:lineRule="auto"/>
        <w:jc w:val="both"/>
        <w:rPr>
          <w:highlight w:val="white"/>
        </w:rPr>
      </w:pPr>
      <w:r>
        <w:rPr>
          <w:highlight w:val="white"/>
          <w:rtl w:val="0"/>
        </w:rPr>
        <w:t>(ix) Ensure genuine participatory, inclusive debt transparency and accountability mechanisms and processes, including national debt audits;</w:t>
      </w:r>
    </w:p>
    <w:p w14:paraId="000000C0">
      <w:pPr>
        <w:spacing w:line="240" w:lineRule="auto"/>
        <w:jc w:val="both"/>
        <w:rPr>
          <w:highlight w:val="white"/>
        </w:rPr>
      </w:pPr>
    </w:p>
    <w:p w14:paraId="000000C1">
      <w:pPr>
        <w:spacing w:line="240" w:lineRule="auto"/>
        <w:jc w:val="both"/>
        <w:rPr>
          <w:highlight w:val="white"/>
        </w:rPr>
      </w:pPr>
      <w:r>
        <w:rPr>
          <w:highlight w:val="white"/>
          <w:rtl w:val="0"/>
        </w:rPr>
        <w:t>(x) Immediately contribute towards new, additional and non-debt creating climate finance for adaptation, mitigation and loss and damage, far beyond the unmet US$100 billion/year pledge of 2009, that adequately meets the needs of the Global South;</w:t>
      </w:r>
    </w:p>
    <w:p w14:paraId="000000C2">
      <w:pPr>
        <w:spacing w:line="240" w:lineRule="auto"/>
        <w:jc w:val="both"/>
        <w:rPr>
          <w:highlight w:val="white"/>
        </w:rPr>
      </w:pPr>
    </w:p>
    <w:p w14:paraId="000000C3">
      <w:pPr>
        <w:spacing w:line="240" w:lineRule="auto"/>
        <w:jc w:val="both"/>
        <w:rPr>
          <w:highlight w:val="white"/>
        </w:rPr>
      </w:pPr>
      <w:r>
        <w:rPr>
          <w:highlight w:val="white"/>
          <w:rtl w:val="0"/>
        </w:rPr>
        <w:t>(xi) Recognize the existence of a climate debt, additional to a historical, financial, ecological and social debt, that the global North owes to the Global South. This recognition should lead to structural and financial reparations, as well as ecological restoration, phasing out fossil fuel subsidies, ending extractivism, and shifting to decarbonized modes of production, distribution and consumption in a just and orderly manner;</w:t>
      </w:r>
    </w:p>
    <w:p w14:paraId="000000C4">
      <w:pPr>
        <w:spacing w:line="240" w:lineRule="auto"/>
        <w:jc w:val="both"/>
        <w:rPr>
          <w:highlight w:val="white"/>
        </w:rPr>
      </w:pPr>
    </w:p>
    <w:p w14:paraId="000000C5">
      <w:pPr>
        <w:spacing w:line="240" w:lineRule="auto"/>
      </w:pPr>
      <w:r>
        <w:rPr>
          <w:highlight w:val="white"/>
          <w:rtl w:val="0"/>
        </w:rPr>
        <w:t>(xiii) Democratize sovereign lending and borrowing processes by ensuring transparency, accountability and representation. States must also be held accountable for debt decisions and expenditures which often end up benefiting the private sector and corporations at the expense of human rights and public and planetary welfare.</w:t>
      </w:r>
      <w:r>
        <w:rPr>
          <w:highlight w:val="white"/>
          <w:rtl w:val="0"/>
        </w:rPr>
        <w:br w:type="textWrapping"/>
      </w:r>
      <w:r>
        <w:br w:type="page"/>
      </w:r>
    </w:p>
    <w:p w14:paraId="000000C6">
      <w:pPr>
        <w:pStyle w:val="2"/>
        <w:spacing w:line="240" w:lineRule="auto"/>
        <w:rPr>
          <w:b/>
          <w:sz w:val="24"/>
          <w:szCs w:val="24"/>
        </w:rPr>
      </w:pPr>
      <w:bookmarkStart w:id="16" w:name="_heading=h.42d7e0yrv8x2" w:colFirst="0" w:colLast="0"/>
      <w:bookmarkEnd w:id="16"/>
      <w:r>
        <w:rPr>
          <w:b/>
          <w:sz w:val="24"/>
          <w:szCs w:val="24"/>
          <w:rtl w:val="0"/>
        </w:rPr>
        <w:t>LIST OF REFERENCES</w:t>
      </w:r>
    </w:p>
    <w:p w14:paraId="000000C7">
      <w:pPr>
        <w:spacing w:line="240" w:lineRule="auto"/>
      </w:pPr>
    </w:p>
    <w:p w14:paraId="000000C8">
      <w:pPr>
        <w:spacing w:line="240" w:lineRule="auto"/>
      </w:pPr>
    </w:p>
    <w:p w14:paraId="000000C9">
      <w:pPr>
        <w:spacing w:line="240" w:lineRule="auto"/>
        <w:jc w:val="both"/>
      </w:pPr>
      <w:r>
        <w:rPr>
          <w:rtl w:val="0"/>
        </w:rPr>
        <w:t xml:space="preserve">ActionAid. (2023, April). </w:t>
      </w:r>
      <w:r>
        <w:rPr>
          <w:i/>
          <w:rtl w:val="0"/>
        </w:rPr>
        <w:t>The Vicious Cycle: Connections Between The Debt Crisis And Climate Crisis</w:t>
      </w:r>
      <w:r>
        <w:rPr>
          <w:rtl w:val="0"/>
        </w:rPr>
        <w:t xml:space="preserve">. Policy Brief, ActionAid. </w:t>
      </w:r>
      <w:r>
        <w:fldChar w:fldCharType="begin"/>
      </w:r>
      <w:r>
        <w:instrText xml:space="preserve"> HYPERLINK "https://actionaid.org/sites/default/files/publications/The_vicious_cycle.pdf" \h </w:instrText>
      </w:r>
      <w:r>
        <w:fldChar w:fldCharType="separate"/>
      </w:r>
      <w:r>
        <w:rPr>
          <w:color w:val="1155CC"/>
          <w:u w:val="single"/>
          <w:rtl w:val="0"/>
        </w:rPr>
        <w:t>https://actionaid.org/sites/default/files/publications/The_vicious_cycle.pdf</w:t>
      </w:r>
      <w:r>
        <w:rPr>
          <w:color w:val="1155CC"/>
          <w:u w:val="single"/>
          <w:rtl w:val="0"/>
        </w:rPr>
        <w:fldChar w:fldCharType="end"/>
      </w:r>
      <w:r>
        <w:rPr>
          <w:rtl w:val="0"/>
        </w:rPr>
        <w:t xml:space="preserve"> </w:t>
      </w:r>
    </w:p>
    <w:p w14:paraId="000000CA">
      <w:pPr>
        <w:spacing w:line="240" w:lineRule="auto"/>
        <w:jc w:val="both"/>
      </w:pPr>
      <w:r>
        <w:rPr>
          <w:rtl w:val="0"/>
        </w:rPr>
        <w:t xml:space="preserve">AFRODAD. (2024, April 19). </w:t>
      </w:r>
      <w:r>
        <w:rPr>
          <w:i/>
          <w:rtl w:val="0"/>
        </w:rPr>
        <w:t>Urgent Call to Restructure the Global Financial System for People’s Sake</w:t>
      </w:r>
      <w:r>
        <w:rPr>
          <w:rtl w:val="0"/>
        </w:rPr>
        <w:t xml:space="preserve">. AFRODAD. </w:t>
      </w:r>
      <w:r>
        <w:fldChar w:fldCharType="begin"/>
      </w:r>
      <w:r>
        <w:instrText xml:space="preserve"> HYPERLINK "https://afrodad.org/news-events/press-release/urgent-call-restructure-global-financial-system-peoples-sake-0" \h </w:instrText>
      </w:r>
      <w:r>
        <w:fldChar w:fldCharType="separate"/>
      </w:r>
      <w:r>
        <w:rPr>
          <w:color w:val="1155CC"/>
          <w:u w:val="single"/>
          <w:rtl w:val="0"/>
        </w:rPr>
        <w:t>https://afrodad.org/news-events/press-release/urgent-call-restructure-global-financial-system-peoples-sake-0</w:t>
      </w:r>
      <w:r>
        <w:rPr>
          <w:color w:val="1155CC"/>
          <w:u w:val="single"/>
          <w:rtl w:val="0"/>
        </w:rPr>
        <w:fldChar w:fldCharType="end"/>
      </w:r>
      <w:r>
        <w:rPr>
          <w:rtl w:val="0"/>
        </w:rPr>
        <w:t xml:space="preserve"> </w:t>
      </w:r>
    </w:p>
    <w:p w14:paraId="000000CB">
      <w:pPr>
        <w:spacing w:line="240" w:lineRule="auto"/>
        <w:jc w:val="both"/>
      </w:pPr>
      <w:r>
        <w:rPr>
          <w:rtl w:val="0"/>
        </w:rPr>
        <w:t xml:space="preserve">Akufo-Addo, N. A. D.. (2023, September 20). </w:t>
      </w:r>
      <w:r>
        <w:rPr>
          <w:i/>
          <w:rtl w:val="0"/>
        </w:rPr>
        <w:t>Ghana Statement at the 78th Session of the United Nations General Assembly.</w:t>
      </w:r>
      <w:r>
        <w:rPr>
          <w:rtl w:val="0"/>
        </w:rPr>
        <w:t xml:space="preserve"> The Permanent Mission of Ghana to the United Nations. https://www.ghanamissionun.org/09202023-2/</w:t>
      </w:r>
    </w:p>
    <w:p w14:paraId="000000CC">
      <w:pPr>
        <w:spacing w:line="240" w:lineRule="auto"/>
        <w:jc w:val="both"/>
      </w:pPr>
      <w:r>
        <w:rPr>
          <w:rtl w:val="0"/>
        </w:rPr>
        <w:t xml:space="preserve">Bach, N. (2019, January 11). </w:t>
      </w:r>
      <w:r>
        <w:rPr>
          <w:i/>
          <w:rtl w:val="0"/>
        </w:rPr>
        <w:t>Why the World Bank President Has Always Been an American</w:t>
      </w:r>
      <w:r>
        <w:rPr>
          <w:rtl w:val="0"/>
        </w:rPr>
        <w:t xml:space="preserve">. </w:t>
      </w:r>
      <w:bookmarkStart w:id="17" w:name="_GoBack"/>
      <w:bookmarkEnd w:id="17"/>
      <w:r>
        <w:rPr>
          <w:rtl w:val="0"/>
        </w:rPr>
        <w:t xml:space="preserve">Fortune. </w:t>
      </w:r>
      <w:r>
        <w:fldChar w:fldCharType="begin"/>
      </w:r>
      <w:r>
        <w:instrText xml:space="preserve"> HYPERLINK "https://fortune.com/2019/01/11/next-world-bank-president-jim-yong-kim/" \h </w:instrText>
      </w:r>
      <w:r>
        <w:fldChar w:fldCharType="separate"/>
      </w:r>
      <w:r>
        <w:rPr>
          <w:color w:val="1155CC"/>
          <w:u w:val="single"/>
          <w:rtl w:val="0"/>
        </w:rPr>
        <w:t>https://fortune.com/2019/01/11/next-world-bank-president-jim-yong-kim/</w:t>
      </w:r>
      <w:r>
        <w:rPr>
          <w:color w:val="1155CC"/>
          <w:u w:val="single"/>
          <w:rtl w:val="0"/>
        </w:rPr>
        <w:fldChar w:fldCharType="end"/>
      </w:r>
      <w:r>
        <w:rPr>
          <w:rtl w:val="0"/>
        </w:rPr>
        <w:t xml:space="preserve"> </w:t>
      </w:r>
    </w:p>
    <w:p w14:paraId="000000CD">
      <w:pPr>
        <w:spacing w:line="240" w:lineRule="auto"/>
        <w:jc w:val="both"/>
      </w:pPr>
      <w:r>
        <w:rPr>
          <w:rtl w:val="0"/>
        </w:rPr>
        <w:t xml:space="preserve">Bohoslavsky, J. P. (2017a, December 20). </w:t>
      </w:r>
      <w:r>
        <w:rPr>
          <w:i/>
          <w:rtl w:val="0"/>
        </w:rPr>
        <w:t>Development of guiding principles for assessing the human rights impact of economic reform policies.</w:t>
      </w:r>
      <w:r>
        <w:rPr>
          <w:rtl w:val="0"/>
        </w:rPr>
        <w:t xml:space="preserve"> Report of the Independent Expert on the effects of foreign debt and other related international financial obligations of States on the full enjoyment of all human rights, particularly economic, social and cultural rights. </w:t>
      </w:r>
      <w:r>
        <w:fldChar w:fldCharType="begin"/>
      </w:r>
      <w:r>
        <w:instrText xml:space="preserve"> HYPERLINK "https://www.ohchr.org/en/documents/thematic-reports/ahrc3754-report-independent-expert-effects-foreign-debt-and-other" \h </w:instrText>
      </w:r>
      <w:r>
        <w:fldChar w:fldCharType="separate"/>
      </w:r>
      <w:r>
        <w:rPr>
          <w:color w:val="1155CC"/>
          <w:u w:val="single"/>
          <w:rtl w:val="0"/>
        </w:rPr>
        <w:t>https://www.ohchr.org/en/documents/thematic-reports/ahrc3754-report-independent-expert-effects-foreign-debt-and-other</w:t>
      </w:r>
      <w:r>
        <w:rPr>
          <w:color w:val="1155CC"/>
          <w:u w:val="single"/>
          <w:rtl w:val="0"/>
        </w:rPr>
        <w:fldChar w:fldCharType="end"/>
      </w:r>
      <w:r>
        <w:rPr>
          <w:rtl w:val="0"/>
        </w:rPr>
        <w:t xml:space="preserve"> </w:t>
      </w:r>
    </w:p>
    <w:p w14:paraId="000000CE">
      <w:pPr>
        <w:spacing w:line="240" w:lineRule="auto"/>
        <w:jc w:val="both"/>
      </w:pPr>
      <w:r>
        <w:rPr>
          <w:rtl w:val="0"/>
        </w:rPr>
        <w:t xml:space="preserve">Boholavsky, J. P. (2017b, July 17). Effects of foreign debt and other related financial obligations of States on the full enjoyment of all human rights, particularly economic, social and cultural rights. Report of the Independent Expert on the effects of foreign debt and other related international financial obligations of States on the full enjoyment of all human rights, particularly economic, social and cultural rights. </w:t>
      </w:r>
      <w:r>
        <w:fldChar w:fldCharType="begin"/>
      </w:r>
      <w:r>
        <w:instrText xml:space="preserve"> HYPERLINK "https://digitallibrary.un.org/record/1301902/files/A_72_153-EN.pdf?ln=zh_CN" \h </w:instrText>
      </w:r>
      <w:r>
        <w:fldChar w:fldCharType="separate"/>
      </w:r>
      <w:r>
        <w:rPr>
          <w:color w:val="1155CC"/>
          <w:u w:val="single"/>
          <w:rtl w:val="0"/>
        </w:rPr>
        <w:t>https://digitallibrary.un.org/record/1301902/files/A_72_153-EN.pdf?ln=zh_CN</w:t>
      </w:r>
      <w:r>
        <w:rPr>
          <w:color w:val="1155CC"/>
          <w:u w:val="single"/>
          <w:rtl w:val="0"/>
        </w:rPr>
        <w:fldChar w:fldCharType="end"/>
      </w:r>
    </w:p>
    <w:p w14:paraId="000000CF">
      <w:pPr>
        <w:spacing w:line="240" w:lineRule="auto"/>
        <w:jc w:val="both"/>
      </w:pPr>
      <w:r>
        <w:rPr>
          <w:rtl w:val="0"/>
        </w:rPr>
        <w:t xml:space="preserve">Connely, S., Lima, P., Tan, C. (2024, February), </w:t>
      </w:r>
      <w:r>
        <w:fldChar w:fldCharType="begin"/>
      </w:r>
      <w:r>
        <w:instrText xml:space="preserve"> HYPERLINK "https://warwick.ac.uk/fac/soc/law/research/centres/globe/policybriefs/uk_parliament_responses_to_deal_with_sovereign_debt_crises_proposals_for_legislative_reform.pdf" \h </w:instrText>
      </w:r>
      <w:r>
        <w:fldChar w:fldCharType="separate"/>
      </w:r>
      <w:r>
        <w:rPr>
          <w:i/>
          <w:rtl w:val="0"/>
        </w:rPr>
        <w:t>UK Parliament Responses to Deal with Sovereign Debt Crises: Proposals for Legislative Reform</w:t>
      </w:r>
      <w:r>
        <w:rPr>
          <w:i/>
          <w:rtl w:val="0"/>
        </w:rPr>
        <w:fldChar w:fldCharType="end"/>
      </w:r>
      <w:r>
        <w:rPr>
          <w:rtl w:val="0"/>
        </w:rPr>
        <w:t>. Briefing Paper, Centre for Law, Regulation and Governance of the Global Economy (GLOBE) and the Centre for Business Law and Practice (CBLP).</w:t>
      </w:r>
    </w:p>
    <w:p w14:paraId="000000D0">
      <w:pPr>
        <w:spacing w:line="240" w:lineRule="auto"/>
        <w:jc w:val="both"/>
      </w:pPr>
      <w:r>
        <w:rPr>
          <w:rtl w:val="0"/>
        </w:rPr>
        <w:t xml:space="preserve">Corporate Tax Haven Index. (n.d.) </w:t>
      </w:r>
      <w:r>
        <w:fldChar w:fldCharType="begin"/>
      </w:r>
      <w:r>
        <w:instrText xml:space="preserve"> HYPERLINK "https://cthi.taxjustice.net/en/" \h </w:instrText>
      </w:r>
      <w:r>
        <w:fldChar w:fldCharType="separate"/>
      </w:r>
      <w:r>
        <w:rPr>
          <w:color w:val="1155CC"/>
          <w:u w:val="single"/>
          <w:rtl w:val="0"/>
        </w:rPr>
        <w:t>https://cthi.taxjustice.net/en/</w:t>
      </w:r>
      <w:r>
        <w:rPr>
          <w:color w:val="1155CC"/>
          <w:u w:val="single"/>
          <w:rtl w:val="0"/>
        </w:rPr>
        <w:fldChar w:fldCharType="end"/>
      </w:r>
    </w:p>
    <w:p w14:paraId="000000D1">
      <w:pPr>
        <w:spacing w:line="240" w:lineRule="auto"/>
        <w:jc w:val="both"/>
      </w:pPr>
      <w:r>
        <w:rPr>
          <w:rtl w:val="0"/>
        </w:rPr>
        <w:t xml:space="preserve">Curtis, M. (2016, July). </w:t>
      </w:r>
      <w:r>
        <w:rPr>
          <w:i/>
          <w:rtl w:val="0"/>
        </w:rPr>
        <w:t>The New Colonialism</w:t>
      </w:r>
      <w:r>
        <w:rPr>
          <w:rtl w:val="0"/>
        </w:rPr>
        <w:t xml:space="preserve">: Britain's scramble for Africa's energy and mineral resources. War on Want. </w:t>
      </w:r>
      <w:r>
        <w:fldChar w:fldCharType="begin"/>
      </w:r>
      <w:r>
        <w:instrText xml:space="preserve"> HYPERLINK "https://waronwant.org/sites/default/files/TheNewColonialism.pdf" \h </w:instrText>
      </w:r>
      <w:r>
        <w:fldChar w:fldCharType="separate"/>
      </w:r>
      <w:r>
        <w:rPr>
          <w:color w:val="1155CC"/>
          <w:u w:val="single"/>
          <w:rtl w:val="0"/>
        </w:rPr>
        <w:t>https://waronwant.org/sites/default/files/TheNewColonialism.pdf</w:t>
      </w:r>
      <w:r>
        <w:rPr>
          <w:color w:val="1155CC"/>
          <w:u w:val="single"/>
          <w:rtl w:val="0"/>
        </w:rPr>
        <w:fldChar w:fldCharType="end"/>
      </w:r>
      <w:r>
        <w:rPr>
          <w:rtl w:val="0"/>
        </w:rPr>
        <w:t xml:space="preserve"> </w:t>
      </w:r>
    </w:p>
    <w:p w14:paraId="000000D2">
      <w:pPr>
        <w:spacing w:line="240" w:lineRule="auto"/>
        <w:jc w:val="both"/>
      </w:pPr>
      <w:r>
        <w:rPr>
          <w:rtl w:val="0"/>
        </w:rPr>
        <w:t xml:space="preserve">Dearden, N. (2017, May 24). Africa is not poor, we are stealing its wealth. Al Jazeera. </w:t>
      </w:r>
      <w:r>
        <w:fldChar w:fldCharType="begin"/>
      </w:r>
      <w:r>
        <w:instrText xml:space="preserve"> HYPERLINK "https://www.aljazeera.com/opinions/2017/5/24/africa-is-not-poor-we-are-stealing-its-wealth" \h </w:instrText>
      </w:r>
      <w:r>
        <w:fldChar w:fldCharType="separate"/>
      </w:r>
      <w:r>
        <w:rPr>
          <w:color w:val="1155CC"/>
          <w:u w:val="single"/>
          <w:rtl w:val="0"/>
        </w:rPr>
        <w:t>https://www.aljazeera.com/opinions/2017/5/24/africa-is-not-poor-we-are-stealing-its-wealth</w:t>
      </w:r>
      <w:r>
        <w:rPr>
          <w:color w:val="1155CC"/>
          <w:u w:val="single"/>
          <w:rtl w:val="0"/>
        </w:rPr>
        <w:fldChar w:fldCharType="end"/>
      </w:r>
    </w:p>
    <w:p w14:paraId="000000D3">
      <w:pPr>
        <w:spacing w:line="240" w:lineRule="auto"/>
        <w:jc w:val="both"/>
      </w:pPr>
      <w:r>
        <w:rPr>
          <w:rtl w:val="0"/>
        </w:rPr>
        <w:t xml:space="preserve">Debt Justice. (2022, August). </w:t>
      </w:r>
      <w:r>
        <w:rPr>
          <w:i/>
          <w:rtl w:val="0"/>
        </w:rPr>
        <w:t>Colonialism and Debt: How Debt is Used to Exploit and Control</w:t>
      </w:r>
      <w:r>
        <w:rPr>
          <w:rtl w:val="0"/>
        </w:rPr>
        <w:t xml:space="preserve">. Debt Justice Briefing. </w:t>
      </w:r>
      <w:r>
        <w:fldChar w:fldCharType="begin"/>
      </w:r>
      <w:r>
        <w:instrText xml:space="preserve"> HYPERLINK "https://debtjustice.org.uk/wp-content/uploads/2022/08/Colonialism-and-Debt-briefing.pdf" \h </w:instrText>
      </w:r>
      <w:r>
        <w:fldChar w:fldCharType="separate"/>
      </w:r>
      <w:r>
        <w:rPr>
          <w:color w:val="1155CC"/>
          <w:u w:val="single"/>
          <w:rtl w:val="0"/>
        </w:rPr>
        <w:t>https://debtjustice.org.uk/wp-content/uploads/2022/08/Colonialism-and-Debt-briefing.pdf</w:t>
      </w:r>
      <w:r>
        <w:rPr>
          <w:color w:val="1155CC"/>
          <w:u w:val="single"/>
          <w:rtl w:val="0"/>
        </w:rPr>
        <w:fldChar w:fldCharType="end"/>
      </w:r>
      <w:r>
        <w:rPr>
          <w:rtl w:val="0"/>
        </w:rPr>
        <w:t xml:space="preserve">  </w:t>
      </w:r>
    </w:p>
    <w:p w14:paraId="000000D4">
      <w:pPr>
        <w:spacing w:line="240" w:lineRule="auto"/>
        <w:jc w:val="both"/>
      </w:pPr>
      <w:r>
        <w:rPr>
          <w:rtl w:val="0"/>
        </w:rPr>
        <w:t xml:space="preserve">Debt Justice. (n.d.) </w:t>
      </w:r>
      <w:r>
        <w:rPr>
          <w:i/>
          <w:rtl w:val="0"/>
        </w:rPr>
        <w:t>Debt Data Portal</w:t>
      </w:r>
      <w:r>
        <w:rPr>
          <w:rtl w:val="0"/>
        </w:rPr>
        <w:t xml:space="preserve">. </w:t>
      </w:r>
      <w:r>
        <w:fldChar w:fldCharType="begin"/>
      </w:r>
      <w:r>
        <w:instrText xml:space="preserve"> HYPERLINK "https://data.debtjustice.org.uk/" \h </w:instrText>
      </w:r>
      <w:r>
        <w:fldChar w:fldCharType="separate"/>
      </w:r>
      <w:r>
        <w:rPr>
          <w:color w:val="1155CC"/>
          <w:u w:val="single"/>
          <w:rtl w:val="0"/>
        </w:rPr>
        <w:t>https://data.debtjustice.org.uk/</w:t>
      </w:r>
      <w:r>
        <w:rPr>
          <w:color w:val="1155CC"/>
          <w:u w:val="single"/>
          <w:rtl w:val="0"/>
        </w:rPr>
        <w:fldChar w:fldCharType="end"/>
      </w:r>
      <w:r>
        <w:rPr>
          <w:rtl w:val="0"/>
        </w:rPr>
        <w:t xml:space="preserve"> </w:t>
      </w:r>
    </w:p>
    <w:p w14:paraId="000000D5">
      <w:pPr>
        <w:spacing w:line="240" w:lineRule="auto"/>
        <w:jc w:val="both"/>
      </w:pPr>
      <w:r>
        <w:rPr>
          <w:rtl w:val="0"/>
        </w:rPr>
        <w:t xml:space="preserve">Debt Service Watch. (2023, October 11). </w:t>
      </w:r>
      <w:r>
        <w:fldChar w:fldCharType="begin"/>
      </w:r>
      <w:r>
        <w:instrText xml:space="preserve"> HYPERLINK "https://www.development-finance.org/files/Debt_Service_Watch_Briefing_Final_Word_EN_0910.pdf" \h </w:instrText>
      </w:r>
      <w:r>
        <w:fldChar w:fldCharType="separate"/>
      </w:r>
      <w:r>
        <w:rPr>
          <w:i/>
          <w:color w:val="1155CC"/>
          <w:u w:val="single"/>
          <w:rtl w:val="0"/>
        </w:rPr>
        <w:t>The Worst Ever Global Debt Crisis: New Data from Debt Service Watch</w:t>
      </w:r>
      <w:r>
        <w:rPr>
          <w:i/>
          <w:color w:val="1155CC"/>
          <w:u w:val="single"/>
          <w:rtl w:val="0"/>
        </w:rPr>
        <w:fldChar w:fldCharType="end"/>
      </w:r>
      <w:r>
        <w:rPr>
          <w:rtl w:val="0"/>
        </w:rPr>
        <w:t>. Debt Service Watch.</w:t>
      </w:r>
    </w:p>
    <w:p w14:paraId="000000D6">
      <w:pPr>
        <w:spacing w:line="240" w:lineRule="auto"/>
        <w:jc w:val="both"/>
      </w:pPr>
      <w:r>
        <w:rPr>
          <w:rtl w:val="0"/>
        </w:rPr>
        <w:t xml:space="preserve">Felice, W. (1950). </w:t>
      </w:r>
      <w:r>
        <w:rPr>
          <w:i/>
          <w:rtl w:val="0"/>
        </w:rPr>
        <w:t>The global new deal: economic and social human rights in world politics</w:t>
      </w:r>
      <w:r>
        <w:rPr>
          <w:rtl w:val="0"/>
        </w:rPr>
        <w:t xml:space="preserve">. Rowman &amp; Littlefield Publishers, Inc. </w:t>
      </w:r>
    </w:p>
    <w:p w14:paraId="000000D7">
      <w:pPr>
        <w:spacing w:line="240" w:lineRule="auto"/>
        <w:jc w:val="both"/>
      </w:pPr>
      <w:r>
        <w:rPr>
          <w:rtl w:val="0"/>
        </w:rPr>
        <w:t xml:space="preserve">GaBI Online. (2013, March 1). </w:t>
      </w:r>
      <w:r>
        <w:rPr>
          <w:i/>
          <w:rtl w:val="0"/>
        </w:rPr>
        <w:t xml:space="preserve">India supplies 20% of generic drugs worldwide. </w:t>
      </w:r>
      <w:r>
        <w:rPr>
          <w:rtl w:val="0"/>
        </w:rPr>
        <w:t xml:space="preserve">GaBI Online. </w:t>
      </w:r>
      <w:r>
        <w:fldChar w:fldCharType="begin"/>
      </w:r>
      <w:r>
        <w:instrText xml:space="preserve"> HYPERLINK "https://www.gabionline.net/reports/India-supplies-20-of-generic-drugs-worldwide" \h </w:instrText>
      </w:r>
      <w:r>
        <w:fldChar w:fldCharType="separate"/>
      </w:r>
      <w:r>
        <w:rPr>
          <w:color w:val="1155CC"/>
          <w:u w:val="single"/>
          <w:rtl w:val="0"/>
        </w:rPr>
        <w:t>https://www.gabionline.net/reports/India-supplies-20-of-generic-drugs-worldwide</w:t>
      </w:r>
      <w:r>
        <w:rPr>
          <w:color w:val="1155CC"/>
          <w:u w:val="single"/>
          <w:rtl w:val="0"/>
        </w:rPr>
        <w:fldChar w:fldCharType="end"/>
      </w:r>
    </w:p>
    <w:p w14:paraId="000000D8">
      <w:pPr>
        <w:spacing w:line="240" w:lineRule="auto"/>
        <w:jc w:val="both"/>
      </w:pPr>
      <w:r>
        <w:rPr>
          <w:rtl w:val="0"/>
        </w:rPr>
        <w:t xml:space="preserve">Hickel, J. (2018, December 19). </w:t>
      </w:r>
      <w:r>
        <w:rPr>
          <w:i/>
          <w:rtl w:val="0"/>
        </w:rPr>
        <w:t>How Britain stole $45 trillion from India</w:t>
      </w:r>
      <w:r>
        <w:rPr>
          <w:rtl w:val="0"/>
        </w:rPr>
        <w:t xml:space="preserve">. Al Jazeera. </w:t>
      </w:r>
      <w:r>
        <w:fldChar w:fldCharType="begin"/>
      </w:r>
      <w:r>
        <w:instrText xml:space="preserve"> HYPERLINK "https://www.aljazeera.com/opinions/2018/12/19/how-britain-stole-45-trillion-from-india" \h </w:instrText>
      </w:r>
      <w:r>
        <w:fldChar w:fldCharType="separate"/>
      </w:r>
      <w:r>
        <w:rPr>
          <w:color w:val="1155CC"/>
          <w:u w:val="single"/>
          <w:rtl w:val="0"/>
        </w:rPr>
        <w:t>https://www.aljazeera.com/opinions/2018/12/19/how-britain-stole-45-trillion-from-india</w:t>
      </w:r>
      <w:r>
        <w:rPr>
          <w:color w:val="1155CC"/>
          <w:u w:val="single"/>
          <w:rtl w:val="0"/>
        </w:rPr>
        <w:fldChar w:fldCharType="end"/>
      </w:r>
      <w:r>
        <w:rPr>
          <w:rtl w:val="0"/>
        </w:rPr>
        <w:t xml:space="preserve"> </w:t>
      </w:r>
    </w:p>
    <w:p w14:paraId="000000D9">
      <w:pPr>
        <w:spacing w:line="240" w:lineRule="auto"/>
        <w:jc w:val="both"/>
      </w:pPr>
      <w:r>
        <w:rPr>
          <w:rtl w:val="0"/>
        </w:rPr>
        <w:t xml:space="preserve">IATA (2021, November 19). </w:t>
      </w:r>
      <w:r>
        <w:rPr>
          <w:i/>
          <w:rtl w:val="0"/>
        </w:rPr>
        <w:t>Vaccines and the India market.</w:t>
      </w:r>
      <w:r>
        <w:rPr>
          <w:rtl w:val="0"/>
        </w:rPr>
        <w:t xml:space="preserve"> IATA Knowledge Hub. </w:t>
      </w:r>
      <w:r>
        <w:fldChar w:fldCharType="begin"/>
      </w:r>
      <w:r>
        <w:instrText xml:space="preserve"> HYPERLINK "https://www.iata.org/en/publications/newsletters/iata-knowledge-hub/vaccines-and-the-india-market/#:~:text=When%20it%20comes%20to%20vaccines,value%20has%20been%20growing%20significantly" \h </w:instrText>
      </w:r>
      <w:r>
        <w:fldChar w:fldCharType="separate"/>
      </w:r>
      <w:r>
        <w:rPr>
          <w:color w:val="1155CC"/>
          <w:u w:val="single"/>
          <w:rtl w:val="0"/>
        </w:rPr>
        <w:t>https://www.iata.org/en/publications/newsletters/iata-knowledge-hub/vaccines-and-the-india-market/#:~:text=When%20it%20comes%20to%20vaccines,value%20has%20been%20growing%20significantly</w:t>
      </w:r>
      <w:r>
        <w:rPr>
          <w:color w:val="1155CC"/>
          <w:u w:val="single"/>
          <w:rtl w:val="0"/>
        </w:rPr>
        <w:fldChar w:fldCharType="end"/>
      </w:r>
      <w:r>
        <w:rPr>
          <w:rtl w:val="0"/>
        </w:rPr>
        <w:t xml:space="preserve">. </w:t>
      </w:r>
    </w:p>
    <w:p w14:paraId="000000DA">
      <w:pPr>
        <w:spacing w:line="240" w:lineRule="auto"/>
        <w:jc w:val="both"/>
      </w:pPr>
      <w:r>
        <w:rPr>
          <w:rtl w:val="0"/>
        </w:rPr>
        <w:t>IMF. (2023). IMF-World Bank Debt Sustainability Framework for Low Income Countries. IMF.</w:t>
      </w:r>
      <w:r>
        <w:fldChar w:fldCharType="begin"/>
      </w:r>
      <w:r>
        <w:instrText xml:space="preserve"> HYPERLINK "https://www.imf.org/en/About/Factsheets/Sheets/2023/imf-world-bank-debt-sustainability-framework-for-low-income-countries" \h </w:instrText>
      </w:r>
      <w:r>
        <w:fldChar w:fldCharType="separate"/>
      </w:r>
      <w:r>
        <w:rPr>
          <w:color w:val="1155CC"/>
          <w:u w:val="single"/>
          <w:rtl w:val="0"/>
        </w:rPr>
        <w:t>https://www.imf.org/en/About/Factsheets/Sheets/2023/imf-world-bank-debt-sustainability-framework-for-low-income-countries</w:t>
      </w:r>
      <w:r>
        <w:rPr>
          <w:color w:val="1155CC"/>
          <w:u w:val="single"/>
          <w:rtl w:val="0"/>
        </w:rPr>
        <w:fldChar w:fldCharType="end"/>
      </w:r>
      <w:r>
        <w:rPr>
          <w:rtl w:val="0"/>
        </w:rPr>
        <w:t xml:space="preserve"> </w:t>
      </w:r>
    </w:p>
    <w:p w14:paraId="000000DB">
      <w:pPr>
        <w:spacing w:line="240" w:lineRule="auto"/>
        <w:jc w:val="both"/>
      </w:pPr>
      <w:r>
        <w:rPr>
          <w:rtl w:val="0"/>
        </w:rPr>
        <w:t xml:space="preserve">Kentikelenis, A., &amp; Stubbs, T. (2023). </w:t>
      </w:r>
      <w:r>
        <w:rPr>
          <w:i/>
          <w:rtl w:val="0"/>
        </w:rPr>
        <w:t>IMF social spending floors: A fig leaf for austerity?</w:t>
      </w:r>
      <w:r>
        <w:rPr>
          <w:rtl w:val="0"/>
        </w:rPr>
        <w:t xml:space="preserve">. Oxfam. https://doi.org/10.21201/2023.621495 </w:t>
      </w:r>
    </w:p>
    <w:p w14:paraId="000000DC">
      <w:pPr>
        <w:spacing w:line="240" w:lineRule="auto"/>
        <w:jc w:val="both"/>
      </w:pPr>
      <w:r>
        <w:rPr>
          <w:rtl w:val="0"/>
        </w:rPr>
        <w:t xml:space="preserve">Krishnan, V., Mandakini, G. (2015, August 10). </w:t>
      </w:r>
      <w:r>
        <w:rPr>
          <w:i/>
          <w:rtl w:val="0"/>
        </w:rPr>
        <w:t>Why South Africa's health minister is so worried about India caving in to big pharma</w:t>
      </w:r>
      <w:r>
        <w:rPr>
          <w:rtl w:val="0"/>
        </w:rPr>
        <w:t xml:space="preserve">. Scroll In. </w:t>
      </w:r>
      <w:r>
        <w:fldChar w:fldCharType="begin"/>
      </w:r>
      <w:r>
        <w:instrText xml:space="preserve"> HYPERLINK "https://scroll.in/article/745344/why-south-africas-health-minister-is-so-worried-about-india-caving-in-to-big-pharma" \h </w:instrText>
      </w:r>
      <w:r>
        <w:fldChar w:fldCharType="separate"/>
      </w:r>
      <w:r>
        <w:rPr>
          <w:color w:val="1155CC"/>
          <w:u w:val="single"/>
          <w:rtl w:val="0"/>
        </w:rPr>
        <w:t>https://scroll.in/article/745344/why-south-africas-health-minister-is-so-worried-about-india-caving-in-to-big-pharma</w:t>
      </w:r>
      <w:r>
        <w:rPr>
          <w:color w:val="1155CC"/>
          <w:u w:val="single"/>
          <w:rtl w:val="0"/>
        </w:rPr>
        <w:fldChar w:fldCharType="end"/>
      </w:r>
      <w:r>
        <w:rPr>
          <w:rtl w:val="0"/>
        </w:rPr>
        <w:t xml:space="preserve"> </w:t>
      </w:r>
    </w:p>
    <w:p w14:paraId="000000DD">
      <w:pPr>
        <w:spacing w:line="240" w:lineRule="auto"/>
        <w:jc w:val="both"/>
      </w:pPr>
      <w:r>
        <w:rPr>
          <w:rtl w:val="0"/>
        </w:rPr>
        <w:t xml:space="preserve">Larbie, J., Jones, T. (2024, May). </w:t>
      </w:r>
      <w:r>
        <w:rPr>
          <w:i/>
          <w:rtl w:val="0"/>
        </w:rPr>
        <w:t>Between Life and Debt</w:t>
      </w:r>
      <w:r>
        <w:rPr>
          <w:rtl w:val="0"/>
        </w:rPr>
        <w:t>. Christian Aid. https://www.christianaid.org.uk/sites/default/files/2024-05/j474500-media-report_aw_spreads.pdf</w:t>
      </w:r>
    </w:p>
    <w:p w14:paraId="000000DE">
      <w:pPr>
        <w:spacing w:line="240" w:lineRule="auto"/>
        <w:jc w:val="both"/>
      </w:pPr>
      <w:r>
        <w:rPr>
          <w:rtl w:val="0"/>
        </w:rPr>
        <w:t xml:space="preserve">Li', Y. (2021). </w:t>
      </w:r>
      <w:r>
        <w:rPr>
          <w:i/>
          <w:rtl w:val="0"/>
        </w:rPr>
        <w:t>Debt relief, debt crisis prevention and human rights: the role of credit rating agencies</w:t>
      </w:r>
      <w:r>
        <w:rPr>
          <w:rtl w:val="0"/>
        </w:rPr>
        <w:t>. Report of the Independent Expert on the effects of foreign debt and other related international financial obligations of States on the full enjoyment of all human rights, particularly economic, social and cultural rights. https://www.undocs.org/en/A/HRC/46/29</w:t>
      </w:r>
    </w:p>
    <w:p w14:paraId="000000DF">
      <w:pPr>
        <w:spacing w:line="240" w:lineRule="auto"/>
        <w:jc w:val="both"/>
      </w:pPr>
      <w:r>
        <w:rPr>
          <w:rtl w:val="0"/>
        </w:rPr>
        <w:t xml:space="preserve">Lumina, C. (2011, April 10). </w:t>
      </w:r>
      <w:r>
        <w:rPr>
          <w:i/>
          <w:rtl w:val="0"/>
        </w:rPr>
        <w:t>Guiding principles on foreign debt and human rights</w:t>
      </w:r>
      <w:r>
        <w:rPr>
          <w:rtl w:val="0"/>
        </w:rPr>
        <w:t xml:space="preserve">. Report of the Independent Expert on the effects of foreign debt and other related international financial obligations of States on the full enjoyment of all human rights, particularly economic, social and cultural rights. </w:t>
      </w:r>
      <w:r>
        <w:fldChar w:fldCharType="begin"/>
      </w:r>
      <w:r>
        <w:instrText xml:space="preserve"> HYPERLINK "https://digitallibrary.un.org/record/725337?v=pdf" \h </w:instrText>
      </w:r>
      <w:r>
        <w:fldChar w:fldCharType="separate"/>
      </w:r>
      <w:r>
        <w:rPr>
          <w:color w:val="1155CC"/>
          <w:u w:val="single"/>
          <w:rtl w:val="0"/>
        </w:rPr>
        <w:t>https://digitallibrary.un.org/record/725337?v=pdf</w:t>
      </w:r>
      <w:r>
        <w:rPr>
          <w:color w:val="1155CC"/>
          <w:u w:val="single"/>
          <w:rtl w:val="0"/>
        </w:rPr>
        <w:fldChar w:fldCharType="end"/>
      </w:r>
      <w:r>
        <w:rPr>
          <w:rtl w:val="0"/>
        </w:rPr>
        <w:t xml:space="preserve"> </w:t>
      </w:r>
    </w:p>
    <w:p w14:paraId="000000E0">
      <w:pPr>
        <w:spacing w:line="240" w:lineRule="auto"/>
        <w:jc w:val="both"/>
      </w:pPr>
      <w:r>
        <w:rPr>
          <w:rtl w:val="0"/>
        </w:rPr>
        <w:t xml:space="preserve">Mansour, M.B. (2021, March 9). Tax haven ranking shows countries setting global tax rules do most to help firms bend them. </w:t>
      </w:r>
      <w:r>
        <w:rPr>
          <w:i/>
          <w:rtl w:val="0"/>
        </w:rPr>
        <w:t>Tax Justice Network</w:t>
      </w:r>
      <w:r>
        <w:rPr>
          <w:rtl w:val="0"/>
        </w:rPr>
        <w:t xml:space="preserve">. </w:t>
      </w:r>
      <w:r>
        <w:fldChar w:fldCharType="begin"/>
      </w:r>
      <w:r>
        <w:instrText xml:space="preserve"> HYPERLINK "https://taxjustice.net/press/tax-haven-ranking-shows-countries-setting-global-tax-rules-do-most-to-help-firms-bend-them/" \h </w:instrText>
      </w:r>
      <w:r>
        <w:fldChar w:fldCharType="separate"/>
      </w:r>
      <w:r>
        <w:rPr>
          <w:color w:val="1155CC"/>
          <w:u w:val="single"/>
          <w:rtl w:val="0"/>
        </w:rPr>
        <w:t>https://taxjustice.net/press/tax-haven-ranking-shows-countries-setting-global-tax-rules-do-most-to-help-firms-bend-them/</w:t>
      </w:r>
      <w:r>
        <w:rPr>
          <w:color w:val="1155CC"/>
          <w:u w:val="single"/>
          <w:rtl w:val="0"/>
        </w:rPr>
        <w:fldChar w:fldCharType="end"/>
      </w:r>
      <w:r>
        <w:rPr>
          <w:rtl w:val="0"/>
        </w:rPr>
        <w:t xml:space="preserve"> </w:t>
      </w:r>
    </w:p>
    <w:p w14:paraId="000000E1">
      <w:pPr>
        <w:spacing w:line="240" w:lineRule="auto"/>
        <w:jc w:val="both"/>
      </w:pPr>
      <w:r>
        <w:rPr>
          <w:rtl w:val="0"/>
        </w:rPr>
        <w:t xml:space="preserve">Matonga, G. (2024, June 3) </w:t>
      </w:r>
      <w:r>
        <w:rPr>
          <w:i/>
          <w:rtl w:val="0"/>
        </w:rPr>
        <w:t>Wealthy countries push back as Un moves ahead with global tax plan</w:t>
      </w:r>
      <w:r>
        <w:rPr>
          <w:rtl w:val="0"/>
        </w:rPr>
        <w:t xml:space="preserve">. ICIJ. </w:t>
      </w:r>
      <w:r>
        <w:fldChar w:fldCharType="begin"/>
      </w:r>
      <w:r>
        <w:instrText xml:space="preserve"> HYPERLINK "https://www.icij.org/investigations/paradise-papers/wealthy-countries-push-back-as-un-moves-ahead-with-global-tax-plan/" \h </w:instrText>
      </w:r>
      <w:r>
        <w:fldChar w:fldCharType="separate"/>
      </w:r>
      <w:r>
        <w:rPr>
          <w:color w:val="1155CC"/>
          <w:u w:val="single"/>
          <w:rtl w:val="0"/>
        </w:rPr>
        <w:t>https://www.icij.org/investigations/paradise-papers/wealthy-countries-push-back-as-un-moves-ahead-with-global-tax-plan/</w:t>
      </w:r>
      <w:r>
        <w:rPr>
          <w:color w:val="1155CC"/>
          <w:u w:val="single"/>
          <w:rtl w:val="0"/>
        </w:rPr>
        <w:fldChar w:fldCharType="end"/>
      </w:r>
      <w:r>
        <w:rPr>
          <w:rtl w:val="0"/>
        </w:rPr>
        <w:t xml:space="preserve"> </w:t>
      </w:r>
    </w:p>
    <w:p w14:paraId="000000E2">
      <w:pPr>
        <w:spacing w:line="240" w:lineRule="auto"/>
        <w:jc w:val="both"/>
      </w:pPr>
      <w:r>
        <w:rPr>
          <w:rtl w:val="0"/>
        </w:rPr>
        <w:t xml:space="preserve">Miriri, D., Kumwenda-mtambo, O. (2024, June 27). </w:t>
      </w:r>
      <w:r>
        <w:rPr>
          <w:i/>
          <w:rtl w:val="0"/>
        </w:rPr>
        <w:t>Explainer: What's next after Kenya withdraws finance bill amid protests?</w:t>
      </w:r>
      <w:r>
        <w:rPr>
          <w:rtl w:val="0"/>
        </w:rPr>
        <w:t xml:space="preserve">. Reuters. </w:t>
      </w:r>
      <w:r>
        <w:fldChar w:fldCharType="begin"/>
      </w:r>
      <w:r>
        <w:instrText xml:space="preserve"> HYPERLINK "https://www.reuters.com/world/africa/kenyas-finance-bill-why-has-it-triggered-protests-2024-06-25/" \h </w:instrText>
      </w:r>
      <w:r>
        <w:fldChar w:fldCharType="separate"/>
      </w:r>
      <w:r>
        <w:rPr>
          <w:color w:val="1155CC"/>
          <w:u w:val="single"/>
          <w:rtl w:val="0"/>
        </w:rPr>
        <w:t>https://www.reuters.com/world/africa/kenyas-finance-bill-why-has-it-triggered-protests-2024-06-25/</w:t>
      </w:r>
      <w:r>
        <w:rPr>
          <w:color w:val="1155CC"/>
          <w:u w:val="single"/>
          <w:rtl w:val="0"/>
        </w:rPr>
        <w:fldChar w:fldCharType="end"/>
      </w:r>
      <w:r>
        <w:rPr>
          <w:rtl w:val="0"/>
        </w:rPr>
        <w:t xml:space="preserve"> </w:t>
      </w:r>
    </w:p>
    <w:p w14:paraId="000000E3">
      <w:pPr>
        <w:spacing w:line="240" w:lineRule="auto"/>
        <w:jc w:val="both"/>
      </w:pPr>
      <w:r>
        <w:rPr>
          <w:rtl w:val="0"/>
        </w:rPr>
        <w:t xml:space="preserve">Muchhala, B.; Castillo, V. D.; Guillem, A. (2022). </w:t>
      </w:r>
      <w:r>
        <w:rPr>
          <w:i/>
          <w:rtl w:val="0"/>
        </w:rPr>
        <w:t>Gendered Austerity in the COVID-19 Era: A Survey of Fiscal Consolidation in Ecuador and Pakistan</w:t>
      </w:r>
      <w:r>
        <w:rPr>
          <w:rtl w:val="0"/>
        </w:rPr>
        <w:t xml:space="preserve">. Third World Network. </w:t>
      </w:r>
      <w:r>
        <w:fldChar w:fldCharType="begin"/>
      </w:r>
      <w:r>
        <w:instrText xml:space="preserve"> HYPERLINK "https://www.twn.my/title2/books/pdf/GenderedAusterity.pdf" \h </w:instrText>
      </w:r>
      <w:r>
        <w:fldChar w:fldCharType="separate"/>
      </w:r>
      <w:r>
        <w:rPr>
          <w:color w:val="1155CC"/>
          <w:u w:val="single"/>
          <w:rtl w:val="0"/>
        </w:rPr>
        <w:t>https://www.twn.my/title2/books/pdf/GenderedAusterity.pdf</w:t>
      </w:r>
      <w:r>
        <w:rPr>
          <w:color w:val="1155CC"/>
          <w:u w:val="single"/>
          <w:rtl w:val="0"/>
        </w:rPr>
        <w:fldChar w:fldCharType="end"/>
      </w:r>
      <w:r>
        <w:rPr>
          <w:rtl w:val="0"/>
        </w:rPr>
        <w:t xml:space="preserve"> </w:t>
      </w:r>
    </w:p>
    <w:p w14:paraId="000000E4">
      <w:pPr>
        <w:spacing w:line="240" w:lineRule="auto"/>
        <w:jc w:val="both"/>
      </w:pPr>
      <w:r>
        <w:rPr>
          <w:rtl w:val="0"/>
        </w:rPr>
        <w:t xml:space="preserve">Nunn, N. (2008). </w:t>
      </w:r>
      <w:r>
        <w:rPr>
          <w:i/>
          <w:rtl w:val="0"/>
        </w:rPr>
        <w:t>The long-term effects of Africa’s slave trades</w:t>
      </w:r>
      <w:r>
        <w:rPr>
          <w:rtl w:val="0"/>
        </w:rPr>
        <w:t>*. Quarterly Journal of Economics, 123(1), 139–176. https://doi.org/10.1162/qjec.2008.123.1.139</w:t>
      </w:r>
    </w:p>
    <w:p w14:paraId="000000E5">
      <w:pPr>
        <w:spacing w:line="240" w:lineRule="auto"/>
        <w:jc w:val="both"/>
      </w:pPr>
      <w:r>
        <w:rPr>
          <w:rtl w:val="0"/>
        </w:rPr>
        <w:t xml:space="preserve">O’Hare BAM, Lopez MJ, Mazimbe B, Murray S, Spencer N, Torrie C, et al. (2022) Tax abuse—The potential for the Sustainable Development Goals. PLOS Glob Public Health 2(2): e0000119. </w:t>
      </w:r>
      <w:r>
        <w:fldChar w:fldCharType="begin"/>
      </w:r>
      <w:r>
        <w:instrText xml:space="preserve"> HYPERLINK "https://doi.org/10.1371/journal.pgph.0000119" \h </w:instrText>
      </w:r>
      <w:r>
        <w:fldChar w:fldCharType="separate"/>
      </w:r>
      <w:r>
        <w:rPr>
          <w:color w:val="1155CC"/>
          <w:u w:val="single"/>
          <w:rtl w:val="0"/>
        </w:rPr>
        <w:t>https://doi.org/10.1371/journal.pgph.0000119</w:t>
      </w:r>
      <w:r>
        <w:rPr>
          <w:color w:val="1155CC"/>
          <w:u w:val="single"/>
          <w:rtl w:val="0"/>
        </w:rPr>
        <w:fldChar w:fldCharType="end"/>
      </w:r>
    </w:p>
    <w:p w14:paraId="000000E6">
      <w:pPr>
        <w:spacing w:line="240" w:lineRule="auto"/>
        <w:jc w:val="both"/>
      </w:pPr>
      <w:r>
        <w:rPr>
          <w:rtl w:val="0"/>
        </w:rPr>
        <w:t xml:space="preserve">Raja, K. (2024, June 6). </w:t>
      </w:r>
      <w:r>
        <w:rPr>
          <w:i/>
          <w:rtl w:val="0"/>
        </w:rPr>
        <w:t>UN: Global public debt surges, driven by cascading crises</w:t>
      </w:r>
      <w:r>
        <w:rPr>
          <w:rtl w:val="0"/>
        </w:rPr>
        <w:t xml:space="preserve">. SUNS #10021, Third World Network. </w:t>
      </w:r>
      <w:r>
        <w:fldChar w:fldCharType="begin"/>
      </w:r>
      <w:r>
        <w:instrText xml:space="preserve"> HYPERLINK "https://twn.my/title2/finance/2024/fi240603.htm#:~:text=Thirdly%2C%20borrowing%20from%20private%20sources,said%20UN%20Trade%20and%20Development" \h </w:instrText>
      </w:r>
      <w:r>
        <w:fldChar w:fldCharType="separate"/>
      </w:r>
      <w:r>
        <w:rPr>
          <w:color w:val="1155CC"/>
          <w:u w:val="single"/>
          <w:rtl w:val="0"/>
        </w:rPr>
        <w:t>https://twn.my/title2/finance/2024/fi240603.htm#:~:text=Thirdly%2C%20borrowing%20from%20private%20sources,said%20UN%20Trade%20and%20Development</w:t>
      </w:r>
      <w:r>
        <w:rPr>
          <w:color w:val="1155CC"/>
          <w:u w:val="single"/>
          <w:rtl w:val="0"/>
        </w:rPr>
        <w:fldChar w:fldCharType="end"/>
      </w:r>
      <w:r>
        <w:rPr>
          <w:rtl w:val="0"/>
        </w:rPr>
        <w:t xml:space="preserve">. </w:t>
      </w:r>
    </w:p>
    <w:p w14:paraId="000000E7">
      <w:pPr>
        <w:spacing w:line="240" w:lineRule="auto"/>
        <w:jc w:val="both"/>
      </w:pPr>
      <w:r>
        <w:rPr>
          <w:rtl w:val="0"/>
        </w:rPr>
        <w:t xml:space="preserve">Rukanga, B. (2024, June 25). </w:t>
      </w:r>
      <w:r>
        <w:rPr>
          <w:i/>
          <w:rtl w:val="0"/>
        </w:rPr>
        <w:t>What are Kenya's controversial tax proposals?</w:t>
      </w:r>
      <w:r>
        <w:rPr>
          <w:rtl w:val="0"/>
        </w:rPr>
        <w:t xml:space="preserve">. BBC. </w:t>
      </w:r>
      <w:r>
        <w:fldChar w:fldCharType="begin"/>
      </w:r>
      <w:r>
        <w:instrText xml:space="preserve"> HYPERLINK "https://www.bbc.com/news/articles/cv22g359mq9o" \h </w:instrText>
      </w:r>
      <w:r>
        <w:fldChar w:fldCharType="separate"/>
      </w:r>
      <w:r>
        <w:rPr>
          <w:color w:val="1155CC"/>
          <w:u w:val="single"/>
          <w:rtl w:val="0"/>
        </w:rPr>
        <w:t>https://www.bbc.com/news/articles/cv22g359mq9o</w:t>
      </w:r>
      <w:r>
        <w:rPr>
          <w:color w:val="1155CC"/>
          <w:u w:val="single"/>
          <w:rtl w:val="0"/>
        </w:rPr>
        <w:fldChar w:fldCharType="end"/>
      </w:r>
      <w:r>
        <w:rPr>
          <w:rtl w:val="0"/>
        </w:rPr>
        <w:t xml:space="preserve"> </w:t>
      </w:r>
    </w:p>
    <w:p w14:paraId="000000E8">
      <w:pPr>
        <w:spacing w:line="240" w:lineRule="auto"/>
        <w:jc w:val="both"/>
      </w:pPr>
      <w:r>
        <w:rPr>
          <w:rtl w:val="0"/>
        </w:rPr>
        <w:t xml:space="preserve">Sankara, T. (1987). </w:t>
      </w:r>
      <w:r>
        <w:rPr>
          <w:i/>
          <w:rtl w:val="0"/>
        </w:rPr>
        <w:t>A united front against debt</w:t>
      </w:r>
      <w:r>
        <w:rPr>
          <w:rtl w:val="0"/>
        </w:rPr>
        <w:t>. Thomas Sankara (1987): A United Front Against Debt - Speech Before the OAU. https://www.marxists.org/archive/sankara/1987/july/29.htm</w:t>
      </w:r>
    </w:p>
    <w:p w14:paraId="000000E9">
      <w:pPr>
        <w:spacing w:line="240" w:lineRule="auto"/>
        <w:jc w:val="both"/>
      </w:pPr>
      <w:r>
        <w:rPr>
          <w:rtl w:val="0"/>
        </w:rPr>
        <w:t xml:space="preserve">Shepherd, V. (2022, September 28). </w:t>
      </w:r>
      <w:r>
        <w:rPr>
          <w:i/>
          <w:rtl w:val="0"/>
        </w:rPr>
        <w:t>Panel discussion on the negative impact of the legacies of colonialism on the enjoyment of human rights</w:t>
      </w:r>
      <w:r>
        <w:rPr>
          <w:rtl w:val="0"/>
        </w:rPr>
        <w:t xml:space="preserve">. Indigenous Peoples' Center for Documentation, Research and Information. </w:t>
      </w:r>
      <w:r>
        <w:fldChar w:fldCharType="begin"/>
      </w:r>
      <w:r>
        <w:instrText xml:space="preserve"> HYPERLINK "https://cendoc.docip.org/collect/cendocdo/index/assoc/HASHba19/d09e1725.dir/panelcolonialism-OTH_2953-cerd-short-en.pdf" \h </w:instrText>
      </w:r>
      <w:r>
        <w:fldChar w:fldCharType="separate"/>
      </w:r>
      <w:r>
        <w:rPr>
          <w:color w:val="1155CC"/>
          <w:u w:val="single"/>
          <w:rtl w:val="0"/>
        </w:rPr>
        <w:t>https://cendoc.docip.org/collect/cendocdo/index/assoc/HASHba19/d09e1725.dir/panelcolonialism-OTH_2953-cerd-short-en.pdf</w:t>
      </w:r>
      <w:r>
        <w:rPr>
          <w:color w:val="1155CC"/>
          <w:u w:val="single"/>
          <w:rtl w:val="0"/>
        </w:rPr>
        <w:fldChar w:fldCharType="end"/>
      </w:r>
      <w:r>
        <w:rPr>
          <w:rtl w:val="0"/>
        </w:rPr>
        <w:t xml:space="preserve"> </w:t>
      </w:r>
    </w:p>
    <w:p w14:paraId="000000EA">
      <w:pPr>
        <w:spacing w:line="240" w:lineRule="auto"/>
        <w:jc w:val="both"/>
      </w:pPr>
      <w:r>
        <w:rPr>
          <w:rtl w:val="0"/>
        </w:rPr>
        <w:t xml:space="preserve">Son, KB., Lopert, R., Gleeson, D. </w:t>
      </w:r>
      <w:r>
        <w:rPr>
          <w:i/>
          <w:rtl w:val="0"/>
        </w:rPr>
        <w:t>et al.</w:t>
      </w:r>
      <w:r>
        <w:rPr>
          <w:rtl w:val="0"/>
        </w:rPr>
        <w:t xml:space="preserve"> (2018, October). Moderating the impact of patent linkage on access to medicines: lessons from variations in South Korea, Australia, Canada, and the United States. </w:t>
      </w:r>
      <w:r>
        <w:rPr>
          <w:i/>
          <w:rtl w:val="0"/>
        </w:rPr>
        <w:t>Global Health</w:t>
      </w:r>
      <w:r>
        <w:rPr>
          <w:rtl w:val="0"/>
        </w:rPr>
        <w:t xml:space="preserve"> 14, 101 (2018). </w:t>
      </w:r>
      <w:r>
        <w:fldChar w:fldCharType="begin"/>
      </w:r>
      <w:r>
        <w:instrText xml:space="preserve"> HYPERLINK "https://doi.org/10.1186/s12992-018-0423-0" \h </w:instrText>
      </w:r>
      <w:r>
        <w:fldChar w:fldCharType="separate"/>
      </w:r>
      <w:r>
        <w:rPr>
          <w:color w:val="1155CC"/>
          <w:u w:val="single"/>
          <w:rtl w:val="0"/>
        </w:rPr>
        <w:t>https://doi.org/10.1186/s12992-018-0423-0</w:t>
      </w:r>
      <w:r>
        <w:rPr>
          <w:color w:val="1155CC"/>
          <w:u w:val="single"/>
          <w:rtl w:val="0"/>
        </w:rPr>
        <w:fldChar w:fldCharType="end"/>
      </w:r>
    </w:p>
    <w:p w14:paraId="000000EB">
      <w:pPr>
        <w:spacing w:line="240" w:lineRule="auto"/>
        <w:jc w:val="both"/>
      </w:pPr>
      <w:r>
        <w:rPr>
          <w:rtl w:val="0"/>
        </w:rPr>
        <w:t xml:space="preserve">Tricontinental. (2023, April). </w:t>
      </w:r>
      <w:r>
        <w:rPr>
          <w:i/>
          <w:rtl w:val="0"/>
        </w:rPr>
        <w:t>Life or Debt</w:t>
      </w:r>
      <w:r>
        <w:rPr>
          <w:rtl w:val="0"/>
        </w:rPr>
        <w:t xml:space="preserve">: The Strangehold of Neocolonialism and Africa's Search for Alternatives. </w:t>
      </w:r>
      <w:r>
        <w:rPr>
          <w:i/>
          <w:rtl w:val="0"/>
        </w:rPr>
        <w:t>Tricontinental</w:t>
      </w:r>
      <w:r>
        <w:rPr>
          <w:rtl w:val="0"/>
        </w:rPr>
        <w:t xml:space="preserve">: Institute for Social Research, Dossier N. 63. </w:t>
      </w:r>
      <w:r>
        <w:fldChar w:fldCharType="begin"/>
      </w:r>
      <w:r>
        <w:instrText xml:space="preserve"> HYPERLINK "https://thetricontinental.org/wp-content/uploads/2023/04/20230410_D63_EN_Web.pdf" \h </w:instrText>
      </w:r>
      <w:r>
        <w:fldChar w:fldCharType="separate"/>
      </w:r>
      <w:r>
        <w:rPr>
          <w:color w:val="1155CC"/>
          <w:u w:val="single"/>
          <w:rtl w:val="0"/>
        </w:rPr>
        <w:t>https://thetricontinental.org/wp-content/uploads/2023/04/20230410_D63_EN_Web.pdf</w:t>
      </w:r>
      <w:r>
        <w:rPr>
          <w:color w:val="1155CC"/>
          <w:u w:val="single"/>
          <w:rtl w:val="0"/>
        </w:rPr>
        <w:fldChar w:fldCharType="end"/>
      </w:r>
      <w:r>
        <w:rPr>
          <w:rtl w:val="0"/>
        </w:rPr>
        <w:t xml:space="preserve"> </w:t>
      </w:r>
    </w:p>
    <w:p w14:paraId="000000EC">
      <w:pPr>
        <w:spacing w:line="240" w:lineRule="auto"/>
        <w:jc w:val="both"/>
        <w:rPr>
          <w:b/>
          <w:i/>
          <w:color w:val="404040"/>
        </w:rPr>
      </w:pPr>
      <w:r>
        <w:rPr>
          <w:rtl w:val="0"/>
        </w:rPr>
        <w:t xml:space="preserve">UN News. (2024, April 15). </w:t>
      </w:r>
      <w:r>
        <w:rPr>
          <w:i/>
          <w:rtl w:val="0"/>
        </w:rPr>
        <w:t>‘World Cannot Afford to Continue Throwing Developing Countries’ Plans, Futures onto Raging Bonfire of Debt’, Secretary-General Tells General Assembly Debate</w:t>
      </w:r>
    </w:p>
    <w:p w14:paraId="000000ED">
      <w:pPr>
        <w:spacing w:line="240" w:lineRule="auto"/>
        <w:jc w:val="both"/>
      </w:pPr>
      <w:r>
        <w:fldChar w:fldCharType="begin"/>
      </w:r>
      <w:r>
        <w:instrText xml:space="preserve"> HYPERLINK "https://press.un.org/en/2024/sgsm22191.doc.htm" \h </w:instrText>
      </w:r>
      <w:r>
        <w:fldChar w:fldCharType="separate"/>
      </w:r>
      <w:r>
        <w:rPr>
          <w:color w:val="1155CC"/>
          <w:u w:val="single"/>
          <w:rtl w:val="0"/>
        </w:rPr>
        <w:t>https://press.un.org/en/2024/sgsm22191.doc.htm</w:t>
      </w:r>
      <w:r>
        <w:rPr>
          <w:color w:val="1155CC"/>
          <w:u w:val="single"/>
          <w:rtl w:val="0"/>
        </w:rPr>
        <w:fldChar w:fldCharType="end"/>
      </w:r>
    </w:p>
    <w:p w14:paraId="000000EE">
      <w:pPr>
        <w:spacing w:line="240" w:lineRule="auto"/>
        <w:jc w:val="both"/>
      </w:pPr>
      <w:r>
        <w:rPr>
          <w:rtl w:val="0"/>
        </w:rPr>
        <w:t xml:space="preserve">UNCTAD. (2024). </w:t>
      </w:r>
      <w:r>
        <w:rPr>
          <w:i/>
          <w:rtl w:val="0"/>
        </w:rPr>
        <w:t>A world of debt: a growing burden to global proesperity</w:t>
      </w:r>
      <w:r>
        <w:rPr>
          <w:rtl w:val="0"/>
        </w:rPr>
        <w:t xml:space="preserve">. UNCTAD. </w:t>
      </w:r>
      <w:r>
        <w:fldChar w:fldCharType="begin"/>
      </w:r>
      <w:r>
        <w:instrText xml:space="preserve"> HYPERLINK "https://unctad.org/system/files/official-document/osgttinf2024d1_en.pdf" \h </w:instrText>
      </w:r>
      <w:r>
        <w:fldChar w:fldCharType="separate"/>
      </w:r>
      <w:r>
        <w:rPr>
          <w:color w:val="1155CC"/>
          <w:u w:val="single"/>
          <w:rtl w:val="0"/>
        </w:rPr>
        <w:t>https://unctad.org/system/files/official-document/osgttinf2024d1_en.pdf</w:t>
      </w:r>
      <w:r>
        <w:rPr>
          <w:color w:val="1155CC"/>
          <w:u w:val="single"/>
          <w:rtl w:val="0"/>
        </w:rPr>
        <w:fldChar w:fldCharType="end"/>
      </w:r>
      <w:r>
        <w:rPr>
          <w:rtl w:val="0"/>
        </w:rPr>
        <w:t xml:space="preserve"> </w:t>
      </w:r>
    </w:p>
    <w:p w14:paraId="000000EF">
      <w:pPr>
        <w:spacing w:before="240" w:after="240"/>
        <w:jc w:val="both"/>
      </w:pPr>
    </w:p>
    <w:sectPr>
      <w:headerReference r:id="rId6" w:type="first"/>
      <w:footerReference r:id="rId8" w:type="first"/>
      <w:headerReference r:id="rId5" w:type="default"/>
      <w:footerReference r:id="rId7" w:type="default"/>
      <w:pgSz w:w="12240" w:h="15840"/>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F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right"/>
      <w:rPr>
        <w:rFonts w:ascii="Arial" w:hAnsi="Arial" w:eastAsia="Arial" w:cs="Arial"/>
        <w:b w:val="0"/>
        <w:i w:val="0"/>
        <w:smallCaps w:val="0"/>
        <w:strike w:val="0"/>
        <w:color w:val="B7B7B7"/>
        <w:sz w:val="18"/>
        <w:szCs w:val="18"/>
        <w:u w:val="none"/>
        <w:shd w:val="clear" w:fill="auto"/>
        <w:vertAlign w:val="baseline"/>
      </w:rPr>
    </w:pPr>
    <w:r>
      <w:rPr>
        <w:rFonts w:ascii="Arial" w:hAnsi="Arial" w:eastAsia="Arial" w:cs="Arial"/>
        <w:b w:val="0"/>
        <w:i w:val="0"/>
        <w:smallCaps w:val="0"/>
        <w:strike w:val="0"/>
        <w:color w:val="B7B7B7"/>
        <w:sz w:val="18"/>
        <w:szCs w:val="18"/>
        <w:u w:val="none"/>
        <w:shd w:val="clear" w:fill="auto"/>
        <w:vertAlign w:val="baseline"/>
      </w:rPr>
      <w:fldChar w:fldCharType="begin"/>
    </w:r>
    <w:r>
      <w:rPr>
        <w:rFonts w:ascii="Arial" w:hAnsi="Arial" w:eastAsia="Arial" w:cs="Arial"/>
        <w:b w:val="0"/>
        <w:i w:val="0"/>
        <w:smallCaps w:val="0"/>
        <w:strike w:val="0"/>
        <w:color w:val="B7B7B7"/>
        <w:sz w:val="18"/>
        <w:szCs w:val="18"/>
        <w:u w:val="none"/>
        <w:shd w:val="clear" w:fill="auto"/>
        <w:vertAlign w:val="baseline"/>
      </w:rPr>
      <w:instrText xml:space="preserve">PAGE</w:instrText>
    </w:r>
    <w:r>
      <w:rPr>
        <w:rFonts w:ascii="Arial" w:hAnsi="Arial" w:eastAsia="Arial" w:cs="Arial"/>
        <w:b w:val="0"/>
        <w:i w:val="0"/>
        <w:smallCaps w:val="0"/>
        <w:strike w:val="0"/>
        <w:color w:val="B7B7B7"/>
        <w:sz w:val="18"/>
        <w:szCs w:val="18"/>
        <w:u w:val="none"/>
        <w:shd w:val="clear" w:fill="auto"/>
        <w:vertAlign w:val="baseline"/>
      </w:rPr>
      <w:fldChar w:fldCharType="separate"/>
    </w:r>
    <w:r>
      <w:rPr>
        <w:rFonts w:ascii="Arial" w:hAnsi="Arial" w:eastAsia="Arial" w:cs="Arial"/>
        <w:b w:val="0"/>
        <w:i w:val="0"/>
        <w:smallCaps w:val="0"/>
        <w:strike w:val="0"/>
        <w:color w:val="B7B7B7"/>
        <w:sz w:val="18"/>
        <w:szCs w:val="18"/>
        <w:u w:val="none"/>
        <w:shd w:val="clear" w:fill="auto"/>
        <w:vertAlign w:val="baseline"/>
      </w:rPr>
      <w:fldChar w:fldCharType="end"/>
    </w:r>
  </w:p>
  <w:p w14:paraId="000000F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276" w:lineRule="auto"/>
      </w:pPr>
      <w:r>
        <w:separator/>
      </w:r>
    </w:p>
  </w:footnote>
  <w:footnote w:type="continuationSeparator" w:id="3">
    <w:p>
      <w:pPr>
        <w:spacing w:line="276" w:lineRule="auto"/>
      </w:pPr>
      <w:r>
        <w:continuationSeparator/>
      </w:r>
    </w:p>
  </w:footnote>
  <w:footnote w:id="0">
    <w:p w14:paraId="000000F0">
      <w:pPr>
        <w:spacing w:line="240" w:lineRule="auto"/>
        <w:rPr>
          <w:sz w:val="16"/>
          <w:szCs w:val="16"/>
        </w:rPr>
      </w:pPr>
      <w:r>
        <w:rPr>
          <w:rStyle w:val="15"/>
          <w:vertAlign w:val="superscript"/>
        </w:rPr>
        <w:footnoteRef/>
      </w:r>
      <w:r>
        <w:rPr>
          <w:sz w:val="16"/>
          <w:szCs w:val="16"/>
          <w:rtl w:val="0"/>
        </w:rPr>
        <w:t xml:space="preserve"> See also Lumina, C.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F5">
    <w:r>
      <w:drawing>
        <wp:anchor distT="114300" distB="114300" distL="114300" distR="114300" simplePos="0" relativeHeight="251659264" behindDoc="0" locked="0" layoutInCell="1" allowOverlap="1">
          <wp:simplePos x="0" y="0"/>
          <wp:positionH relativeFrom="column">
            <wp:posOffset>5205095</wp:posOffset>
          </wp:positionH>
          <wp:positionV relativeFrom="paragraph">
            <wp:posOffset>-132715</wp:posOffset>
          </wp:positionV>
          <wp:extent cx="748030" cy="35750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
                  <a:srcRect l="29807" t="32763" r="29326" b="32763"/>
                  <a:stretch>
                    <a:fillRect/>
                  </a:stretch>
                </pic:blipFill>
                <pic:spPr>
                  <a:xfrm>
                    <a:off x="0" y="0"/>
                    <a:ext cx="747713" cy="35724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F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BF205925"/>
    <w:multiLevelType w:val="multilevel"/>
    <w:tmpl w:val="BF20592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0248C179"/>
    <w:multiLevelType w:val="multilevel"/>
    <w:tmpl w:val="0248C179"/>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03D62ECE"/>
    <w:multiLevelType w:val="multilevel"/>
    <w:tmpl w:val="03D62EC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25B654F3"/>
    <w:multiLevelType w:val="multilevel"/>
    <w:tmpl w:val="25B654F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59ADCABA"/>
    <w:multiLevelType w:val="multilevel"/>
    <w:tmpl w:val="59ADCABA"/>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6">
    <w:nsid w:val="72183CF9"/>
    <w:multiLevelType w:val="multilevel"/>
    <w:tmpl w:val="72183CF9"/>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5"/>
  </w:num>
  <w:num w:numId="2">
    <w:abstractNumId w:val="1"/>
  </w:num>
  <w:num w:numId="3">
    <w:abstractNumId w:val="0"/>
  </w:num>
  <w:num w:numId="4">
    <w:abstractNumId w:val="3"/>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documentProtection w:enforcement="0"/>
  <w:defaultTabStop w:val="720"/>
  <w:footnotePr>
    <w:footnote w:id="2"/>
    <w:footnote w:id="3"/>
  </w:footnotePr>
  <w:endnotePr>
    <w:endnote w:id="0"/>
    <w:endnote w:id="1"/>
  </w:endnotePr>
  <w:compat>
    <w:compatSetting w:name="compatibilityMode" w:uri="http://schemas.microsoft.com/office/word" w:val="15"/>
  </w:compat>
  <w:rsids>
    <w:rsidRoot w:val="00000000"/>
    <w:rsid w:val="44911A8D"/>
    <w:rsid w:val="76A761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99" w:name="footnote text"/>
    <w:lsdException w:uiPriority="99" w:semiHidden="0" w:name="annotation text"/>
    <w:lsdException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99" w:name="footnote reference"/>
    <w:lsdException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99"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rPr>
  </w:style>
  <w:style w:type="paragraph" w:styleId="2">
    <w:name w:val="heading 1"/>
    <w:next w:val="1"/>
    <w:qFormat/>
    <w:uiPriority w:val="9"/>
    <w:pPr>
      <w:keepNext/>
      <w:keepLines/>
      <w:spacing w:before="400" w:after="120" w:line="276" w:lineRule="auto"/>
      <w:outlineLvl w:val="0"/>
    </w:pPr>
    <w:rPr>
      <w:rFonts w:ascii="Arial" w:hAnsi="Arial" w:eastAsia="Arial" w:cs="Arial"/>
      <w:sz w:val="40"/>
      <w:szCs w:val="40"/>
      <w:lang w:val="en"/>
    </w:rPr>
  </w:style>
  <w:style w:type="paragraph" w:styleId="3">
    <w:name w:val="heading 2"/>
    <w:next w:val="1"/>
    <w:semiHidden/>
    <w:unhideWhenUsed/>
    <w:qFormat/>
    <w:uiPriority w:val="9"/>
    <w:pPr>
      <w:keepNext/>
      <w:keepLines/>
      <w:spacing w:before="360" w:after="120" w:line="276" w:lineRule="auto"/>
      <w:outlineLvl w:val="1"/>
    </w:pPr>
    <w:rPr>
      <w:rFonts w:ascii="Arial" w:hAnsi="Arial" w:eastAsia="Arial" w:cs="Arial"/>
      <w:sz w:val="32"/>
      <w:szCs w:val="32"/>
      <w:lang w:val="en"/>
    </w:rPr>
  </w:style>
  <w:style w:type="paragraph" w:styleId="4">
    <w:name w:val="heading 3"/>
    <w:next w:val="1"/>
    <w:semiHidden/>
    <w:unhideWhenUsed/>
    <w:qFormat/>
    <w:uiPriority w:val="9"/>
    <w:pPr>
      <w:keepNext/>
      <w:keepLines/>
      <w:spacing w:before="320" w:after="80" w:line="276" w:lineRule="auto"/>
      <w:outlineLvl w:val="2"/>
    </w:pPr>
    <w:rPr>
      <w:rFonts w:ascii="Arial" w:hAnsi="Arial" w:eastAsia="Arial" w:cs="Arial"/>
      <w:color w:val="434343"/>
      <w:sz w:val="28"/>
      <w:szCs w:val="28"/>
      <w:lang w:val="en"/>
    </w:rPr>
  </w:style>
  <w:style w:type="paragraph" w:styleId="5">
    <w:name w:val="heading 4"/>
    <w:next w:val="1"/>
    <w:semiHidden/>
    <w:unhideWhenUsed/>
    <w:qFormat/>
    <w:uiPriority w:val="9"/>
    <w:pPr>
      <w:keepNext/>
      <w:keepLines/>
      <w:spacing w:before="280" w:after="80" w:line="276" w:lineRule="auto"/>
      <w:outlineLvl w:val="3"/>
    </w:pPr>
    <w:rPr>
      <w:rFonts w:ascii="Arial" w:hAnsi="Arial" w:eastAsia="Arial" w:cs="Arial"/>
      <w:color w:val="666666"/>
      <w:sz w:val="24"/>
      <w:szCs w:val="24"/>
      <w:lang w:val="en"/>
    </w:rPr>
  </w:style>
  <w:style w:type="paragraph" w:styleId="6">
    <w:name w:val="heading 5"/>
    <w:next w:val="1"/>
    <w:semiHidden/>
    <w:unhideWhenUsed/>
    <w:qFormat/>
    <w:uiPriority w:val="9"/>
    <w:pPr>
      <w:keepNext/>
      <w:keepLines/>
      <w:spacing w:before="240" w:after="80" w:line="276" w:lineRule="auto"/>
      <w:outlineLvl w:val="4"/>
    </w:pPr>
    <w:rPr>
      <w:rFonts w:ascii="Arial" w:hAnsi="Arial" w:eastAsia="Arial" w:cs="Arial"/>
      <w:color w:val="666666"/>
      <w:sz w:val="22"/>
      <w:szCs w:val="22"/>
      <w:lang w:val="en"/>
    </w:rPr>
  </w:style>
  <w:style w:type="paragraph" w:styleId="7">
    <w:name w:val="heading 6"/>
    <w:next w:val="1"/>
    <w:semiHidden/>
    <w:unhideWhenUsed/>
    <w:qFormat/>
    <w:uiPriority w:val="9"/>
    <w:pPr>
      <w:keepNext/>
      <w:keepLines/>
      <w:spacing w:before="240" w:after="80" w:line="276" w:lineRule="auto"/>
      <w:outlineLvl w:val="5"/>
    </w:pPr>
    <w:rPr>
      <w:rFonts w:ascii="Arial" w:hAnsi="Arial" w:eastAsia="Arial" w:cs="Arial"/>
      <w:i/>
      <w:color w:val="666666"/>
      <w:sz w:val="22"/>
      <w:szCs w:val="22"/>
      <w:lang w:val="en"/>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annotation reference"/>
    <w:basedOn w:val="8"/>
    <w:semiHidden/>
    <w:unhideWhenUsed/>
    <w:uiPriority w:val="99"/>
    <w:rPr>
      <w:sz w:val="16"/>
      <w:szCs w:val="16"/>
    </w:rPr>
  </w:style>
  <w:style w:type="paragraph" w:styleId="11">
    <w:name w:val="annotation text"/>
    <w:basedOn w:val="1"/>
    <w:link w:val="23"/>
    <w:unhideWhenUsed/>
    <w:uiPriority w:val="99"/>
    <w:pPr>
      <w:spacing w:line="240" w:lineRule="auto"/>
    </w:pPr>
    <w:rPr>
      <w:sz w:val="20"/>
      <w:szCs w:val="20"/>
    </w:rPr>
  </w:style>
  <w:style w:type="paragraph" w:styleId="12">
    <w:name w:val="annotation subject"/>
    <w:basedOn w:val="11"/>
    <w:next w:val="11"/>
    <w:link w:val="24"/>
    <w:semiHidden/>
    <w:unhideWhenUsed/>
    <w:uiPriority w:val="99"/>
    <w:rPr>
      <w:b/>
      <w:bCs/>
    </w:rPr>
  </w:style>
  <w:style w:type="character" w:styleId="13">
    <w:name w:val="FollowedHyperlink"/>
    <w:basedOn w:val="8"/>
    <w:semiHidden/>
    <w:unhideWhenUsed/>
    <w:uiPriority w:val="99"/>
    <w:rPr>
      <w:color w:val="800080" w:themeColor="followedHyperlink"/>
      <w:u w:val="single"/>
      <w14:textFill>
        <w14:solidFill>
          <w14:schemeClr w14:val="folHlink"/>
        </w14:solidFill>
      </w14:textFill>
    </w:rPr>
  </w:style>
  <w:style w:type="paragraph" w:styleId="14">
    <w:name w:val="footer"/>
    <w:basedOn w:val="1"/>
    <w:link w:val="28"/>
    <w:unhideWhenUsed/>
    <w:uiPriority w:val="99"/>
    <w:pPr>
      <w:tabs>
        <w:tab w:val="center" w:pos="4513"/>
        <w:tab w:val="right" w:pos="9026"/>
      </w:tabs>
      <w:spacing w:line="240" w:lineRule="auto"/>
    </w:pPr>
  </w:style>
  <w:style w:type="character" w:styleId="15">
    <w:name w:val="footnote reference"/>
    <w:basedOn w:val="8"/>
    <w:semiHidden/>
    <w:unhideWhenUsed/>
    <w:uiPriority w:val="99"/>
    <w:rPr>
      <w:vertAlign w:val="superscript"/>
    </w:rPr>
  </w:style>
  <w:style w:type="paragraph" w:styleId="16">
    <w:name w:val="footnote text"/>
    <w:basedOn w:val="1"/>
    <w:link w:val="25"/>
    <w:semiHidden/>
    <w:unhideWhenUsed/>
    <w:uiPriority w:val="99"/>
    <w:pPr>
      <w:spacing w:line="240" w:lineRule="auto"/>
    </w:pPr>
    <w:rPr>
      <w:sz w:val="20"/>
      <w:szCs w:val="20"/>
    </w:rPr>
  </w:style>
  <w:style w:type="paragraph" w:styleId="17">
    <w:name w:val="header"/>
    <w:basedOn w:val="1"/>
    <w:link w:val="27"/>
    <w:unhideWhenUsed/>
    <w:uiPriority w:val="99"/>
    <w:pPr>
      <w:tabs>
        <w:tab w:val="center" w:pos="4513"/>
        <w:tab w:val="right" w:pos="9026"/>
      </w:tabs>
      <w:spacing w:line="240" w:lineRule="auto"/>
    </w:pPr>
  </w:style>
  <w:style w:type="character" w:styleId="18">
    <w:name w:val="Hyperlink"/>
    <w:basedOn w:val="8"/>
    <w:unhideWhenUsed/>
    <w:uiPriority w:val="99"/>
    <w:rPr>
      <w:color w:val="0000FF" w:themeColor="hyperlink"/>
      <w:u w:val="single"/>
      <w14:textFill>
        <w14:solidFill>
          <w14:schemeClr w14:val="hlink"/>
        </w14:solidFill>
      </w14:textFill>
    </w:rPr>
  </w:style>
  <w:style w:type="paragraph" w:styleId="19">
    <w:name w:val="Subtitle"/>
    <w:next w:val="1"/>
    <w:uiPriority w:val="0"/>
    <w:pPr>
      <w:keepNext/>
      <w:keepLines/>
      <w:spacing w:after="320" w:line="276" w:lineRule="auto"/>
    </w:pPr>
    <w:rPr>
      <w:rFonts w:ascii="Arial" w:hAnsi="Arial" w:eastAsia="Arial" w:cs="Arial"/>
      <w:color w:val="666666"/>
      <w:sz w:val="30"/>
      <w:szCs w:val="30"/>
      <w:lang w:val="en"/>
    </w:rPr>
  </w:style>
  <w:style w:type="paragraph" w:styleId="20">
    <w:name w:val="Title"/>
    <w:next w:val="1"/>
    <w:qFormat/>
    <w:uiPriority w:val="10"/>
    <w:pPr>
      <w:keepNext/>
      <w:keepLines/>
      <w:spacing w:after="60" w:line="276" w:lineRule="auto"/>
    </w:pPr>
    <w:rPr>
      <w:rFonts w:ascii="Arial" w:hAnsi="Arial" w:eastAsia="Arial" w:cs="Arial"/>
      <w:sz w:val="52"/>
      <w:szCs w:val="52"/>
      <w:lang w:val="en"/>
    </w:rPr>
  </w:style>
  <w:style w:type="table" w:customStyle="1" w:styleId="21">
    <w:name w:val="Table Normal1"/>
    <w:uiPriority w:val="0"/>
  </w:style>
  <w:style w:type="paragraph" w:customStyle="1" w:styleId="22">
    <w:name w:val="Revision"/>
    <w:hidden/>
    <w:semiHidden/>
    <w:uiPriority w:val="99"/>
    <w:pPr>
      <w:spacing w:line="240" w:lineRule="auto"/>
    </w:pPr>
    <w:rPr>
      <w:rFonts w:ascii="Arial" w:hAnsi="Arial" w:eastAsia="Arial" w:cs="Arial"/>
      <w:sz w:val="22"/>
      <w:szCs w:val="22"/>
      <w:lang w:val="en"/>
    </w:rPr>
  </w:style>
  <w:style w:type="character" w:customStyle="1" w:styleId="23">
    <w:name w:val="Comment Text Char"/>
    <w:basedOn w:val="8"/>
    <w:link w:val="11"/>
    <w:uiPriority w:val="99"/>
    <w:rPr>
      <w:sz w:val="20"/>
      <w:szCs w:val="20"/>
    </w:rPr>
  </w:style>
  <w:style w:type="character" w:customStyle="1" w:styleId="24">
    <w:name w:val="Comment Subject Char"/>
    <w:basedOn w:val="23"/>
    <w:link w:val="12"/>
    <w:semiHidden/>
    <w:uiPriority w:val="99"/>
    <w:rPr>
      <w:b/>
      <w:bCs/>
      <w:sz w:val="20"/>
      <w:szCs w:val="20"/>
    </w:rPr>
  </w:style>
  <w:style w:type="character" w:customStyle="1" w:styleId="25">
    <w:name w:val="Footnote Text Char"/>
    <w:basedOn w:val="8"/>
    <w:link w:val="16"/>
    <w:semiHidden/>
    <w:uiPriority w:val="99"/>
    <w:rPr>
      <w:sz w:val="20"/>
      <w:szCs w:val="20"/>
    </w:rPr>
  </w:style>
  <w:style w:type="character" w:customStyle="1" w:styleId="26">
    <w:name w:val="Unresolved Mention"/>
    <w:basedOn w:val="8"/>
    <w:semiHidden/>
    <w:unhideWhenUsed/>
    <w:uiPriority w:val="99"/>
    <w:rPr>
      <w:color w:val="605E5C"/>
      <w:shd w:val="clear" w:color="auto" w:fill="E1DFDD"/>
    </w:rPr>
  </w:style>
  <w:style w:type="character" w:customStyle="1" w:styleId="27">
    <w:name w:val="Header Char"/>
    <w:basedOn w:val="8"/>
    <w:link w:val="17"/>
    <w:uiPriority w:val="99"/>
  </w:style>
  <w:style w:type="character" w:customStyle="1" w:styleId="28">
    <w:name w:val="Footer Char"/>
    <w:basedOn w:val="8"/>
    <w:link w:val="14"/>
    <w:uiPriority w:val="99"/>
  </w:style>
  <w:style w:type="paragraph" w:styleId="2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footnotes" Target="footnote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6" Type="http://schemas.openxmlformats.org/officeDocument/2006/relationships/header" Target="header2.xml"/><Relationship Id="rId11" Type="http://schemas.openxmlformats.org/officeDocument/2006/relationships/customXml" Target="../customXml/item1.xml"/><Relationship Id="rId1" Type="http://schemas.openxmlformats.org/officeDocument/2006/relationships/styles" Target="styles.xml"/><Relationship Id="rId5" Type="http://schemas.openxmlformats.org/officeDocument/2006/relationships/header" Target="header1.xml"/><Relationship Id="rId10" Type="http://schemas.openxmlformats.org/officeDocument/2006/relationships/numbering" Target="numbering.xml"/><Relationship Id="rId9" Type="http://schemas.openxmlformats.org/officeDocument/2006/relationships/theme" Target="theme/theme1.xml"/><Relationship Id="rId4" Type="http://schemas.openxmlformats.org/officeDocument/2006/relationships/endnotes" Target="endnotes.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K3RzynQV3HsNOUvkVP4KbKnwxQ==">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7B28F95D-5900-47BF-A54B-3A3492E4497C}"/>
</file>

<file path=customXml/itemProps3.xml><?xml version="1.0" encoding="utf-8"?>
<ds:datastoreItem xmlns:ds="http://schemas.openxmlformats.org/officeDocument/2006/customXml" ds:itemID="{B4C0981E-9581-45AE-9E06-FD20EF4CFA2C}"/>
</file>

<file path=docProps/app.xml><?xml version="1.0" encoding="utf-8"?>
<Properties xmlns="http://schemas.openxmlformats.org/officeDocument/2006/extended-properties" xmlns:vt="http://schemas.openxmlformats.org/officeDocument/2006/docPropsVTypes">
  <Pages>23</Pages>
  <TotalTime>6</TotalTime>
  <ScaleCrop>false</ScaleCrop>
  <LinksUpToDate>false</LinksUpToDate>
  <Application>WPS Office_12.2.0.17119_F1E327BC-269C-435d-A152-05C5408002CA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2024-07-11T08:11:00Z</dcterms:created>
  <dc:creator>Karina Yong</dc:creator>
  <cp:lastModifiedBy>karina.yong</cp:lastModifiedBy>
  <dcterms:modified xsi:type="dcterms:W3CDTF">2024-07-12T06:01:18Z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D50C3DD3401E4F5FBB1B7949D9990605_13</vt:lpwstr>
  </property>
</Properties>
</file>