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7822D" w14:textId="166AA7CA" w:rsidR="15D4A240" w:rsidRPr="00D57B58" w:rsidRDefault="15D4A240" w:rsidP="4E1F8FCD">
      <w:pPr>
        <w:jc w:val="center"/>
      </w:pPr>
      <w:bookmarkStart w:id="0" w:name="_GoBack"/>
      <w:bookmarkEnd w:id="0"/>
      <w:r w:rsidRPr="00D57B58">
        <w:rPr>
          <w:noProof/>
          <w:lang w:val="en-GB" w:eastAsia="en-GB"/>
        </w:rPr>
        <w:drawing>
          <wp:inline distT="0" distB="0" distL="0" distR="0" wp14:anchorId="7A1E29BB" wp14:editId="0BBDBC99">
            <wp:extent cx="1009650" cy="1009650"/>
            <wp:effectExtent l="0" t="0" r="0" b="0"/>
            <wp:docPr id="1458870301" name="Picture 1458870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inline>
        </w:drawing>
      </w:r>
    </w:p>
    <w:p w14:paraId="5BF9BCE0" w14:textId="77777777" w:rsidR="00716945" w:rsidRPr="00D57B58" w:rsidRDefault="00716945" w:rsidP="4E1F8FCD">
      <w:pPr>
        <w:jc w:val="center"/>
        <w:rPr>
          <w:rFonts w:eastAsiaTheme="minorEastAsia"/>
          <w:b/>
          <w:bCs/>
          <w:color w:val="000000" w:themeColor="text1"/>
        </w:rPr>
      </w:pPr>
    </w:p>
    <w:p w14:paraId="765F0FB6" w14:textId="27925E97" w:rsidR="00883FEF" w:rsidRDefault="00DF23D2" w:rsidP="00883FEF">
      <w:pPr>
        <w:jc w:val="center"/>
        <w:rPr>
          <w:rFonts w:eastAsiaTheme="minorEastAsia"/>
          <w:b/>
          <w:bCs/>
          <w:color w:val="000000" w:themeColor="text1"/>
        </w:rPr>
      </w:pPr>
      <w:r>
        <w:rPr>
          <w:rFonts w:eastAsiaTheme="minorEastAsia"/>
          <w:b/>
          <w:bCs/>
          <w:color w:val="000000" w:themeColor="text1"/>
        </w:rPr>
        <w:t xml:space="preserve">Submission by </w:t>
      </w:r>
      <w:r w:rsidR="15D4A240" w:rsidRPr="00D57B58">
        <w:rPr>
          <w:rFonts w:eastAsiaTheme="minorEastAsia"/>
          <w:b/>
          <w:bCs/>
          <w:color w:val="000000" w:themeColor="text1"/>
        </w:rPr>
        <w:t>Human Rights Watch to the Committee on Economic, Social and Cultural Right</w:t>
      </w:r>
      <w:r w:rsidR="00883FEF">
        <w:rPr>
          <w:rFonts w:eastAsiaTheme="minorEastAsia"/>
          <w:b/>
          <w:bCs/>
          <w:color w:val="000000" w:themeColor="text1"/>
        </w:rPr>
        <w:t xml:space="preserve">s </w:t>
      </w:r>
    </w:p>
    <w:p w14:paraId="31875FDB" w14:textId="401CAFD5" w:rsidR="00883FEF" w:rsidRDefault="00883FEF" w:rsidP="00883FEF">
      <w:pPr>
        <w:jc w:val="center"/>
        <w:rPr>
          <w:rFonts w:eastAsiaTheme="minorEastAsia"/>
          <w:b/>
          <w:bCs/>
          <w:color w:val="000000" w:themeColor="text1"/>
        </w:rPr>
      </w:pPr>
      <w:r>
        <w:rPr>
          <w:rFonts w:eastAsiaTheme="minorEastAsia"/>
          <w:b/>
          <w:bCs/>
          <w:color w:val="000000" w:themeColor="text1"/>
        </w:rPr>
        <w:t>In advance of its Adoption of the List of Issues for Panama</w:t>
      </w:r>
    </w:p>
    <w:p w14:paraId="026438CD" w14:textId="5C74A3D3" w:rsidR="15D4A240" w:rsidRPr="00883FEF" w:rsidRDefault="15D4A240" w:rsidP="4E1F8FCD">
      <w:pPr>
        <w:jc w:val="center"/>
        <w:rPr>
          <w:rFonts w:eastAsiaTheme="minorEastAsia"/>
          <w:b/>
          <w:bCs/>
          <w:color w:val="000000" w:themeColor="text1"/>
        </w:rPr>
      </w:pPr>
      <w:r w:rsidRPr="00883FEF">
        <w:rPr>
          <w:rFonts w:eastAsiaTheme="minorEastAsia"/>
          <w:b/>
          <w:bCs/>
          <w:color w:val="000000" w:themeColor="text1"/>
        </w:rPr>
        <w:t>68</w:t>
      </w:r>
      <w:r w:rsidRPr="00883FEF">
        <w:rPr>
          <w:rFonts w:eastAsiaTheme="minorEastAsia"/>
          <w:b/>
          <w:bCs/>
          <w:color w:val="000000" w:themeColor="text1"/>
          <w:vertAlign w:val="superscript"/>
        </w:rPr>
        <w:t>th</w:t>
      </w:r>
      <w:r w:rsidRPr="00883FEF">
        <w:rPr>
          <w:rFonts w:eastAsiaTheme="minorEastAsia"/>
          <w:b/>
          <w:bCs/>
          <w:color w:val="000000" w:themeColor="text1"/>
        </w:rPr>
        <w:t xml:space="preserve"> pre-session, </w:t>
      </w:r>
      <w:r w:rsidR="00883FEF">
        <w:rPr>
          <w:rFonts w:eastAsiaTheme="minorEastAsia"/>
          <w:b/>
          <w:bCs/>
          <w:color w:val="000000" w:themeColor="text1"/>
        </w:rPr>
        <w:t xml:space="preserve">January </w:t>
      </w:r>
      <w:r w:rsidRPr="00883FEF">
        <w:rPr>
          <w:rFonts w:eastAsiaTheme="minorEastAsia"/>
          <w:b/>
          <w:bCs/>
          <w:color w:val="000000" w:themeColor="text1"/>
        </w:rPr>
        <w:t>2021</w:t>
      </w:r>
    </w:p>
    <w:p w14:paraId="7AAB3B7D" w14:textId="1846A8CF" w:rsidR="15D4A240" w:rsidRPr="00D57B58" w:rsidRDefault="15D4A240" w:rsidP="4E1F8FCD">
      <w:pPr>
        <w:jc w:val="center"/>
        <w:rPr>
          <w:rFonts w:eastAsiaTheme="minorEastAsia"/>
          <w:b/>
          <w:bCs/>
          <w:i/>
          <w:iCs/>
          <w:color w:val="000000" w:themeColor="text1"/>
        </w:rPr>
      </w:pPr>
      <w:r w:rsidRPr="00D57B58">
        <w:rPr>
          <w:rFonts w:eastAsiaTheme="minorEastAsia"/>
          <w:b/>
          <w:bCs/>
          <w:i/>
          <w:iCs/>
          <w:color w:val="000000" w:themeColor="text1"/>
        </w:rPr>
        <w:t xml:space="preserve"> </w:t>
      </w:r>
    </w:p>
    <w:p w14:paraId="584AC7A2" w14:textId="74DD0C82" w:rsidR="15D4A240" w:rsidRPr="00D57B58" w:rsidRDefault="15D4A240" w:rsidP="4E1F8FCD">
      <w:pPr>
        <w:rPr>
          <w:rFonts w:eastAsiaTheme="minorEastAsia"/>
          <w:color w:val="000000" w:themeColor="text1"/>
        </w:rPr>
      </w:pPr>
      <w:r w:rsidRPr="00D57B58">
        <w:rPr>
          <w:rFonts w:eastAsiaTheme="minorEastAsia"/>
          <w:color w:val="000000" w:themeColor="text1"/>
        </w:rPr>
        <w:t xml:space="preserve">This submission relates to the review of Panama under the International Covenant on Economic, Social and Cultural Rights. It focuses on </w:t>
      </w:r>
      <w:r w:rsidR="61D1297C" w:rsidRPr="00D57B58">
        <w:rPr>
          <w:rFonts w:eastAsiaTheme="minorEastAsia"/>
          <w:color w:val="000000" w:themeColor="text1"/>
        </w:rPr>
        <w:t xml:space="preserve">legal gender recognition and the protection of education from attack. </w:t>
      </w:r>
    </w:p>
    <w:p w14:paraId="195D88DC" w14:textId="4BBEADA6" w:rsidR="4E1F8FCD" w:rsidRPr="00D57B58" w:rsidRDefault="4E1F8FCD" w:rsidP="4E1F8FCD">
      <w:pPr>
        <w:rPr>
          <w:rFonts w:eastAsiaTheme="minorEastAsia"/>
          <w:i/>
          <w:iCs/>
        </w:rPr>
      </w:pPr>
    </w:p>
    <w:p w14:paraId="412C12BB" w14:textId="70F8E4D7" w:rsidR="00D45D11" w:rsidRPr="0074096F" w:rsidRDefault="00D45D11" w:rsidP="0074096F">
      <w:pPr>
        <w:rPr>
          <w:rFonts w:eastAsiaTheme="minorEastAsia"/>
          <w:b/>
          <w:bCs/>
        </w:rPr>
      </w:pPr>
      <w:r w:rsidRPr="0074096F">
        <w:rPr>
          <w:rFonts w:eastAsiaTheme="minorEastAsia"/>
          <w:b/>
          <w:bCs/>
        </w:rPr>
        <w:t>Legal Gender Recognition</w:t>
      </w:r>
      <w:r w:rsidR="0074096F">
        <w:rPr>
          <w:rFonts w:eastAsiaTheme="minorEastAsia"/>
          <w:b/>
          <w:bCs/>
        </w:rPr>
        <w:t xml:space="preserve"> (arts. 2 and 12)</w:t>
      </w:r>
    </w:p>
    <w:p w14:paraId="674FF84C" w14:textId="01F57B5E" w:rsidR="00D45D11" w:rsidRPr="00D57B58" w:rsidRDefault="00D45D11" w:rsidP="4E1F8FCD">
      <w:pPr>
        <w:rPr>
          <w:rFonts w:eastAsiaTheme="minorEastAsia"/>
        </w:rPr>
      </w:pPr>
    </w:p>
    <w:p w14:paraId="7AEFD8BB" w14:textId="5E09B5C7" w:rsidR="00D45D11" w:rsidRPr="0074096F" w:rsidRDefault="00D7190D" w:rsidP="0074096F">
      <w:pPr>
        <w:rPr>
          <w:rFonts w:eastAsiaTheme="minorEastAsia"/>
          <w:b/>
          <w:bCs/>
          <w:i/>
          <w:iCs/>
        </w:rPr>
      </w:pPr>
      <w:r w:rsidRPr="00D57B58">
        <w:rPr>
          <w:rFonts w:eastAsiaTheme="minorEastAsia"/>
          <w:b/>
          <w:bCs/>
          <w:i/>
          <w:iCs/>
        </w:rPr>
        <w:t>Current Panama Policy</w:t>
      </w:r>
    </w:p>
    <w:p w14:paraId="6CEC887F" w14:textId="172F09F0" w:rsidR="00263903" w:rsidRPr="00D57B58" w:rsidRDefault="000B7085" w:rsidP="0074096F">
      <w:pPr>
        <w:jc w:val="both"/>
        <w:rPr>
          <w:rFonts w:eastAsiaTheme="minorEastAsia"/>
        </w:rPr>
      </w:pPr>
      <w:r w:rsidRPr="00D57B58">
        <w:rPr>
          <w:rFonts w:eastAsiaTheme="minorEastAsia"/>
        </w:rPr>
        <w:t>The procedure in Panama for changing an individual’s legal gender is regressive and harmful, requiring transgender people who want legal recognition to undergo invasive and irreversible medical procedures</w:t>
      </w:r>
      <w:r w:rsidR="00276BF3">
        <w:rPr>
          <w:rFonts w:eastAsiaTheme="minorEastAsia"/>
        </w:rPr>
        <w:t>, impacting their right to the highest attainable standard of health</w:t>
      </w:r>
      <w:r w:rsidRPr="00D57B58">
        <w:rPr>
          <w:rFonts w:eastAsiaTheme="minorEastAsia"/>
        </w:rPr>
        <w:t xml:space="preserve">. </w:t>
      </w:r>
    </w:p>
    <w:p w14:paraId="510C3964" w14:textId="77777777" w:rsidR="00263903" w:rsidRPr="00D57B58" w:rsidRDefault="00263903" w:rsidP="0074096F">
      <w:pPr>
        <w:jc w:val="both"/>
        <w:rPr>
          <w:rFonts w:eastAsiaTheme="minorEastAsia"/>
        </w:rPr>
      </w:pPr>
    </w:p>
    <w:p w14:paraId="48004701" w14:textId="6080FBE2" w:rsidR="00263903" w:rsidRPr="00D57B58" w:rsidRDefault="00D7190D" w:rsidP="0074096F">
      <w:pPr>
        <w:jc w:val="both"/>
        <w:rPr>
          <w:rFonts w:eastAsiaTheme="minorEastAsia"/>
        </w:rPr>
      </w:pPr>
      <w:r w:rsidRPr="00D57B58">
        <w:rPr>
          <w:rFonts w:eastAsiaTheme="minorEastAsia"/>
        </w:rPr>
        <w:t>Under Article 121 of the Civil Registry Law, th</w:t>
      </w:r>
      <w:r w:rsidR="000B7085" w:rsidRPr="00D57B58">
        <w:rPr>
          <w:rFonts w:eastAsiaTheme="minorEastAsia"/>
        </w:rPr>
        <w:t xml:space="preserve">e National Directorate of Civil Registry </w:t>
      </w:r>
      <w:r w:rsidRPr="00D57B58">
        <w:rPr>
          <w:rFonts w:eastAsiaTheme="minorEastAsia"/>
        </w:rPr>
        <w:t>can</w:t>
      </w:r>
      <w:r w:rsidR="000B7085" w:rsidRPr="00D57B58">
        <w:rPr>
          <w:rFonts w:eastAsiaTheme="minorEastAsia"/>
        </w:rPr>
        <w:t xml:space="preserve"> issue a correction of sex in a birth certificate only when the request is accompanied by a certificate from a forensic doctor that determines whether “the sex corresponds to the owner.”</w:t>
      </w:r>
      <w:r w:rsidR="00F95EFB" w:rsidRPr="00D57B58">
        <w:rPr>
          <w:rStyle w:val="FootnoteReference"/>
          <w:rFonts w:eastAsiaTheme="minorEastAsia"/>
        </w:rPr>
        <w:footnoteReference w:id="2"/>
      </w:r>
      <w:r w:rsidR="000B7085" w:rsidRPr="00D57B58">
        <w:rPr>
          <w:rFonts w:eastAsiaTheme="minorEastAsia"/>
        </w:rPr>
        <w:t xml:space="preserve"> </w:t>
      </w:r>
    </w:p>
    <w:p w14:paraId="144AA63A" w14:textId="77777777" w:rsidR="00263903" w:rsidRPr="00D57B58" w:rsidRDefault="00263903" w:rsidP="0074096F">
      <w:pPr>
        <w:jc w:val="both"/>
        <w:rPr>
          <w:rFonts w:eastAsiaTheme="minorEastAsia"/>
        </w:rPr>
      </w:pPr>
    </w:p>
    <w:p w14:paraId="194093B1" w14:textId="3B798436" w:rsidR="006C248F" w:rsidRPr="00D57B58" w:rsidRDefault="00276BF3" w:rsidP="0074096F">
      <w:pPr>
        <w:jc w:val="both"/>
        <w:rPr>
          <w:rFonts w:eastAsiaTheme="minorEastAsia"/>
        </w:rPr>
      </w:pPr>
      <w:r>
        <w:rPr>
          <w:rFonts w:eastAsiaTheme="minorEastAsia"/>
        </w:rPr>
        <w:t>T</w:t>
      </w:r>
      <w:r w:rsidR="007E5A76" w:rsidRPr="00D57B58">
        <w:rPr>
          <w:rFonts w:eastAsiaTheme="minorEastAsia"/>
        </w:rPr>
        <w:t>he absence of</w:t>
      </w:r>
      <w:r w:rsidR="00263903" w:rsidRPr="00D57B58">
        <w:rPr>
          <w:rFonts w:eastAsiaTheme="minorEastAsia"/>
        </w:rPr>
        <w:t xml:space="preserve"> human rights-compli</w:t>
      </w:r>
      <w:r w:rsidR="3E839D4F" w:rsidRPr="00D57B58">
        <w:rPr>
          <w:rFonts w:eastAsiaTheme="minorEastAsia"/>
        </w:rPr>
        <w:t>a</w:t>
      </w:r>
      <w:r w:rsidR="00263903" w:rsidRPr="00D57B58">
        <w:rPr>
          <w:rFonts w:eastAsiaTheme="minorEastAsia"/>
        </w:rPr>
        <w:t>nt</w:t>
      </w:r>
      <w:r w:rsidR="007E5A76" w:rsidRPr="00D57B58">
        <w:rPr>
          <w:rFonts w:eastAsiaTheme="minorEastAsia"/>
        </w:rPr>
        <w:t xml:space="preserve"> legal gender recognition </w:t>
      </w:r>
      <w:r w:rsidR="00263903" w:rsidRPr="00D57B58">
        <w:rPr>
          <w:rFonts w:eastAsiaTheme="minorEastAsia"/>
        </w:rPr>
        <w:t xml:space="preserve">in Panama </w:t>
      </w:r>
      <w:r w:rsidR="007E5A76" w:rsidRPr="00D57B58">
        <w:rPr>
          <w:rFonts w:eastAsiaTheme="minorEastAsia"/>
        </w:rPr>
        <w:t xml:space="preserve">means that </w:t>
      </w:r>
      <w:r w:rsidR="00263903" w:rsidRPr="00D57B58">
        <w:rPr>
          <w:rFonts w:eastAsiaTheme="minorEastAsia"/>
        </w:rPr>
        <w:t>many</w:t>
      </w:r>
      <w:r w:rsidR="007E5A76" w:rsidRPr="00D57B58">
        <w:rPr>
          <w:rFonts w:eastAsiaTheme="minorEastAsia"/>
        </w:rPr>
        <w:t xml:space="preserve"> transgender </w:t>
      </w:r>
      <w:r w:rsidR="00263903" w:rsidRPr="00D57B58">
        <w:rPr>
          <w:rFonts w:eastAsiaTheme="minorEastAsia"/>
        </w:rPr>
        <w:t>people</w:t>
      </w:r>
      <w:r w:rsidR="43B10602" w:rsidRPr="00D57B58">
        <w:rPr>
          <w:rFonts w:eastAsiaTheme="minorEastAsia"/>
        </w:rPr>
        <w:t>, when</w:t>
      </w:r>
      <w:r w:rsidR="007E5A76" w:rsidRPr="00D57B58">
        <w:rPr>
          <w:rFonts w:eastAsiaTheme="minorEastAsia"/>
        </w:rPr>
        <w:t xml:space="preserve"> required to present an identification document, risk being subjected to humiliation, discrimination, and even violence</w:t>
      </w:r>
      <w:r w:rsidR="00263903" w:rsidRPr="00D57B58">
        <w:rPr>
          <w:rFonts w:eastAsiaTheme="minorEastAsia"/>
        </w:rPr>
        <w:t xml:space="preserve"> on the part of both public and private individuals and institutions</w:t>
      </w:r>
      <w:r w:rsidR="007E5A76" w:rsidRPr="00D57B58">
        <w:rPr>
          <w:rFonts w:eastAsiaTheme="minorEastAsia"/>
        </w:rPr>
        <w:t xml:space="preserve">. </w:t>
      </w:r>
    </w:p>
    <w:p w14:paraId="78402248" w14:textId="77777777" w:rsidR="006C248F" w:rsidRPr="00D57B58" w:rsidRDefault="006C248F" w:rsidP="0074096F">
      <w:pPr>
        <w:jc w:val="both"/>
        <w:rPr>
          <w:rFonts w:eastAsiaTheme="minorEastAsia"/>
        </w:rPr>
      </w:pPr>
    </w:p>
    <w:p w14:paraId="4202FB4D" w14:textId="52881530" w:rsidR="000B7085" w:rsidRPr="00D57B58" w:rsidRDefault="006C248F" w:rsidP="0074096F">
      <w:pPr>
        <w:jc w:val="both"/>
        <w:rPr>
          <w:rFonts w:eastAsiaTheme="minorEastAsia"/>
        </w:rPr>
      </w:pPr>
      <w:r w:rsidRPr="00D57B58">
        <w:t>A recent</w:t>
      </w:r>
      <w:r w:rsidR="00716945" w:rsidRPr="00D57B58">
        <w:t xml:space="preserve"> high-profile</w:t>
      </w:r>
      <w:r w:rsidRPr="00D57B58">
        <w:t xml:space="preserve"> example of </w:t>
      </w:r>
      <w:r w:rsidR="00D321F1" w:rsidRPr="00D57B58">
        <w:t>such discrimination</w:t>
      </w:r>
      <w:r w:rsidRPr="00D57B58">
        <w:t xml:space="preserve"> has </w:t>
      </w:r>
      <w:r w:rsidR="00276BF3">
        <w:t>occurred</w:t>
      </w:r>
      <w:r w:rsidRPr="00D57B58">
        <w:t xml:space="preserve"> in the context of the government’s </w:t>
      </w:r>
      <w:r w:rsidR="005E3559" w:rsidRPr="00D57B58">
        <w:t>gender</w:t>
      </w:r>
      <w:r w:rsidRPr="00D57B58">
        <w:t xml:space="preserve">-based Covid-19 </w:t>
      </w:r>
      <w:r w:rsidR="005E3559" w:rsidRPr="00D57B58">
        <w:t>quarantine</w:t>
      </w:r>
      <w:r w:rsidR="00D321F1" w:rsidRPr="00D57B58">
        <w:t xml:space="preserve"> measures</w:t>
      </w:r>
      <w:r w:rsidRPr="00D57B58">
        <w:t xml:space="preserve">, </w:t>
      </w:r>
      <w:r w:rsidR="00276BF3">
        <w:t xml:space="preserve">which </w:t>
      </w:r>
      <w:r w:rsidRPr="00D57B58">
        <w:t>requir</w:t>
      </w:r>
      <w:r w:rsidR="00276BF3">
        <w:t>e</w:t>
      </w:r>
      <w:r w:rsidRPr="00D57B58">
        <w:t xml:space="preserve"> men and women to circulate on alternating days. </w:t>
      </w:r>
      <w:r w:rsidR="00276BF3">
        <w:t>A</w:t>
      </w:r>
      <w:r w:rsidRPr="00D57B58">
        <w:t xml:space="preserve">uthorities </w:t>
      </w:r>
      <w:r w:rsidR="00276BF3">
        <w:t xml:space="preserve">have </w:t>
      </w:r>
      <w:r w:rsidRPr="00D57B58">
        <w:t>subjected transgender people to humiliation, profiling, and arrests, including after identification checks, both when transgender people transited on days that reflected their gender identity and on days that reflected the sex marker on their identification cards</w:t>
      </w:r>
      <w:r w:rsidR="00716945" w:rsidRPr="00D57B58">
        <w:t>.</w:t>
      </w:r>
      <w:r w:rsidR="00716945" w:rsidRPr="00D57B58">
        <w:rPr>
          <w:rStyle w:val="FootnoteReference"/>
          <w:rFonts w:eastAsiaTheme="minorEastAsia"/>
        </w:rPr>
        <w:footnoteReference w:id="3"/>
      </w:r>
    </w:p>
    <w:p w14:paraId="11032383" w14:textId="74378316" w:rsidR="00E61699" w:rsidRPr="00D57B58" w:rsidRDefault="00E61699" w:rsidP="0074096F">
      <w:pPr>
        <w:jc w:val="both"/>
        <w:rPr>
          <w:rFonts w:eastAsiaTheme="minorEastAsia"/>
          <w:lang w:val="fr-FR"/>
        </w:rPr>
      </w:pPr>
    </w:p>
    <w:p w14:paraId="5D3D08C6" w14:textId="25E3A719" w:rsidR="00C2333A" w:rsidRPr="0074096F" w:rsidRDefault="004D331E" w:rsidP="0074096F">
      <w:pPr>
        <w:jc w:val="both"/>
        <w:rPr>
          <w:rFonts w:eastAsiaTheme="minorEastAsia"/>
        </w:rPr>
      </w:pPr>
      <w:r w:rsidRPr="00D57B58">
        <w:rPr>
          <w:rFonts w:eastAsiaTheme="minorEastAsia"/>
        </w:rPr>
        <w:t>Panama’s abusive preconditions for legal gender recognition violat</w:t>
      </w:r>
      <w:r w:rsidR="27E5D6B5" w:rsidRPr="00D57B58">
        <w:rPr>
          <w:rFonts w:eastAsiaTheme="minorEastAsia"/>
        </w:rPr>
        <w:t>e</w:t>
      </w:r>
      <w:r w:rsidRPr="00D57B58">
        <w:rPr>
          <w:rFonts w:eastAsiaTheme="minorEastAsia"/>
        </w:rPr>
        <w:t xml:space="preserve"> the right to be free from discrimination</w:t>
      </w:r>
      <w:r w:rsidR="7AEF4EA7" w:rsidRPr="00D57B58">
        <w:rPr>
          <w:rFonts w:eastAsiaTheme="minorEastAsia"/>
        </w:rPr>
        <w:t>,</w:t>
      </w:r>
      <w:r w:rsidRPr="00D57B58">
        <w:rPr>
          <w:rFonts w:eastAsiaTheme="minorEastAsia"/>
        </w:rPr>
        <w:t xml:space="preserve"> as</w:t>
      </w:r>
      <w:r w:rsidR="002660FE" w:rsidRPr="00D57B58">
        <w:rPr>
          <w:rFonts w:eastAsiaTheme="minorEastAsia"/>
        </w:rPr>
        <w:t xml:space="preserve"> </w:t>
      </w:r>
      <w:r w:rsidR="60FE9310" w:rsidRPr="00D57B58">
        <w:rPr>
          <w:rFonts w:eastAsiaTheme="minorEastAsia"/>
        </w:rPr>
        <w:t>they</w:t>
      </w:r>
      <w:r w:rsidRPr="00D57B58">
        <w:rPr>
          <w:rFonts w:eastAsiaTheme="minorEastAsia"/>
        </w:rPr>
        <w:t xml:space="preserve"> leave many transgender people without documents that reflect their identity. This exposes them to humiliation, discrimination, and even violence in their daily lives, including in sectors such as education, employment, health, and housing.</w:t>
      </w:r>
    </w:p>
    <w:p w14:paraId="7D9877E8" w14:textId="622EB1DC" w:rsidR="00C2333A" w:rsidRPr="00D57B58" w:rsidRDefault="00533325" w:rsidP="4E1F8FCD">
      <w:pPr>
        <w:rPr>
          <w:rFonts w:eastAsiaTheme="minorEastAsia"/>
        </w:rPr>
      </w:pPr>
      <w:r w:rsidRPr="00D57B58">
        <w:rPr>
          <w:rFonts w:eastAsiaTheme="minorEastAsia"/>
        </w:rPr>
        <w:lastRenderedPageBreak/>
        <w:t>Panama’s a</w:t>
      </w:r>
      <w:r w:rsidR="00C2333A" w:rsidRPr="00D57B58">
        <w:rPr>
          <w:rFonts w:eastAsiaTheme="minorEastAsia"/>
        </w:rPr>
        <w:t>busive</w:t>
      </w:r>
      <w:r w:rsidR="0070086A" w:rsidRPr="00D57B58">
        <w:rPr>
          <w:rFonts w:eastAsiaTheme="minorEastAsia"/>
        </w:rPr>
        <w:t xml:space="preserve"> medical requirements</w:t>
      </w:r>
      <w:r w:rsidR="00C2333A" w:rsidRPr="00D57B58">
        <w:rPr>
          <w:rFonts w:eastAsiaTheme="minorEastAsia"/>
        </w:rPr>
        <w:t xml:space="preserve"> </w:t>
      </w:r>
      <w:r w:rsidRPr="00D57B58">
        <w:rPr>
          <w:rFonts w:eastAsiaTheme="minorEastAsia"/>
        </w:rPr>
        <w:t>for</w:t>
      </w:r>
      <w:r w:rsidR="00C2333A" w:rsidRPr="00D57B58">
        <w:rPr>
          <w:rFonts w:eastAsiaTheme="minorEastAsia"/>
        </w:rPr>
        <w:t xml:space="preserve"> legal gender recognition may have a detrimental impact on the right</w:t>
      </w:r>
      <w:r w:rsidR="004D331E" w:rsidRPr="00D57B58">
        <w:rPr>
          <w:rFonts w:eastAsiaTheme="minorEastAsia"/>
        </w:rPr>
        <w:t xml:space="preserve"> to </w:t>
      </w:r>
      <w:r w:rsidR="00276BF3">
        <w:rPr>
          <w:rFonts w:eastAsiaTheme="minorEastAsia"/>
        </w:rPr>
        <w:t xml:space="preserve">the enjoyment of the highest attainable standard of </w:t>
      </w:r>
      <w:r w:rsidR="00C2333A" w:rsidRPr="00D57B58">
        <w:rPr>
          <w:rFonts w:eastAsiaTheme="minorEastAsia"/>
        </w:rPr>
        <w:t>physical and mental health</w:t>
      </w:r>
      <w:r w:rsidRPr="00D57B58">
        <w:rPr>
          <w:rFonts w:eastAsiaTheme="minorEastAsia"/>
        </w:rPr>
        <w:t xml:space="preserve"> as they may </w:t>
      </w:r>
      <w:r w:rsidR="00276BF3">
        <w:rPr>
          <w:rFonts w:eastAsiaTheme="minorEastAsia"/>
        </w:rPr>
        <w:t>contribute</w:t>
      </w:r>
      <w:r w:rsidRPr="00D57B58">
        <w:rPr>
          <w:rFonts w:eastAsiaTheme="minorEastAsia"/>
        </w:rPr>
        <w:t xml:space="preserve"> to, inter alia, </w:t>
      </w:r>
      <w:r w:rsidR="00366C92" w:rsidRPr="00D57B58">
        <w:rPr>
          <w:rFonts w:eastAsiaTheme="minorEastAsia"/>
        </w:rPr>
        <w:t xml:space="preserve">invasive surgeries, </w:t>
      </w:r>
      <w:r w:rsidR="004D331E" w:rsidRPr="00D57B58">
        <w:rPr>
          <w:rFonts w:eastAsiaTheme="minorEastAsia"/>
        </w:rPr>
        <w:t xml:space="preserve">forced </w:t>
      </w:r>
      <w:r w:rsidR="00C2333A" w:rsidRPr="00D57B58">
        <w:rPr>
          <w:rFonts w:eastAsiaTheme="minorEastAsia"/>
        </w:rPr>
        <w:t>sterilization</w:t>
      </w:r>
      <w:r w:rsidR="00366C92" w:rsidRPr="00D57B58">
        <w:rPr>
          <w:rFonts w:eastAsiaTheme="minorEastAsia"/>
        </w:rPr>
        <w:t>,</w:t>
      </w:r>
      <w:r w:rsidR="00D728BA" w:rsidRPr="00D57B58">
        <w:rPr>
          <w:rFonts w:eastAsiaTheme="minorEastAsia"/>
        </w:rPr>
        <w:t xml:space="preserve"> and</w:t>
      </w:r>
      <w:r w:rsidR="00C2333A" w:rsidRPr="00D57B58">
        <w:rPr>
          <w:rFonts w:eastAsiaTheme="minorEastAsia"/>
        </w:rPr>
        <w:t xml:space="preserve"> </w:t>
      </w:r>
      <w:r w:rsidR="0070086A" w:rsidRPr="00D57B58">
        <w:rPr>
          <w:rFonts w:eastAsiaTheme="minorEastAsia"/>
        </w:rPr>
        <w:t>trauma</w:t>
      </w:r>
      <w:r w:rsidRPr="00D57B58">
        <w:rPr>
          <w:rFonts w:eastAsiaTheme="minorEastAsia"/>
        </w:rPr>
        <w:t>.</w:t>
      </w:r>
    </w:p>
    <w:p w14:paraId="48296348" w14:textId="76D29513" w:rsidR="00D45D11" w:rsidRPr="00D57B58" w:rsidRDefault="00D45D11" w:rsidP="4E1F8FCD">
      <w:pPr>
        <w:rPr>
          <w:rFonts w:eastAsiaTheme="minorEastAsia"/>
        </w:rPr>
      </w:pPr>
    </w:p>
    <w:p w14:paraId="0FA5B80D" w14:textId="35639CF6" w:rsidR="00263903" w:rsidRPr="0074096F" w:rsidRDefault="0074096F" w:rsidP="0074096F">
      <w:pPr>
        <w:rPr>
          <w:rFonts w:eastAsiaTheme="minorEastAsia"/>
          <w:b/>
          <w:bCs/>
          <w:i/>
          <w:iCs/>
        </w:rPr>
      </w:pPr>
      <w:r>
        <w:rPr>
          <w:rFonts w:eastAsiaTheme="minorEastAsia"/>
          <w:b/>
          <w:bCs/>
          <w:i/>
          <w:iCs/>
        </w:rPr>
        <w:t>Human Rights Watch encourages the Committee to pose the following questions:</w:t>
      </w:r>
    </w:p>
    <w:p w14:paraId="0816E426" w14:textId="22830528" w:rsidR="00263903" w:rsidRPr="00D57B58" w:rsidRDefault="00263903" w:rsidP="4E1F8FCD">
      <w:pPr>
        <w:pStyle w:val="ListParagraph"/>
        <w:numPr>
          <w:ilvl w:val="0"/>
          <w:numId w:val="6"/>
        </w:numPr>
        <w:rPr>
          <w:rFonts w:eastAsiaTheme="minorEastAsia"/>
          <w:b/>
          <w:bCs/>
        </w:rPr>
      </w:pPr>
      <w:r w:rsidRPr="00D57B58">
        <w:rPr>
          <w:rFonts w:eastAsiaTheme="minorEastAsia"/>
        </w:rPr>
        <w:t xml:space="preserve">What steps is the government of Panama taking to </w:t>
      </w:r>
      <w:r w:rsidR="00C2333A" w:rsidRPr="00D57B58">
        <w:rPr>
          <w:rFonts w:eastAsiaTheme="minorEastAsia"/>
        </w:rPr>
        <w:t xml:space="preserve">provide transgender people a simple, administrative, and inexpensive mechanism to legally modify their gender on official documents? </w:t>
      </w:r>
    </w:p>
    <w:p w14:paraId="1769A687" w14:textId="7BF81FC8" w:rsidR="00C2333A" w:rsidRPr="00D57B58" w:rsidRDefault="00C2333A" w:rsidP="4E1F8FCD">
      <w:pPr>
        <w:pStyle w:val="ListParagraph"/>
        <w:numPr>
          <w:ilvl w:val="0"/>
          <w:numId w:val="6"/>
        </w:numPr>
        <w:rPr>
          <w:rFonts w:eastAsiaTheme="minorEastAsia"/>
          <w:b/>
          <w:bCs/>
        </w:rPr>
      </w:pPr>
      <w:r w:rsidRPr="00D57B58">
        <w:rPr>
          <w:rFonts w:eastAsiaTheme="minorEastAsia"/>
        </w:rPr>
        <w:t>What steps is the government taking to address discrimination on the basis of gender identity in sectors including, inter alia, education, employment, health, and housing?</w:t>
      </w:r>
    </w:p>
    <w:p w14:paraId="2A07E651" w14:textId="0C1B7B4F" w:rsidR="00D45D11" w:rsidRPr="00D57B58" w:rsidRDefault="00D45D11" w:rsidP="4E1F8FCD">
      <w:pPr>
        <w:rPr>
          <w:rFonts w:eastAsiaTheme="minorEastAsia"/>
        </w:rPr>
      </w:pPr>
    </w:p>
    <w:p w14:paraId="6A6A0818" w14:textId="499B614F" w:rsidR="007E5A76" w:rsidRPr="0074096F" w:rsidRDefault="0074096F" w:rsidP="0074096F">
      <w:pPr>
        <w:rPr>
          <w:rFonts w:eastAsiaTheme="minorEastAsia"/>
          <w:b/>
          <w:bCs/>
          <w:i/>
          <w:iCs/>
        </w:rPr>
      </w:pPr>
      <w:r>
        <w:rPr>
          <w:rFonts w:eastAsiaTheme="minorEastAsia"/>
          <w:b/>
          <w:bCs/>
          <w:i/>
          <w:iCs/>
        </w:rPr>
        <w:t>Human Rights Watch encourages the Committee to make the following r</w:t>
      </w:r>
      <w:r w:rsidR="00D45D11" w:rsidRPr="00D57B58">
        <w:rPr>
          <w:rFonts w:eastAsiaTheme="minorEastAsia"/>
          <w:b/>
          <w:bCs/>
          <w:i/>
          <w:iCs/>
        </w:rPr>
        <w:t>ecommendations</w:t>
      </w:r>
      <w:r>
        <w:rPr>
          <w:rFonts w:eastAsiaTheme="minorEastAsia"/>
          <w:b/>
          <w:bCs/>
          <w:i/>
          <w:iCs/>
        </w:rPr>
        <w:t xml:space="preserve"> to the government of Panama:</w:t>
      </w:r>
    </w:p>
    <w:p w14:paraId="501FD161" w14:textId="6AB8B8FF" w:rsidR="007E5A76" w:rsidRPr="00D57B58" w:rsidRDefault="00C2333A" w:rsidP="4E1F8FCD">
      <w:pPr>
        <w:pStyle w:val="ListParagraph"/>
        <w:numPr>
          <w:ilvl w:val="0"/>
          <w:numId w:val="5"/>
        </w:numPr>
        <w:rPr>
          <w:rFonts w:eastAsiaTheme="minorEastAsia"/>
        </w:rPr>
      </w:pPr>
      <w:r w:rsidRPr="00D57B58">
        <w:rPr>
          <w:rFonts w:eastAsiaTheme="minorEastAsia"/>
        </w:rPr>
        <w:t>R</w:t>
      </w:r>
      <w:r w:rsidR="007E5A76" w:rsidRPr="00D57B58">
        <w:rPr>
          <w:rFonts w:eastAsiaTheme="minorEastAsia"/>
        </w:rPr>
        <w:t>e</w:t>
      </w:r>
      <w:r w:rsidR="00263903" w:rsidRPr="00D57B58">
        <w:rPr>
          <w:rFonts w:eastAsiaTheme="minorEastAsia"/>
        </w:rPr>
        <w:t>form or repeal</w:t>
      </w:r>
      <w:r w:rsidR="007E5A76" w:rsidRPr="00D57B58">
        <w:rPr>
          <w:rFonts w:eastAsiaTheme="minorEastAsia"/>
        </w:rPr>
        <w:t xml:space="preserve"> Article 121 of the Civil Registry Law requiring a certificate from a forensic doctor that determines whether “the sex corresponds to the owner”</w:t>
      </w:r>
      <w:r w:rsidR="00263903" w:rsidRPr="00D57B58">
        <w:rPr>
          <w:rFonts w:eastAsiaTheme="minorEastAsia"/>
        </w:rPr>
        <w:t xml:space="preserve"> to issue a correction of sex in a birth certificate.</w:t>
      </w:r>
    </w:p>
    <w:p w14:paraId="3A51C676" w14:textId="27192A4E" w:rsidR="007E5A76" w:rsidRPr="00D57B58" w:rsidRDefault="00C2333A" w:rsidP="4E1F8FCD">
      <w:pPr>
        <w:pStyle w:val="ListParagraph"/>
        <w:numPr>
          <w:ilvl w:val="0"/>
          <w:numId w:val="5"/>
        </w:numPr>
        <w:rPr>
          <w:rFonts w:eastAsiaTheme="minorEastAsia"/>
        </w:rPr>
      </w:pPr>
      <w:r w:rsidRPr="00D57B58">
        <w:rPr>
          <w:rFonts w:eastAsiaTheme="minorEastAsia"/>
        </w:rPr>
        <w:t>P</w:t>
      </w:r>
      <w:r w:rsidR="007E5A76" w:rsidRPr="00D57B58">
        <w:rPr>
          <w:rFonts w:eastAsiaTheme="minorEastAsia"/>
        </w:rPr>
        <w:t>ass a gender identity law that allow</w:t>
      </w:r>
      <w:r w:rsidR="003A749D">
        <w:rPr>
          <w:rFonts w:eastAsiaTheme="minorEastAsia"/>
        </w:rPr>
        <w:t>s</w:t>
      </w:r>
      <w:r w:rsidR="007E5A76" w:rsidRPr="00D57B58">
        <w:rPr>
          <w:rFonts w:eastAsiaTheme="minorEastAsia"/>
        </w:rPr>
        <w:t xml:space="preserve"> people to change the sex markers on their official documents through a simple, administrative process, such as filing an application at the Civil Registry. Legal gender recognition should not include burdensome requirements that violate rights, such as a requirement to undergo divorce, surgery, or psychiatric evaluation before changing one’s gender.</w:t>
      </w:r>
    </w:p>
    <w:p w14:paraId="4B931947" w14:textId="16CFD7A9" w:rsidR="00C2333A" w:rsidRPr="00D57B58" w:rsidRDefault="00C2333A" w:rsidP="4E1F8FCD">
      <w:pPr>
        <w:pStyle w:val="ListParagraph"/>
        <w:numPr>
          <w:ilvl w:val="0"/>
          <w:numId w:val="5"/>
        </w:numPr>
        <w:rPr>
          <w:rFonts w:eastAsiaTheme="minorEastAsia"/>
        </w:rPr>
      </w:pPr>
      <w:r w:rsidRPr="00D57B58">
        <w:rPr>
          <w:rFonts w:eastAsiaTheme="minorEastAsia"/>
        </w:rPr>
        <w:t xml:space="preserve">Pass comprehensive civil non-discrimination legislation that explicitly includes gender identity as </w:t>
      </w:r>
      <w:r w:rsidR="4BBF92C1" w:rsidRPr="00D57B58">
        <w:rPr>
          <w:rFonts w:eastAsiaTheme="minorEastAsia"/>
        </w:rPr>
        <w:t xml:space="preserve">a </w:t>
      </w:r>
      <w:r w:rsidRPr="00D57B58">
        <w:rPr>
          <w:rFonts w:eastAsiaTheme="minorEastAsia"/>
        </w:rPr>
        <w:t>protected class and that covers sectors including, inter alia, education, employment, health and housing, and ensure that any existing civil non-discrimination legislation is also applicable to discrimination on the grounds of gender identity</w:t>
      </w:r>
      <w:r w:rsidR="6633A770" w:rsidRPr="00D57B58">
        <w:rPr>
          <w:rFonts w:eastAsiaTheme="minorEastAsia"/>
        </w:rPr>
        <w:t xml:space="preserve"> and sexual orientation</w:t>
      </w:r>
      <w:r w:rsidRPr="00D57B58">
        <w:rPr>
          <w:rFonts w:eastAsiaTheme="minorEastAsia"/>
        </w:rPr>
        <w:t>.</w:t>
      </w:r>
    </w:p>
    <w:p w14:paraId="14C5386A" w14:textId="2E7B7F95" w:rsidR="00B97349" w:rsidRPr="00D57B58" w:rsidRDefault="00B97349" w:rsidP="00B97349">
      <w:pPr>
        <w:pStyle w:val="ListParagraph"/>
        <w:numPr>
          <w:ilvl w:val="0"/>
          <w:numId w:val="5"/>
        </w:numPr>
      </w:pPr>
      <w:r w:rsidRPr="00D57B58">
        <w:rPr>
          <w:rFonts w:eastAsiaTheme="minorEastAsia"/>
        </w:rPr>
        <w:t xml:space="preserve">Refrain from implementing policies that discriminate against transgender people, including, for example, the </w:t>
      </w:r>
      <w:r w:rsidR="005E3559" w:rsidRPr="00D57B58">
        <w:rPr>
          <w:rFonts w:eastAsiaTheme="minorEastAsia"/>
        </w:rPr>
        <w:t>gender-based quarantine</w:t>
      </w:r>
      <w:r w:rsidRPr="00D57B58">
        <w:rPr>
          <w:rFonts w:eastAsiaTheme="minorEastAsia"/>
        </w:rPr>
        <w:t xml:space="preserve"> measures relied upon during the Covid-19 pandemic.</w:t>
      </w:r>
    </w:p>
    <w:p w14:paraId="78CAEED3" w14:textId="47B391E4" w:rsidR="00263903" w:rsidRPr="00D57B58" w:rsidRDefault="00366C92" w:rsidP="4E1F8FCD">
      <w:pPr>
        <w:pStyle w:val="ListParagraph"/>
        <w:numPr>
          <w:ilvl w:val="0"/>
          <w:numId w:val="5"/>
        </w:numPr>
        <w:rPr>
          <w:rFonts w:eastAsiaTheme="minorEastAsia"/>
        </w:rPr>
      </w:pPr>
      <w:r w:rsidRPr="00D57B58">
        <w:rPr>
          <w:rFonts w:eastAsiaTheme="minorEastAsia"/>
        </w:rPr>
        <w:t>S</w:t>
      </w:r>
      <w:r w:rsidR="00263903" w:rsidRPr="00D57B58">
        <w:rPr>
          <w:rFonts w:eastAsiaTheme="minorEastAsia"/>
        </w:rPr>
        <w:t>trengthen efforts to eliminate negative stereotypes and stigmatization of transgender persons, including through awareness-raising campaigns for the public, health-care providers, social workers, law enforcement and other public officials.</w:t>
      </w:r>
    </w:p>
    <w:p w14:paraId="0CCF6E1C" w14:textId="414A768D" w:rsidR="4E1F8FCD" w:rsidRPr="00D57B58" w:rsidRDefault="4E1F8FCD" w:rsidP="4E1F8FCD">
      <w:pPr>
        <w:rPr>
          <w:rFonts w:eastAsiaTheme="minorEastAsia"/>
        </w:rPr>
      </w:pPr>
    </w:p>
    <w:p w14:paraId="6F801E9B" w14:textId="04B2EAE8" w:rsidR="4E1F8FCD" w:rsidRDefault="00263903" w:rsidP="0074096F">
      <w:pPr>
        <w:rPr>
          <w:rFonts w:eastAsiaTheme="minorEastAsia"/>
          <w:b/>
          <w:bCs/>
        </w:rPr>
      </w:pPr>
      <w:r w:rsidRPr="0074096F">
        <w:rPr>
          <w:rFonts w:eastAsiaTheme="minorEastAsia"/>
          <w:b/>
          <w:bCs/>
        </w:rPr>
        <w:t>The Protection of Students, Teachers, and Schools in Situations of Armed Conflict</w:t>
      </w:r>
      <w:r w:rsidR="0074096F">
        <w:rPr>
          <w:rFonts w:eastAsiaTheme="minorEastAsia"/>
          <w:b/>
          <w:bCs/>
        </w:rPr>
        <w:t xml:space="preserve"> (art. 13)</w:t>
      </w:r>
    </w:p>
    <w:p w14:paraId="7E13D2F9" w14:textId="77777777" w:rsidR="0074096F" w:rsidRPr="0074096F" w:rsidRDefault="0074096F" w:rsidP="0074096F">
      <w:pPr>
        <w:rPr>
          <w:rFonts w:eastAsiaTheme="minorEastAsia"/>
          <w:b/>
          <w:bCs/>
        </w:rPr>
      </w:pPr>
    </w:p>
    <w:p w14:paraId="698FC46A" w14:textId="35D2B47C" w:rsidR="5EA4FAD7" w:rsidRPr="00D57B58" w:rsidRDefault="5EA4FAD7" w:rsidP="0074096F">
      <w:pPr>
        <w:jc w:val="both"/>
        <w:rPr>
          <w:rFonts w:eastAsiaTheme="minorEastAsia"/>
          <w:color w:val="000000" w:themeColor="text1"/>
          <w:u w:val="single"/>
          <w:vertAlign w:val="superscript"/>
        </w:rPr>
      </w:pPr>
      <w:r w:rsidRPr="00D57B58">
        <w:rPr>
          <w:rFonts w:eastAsiaTheme="minorEastAsia"/>
          <w:color w:val="000000" w:themeColor="text1"/>
        </w:rPr>
        <w:t>In June 2015, Panama became the 41</w:t>
      </w:r>
      <w:r w:rsidRPr="00D57B58">
        <w:rPr>
          <w:rFonts w:eastAsiaTheme="minorEastAsia"/>
          <w:color w:val="000000" w:themeColor="text1"/>
          <w:vertAlign w:val="superscript"/>
        </w:rPr>
        <w:t>st</w:t>
      </w:r>
      <w:r w:rsidRPr="00D57B58">
        <w:rPr>
          <w:rFonts w:eastAsiaTheme="minorEastAsia"/>
          <w:color w:val="000000" w:themeColor="text1"/>
        </w:rPr>
        <w:t xml:space="preserve"> country to endorse the Safe Schools Declaration</w:t>
      </w:r>
      <w:r w:rsidRPr="00D57B58">
        <w:rPr>
          <w:rStyle w:val="FootnoteReference"/>
          <w:rFonts w:eastAsiaTheme="minorEastAsia"/>
          <w:color w:val="000000" w:themeColor="text1"/>
        </w:rPr>
        <w:footnoteReference w:id="4"/>
      </w:r>
      <w:r w:rsidRPr="00D57B58">
        <w:rPr>
          <w:rFonts w:eastAsiaTheme="minorEastAsia"/>
          <w:color w:val="000000" w:themeColor="text1"/>
        </w:rPr>
        <w:t xml:space="preserve"> and thereby committed to using the Guidelines for Protecting Schools and Universities from Military Use during Armed Conflict as a practical tool to guide their behavior during relevant security operations.</w:t>
      </w:r>
      <w:r w:rsidRPr="00D57B58">
        <w:rPr>
          <w:rStyle w:val="FootnoteReference"/>
          <w:rFonts w:eastAsiaTheme="minorEastAsia"/>
          <w:color w:val="000000" w:themeColor="text1"/>
          <w:u w:val="single"/>
        </w:rPr>
        <w:footnoteReference w:id="5"/>
      </w:r>
    </w:p>
    <w:p w14:paraId="0A0ECD2D" w14:textId="2D899A94" w:rsidR="5EA4FAD7" w:rsidRPr="00D57B58" w:rsidRDefault="5EA4FAD7" w:rsidP="0074096F">
      <w:pPr>
        <w:jc w:val="both"/>
        <w:rPr>
          <w:rFonts w:eastAsiaTheme="minorEastAsia"/>
          <w:color w:val="000000" w:themeColor="text1"/>
        </w:rPr>
      </w:pPr>
      <w:r w:rsidRPr="00D57B58">
        <w:rPr>
          <w:rFonts w:eastAsiaTheme="minorEastAsia"/>
          <w:color w:val="000000" w:themeColor="text1"/>
        </w:rPr>
        <w:t xml:space="preserve"> </w:t>
      </w:r>
    </w:p>
    <w:p w14:paraId="50748D59" w14:textId="63023EB9" w:rsidR="5EA4FAD7" w:rsidRPr="00D57B58" w:rsidRDefault="5EA4FAD7" w:rsidP="0074096F">
      <w:pPr>
        <w:jc w:val="both"/>
        <w:rPr>
          <w:rFonts w:eastAsiaTheme="minorEastAsia"/>
          <w:color w:val="000000" w:themeColor="text1"/>
        </w:rPr>
      </w:pPr>
      <w:r w:rsidRPr="00D57B58">
        <w:rPr>
          <w:rFonts w:eastAsiaTheme="minorEastAsia"/>
          <w:color w:val="000000" w:themeColor="text1"/>
        </w:rPr>
        <w:t xml:space="preserve">Panama has also been very supportive of children in armed conflict and has promoted the protection of students, teachers, and schools. In December 2017, Panama hosted the ‘Latin America Regional Implementation Workshop’ on how to protect students, teachers, and schools from attack and schools from military use, that was attended by representatives from ten Latin American states that had already endorsed the Safe Schools Declaration. The state representatives comprised of the ministries of defense, </w:t>
      </w:r>
      <w:r w:rsidRPr="00D57B58">
        <w:rPr>
          <w:rFonts w:eastAsiaTheme="minorEastAsia"/>
          <w:color w:val="000000" w:themeColor="text1"/>
        </w:rPr>
        <w:lastRenderedPageBreak/>
        <w:t>foreign affairs, public security, and national armed forces, together with regional and international peacekeeping and education experts. They exchanged practices and discussed ways in which their governments can meet the commitments made in the Safe Schools Declaration.</w:t>
      </w:r>
      <w:r w:rsidRPr="00D57B58">
        <w:rPr>
          <w:rStyle w:val="FootnoteReference"/>
          <w:rFonts w:eastAsiaTheme="minorEastAsia"/>
          <w:color w:val="000000" w:themeColor="text1"/>
          <w:u w:val="single"/>
        </w:rPr>
        <w:footnoteReference w:id="6"/>
      </w:r>
    </w:p>
    <w:p w14:paraId="36CAFFFB" w14:textId="599191D1" w:rsidR="003A749D" w:rsidRPr="00D57B58" w:rsidRDefault="5EA4FAD7" w:rsidP="0074096F">
      <w:pPr>
        <w:rPr>
          <w:rFonts w:eastAsiaTheme="minorEastAsia"/>
          <w:color w:val="000000" w:themeColor="text1"/>
        </w:rPr>
      </w:pPr>
      <w:r w:rsidRPr="00D57B58">
        <w:rPr>
          <w:rFonts w:eastAsiaTheme="minorEastAsia"/>
          <w:color w:val="000000" w:themeColor="text1"/>
        </w:rPr>
        <w:t xml:space="preserve"> </w:t>
      </w:r>
    </w:p>
    <w:p w14:paraId="4C2684B3" w14:textId="6368B87E" w:rsidR="5EA4FAD7" w:rsidRPr="0074096F" w:rsidRDefault="0074096F" w:rsidP="0074096F">
      <w:pPr>
        <w:rPr>
          <w:rFonts w:eastAsiaTheme="minorEastAsia"/>
          <w:b/>
          <w:bCs/>
          <w:i/>
          <w:iCs/>
        </w:rPr>
      </w:pPr>
      <w:r>
        <w:rPr>
          <w:rFonts w:eastAsiaTheme="minorEastAsia"/>
          <w:b/>
          <w:bCs/>
          <w:i/>
          <w:iCs/>
        </w:rPr>
        <w:t>Human Rights Watch encourages the Committee to make the following r</w:t>
      </w:r>
      <w:r w:rsidRPr="00D57B58">
        <w:rPr>
          <w:rFonts w:eastAsiaTheme="minorEastAsia"/>
          <w:b/>
          <w:bCs/>
          <w:i/>
          <w:iCs/>
        </w:rPr>
        <w:t>ecommendations</w:t>
      </w:r>
      <w:r>
        <w:rPr>
          <w:rFonts w:eastAsiaTheme="minorEastAsia"/>
          <w:b/>
          <w:bCs/>
          <w:i/>
          <w:iCs/>
        </w:rPr>
        <w:t xml:space="preserve"> to the government of Panama:</w:t>
      </w:r>
      <w:r w:rsidR="5EA4FAD7" w:rsidRPr="00D57B58">
        <w:rPr>
          <w:rFonts w:eastAsiaTheme="minorEastAsia"/>
          <w:color w:val="000000" w:themeColor="text1"/>
        </w:rPr>
        <w:t xml:space="preserve"> </w:t>
      </w:r>
    </w:p>
    <w:p w14:paraId="5EBD4FC2" w14:textId="27BEA3F5" w:rsidR="5EA4FAD7" w:rsidRPr="00D57B58" w:rsidRDefault="5EA4FAD7" w:rsidP="4E1F8FCD">
      <w:pPr>
        <w:pStyle w:val="ListParagraph"/>
        <w:numPr>
          <w:ilvl w:val="0"/>
          <w:numId w:val="7"/>
        </w:numPr>
        <w:rPr>
          <w:rFonts w:eastAsiaTheme="minorEastAsia"/>
          <w:color w:val="000000" w:themeColor="text1"/>
        </w:rPr>
      </w:pPr>
      <w:r w:rsidRPr="00D57B58">
        <w:rPr>
          <w:rFonts w:eastAsiaTheme="minorEastAsia"/>
          <w:color w:val="000000" w:themeColor="text1"/>
        </w:rPr>
        <w:t>Commend Panama for its endorsement of the Safe Schools Declaration and the Guidelines for Protecting Schools and Universities from Military Use during Armed Conflict;</w:t>
      </w:r>
    </w:p>
    <w:p w14:paraId="140A62D7" w14:textId="49F1554C" w:rsidR="5EA4FAD7" w:rsidRPr="00D57B58" w:rsidRDefault="5EA4FAD7" w:rsidP="4E1F8FCD">
      <w:pPr>
        <w:pStyle w:val="ListParagraph"/>
        <w:numPr>
          <w:ilvl w:val="0"/>
          <w:numId w:val="7"/>
        </w:numPr>
        <w:rPr>
          <w:rFonts w:eastAsiaTheme="minorEastAsia"/>
          <w:color w:val="000000" w:themeColor="text1"/>
        </w:rPr>
      </w:pPr>
      <w:r w:rsidRPr="00D57B58">
        <w:rPr>
          <w:rFonts w:eastAsiaTheme="minorEastAsia"/>
          <w:color w:val="000000" w:themeColor="text1"/>
        </w:rPr>
        <w:t>Encourage Panama to continue to develop and share examples of its implementation of the Declaration’s commitments with this Committee and with other countries that have endorsed the Safe Schools Declaration—particularly during the 2021 Fourth International Safe Schools Conference in Nigeria—as examples of good practice in protecting students, teachers, and schools during armed conflict.</w:t>
      </w:r>
    </w:p>
    <w:p w14:paraId="747A1960" w14:textId="73BBD4E5" w:rsidR="5EA4FAD7" w:rsidRDefault="5EA4FAD7">
      <w:r w:rsidRPr="4E1F8FCD">
        <w:rPr>
          <w:rFonts w:ascii="Times New Roman" w:eastAsia="Times New Roman" w:hAnsi="Times New Roman" w:cs="Times New Roman"/>
          <w:color w:val="000000" w:themeColor="text1"/>
        </w:rPr>
        <w:t xml:space="preserve"> </w:t>
      </w:r>
    </w:p>
    <w:p w14:paraId="7AC1702F" w14:textId="7CFDF388" w:rsidR="5EA4FAD7" w:rsidRDefault="5EA4FAD7">
      <w:r w:rsidRPr="4E1F8FCD">
        <w:rPr>
          <w:rFonts w:ascii="Times New Roman" w:eastAsia="Times New Roman" w:hAnsi="Times New Roman" w:cs="Times New Roman"/>
          <w:color w:val="000000" w:themeColor="text1"/>
        </w:rPr>
        <w:t xml:space="preserve"> </w:t>
      </w:r>
    </w:p>
    <w:p w14:paraId="3B236F8A" w14:textId="6ABC975D" w:rsidR="4E1F8FCD" w:rsidRDefault="4E1F8FCD" w:rsidP="4E1F8FCD">
      <w:pPr>
        <w:rPr>
          <w:b/>
          <w:bCs/>
          <w:u w:val="single"/>
        </w:rPr>
      </w:pPr>
    </w:p>
    <w:sectPr w:rsidR="4E1F8FC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B056F" w14:textId="77777777" w:rsidR="004E7105" w:rsidRDefault="004E7105" w:rsidP="005D75EC">
      <w:r>
        <w:separator/>
      </w:r>
    </w:p>
  </w:endnote>
  <w:endnote w:type="continuationSeparator" w:id="0">
    <w:p w14:paraId="5CC9A903" w14:textId="77777777" w:rsidR="004E7105" w:rsidRDefault="004E7105" w:rsidP="005D75EC">
      <w:r>
        <w:continuationSeparator/>
      </w:r>
    </w:p>
  </w:endnote>
  <w:endnote w:type="continuationNotice" w:id="1">
    <w:p w14:paraId="3DD1CD54" w14:textId="77777777" w:rsidR="004E7105" w:rsidRDefault="004E71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93400"/>
      <w:docPartObj>
        <w:docPartGallery w:val="Page Numbers (Bottom of Page)"/>
        <w:docPartUnique/>
      </w:docPartObj>
    </w:sdtPr>
    <w:sdtEndPr>
      <w:rPr>
        <w:noProof/>
      </w:rPr>
    </w:sdtEndPr>
    <w:sdtContent>
      <w:p w14:paraId="1CA36633" w14:textId="010F45DB" w:rsidR="00195E2B" w:rsidRDefault="00195E2B">
        <w:pPr>
          <w:pStyle w:val="Footer"/>
          <w:jc w:val="right"/>
        </w:pPr>
        <w:r>
          <w:fldChar w:fldCharType="begin"/>
        </w:r>
        <w:r>
          <w:instrText xml:space="preserve"> PAGE   \* MERGEFORMAT </w:instrText>
        </w:r>
        <w:r>
          <w:fldChar w:fldCharType="separate"/>
        </w:r>
        <w:r w:rsidR="00C26BDF">
          <w:rPr>
            <w:noProof/>
          </w:rPr>
          <w:t>1</w:t>
        </w:r>
        <w:r>
          <w:rPr>
            <w:noProof/>
          </w:rPr>
          <w:fldChar w:fldCharType="end"/>
        </w:r>
      </w:p>
    </w:sdtContent>
  </w:sdt>
  <w:p w14:paraId="2E77F651" w14:textId="77777777" w:rsidR="00195E2B" w:rsidRDefault="00195E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EE691" w14:textId="77777777" w:rsidR="004E7105" w:rsidRDefault="004E7105" w:rsidP="005D75EC">
      <w:r>
        <w:separator/>
      </w:r>
    </w:p>
  </w:footnote>
  <w:footnote w:type="continuationSeparator" w:id="0">
    <w:p w14:paraId="4BD5F8CC" w14:textId="77777777" w:rsidR="004E7105" w:rsidRDefault="004E7105" w:rsidP="005D75EC">
      <w:r>
        <w:continuationSeparator/>
      </w:r>
    </w:p>
  </w:footnote>
  <w:footnote w:type="continuationNotice" w:id="1">
    <w:p w14:paraId="789A3FCE" w14:textId="77777777" w:rsidR="004E7105" w:rsidRDefault="004E7105"/>
  </w:footnote>
  <w:footnote w:id="2">
    <w:p w14:paraId="73DF2E57" w14:textId="2941B5CD" w:rsidR="00F95EFB" w:rsidRPr="00ED2577" w:rsidRDefault="00F95EFB">
      <w:pPr>
        <w:pStyle w:val="FootnoteText"/>
      </w:pPr>
      <w:r>
        <w:rPr>
          <w:rStyle w:val="FootnoteReference"/>
        </w:rPr>
        <w:footnoteRef/>
      </w:r>
      <w:r w:rsidR="006A1775" w:rsidRPr="00ED2577">
        <w:t xml:space="preserve"> Civil Registry Law</w:t>
      </w:r>
      <w:r w:rsidR="001456E5" w:rsidRPr="00ED2577">
        <w:t xml:space="preserve"> (</w:t>
      </w:r>
      <w:r w:rsidR="001456E5" w:rsidRPr="00ED2577">
        <w:rPr>
          <w:i/>
          <w:iCs/>
        </w:rPr>
        <w:t>Ley del Registro Civil</w:t>
      </w:r>
      <w:r w:rsidR="001456E5" w:rsidRPr="00ED2577">
        <w:t>),</w:t>
      </w:r>
      <w:r w:rsidR="00E754D8" w:rsidRPr="00ED2577">
        <w:t xml:space="preserve"> </w:t>
      </w:r>
      <w:r w:rsidR="00ED2577" w:rsidRPr="00ED2577">
        <w:t>Electoral Tribunal, Government of Pa</w:t>
      </w:r>
      <w:r w:rsidR="00ED2577">
        <w:t xml:space="preserve">nama, available at, </w:t>
      </w:r>
      <w:hyperlink r:id="rId1" w:history="1">
        <w:r w:rsidR="00ED2577" w:rsidRPr="00721ED6">
          <w:rPr>
            <w:rStyle w:val="Hyperlink"/>
          </w:rPr>
          <w:t>https://www.tribunal-electoral.gob.pa/wp-content/uploads/2017/06/Texto_U_nico_-_Ley_31_y_Ley_17_de_22_de_mayo_de_2007.pdf</w:t>
        </w:r>
      </w:hyperlink>
      <w:r w:rsidR="003B7EFB" w:rsidRPr="00ED2577">
        <w:t xml:space="preserve"> </w:t>
      </w:r>
    </w:p>
  </w:footnote>
  <w:footnote w:id="3">
    <w:p w14:paraId="4DD098EB" w14:textId="77777777" w:rsidR="00716945" w:rsidRDefault="00716945" w:rsidP="00716945">
      <w:pPr>
        <w:pStyle w:val="FootnoteText"/>
      </w:pPr>
      <w:r>
        <w:rPr>
          <w:rStyle w:val="FootnoteReference"/>
        </w:rPr>
        <w:footnoteRef/>
      </w:r>
      <w:r>
        <w:t xml:space="preserve"> To read some of Human Rights Watch’s documentation of these cases, please see “</w:t>
      </w:r>
      <w:r w:rsidRPr="00FE5BC2">
        <w:t>Panama: New Trans Discrimination Cases Under Covid-19 Measures</w:t>
      </w:r>
      <w:r>
        <w:t xml:space="preserve">,” Human Rights Watch news release, July 13, 2020, </w:t>
      </w:r>
      <w:hyperlink r:id="rId2" w:history="1">
        <w:r w:rsidRPr="00721ED6">
          <w:rPr>
            <w:rStyle w:val="Hyperlink"/>
          </w:rPr>
          <w:t>https://www.hrw.org/news/2020/07/13/panama-new-trans-discrimination-cases-under-covid-19-measures</w:t>
        </w:r>
      </w:hyperlink>
      <w:r>
        <w:t xml:space="preserve">. </w:t>
      </w:r>
    </w:p>
  </w:footnote>
  <w:footnote w:id="4">
    <w:p w14:paraId="36C3481A" w14:textId="11F2A1D6" w:rsidR="4E1F8FCD" w:rsidRDefault="4E1F8FCD" w:rsidP="4E1F8FCD">
      <w:pPr>
        <w:pStyle w:val="FootnoteText"/>
      </w:pPr>
      <w:r w:rsidRPr="4E1F8FCD">
        <w:rPr>
          <w:rStyle w:val="FootnoteReference"/>
        </w:rPr>
        <w:footnoteRef/>
      </w:r>
      <w:r>
        <w:t xml:space="preserve"> </w:t>
      </w:r>
      <w:r w:rsidRPr="4E1F8FCD">
        <w:rPr>
          <w:sz w:val="16"/>
          <w:szCs w:val="16"/>
        </w:rPr>
        <w:t xml:space="preserve">Safe Schools Declaration, May 28, 2015, </w:t>
      </w:r>
      <w:hyperlink r:id="rId3">
        <w:r w:rsidRPr="4E1F8FCD">
          <w:rPr>
            <w:rStyle w:val="Hyperlink"/>
            <w:rFonts w:ascii="Times New Roman" w:eastAsia="Times New Roman" w:hAnsi="Times New Roman" w:cs="Times New Roman"/>
            <w:color w:val="0563C1"/>
            <w:sz w:val="16"/>
            <w:szCs w:val="16"/>
          </w:rPr>
          <w:t>https://www.regjeringen.no/globalassets/departementene/ud/vedlegg/utvikling/safe_schools_declaration.pdf</w:t>
        </w:r>
      </w:hyperlink>
      <w:r w:rsidRPr="4E1F8FCD">
        <w:rPr>
          <w:sz w:val="16"/>
          <w:szCs w:val="16"/>
        </w:rPr>
        <w:t xml:space="preserve"> (accessed November 6, 2018).</w:t>
      </w:r>
    </w:p>
  </w:footnote>
  <w:footnote w:id="5">
    <w:p w14:paraId="0236F5CC" w14:textId="05D1BD87" w:rsidR="4E1F8FCD" w:rsidRDefault="4E1F8FCD" w:rsidP="4E1F8FCD">
      <w:pPr>
        <w:pStyle w:val="FootnoteText"/>
      </w:pPr>
      <w:r w:rsidRPr="4E1F8FCD">
        <w:rPr>
          <w:rStyle w:val="FootnoteReference"/>
        </w:rPr>
        <w:footnoteRef/>
      </w:r>
      <w:r>
        <w:t xml:space="preserve"> </w:t>
      </w:r>
      <w:r w:rsidRPr="4E1F8FCD">
        <w:rPr>
          <w:sz w:val="16"/>
          <w:szCs w:val="16"/>
        </w:rPr>
        <w:t xml:space="preserve">Global Coalition to Protect Education from Attack (GCPEA), Guidelines for Protecting Schools and Universities from Military Use during Armed Conflict, March 18, 2014, </w:t>
      </w:r>
      <w:hyperlink r:id="rId4">
        <w:r w:rsidRPr="4E1F8FCD">
          <w:rPr>
            <w:rStyle w:val="Hyperlink"/>
            <w:rFonts w:ascii="Times New Roman" w:eastAsia="Times New Roman" w:hAnsi="Times New Roman" w:cs="Times New Roman"/>
            <w:color w:val="0563C1"/>
            <w:sz w:val="16"/>
            <w:szCs w:val="16"/>
          </w:rPr>
          <w:t>http://protectingeducation.org/sites/default/files/documents/guidelines_en.pdf</w:t>
        </w:r>
      </w:hyperlink>
      <w:r w:rsidRPr="4E1F8FCD">
        <w:rPr>
          <w:sz w:val="16"/>
          <w:szCs w:val="16"/>
        </w:rPr>
        <w:t xml:space="preserve"> (accessed November 6, 2018).</w:t>
      </w:r>
    </w:p>
  </w:footnote>
  <w:footnote w:id="6">
    <w:p w14:paraId="5058DBC7" w14:textId="66972D90" w:rsidR="4E1F8FCD" w:rsidRDefault="4E1F8FCD" w:rsidP="4E1F8FCD">
      <w:r w:rsidRPr="4E1F8FCD">
        <w:rPr>
          <w:rStyle w:val="FootnoteReference"/>
        </w:rPr>
        <w:footnoteRef/>
      </w:r>
      <w:r>
        <w:t xml:space="preserve"> </w:t>
      </w:r>
      <w:r w:rsidRPr="4E1F8FCD">
        <w:rPr>
          <w:rFonts w:ascii="Times New Roman" w:eastAsia="Times New Roman" w:hAnsi="Times New Roman" w:cs="Times New Roman"/>
          <w:sz w:val="16"/>
          <w:szCs w:val="16"/>
        </w:rPr>
        <w:t>Global Coalition to Protect Education from Attack (GCPEA), “Ten Latin American Countries Convene to Protect Education,”</w:t>
      </w:r>
    </w:p>
    <w:p w14:paraId="75E7F8CF" w14:textId="4F125C5C" w:rsidR="4E1F8FCD" w:rsidRDefault="00C26BDF" w:rsidP="4E1F8FCD">
      <w:pPr>
        <w:pStyle w:val="FootnoteText"/>
      </w:pPr>
      <w:hyperlink r:id="rId5">
        <w:r w:rsidR="4E1F8FCD" w:rsidRPr="4E1F8FCD">
          <w:rPr>
            <w:rStyle w:val="Hyperlink"/>
            <w:rFonts w:ascii="Times New Roman" w:eastAsia="Times New Roman" w:hAnsi="Times New Roman" w:cs="Times New Roman"/>
            <w:color w:val="0563C1"/>
            <w:sz w:val="16"/>
            <w:szCs w:val="16"/>
          </w:rPr>
          <w:t>http://www.protectingeducation.org/news/ten-latin-american-countries-convene-protect-education</w:t>
        </w:r>
      </w:hyperlink>
      <w:r w:rsidR="4E1F8FCD" w:rsidRPr="4E1F8FCD">
        <w:rPr>
          <w:sz w:val="16"/>
          <w:szCs w:val="16"/>
        </w:rPr>
        <w:t xml:space="preserve"> (accessed November 7,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09C2"/>
    <w:multiLevelType w:val="hybridMultilevel"/>
    <w:tmpl w:val="070C9EAC"/>
    <w:lvl w:ilvl="0" w:tplc="CE10F2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F26138"/>
    <w:multiLevelType w:val="hybridMultilevel"/>
    <w:tmpl w:val="F12AA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BE6851"/>
    <w:multiLevelType w:val="hybridMultilevel"/>
    <w:tmpl w:val="C86C5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2E0EAE"/>
    <w:multiLevelType w:val="hybridMultilevel"/>
    <w:tmpl w:val="FFFFFFFF"/>
    <w:lvl w:ilvl="0" w:tplc="A7305CCE">
      <w:start w:val="1"/>
      <w:numFmt w:val="bullet"/>
      <w:lvlText w:val="·"/>
      <w:lvlJc w:val="left"/>
      <w:pPr>
        <w:ind w:left="720" w:hanging="360"/>
      </w:pPr>
      <w:rPr>
        <w:rFonts w:ascii="Symbol" w:hAnsi="Symbol" w:hint="default"/>
      </w:rPr>
    </w:lvl>
    <w:lvl w:ilvl="1" w:tplc="BD32CC2C">
      <w:start w:val="1"/>
      <w:numFmt w:val="bullet"/>
      <w:lvlText w:val="o"/>
      <w:lvlJc w:val="left"/>
      <w:pPr>
        <w:ind w:left="1440" w:hanging="360"/>
      </w:pPr>
      <w:rPr>
        <w:rFonts w:ascii="Courier New" w:hAnsi="Courier New" w:hint="default"/>
      </w:rPr>
    </w:lvl>
    <w:lvl w:ilvl="2" w:tplc="67FA5566">
      <w:start w:val="1"/>
      <w:numFmt w:val="bullet"/>
      <w:lvlText w:val=""/>
      <w:lvlJc w:val="left"/>
      <w:pPr>
        <w:ind w:left="2160" w:hanging="360"/>
      </w:pPr>
      <w:rPr>
        <w:rFonts w:ascii="Wingdings" w:hAnsi="Wingdings" w:hint="default"/>
      </w:rPr>
    </w:lvl>
    <w:lvl w:ilvl="3" w:tplc="80189E62">
      <w:start w:val="1"/>
      <w:numFmt w:val="bullet"/>
      <w:lvlText w:val=""/>
      <w:lvlJc w:val="left"/>
      <w:pPr>
        <w:ind w:left="2880" w:hanging="360"/>
      </w:pPr>
      <w:rPr>
        <w:rFonts w:ascii="Symbol" w:hAnsi="Symbol" w:hint="default"/>
      </w:rPr>
    </w:lvl>
    <w:lvl w:ilvl="4" w:tplc="C4D81D10">
      <w:start w:val="1"/>
      <w:numFmt w:val="bullet"/>
      <w:lvlText w:val="o"/>
      <w:lvlJc w:val="left"/>
      <w:pPr>
        <w:ind w:left="3600" w:hanging="360"/>
      </w:pPr>
      <w:rPr>
        <w:rFonts w:ascii="Courier New" w:hAnsi="Courier New" w:hint="default"/>
      </w:rPr>
    </w:lvl>
    <w:lvl w:ilvl="5" w:tplc="6292047E">
      <w:start w:val="1"/>
      <w:numFmt w:val="bullet"/>
      <w:lvlText w:val=""/>
      <w:lvlJc w:val="left"/>
      <w:pPr>
        <w:ind w:left="4320" w:hanging="360"/>
      </w:pPr>
      <w:rPr>
        <w:rFonts w:ascii="Wingdings" w:hAnsi="Wingdings" w:hint="default"/>
      </w:rPr>
    </w:lvl>
    <w:lvl w:ilvl="6" w:tplc="A37C36E8">
      <w:start w:val="1"/>
      <w:numFmt w:val="bullet"/>
      <w:lvlText w:val=""/>
      <w:lvlJc w:val="left"/>
      <w:pPr>
        <w:ind w:left="5040" w:hanging="360"/>
      </w:pPr>
      <w:rPr>
        <w:rFonts w:ascii="Symbol" w:hAnsi="Symbol" w:hint="default"/>
      </w:rPr>
    </w:lvl>
    <w:lvl w:ilvl="7" w:tplc="B2B449D2">
      <w:start w:val="1"/>
      <w:numFmt w:val="bullet"/>
      <w:lvlText w:val="o"/>
      <w:lvlJc w:val="left"/>
      <w:pPr>
        <w:ind w:left="5760" w:hanging="360"/>
      </w:pPr>
      <w:rPr>
        <w:rFonts w:ascii="Courier New" w:hAnsi="Courier New" w:hint="default"/>
      </w:rPr>
    </w:lvl>
    <w:lvl w:ilvl="8" w:tplc="56800932">
      <w:start w:val="1"/>
      <w:numFmt w:val="bullet"/>
      <w:lvlText w:val=""/>
      <w:lvlJc w:val="left"/>
      <w:pPr>
        <w:ind w:left="6480" w:hanging="360"/>
      </w:pPr>
      <w:rPr>
        <w:rFonts w:ascii="Wingdings" w:hAnsi="Wingdings" w:hint="default"/>
      </w:rPr>
    </w:lvl>
  </w:abstractNum>
  <w:abstractNum w:abstractNumId="4" w15:restartNumberingAfterBreak="0">
    <w:nsid w:val="6E365FEB"/>
    <w:multiLevelType w:val="hybridMultilevel"/>
    <w:tmpl w:val="EC1A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3A081C"/>
    <w:multiLevelType w:val="hybridMultilevel"/>
    <w:tmpl w:val="A8DEE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8B4D9B"/>
    <w:multiLevelType w:val="hybridMultilevel"/>
    <w:tmpl w:val="D832A542"/>
    <w:lvl w:ilvl="0" w:tplc="759C592C">
      <w:start w:val="1"/>
      <w:numFmt w:val="bullet"/>
      <w:lvlText w:val="·"/>
      <w:lvlJc w:val="left"/>
      <w:pPr>
        <w:ind w:left="720" w:hanging="360"/>
      </w:pPr>
      <w:rPr>
        <w:rFonts w:ascii="Symbol" w:hAnsi="Symbol" w:hint="default"/>
      </w:rPr>
    </w:lvl>
    <w:lvl w:ilvl="1" w:tplc="471A3C88">
      <w:start w:val="1"/>
      <w:numFmt w:val="bullet"/>
      <w:lvlText w:val="o"/>
      <w:lvlJc w:val="left"/>
      <w:pPr>
        <w:ind w:left="1440" w:hanging="360"/>
      </w:pPr>
      <w:rPr>
        <w:rFonts w:ascii="Courier New" w:hAnsi="Courier New" w:hint="default"/>
      </w:rPr>
    </w:lvl>
    <w:lvl w:ilvl="2" w:tplc="90C8B1C4">
      <w:start w:val="1"/>
      <w:numFmt w:val="bullet"/>
      <w:lvlText w:val=""/>
      <w:lvlJc w:val="left"/>
      <w:pPr>
        <w:ind w:left="2160" w:hanging="360"/>
      </w:pPr>
      <w:rPr>
        <w:rFonts w:ascii="Wingdings" w:hAnsi="Wingdings" w:hint="default"/>
      </w:rPr>
    </w:lvl>
    <w:lvl w:ilvl="3" w:tplc="2168DF80">
      <w:start w:val="1"/>
      <w:numFmt w:val="bullet"/>
      <w:lvlText w:val=""/>
      <w:lvlJc w:val="left"/>
      <w:pPr>
        <w:ind w:left="2880" w:hanging="360"/>
      </w:pPr>
      <w:rPr>
        <w:rFonts w:ascii="Symbol" w:hAnsi="Symbol" w:hint="default"/>
      </w:rPr>
    </w:lvl>
    <w:lvl w:ilvl="4" w:tplc="D9E48EF2">
      <w:start w:val="1"/>
      <w:numFmt w:val="bullet"/>
      <w:lvlText w:val="o"/>
      <w:lvlJc w:val="left"/>
      <w:pPr>
        <w:ind w:left="3600" w:hanging="360"/>
      </w:pPr>
      <w:rPr>
        <w:rFonts w:ascii="Courier New" w:hAnsi="Courier New" w:hint="default"/>
      </w:rPr>
    </w:lvl>
    <w:lvl w:ilvl="5" w:tplc="5EA8F0F4">
      <w:start w:val="1"/>
      <w:numFmt w:val="bullet"/>
      <w:lvlText w:val=""/>
      <w:lvlJc w:val="left"/>
      <w:pPr>
        <w:ind w:left="4320" w:hanging="360"/>
      </w:pPr>
      <w:rPr>
        <w:rFonts w:ascii="Wingdings" w:hAnsi="Wingdings" w:hint="default"/>
      </w:rPr>
    </w:lvl>
    <w:lvl w:ilvl="6" w:tplc="62CA6674">
      <w:start w:val="1"/>
      <w:numFmt w:val="bullet"/>
      <w:lvlText w:val=""/>
      <w:lvlJc w:val="left"/>
      <w:pPr>
        <w:ind w:left="5040" w:hanging="360"/>
      </w:pPr>
      <w:rPr>
        <w:rFonts w:ascii="Symbol" w:hAnsi="Symbol" w:hint="default"/>
      </w:rPr>
    </w:lvl>
    <w:lvl w:ilvl="7" w:tplc="F4FAE0D8">
      <w:start w:val="1"/>
      <w:numFmt w:val="bullet"/>
      <w:lvlText w:val="o"/>
      <w:lvlJc w:val="left"/>
      <w:pPr>
        <w:ind w:left="5760" w:hanging="360"/>
      </w:pPr>
      <w:rPr>
        <w:rFonts w:ascii="Courier New" w:hAnsi="Courier New" w:hint="default"/>
      </w:rPr>
    </w:lvl>
    <w:lvl w:ilvl="8" w:tplc="74A20FEE">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11"/>
    <w:rsid w:val="000B7085"/>
    <w:rsid w:val="00116939"/>
    <w:rsid w:val="001456E5"/>
    <w:rsid w:val="00195E2B"/>
    <w:rsid w:val="001A7127"/>
    <w:rsid w:val="00216A45"/>
    <w:rsid w:val="00263903"/>
    <w:rsid w:val="002660FE"/>
    <w:rsid w:val="00276BF3"/>
    <w:rsid w:val="00342BFD"/>
    <w:rsid w:val="00366C92"/>
    <w:rsid w:val="0039421C"/>
    <w:rsid w:val="003A749D"/>
    <w:rsid w:val="003B7EFB"/>
    <w:rsid w:val="003C0E33"/>
    <w:rsid w:val="003E4F5F"/>
    <w:rsid w:val="00411516"/>
    <w:rsid w:val="00412821"/>
    <w:rsid w:val="00436B9A"/>
    <w:rsid w:val="00467E13"/>
    <w:rsid w:val="004D019D"/>
    <w:rsid w:val="004D331E"/>
    <w:rsid w:val="004E7105"/>
    <w:rsid w:val="004F6DFC"/>
    <w:rsid w:val="0051A641"/>
    <w:rsid w:val="00533325"/>
    <w:rsid w:val="005461F4"/>
    <w:rsid w:val="00546428"/>
    <w:rsid w:val="00576C0B"/>
    <w:rsid w:val="005D75EC"/>
    <w:rsid w:val="005E1BDB"/>
    <w:rsid w:val="005E3559"/>
    <w:rsid w:val="005E3823"/>
    <w:rsid w:val="005F0F7A"/>
    <w:rsid w:val="00695033"/>
    <w:rsid w:val="006A1775"/>
    <w:rsid w:val="006C17C1"/>
    <w:rsid w:val="006C248F"/>
    <w:rsid w:val="0070086A"/>
    <w:rsid w:val="00716945"/>
    <w:rsid w:val="0074096F"/>
    <w:rsid w:val="007939D0"/>
    <w:rsid w:val="00794500"/>
    <w:rsid w:val="007E5A76"/>
    <w:rsid w:val="00883FEF"/>
    <w:rsid w:val="008C7C0C"/>
    <w:rsid w:val="008D7191"/>
    <w:rsid w:val="00962AE4"/>
    <w:rsid w:val="009701F2"/>
    <w:rsid w:val="009B088E"/>
    <w:rsid w:val="00A115EE"/>
    <w:rsid w:val="00A63373"/>
    <w:rsid w:val="00B11FF3"/>
    <w:rsid w:val="00B926EB"/>
    <w:rsid w:val="00B97349"/>
    <w:rsid w:val="00C2333A"/>
    <w:rsid w:val="00C26BDF"/>
    <w:rsid w:val="00C34CB5"/>
    <w:rsid w:val="00C53BE2"/>
    <w:rsid w:val="00D02719"/>
    <w:rsid w:val="00D321F1"/>
    <w:rsid w:val="00D45D11"/>
    <w:rsid w:val="00D57B58"/>
    <w:rsid w:val="00D7190D"/>
    <w:rsid w:val="00D728BA"/>
    <w:rsid w:val="00D94FD5"/>
    <w:rsid w:val="00DF23D2"/>
    <w:rsid w:val="00E61699"/>
    <w:rsid w:val="00E754D8"/>
    <w:rsid w:val="00ED2577"/>
    <w:rsid w:val="00F554A8"/>
    <w:rsid w:val="00F95EFB"/>
    <w:rsid w:val="00FB5D07"/>
    <w:rsid w:val="00FD0A62"/>
    <w:rsid w:val="00FE5BC2"/>
    <w:rsid w:val="018BBC18"/>
    <w:rsid w:val="10513629"/>
    <w:rsid w:val="12AD4C60"/>
    <w:rsid w:val="15D4A240"/>
    <w:rsid w:val="24672E11"/>
    <w:rsid w:val="27E5D6B5"/>
    <w:rsid w:val="2B12055A"/>
    <w:rsid w:val="2F2D62E1"/>
    <w:rsid w:val="3E839D4F"/>
    <w:rsid w:val="43B10602"/>
    <w:rsid w:val="4BBF92C1"/>
    <w:rsid w:val="4E1F8FCD"/>
    <w:rsid w:val="52336AE6"/>
    <w:rsid w:val="593319E3"/>
    <w:rsid w:val="5B28B277"/>
    <w:rsid w:val="5C0DCA49"/>
    <w:rsid w:val="5CCE101F"/>
    <w:rsid w:val="5E69E080"/>
    <w:rsid w:val="5EA4FAD7"/>
    <w:rsid w:val="60FE9310"/>
    <w:rsid w:val="61D1297C"/>
    <w:rsid w:val="631F96BA"/>
    <w:rsid w:val="657F8FB1"/>
    <w:rsid w:val="6633A770"/>
    <w:rsid w:val="66A86F82"/>
    <w:rsid w:val="69289BD2"/>
    <w:rsid w:val="711D7876"/>
    <w:rsid w:val="7AEF4EA7"/>
    <w:rsid w:val="7B4D4C7B"/>
    <w:rsid w:val="7CDF8F95"/>
    <w:rsid w:val="7F34E8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84BB"/>
  <w15:chartTrackingRefBased/>
  <w15:docId w15:val="{F01BEBCF-6E71-4209-B09A-55200ECF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5D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D11"/>
    <w:rPr>
      <w:rFonts w:ascii="Segoe UI" w:hAnsi="Segoe UI" w:cs="Segoe UI"/>
      <w:sz w:val="18"/>
      <w:szCs w:val="18"/>
    </w:rPr>
  </w:style>
  <w:style w:type="paragraph" w:styleId="ListParagraph">
    <w:name w:val="List Paragraph"/>
    <w:basedOn w:val="Normal"/>
    <w:uiPriority w:val="34"/>
    <w:qFormat/>
    <w:rsid w:val="00D45D11"/>
    <w:pPr>
      <w:ind w:left="720"/>
      <w:contextualSpacing/>
    </w:pPr>
  </w:style>
  <w:style w:type="character" w:styleId="Hyperlink">
    <w:name w:val="Hyperlink"/>
    <w:basedOn w:val="DefaultParagraphFont"/>
    <w:uiPriority w:val="99"/>
    <w:unhideWhenUsed/>
    <w:rsid w:val="00D7190D"/>
    <w:rPr>
      <w:color w:val="0563C1" w:themeColor="hyperlink"/>
      <w:u w:val="single"/>
    </w:rPr>
  </w:style>
  <w:style w:type="character" w:customStyle="1" w:styleId="UnresolvedMention">
    <w:name w:val="Unresolved Mention"/>
    <w:basedOn w:val="DefaultParagraphFont"/>
    <w:uiPriority w:val="99"/>
    <w:semiHidden/>
    <w:unhideWhenUsed/>
    <w:rsid w:val="00D7190D"/>
    <w:rPr>
      <w:color w:val="605E5C"/>
      <w:shd w:val="clear" w:color="auto" w:fill="E1DFDD"/>
    </w:rPr>
  </w:style>
  <w:style w:type="paragraph" w:styleId="FootnoteText">
    <w:name w:val="footnote text"/>
    <w:basedOn w:val="Normal"/>
    <w:link w:val="FootnoteTextChar"/>
    <w:uiPriority w:val="99"/>
    <w:semiHidden/>
    <w:unhideWhenUsed/>
    <w:rsid w:val="005D75EC"/>
    <w:rPr>
      <w:sz w:val="20"/>
      <w:szCs w:val="20"/>
    </w:rPr>
  </w:style>
  <w:style w:type="character" w:customStyle="1" w:styleId="FootnoteTextChar">
    <w:name w:val="Footnote Text Char"/>
    <w:basedOn w:val="DefaultParagraphFont"/>
    <w:link w:val="FootnoteText"/>
    <w:uiPriority w:val="99"/>
    <w:semiHidden/>
    <w:rsid w:val="005D75EC"/>
    <w:rPr>
      <w:sz w:val="20"/>
      <w:szCs w:val="20"/>
    </w:rPr>
  </w:style>
  <w:style w:type="character" w:styleId="FootnoteReference">
    <w:name w:val="footnote reference"/>
    <w:basedOn w:val="DefaultParagraphFont"/>
    <w:uiPriority w:val="99"/>
    <w:semiHidden/>
    <w:unhideWhenUsed/>
    <w:rsid w:val="005D75EC"/>
    <w:rPr>
      <w:vertAlign w:val="superscript"/>
    </w:rPr>
  </w:style>
  <w:style w:type="paragraph" w:styleId="Header">
    <w:name w:val="header"/>
    <w:basedOn w:val="Normal"/>
    <w:link w:val="HeaderChar"/>
    <w:uiPriority w:val="99"/>
    <w:unhideWhenUsed/>
    <w:rsid w:val="00195E2B"/>
    <w:pPr>
      <w:tabs>
        <w:tab w:val="center" w:pos="4680"/>
        <w:tab w:val="right" w:pos="9360"/>
      </w:tabs>
    </w:pPr>
  </w:style>
  <w:style w:type="character" w:customStyle="1" w:styleId="HeaderChar">
    <w:name w:val="Header Char"/>
    <w:basedOn w:val="DefaultParagraphFont"/>
    <w:link w:val="Header"/>
    <w:uiPriority w:val="99"/>
    <w:rsid w:val="00195E2B"/>
  </w:style>
  <w:style w:type="paragraph" w:styleId="Footer">
    <w:name w:val="footer"/>
    <w:basedOn w:val="Normal"/>
    <w:link w:val="FooterChar"/>
    <w:uiPriority w:val="99"/>
    <w:unhideWhenUsed/>
    <w:rsid w:val="00195E2B"/>
    <w:pPr>
      <w:tabs>
        <w:tab w:val="center" w:pos="4680"/>
        <w:tab w:val="right" w:pos="9360"/>
      </w:tabs>
    </w:pPr>
  </w:style>
  <w:style w:type="character" w:customStyle="1" w:styleId="FooterChar">
    <w:name w:val="Footer Char"/>
    <w:basedOn w:val="DefaultParagraphFont"/>
    <w:link w:val="Footer"/>
    <w:uiPriority w:val="99"/>
    <w:rsid w:val="00195E2B"/>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660FE"/>
    <w:rPr>
      <w:b/>
      <w:bCs/>
    </w:rPr>
  </w:style>
  <w:style w:type="character" w:customStyle="1" w:styleId="CommentSubjectChar">
    <w:name w:val="Comment Subject Char"/>
    <w:basedOn w:val="CommentTextChar"/>
    <w:link w:val="CommentSubject"/>
    <w:uiPriority w:val="99"/>
    <w:semiHidden/>
    <w:rsid w:val="002660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428917">
      <w:bodyDiv w:val="1"/>
      <w:marLeft w:val="0"/>
      <w:marRight w:val="0"/>
      <w:marTop w:val="0"/>
      <w:marBottom w:val="0"/>
      <w:divBdr>
        <w:top w:val="none" w:sz="0" w:space="0" w:color="auto"/>
        <w:left w:val="none" w:sz="0" w:space="0" w:color="auto"/>
        <w:bottom w:val="none" w:sz="0" w:space="0" w:color="auto"/>
        <w:right w:val="none" w:sz="0" w:space="0" w:color="auto"/>
      </w:divBdr>
    </w:div>
    <w:div w:id="1037269813">
      <w:bodyDiv w:val="1"/>
      <w:marLeft w:val="0"/>
      <w:marRight w:val="0"/>
      <w:marTop w:val="0"/>
      <w:marBottom w:val="0"/>
      <w:divBdr>
        <w:top w:val="none" w:sz="0" w:space="0" w:color="auto"/>
        <w:left w:val="none" w:sz="0" w:space="0" w:color="auto"/>
        <w:bottom w:val="none" w:sz="0" w:space="0" w:color="auto"/>
        <w:right w:val="none" w:sz="0" w:space="0" w:color="auto"/>
      </w:divBdr>
    </w:div>
    <w:div w:id="104984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regjeringen.no/globalassets/departementene/ud/vedlegg/utvikling/safe_schools_declaration.pdf" TargetMode="External"/><Relationship Id="rId2" Type="http://schemas.openxmlformats.org/officeDocument/2006/relationships/hyperlink" Target="https://www.hrw.org/news/2020/07/13/panama-new-trans-discrimination-cases-under-covid-19-measures" TargetMode="External"/><Relationship Id="rId1" Type="http://schemas.openxmlformats.org/officeDocument/2006/relationships/hyperlink" Target="https://www.tribunal-electoral.gob.pa/wp-content/uploads/2017/06/Texto_U_nico_-_Ley_31_y_Ley_17_de_22_de_mayo_de_2007.pdf" TargetMode="External"/><Relationship Id="rId5" Type="http://schemas.openxmlformats.org/officeDocument/2006/relationships/hyperlink" Target="http://www.protectingeducation.org/news/ten-latin-american-countries-convene-protect-education" TargetMode="External"/><Relationship Id="rId4" Type="http://schemas.openxmlformats.org/officeDocument/2006/relationships/hyperlink" Target="http://protectingeducation.org/sites/default/files/documents/guideline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341EF1-70DD-4C47-95C4-235FAB788198}">
  <ds:schemaRefs>
    <ds:schemaRef ds:uri="http://schemas.openxmlformats.org/officeDocument/2006/bibliography"/>
  </ds:schemaRefs>
</ds:datastoreItem>
</file>

<file path=customXml/itemProps2.xml><?xml version="1.0" encoding="utf-8"?>
<ds:datastoreItem xmlns:ds="http://schemas.openxmlformats.org/officeDocument/2006/customXml" ds:itemID="{2F703494-0098-4C8B-AAB8-FE3AE0B0C246}"/>
</file>

<file path=customXml/itemProps3.xml><?xml version="1.0" encoding="utf-8"?>
<ds:datastoreItem xmlns:ds="http://schemas.openxmlformats.org/officeDocument/2006/customXml" ds:itemID="{3375D541-3330-4FDE-A2CE-C720536A47C8}"/>
</file>

<file path=customXml/itemProps4.xml><?xml version="1.0" encoding="utf-8"?>
<ds:datastoreItem xmlns:ds="http://schemas.openxmlformats.org/officeDocument/2006/customXml" ds:itemID="{DAF23A6E-C4F1-449B-891C-92E66D033D2D}"/>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6228</CharactersWithSpaces>
  <SharedDoc>false</SharedDoc>
  <HLinks>
    <vt:vector size="30" baseType="variant">
      <vt:variant>
        <vt:i4>7405626</vt:i4>
      </vt:variant>
      <vt:variant>
        <vt:i4>12</vt:i4>
      </vt:variant>
      <vt:variant>
        <vt:i4>0</vt:i4>
      </vt:variant>
      <vt:variant>
        <vt:i4>5</vt:i4>
      </vt:variant>
      <vt:variant>
        <vt:lpwstr>http://www.protectingeducation.org/news/ten-latin-american-countries-convene-protect-education</vt:lpwstr>
      </vt:variant>
      <vt:variant>
        <vt:lpwstr/>
      </vt:variant>
      <vt:variant>
        <vt:i4>786465</vt:i4>
      </vt:variant>
      <vt:variant>
        <vt:i4>9</vt:i4>
      </vt:variant>
      <vt:variant>
        <vt:i4>0</vt:i4>
      </vt:variant>
      <vt:variant>
        <vt:i4>5</vt:i4>
      </vt:variant>
      <vt:variant>
        <vt:lpwstr>http://protectingeducation.org/sites/default/files/documents/guidelines_en.pdf</vt:lpwstr>
      </vt:variant>
      <vt:variant>
        <vt:lpwstr/>
      </vt:variant>
      <vt:variant>
        <vt:i4>1179656</vt:i4>
      </vt:variant>
      <vt:variant>
        <vt:i4>6</vt:i4>
      </vt:variant>
      <vt:variant>
        <vt:i4>0</vt:i4>
      </vt:variant>
      <vt:variant>
        <vt:i4>5</vt:i4>
      </vt:variant>
      <vt:variant>
        <vt:lpwstr>https://www.regjeringen.no/globalassets/departementene/ud/vedlegg/utvikling/safe_schools_declaration.pdf</vt:lpwstr>
      </vt:variant>
      <vt:variant>
        <vt:lpwstr/>
      </vt:variant>
      <vt:variant>
        <vt:i4>1441807</vt:i4>
      </vt:variant>
      <vt:variant>
        <vt:i4>3</vt:i4>
      </vt:variant>
      <vt:variant>
        <vt:i4>0</vt:i4>
      </vt:variant>
      <vt:variant>
        <vt:i4>5</vt:i4>
      </vt:variant>
      <vt:variant>
        <vt:lpwstr>https://www.hrw.org/news/2020/07/13/panama-new-trans-discrimination-cases-under-covid-19-measures</vt:lpwstr>
      </vt:variant>
      <vt:variant>
        <vt:lpwstr/>
      </vt:variant>
      <vt:variant>
        <vt:i4>917574</vt:i4>
      </vt:variant>
      <vt:variant>
        <vt:i4>0</vt:i4>
      </vt:variant>
      <vt:variant>
        <vt:i4>0</vt:i4>
      </vt:variant>
      <vt:variant>
        <vt:i4>5</vt:i4>
      </vt:variant>
      <vt:variant>
        <vt:lpwstr>https://www.tribunal-electoral.gob.pa/wp-content/uploads/2017/06/Texto_U_nico_-_Ley_31_y_Ley_17_de_22_de_mayo_de_2007.pdf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González Cabrera</dc:creator>
  <cp:keywords/>
  <dc:description/>
  <cp:lastModifiedBy>REYNAUD Céline</cp:lastModifiedBy>
  <cp:revision>2</cp:revision>
  <dcterms:created xsi:type="dcterms:W3CDTF">2021-01-12T11:54:00Z</dcterms:created>
  <dcterms:modified xsi:type="dcterms:W3CDTF">2021-01-12T11:54:00Z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