
<file path=[Content_Types].xml><?xml version="1.0" encoding="utf-8"?>
<Types xmlns="http://schemas.openxmlformats.org/package/2006/content-types">
  <Default Extension="rels" ContentType="application/vnd.openxmlformats-package.relationships+xml"/>
  <Default Extension="emf" ContentType="image/x-emf"/>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2488DB" w14:textId="77777777" w:rsidR="007A43BB" w:rsidRPr="00625F1E" w:rsidRDefault="007A43BB">
      <w:pPr>
        <w:rPr>
          <w:rFonts w:cs="Verdana"/>
          <w:b/>
          <w:bCs/>
          <w:sz w:val="24"/>
        </w:rPr>
      </w:pPr>
    </w:p>
    <w:p w14:paraId="1CA30FE1" w14:textId="3705FEB3" w:rsidR="007A43BB" w:rsidRPr="00625F1E" w:rsidRDefault="007A43BB" w:rsidP="0028303B">
      <w:pPr>
        <w:ind w:left="5529"/>
        <w:rPr>
          <w:rFonts w:cs="Verdana"/>
          <w:b/>
          <w:bCs/>
          <w:sz w:val="24"/>
        </w:rPr>
      </w:pPr>
      <w:r w:rsidRPr="00625F1E">
        <w:rPr>
          <w:rFonts w:cs="Verdana"/>
          <w:b/>
          <w:bCs/>
          <w:noProof/>
          <w:sz w:val="24"/>
          <w:lang w:val="en-US"/>
        </w:rPr>
        <w:drawing>
          <wp:inline distT="0" distB="0" distL="0" distR="0" wp14:anchorId="0E0B3ECD" wp14:editId="6074EF66">
            <wp:extent cx="1993900" cy="762000"/>
            <wp:effectExtent l="0" t="0" r="1270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j_logo_rgb_english.eps"/>
                    <pic:cNvPicPr/>
                  </pic:nvPicPr>
                  <pic:blipFill>
                    <a:blip r:embed="rId9">
                      <a:extLst>
                        <a:ext uri="{28A0092B-C50C-407E-A947-70E740481C1C}">
                          <a14:useLocalDpi xmlns:a14="http://schemas.microsoft.com/office/drawing/2010/main" val="0"/>
                        </a:ext>
                      </a:extLst>
                    </a:blip>
                    <a:stretch>
                      <a:fillRect/>
                    </a:stretch>
                  </pic:blipFill>
                  <pic:spPr>
                    <a:xfrm>
                      <a:off x="0" y="0"/>
                      <a:ext cx="1993900" cy="762000"/>
                    </a:xfrm>
                    <a:prstGeom prst="rect">
                      <a:avLst/>
                    </a:prstGeom>
                  </pic:spPr>
                </pic:pic>
              </a:graphicData>
            </a:graphic>
          </wp:inline>
        </w:drawing>
      </w:r>
      <w:r w:rsidR="00745DE6" w:rsidRPr="00625F1E">
        <w:rPr>
          <w:rFonts w:cs="Verdana"/>
          <w:b/>
          <w:bCs/>
          <w:sz w:val="24"/>
        </w:rPr>
        <w:tab/>
      </w:r>
      <w:r w:rsidR="005C2CAC" w:rsidRPr="00625F1E">
        <w:rPr>
          <w:rFonts w:cs="Verdana"/>
          <w:b/>
          <w:bCs/>
          <w:sz w:val="24"/>
        </w:rPr>
        <w:t xml:space="preserve">       </w:t>
      </w:r>
      <w:r w:rsidR="00745DE6" w:rsidRPr="00625F1E">
        <w:rPr>
          <w:rFonts w:cs="Verdana"/>
          <w:b/>
          <w:bCs/>
          <w:sz w:val="24"/>
        </w:rPr>
        <w:tab/>
      </w:r>
      <w:r w:rsidR="00745DE6" w:rsidRPr="00625F1E">
        <w:rPr>
          <w:rFonts w:cs="Verdana"/>
          <w:b/>
          <w:bCs/>
          <w:sz w:val="24"/>
        </w:rPr>
        <w:tab/>
      </w:r>
    </w:p>
    <w:p w14:paraId="36A4E7CE" w14:textId="77777777" w:rsidR="007A43BB" w:rsidRPr="00625F1E" w:rsidRDefault="007A43BB">
      <w:pPr>
        <w:rPr>
          <w:rFonts w:cs="Verdana"/>
          <w:b/>
          <w:bCs/>
          <w:sz w:val="24"/>
        </w:rPr>
      </w:pPr>
    </w:p>
    <w:p w14:paraId="6F5DA519" w14:textId="77777777" w:rsidR="007A43BB" w:rsidRPr="00625F1E" w:rsidRDefault="007A43BB">
      <w:pPr>
        <w:rPr>
          <w:rFonts w:cs="Verdana"/>
          <w:b/>
          <w:bCs/>
          <w:sz w:val="24"/>
        </w:rPr>
      </w:pPr>
    </w:p>
    <w:p w14:paraId="6D2469C6" w14:textId="77777777" w:rsidR="007A43BB" w:rsidRPr="00625F1E" w:rsidRDefault="007A43BB">
      <w:pPr>
        <w:rPr>
          <w:rFonts w:cs="Verdana"/>
          <w:b/>
          <w:bCs/>
          <w:sz w:val="24"/>
        </w:rPr>
      </w:pPr>
    </w:p>
    <w:p w14:paraId="4FB1F112" w14:textId="3D2D6A93" w:rsidR="0028303B" w:rsidRPr="00625F1E" w:rsidRDefault="0028303B" w:rsidP="007A43BB">
      <w:pPr>
        <w:widowControl w:val="0"/>
        <w:autoSpaceDE w:val="0"/>
        <w:autoSpaceDN w:val="0"/>
        <w:adjustRightInd w:val="0"/>
        <w:spacing w:after="240" w:line="300" w:lineRule="atLeast"/>
        <w:jc w:val="center"/>
        <w:rPr>
          <w:rFonts w:cs="Verdana"/>
          <w:b/>
          <w:bCs/>
          <w:sz w:val="24"/>
        </w:rPr>
      </w:pPr>
      <w:r w:rsidRPr="00625F1E">
        <w:rPr>
          <w:rFonts w:cs="Verdana"/>
          <w:b/>
          <w:bCs/>
          <w:sz w:val="24"/>
        </w:rPr>
        <w:t>UNITED NATIONS COMMITTEE AGAINST TORTURE</w:t>
      </w:r>
    </w:p>
    <w:p w14:paraId="125E5AED" w14:textId="541DF6F3" w:rsidR="0028303B" w:rsidRPr="00625F1E" w:rsidRDefault="0028303B" w:rsidP="007A43BB">
      <w:pPr>
        <w:widowControl w:val="0"/>
        <w:autoSpaceDE w:val="0"/>
        <w:autoSpaceDN w:val="0"/>
        <w:adjustRightInd w:val="0"/>
        <w:spacing w:after="240" w:line="300" w:lineRule="atLeast"/>
        <w:jc w:val="center"/>
        <w:rPr>
          <w:rFonts w:cs="Verdana"/>
          <w:b/>
          <w:bCs/>
          <w:sz w:val="20"/>
          <w:szCs w:val="20"/>
        </w:rPr>
      </w:pPr>
      <w:r w:rsidRPr="00625F1E">
        <w:rPr>
          <w:rFonts w:cs="Verdana"/>
          <w:b/>
          <w:bCs/>
          <w:sz w:val="20"/>
          <w:szCs w:val="20"/>
        </w:rPr>
        <w:t>68th Session of the UN Committee Against Torture, 11 November to 6 December 2019</w:t>
      </w:r>
    </w:p>
    <w:p w14:paraId="28FACFB6" w14:textId="76BD76A5" w:rsidR="007A43BB" w:rsidRPr="00625F1E" w:rsidRDefault="007A43BB" w:rsidP="007A43BB">
      <w:pPr>
        <w:widowControl w:val="0"/>
        <w:autoSpaceDE w:val="0"/>
        <w:autoSpaceDN w:val="0"/>
        <w:adjustRightInd w:val="0"/>
        <w:spacing w:after="240" w:line="300" w:lineRule="atLeast"/>
        <w:jc w:val="center"/>
        <w:rPr>
          <w:rFonts w:ascii="Times" w:hAnsi="Times" w:cs="Times"/>
          <w:sz w:val="24"/>
        </w:rPr>
      </w:pPr>
      <w:bookmarkStart w:id="0" w:name="_GoBack"/>
      <w:r w:rsidRPr="00625F1E">
        <w:rPr>
          <w:rFonts w:cs="Verdana"/>
          <w:b/>
          <w:bCs/>
          <w:sz w:val="24"/>
        </w:rPr>
        <w:t xml:space="preserve">Submission of the International Commission of Jurists </w:t>
      </w:r>
      <w:r w:rsidR="0028303B" w:rsidRPr="00625F1E">
        <w:rPr>
          <w:rFonts w:cs="Verdana"/>
          <w:b/>
          <w:bCs/>
          <w:sz w:val="24"/>
        </w:rPr>
        <w:t xml:space="preserve">to </w:t>
      </w:r>
      <w:r w:rsidRPr="00625F1E">
        <w:rPr>
          <w:rFonts w:cs="Verdana"/>
          <w:b/>
          <w:bCs/>
          <w:sz w:val="24"/>
        </w:rPr>
        <w:t>the UN Committee against Torture</w:t>
      </w:r>
      <w:r w:rsidR="0028303B" w:rsidRPr="00625F1E">
        <w:rPr>
          <w:rFonts w:cs="Verdana"/>
          <w:b/>
          <w:bCs/>
          <w:sz w:val="24"/>
        </w:rPr>
        <w:t xml:space="preserve"> in view of the Committee’s Examination of Uzbekistan’s Fifth</w:t>
      </w:r>
      <w:r w:rsidRPr="00625F1E">
        <w:rPr>
          <w:rFonts w:cs="Verdana"/>
          <w:b/>
          <w:bCs/>
          <w:sz w:val="24"/>
        </w:rPr>
        <w:t xml:space="preserve"> Periodic Report under Article 19 of the Convention Against Torture and Other Cruel, Inhuman Or Degrading Treatment Or Punishment</w:t>
      </w:r>
    </w:p>
    <w:bookmarkEnd w:id="0"/>
    <w:p w14:paraId="38FF397B" w14:textId="77777777" w:rsidR="007A43BB" w:rsidRPr="00625F1E" w:rsidRDefault="007A43BB">
      <w:pPr>
        <w:rPr>
          <w:rFonts w:cs="Verdana"/>
          <w:b/>
          <w:bCs/>
          <w:sz w:val="24"/>
        </w:rPr>
      </w:pPr>
    </w:p>
    <w:p w14:paraId="324CFEA6" w14:textId="77777777" w:rsidR="007A43BB" w:rsidRPr="00625F1E" w:rsidRDefault="007A43BB">
      <w:pPr>
        <w:rPr>
          <w:rFonts w:cs="Verdana"/>
          <w:b/>
          <w:bCs/>
          <w:sz w:val="24"/>
        </w:rPr>
      </w:pPr>
    </w:p>
    <w:p w14:paraId="4ED1ED69" w14:textId="5410321E" w:rsidR="007A43BB" w:rsidRPr="00625F1E" w:rsidRDefault="0028303B" w:rsidP="0028303B">
      <w:pPr>
        <w:jc w:val="center"/>
        <w:rPr>
          <w:rFonts w:cs="Verdana"/>
          <w:sz w:val="20"/>
          <w:szCs w:val="20"/>
        </w:rPr>
      </w:pPr>
      <w:r w:rsidRPr="00625F1E">
        <w:rPr>
          <w:rFonts w:cs="Verdana"/>
          <w:sz w:val="20"/>
          <w:szCs w:val="20"/>
        </w:rPr>
        <w:t>Submitted on 14 October 2019</w:t>
      </w:r>
    </w:p>
    <w:p w14:paraId="668DBD71" w14:textId="77777777" w:rsidR="007A43BB" w:rsidRPr="00625F1E" w:rsidRDefault="007A43BB">
      <w:pPr>
        <w:rPr>
          <w:rFonts w:cs="Verdana"/>
          <w:b/>
          <w:bCs/>
          <w:sz w:val="24"/>
        </w:rPr>
      </w:pPr>
    </w:p>
    <w:p w14:paraId="66A99242" w14:textId="77777777" w:rsidR="007A43BB" w:rsidRPr="00625F1E" w:rsidRDefault="007A43BB" w:rsidP="007A43BB">
      <w:pPr>
        <w:rPr>
          <w:rFonts w:cs="Verdana"/>
          <w:b/>
          <w:bCs/>
          <w:i/>
          <w:sz w:val="20"/>
          <w:szCs w:val="20"/>
        </w:rPr>
      </w:pPr>
    </w:p>
    <w:p w14:paraId="5A444A92" w14:textId="77777777" w:rsidR="0028303B" w:rsidRPr="00625F1E" w:rsidRDefault="0028303B" w:rsidP="007A43BB">
      <w:pPr>
        <w:widowControl w:val="0"/>
        <w:autoSpaceDE w:val="0"/>
        <w:autoSpaceDN w:val="0"/>
        <w:adjustRightInd w:val="0"/>
        <w:rPr>
          <w:rFonts w:cs="Verdana"/>
          <w:i/>
          <w:iCs/>
          <w:sz w:val="18"/>
          <w:szCs w:val="18"/>
        </w:rPr>
      </w:pPr>
    </w:p>
    <w:p w14:paraId="224B8B83" w14:textId="77777777" w:rsidR="0028303B" w:rsidRPr="00625F1E" w:rsidRDefault="0028303B" w:rsidP="007A43BB">
      <w:pPr>
        <w:widowControl w:val="0"/>
        <w:autoSpaceDE w:val="0"/>
        <w:autoSpaceDN w:val="0"/>
        <w:adjustRightInd w:val="0"/>
        <w:rPr>
          <w:rFonts w:cs="Verdana"/>
          <w:i/>
          <w:iCs/>
          <w:sz w:val="18"/>
          <w:szCs w:val="18"/>
        </w:rPr>
      </w:pPr>
    </w:p>
    <w:p w14:paraId="2B6995B1" w14:textId="77777777" w:rsidR="0028303B" w:rsidRPr="00625F1E" w:rsidRDefault="0028303B" w:rsidP="007A43BB">
      <w:pPr>
        <w:widowControl w:val="0"/>
        <w:autoSpaceDE w:val="0"/>
        <w:autoSpaceDN w:val="0"/>
        <w:adjustRightInd w:val="0"/>
        <w:rPr>
          <w:rFonts w:cs="Verdana"/>
          <w:i/>
          <w:iCs/>
          <w:sz w:val="18"/>
          <w:szCs w:val="18"/>
        </w:rPr>
      </w:pPr>
    </w:p>
    <w:p w14:paraId="03E61AFF" w14:textId="77777777" w:rsidR="0028303B" w:rsidRPr="00625F1E" w:rsidRDefault="0028303B" w:rsidP="0028303B">
      <w:pPr>
        <w:widowControl w:val="0"/>
        <w:autoSpaceDE w:val="0"/>
        <w:autoSpaceDN w:val="0"/>
        <w:adjustRightInd w:val="0"/>
        <w:jc w:val="both"/>
        <w:rPr>
          <w:rFonts w:cs="Verdana"/>
          <w:i/>
          <w:iCs/>
          <w:sz w:val="18"/>
          <w:szCs w:val="18"/>
        </w:rPr>
      </w:pPr>
    </w:p>
    <w:p w14:paraId="622E55F2" w14:textId="77777777" w:rsidR="0028303B" w:rsidRPr="00625F1E" w:rsidRDefault="0028303B" w:rsidP="0028303B">
      <w:pPr>
        <w:widowControl w:val="0"/>
        <w:autoSpaceDE w:val="0"/>
        <w:autoSpaceDN w:val="0"/>
        <w:adjustRightInd w:val="0"/>
        <w:jc w:val="both"/>
        <w:rPr>
          <w:rFonts w:cs="Verdana"/>
          <w:i/>
          <w:iCs/>
          <w:sz w:val="18"/>
          <w:szCs w:val="18"/>
        </w:rPr>
      </w:pPr>
    </w:p>
    <w:p w14:paraId="00E35094" w14:textId="392422E4" w:rsidR="0028303B" w:rsidRPr="00625F1E" w:rsidRDefault="0028303B" w:rsidP="0028303B">
      <w:pPr>
        <w:widowControl w:val="0"/>
        <w:autoSpaceDE w:val="0"/>
        <w:autoSpaceDN w:val="0"/>
        <w:adjustRightInd w:val="0"/>
        <w:jc w:val="both"/>
        <w:rPr>
          <w:rFonts w:cs="Verdana"/>
          <w:i/>
          <w:iCs/>
          <w:sz w:val="18"/>
          <w:szCs w:val="18"/>
        </w:rPr>
      </w:pPr>
    </w:p>
    <w:p w14:paraId="3A5B44D1" w14:textId="3AE7E291" w:rsidR="0028303B" w:rsidRPr="00625F1E" w:rsidRDefault="0028303B" w:rsidP="0028303B">
      <w:pPr>
        <w:widowControl w:val="0"/>
        <w:autoSpaceDE w:val="0"/>
        <w:autoSpaceDN w:val="0"/>
        <w:adjustRightInd w:val="0"/>
        <w:jc w:val="both"/>
        <w:rPr>
          <w:rFonts w:cs="Verdana"/>
          <w:i/>
          <w:iCs/>
          <w:sz w:val="18"/>
          <w:szCs w:val="18"/>
        </w:rPr>
      </w:pPr>
    </w:p>
    <w:p w14:paraId="6CEB9689" w14:textId="24FAF903" w:rsidR="0028303B" w:rsidRPr="00625F1E" w:rsidRDefault="0028303B" w:rsidP="0028303B">
      <w:pPr>
        <w:widowControl w:val="0"/>
        <w:autoSpaceDE w:val="0"/>
        <w:autoSpaceDN w:val="0"/>
        <w:adjustRightInd w:val="0"/>
        <w:jc w:val="both"/>
        <w:rPr>
          <w:rFonts w:cs="Verdana"/>
          <w:i/>
          <w:iCs/>
          <w:sz w:val="18"/>
          <w:szCs w:val="18"/>
        </w:rPr>
      </w:pPr>
    </w:p>
    <w:p w14:paraId="4B2FA9A7" w14:textId="77777777" w:rsidR="0028303B" w:rsidRPr="00625F1E" w:rsidRDefault="0028303B" w:rsidP="0028303B">
      <w:pPr>
        <w:widowControl w:val="0"/>
        <w:autoSpaceDE w:val="0"/>
        <w:autoSpaceDN w:val="0"/>
        <w:adjustRightInd w:val="0"/>
        <w:jc w:val="both"/>
        <w:rPr>
          <w:rFonts w:cs="Verdana"/>
          <w:i/>
          <w:iCs/>
          <w:sz w:val="18"/>
          <w:szCs w:val="18"/>
        </w:rPr>
      </w:pPr>
    </w:p>
    <w:p w14:paraId="78266BDB" w14:textId="77777777" w:rsidR="0028303B" w:rsidRPr="00625F1E" w:rsidRDefault="0028303B" w:rsidP="0028303B">
      <w:pPr>
        <w:widowControl w:val="0"/>
        <w:autoSpaceDE w:val="0"/>
        <w:autoSpaceDN w:val="0"/>
        <w:adjustRightInd w:val="0"/>
        <w:jc w:val="both"/>
        <w:rPr>
          <w:rFonts w:cs="Verdana"/>
          <w:i/>
          <w:iCs/>
          <w:sz w:val="18"/>
          <w:szCs w:val="18"/>
        </w:rPr>
      </w:pPr>
    </w:p>
    <w:p w14:paraId="125CD1A2" w14:textId="26A41C6D" w:rsidR="007A43BB" w:rsidRPr="00625F1E" w:rsidRDefault="007A43BB" w:rsidP="0028303B">
      <w:pPr>
        <w:widowControl w:val="0"/>
        <w:autoSpaceDE w:val="0"/>
        <w:autoSpaceDN w:val="0"/>
        <w:adjustRightInd w:val="0"/>
        <w:jc w:val="both"/>
        <w:rPr>
          <w:rFonts w:cs="Times"/>
          <w:i/>
          <w:sz w:val="18"/>
          <w:szCs w:val="18"/>
        </w:rPr>
      </w:pPr>
      <w:r w:rsidRPr="00625F1E">
        <w:rPr>
          <w:rFonts w:cs="Verdana"/>
          <w:i/>
          <w:iCs/>
          <w:sz w:val="18"/>
          <w:szCs w:val="18"/>
        </w:rPr>
        <w:t xml:space="preserve">Composed of 60 eminent judges and lawyers from all regions of the world, the International Commission of Jurists (ICJ) promotes and protects human rights through the Rule of Law, by using its unique legal expertise to develop and strengthen national and international justice systems. Established in 1952, in consultative status with the Economic and Social Council in 1957, and active on five continents, the ICJ aims to ensure the progressive development and effective implementation of international human rights and international humanitarian law; secure the realization of civil, cultural, economic, political and social rights; safeguard the separation of powers; and guarantee the independence of the judiciary and legal profession. </w:t>
      </w:r>
    </w:p>
    <w:p w14:paraId="0DE2FDA9" w14:textId="77777777" w:rsidR="007A43BB" w:rsidRPr="00625F1E" w:rsidRDefault="007A43BB" w:rsidP="007A43BB">
      <w:pPr>
        <w:widowControl w:val="0"/>
        <w:autoSpaceDE w:val="0"/>
        <w:autoSpaceDN w:val="0"/>
        <w:adjustRightInd w:val="0"/>
        <w:rPr>
          <w:rFonts w:cs="Verdana"/>
          <w:i/>
          <w:sz w:val="18"/>
          <w:szCs w:val="18"/>
        </w:rPr>
      </w:pPr>
    </w:p>
    <w:p w14:paraId="5B68753E" w14:textId="77777777" w:rsidR="007A43BB" w:rsidRPr="00625F1E" w:rsidRDefault="007A43BB" w:rsidP="007A43BB">
      <w:pPr>
        <w:widowControl w:val="0"/>
        <w:autoSpaceDE w:val="0"/>
        <w:autoSpaceDN w:val="0"/>
        <w:adjustRightInd w:val="0"/>
        <w:spacing w:after="240" w:line="300" w:lineRule="atLeast"/>
        <w:rPr>
          <w:rFonts w:cs="Verdana"/>
          <w:sz w:val="24"/>
        </w:rPr>
      </w:pPr>
    </w:p>
    <w:p w14:paraId="5166BCAA" w14:textId="77777777" w:rsidR="007A43BB" w:rsidRPr="00625F1E" w:rsidRDefault="007A43BB" w:rsidP="007A43BB">
      <w:pPr>
        <w:widowControl w:val="0"/>
        <w:autoSpaceDE w:val="0"/>
        <w:autoSpaceDN w:val="0"/>
        <w:adjustRightInd w:val="0"/>
        <w:jc w:val="center"/>
        <w:rPr>
          <w:rFonts w:cs="Verdana"/>
          <w:sz w:val="16"/>
          <w:szCs w:val="16"/>
        </w:rPr>
      </w:pPr>
    </w:p>
    <w:p w14:paraId="306FAFE4" w14:textId="0C5F8A62" w:rsidR="007A43BB" w:rsidRPr="00625F1E" w:rsidRDefault="007A43BB" w:rsidP="0028303B">
      <w:pPr>
        <w:widowControl w:val="0"/>
        <w:autoSpaceDE w:val="0"/>
        <w:autoSpaceDN w:val="0"/>
        <w:adjustRightInd w:val="0"/>
        <w:rPr>
          <w:rFonts w:cs="Verdana"/>
          <w:sz w:val="20"/>
          <w:szCs w:val="20"/>
        </w:rPr>
      </w:pPr>
    </w:p>
    <w:p w14:paraId="484C9124" w14:textId="3C68ED1E" w:rsidR="0028303B" w:rsidRPr="00625F1E" w:rsidRDefault="0028303B" w:rsidP="0028303B">
      <w:pPr>
        <w:widowControl w:val="0"/>
        <w:autoSpaceDE w:val="0"/>
        <w:autoSpaceDN w:val="0"/>
        <w:adjustRightInd w:val="0"/>
        <w:rPr>
          <w:rFonts w:cs="Verdana"/>
          <w:sz w:val="20"/>
          <w:szCs w:val="20"/>
        </w:rPr>
      </w:pPr>
    </w:p>
    <w:p w14:paraId="47BB8D7A" w14:textId="77777777" w:rsidR="007A43BB" w:rsidRPr="00625F1E" w:rsidRDefault="007A43BB" w:rsidP="007A43BB">
      <w:pPr>
        <w:widowControl w:val="0"/>
        <w:autoSpaceDE w:val="0"/>
        <w:autoSpaceDN w:val="0"/>
        <w:adjustRightInd w:val="0"/>
        <w:jc w:val="center"/>
        <w:rPr>
          <w:rFonts w:cs="Verdana"/>
          <w:sz w:val="16"/>
          <w:szCs w:val="16"/>
        </w:rPr>
      </w:pPr>
    </w:p>
    <w:p w14:paraId="012F5E63" w14:textId="77777777" w:rsidR="007A43BB" w:rsidRPr="00625F1E" w:rsidRDefault="007A43BB" w:rsidP="007A43BB">
      <w:pPr>
        <w:widowControl w:val="0"/>
        <w:autoSpaceDE w:val="0"/>
        <w:autoSpaceDN w:val="0"/>
        <w:adjustRightInd w:val="0"/>
        <w:jc w:val="center"/>
        <w:rPr>
          <w:rFonts w:cs="Verdana"/>
          <w:sz w:val="16"/>
          <w:szCs w:val="16"/>
        </w:rPr>
      </w:pPr>
    </w:p>
    <w:p w14:paraId="1144A002" w14:textId="77777777" w:rsidR="007A43BB" w:rsidRPr="00625F1E" w:rsidRDefault="007A43BB" w:rsidP="007A43BB">
      <w:pPr>
        <w:widowControl w:val="0"/>
        <w:autoSpaceDE w:val="0"/>
        <w:autoSpaceDN w:val="0"/>
        <w:adjustRightInd w:val="0"/>
        <w:jc w:val="center"/>
        <w:rPr>
          <w:rFonts w:ascii="Times" w:hAnsi="Times" w:cs="Times"/>
          <w:sz w:val="16"/>
          <w:szCs w:val="16"/>
        </w:rPr>
      </w:pPr>
    </w:p>
    <w:p w14:paraId="1608A330" w14:textId="6DE6661A" w:rsidR="00A6006F" w:rsidRPr="00625F1E" w:rsidRDefault="007A43BB" w:rsidP="0028303B">
      <w:pPr>
        <w:widowControl w:val="0"/>
        <w:autoSpaceDE w:val="0"/>
        <w:autoSpaceDN w:val="0"/>
        <w:adjustRightInd w:val="0"/>
        <w:jc w:val="center"/>
        <w:rPr>
          <w:rFonts w:cs="Verdana"/>
          <w:color w:val="0000FF"/>
          <w:sz w:val="16"/>
          <w:szCs w:val="16"/>
        </w:rPr>
      </w:pPr>
      <w:r w:rsidRPr="00625F1E">
        <w:rPr>
          <w:rFonts w:cs="Verdana"/>
          <w:sz w:val="16"/>
          <w:szCs w:val="16"/>
        </w:rPr>
        <w:t xml:space="preserve">P.O. Box, 91, Rue des Bains, 33, 1211 Geneva 8, Switzerland Tel: +41(0) 22 979 3800 – Fax: +41(0) 22 979 3801 – Website: </w:t>
      </w:r>
      <w:r w:rsidRPr="00625F1E">
        <w:rPr>
          <w:rFonts w:cs="Verdana"/>
          <w:color w:val="0000FF"/>
          <w:sz w:val="16"/>
          <w:szCs w:val="16"/>
        </w:rPr>
        <w:t xml:space="preserve">http://www.icj.org </w:t>
      </w:r>
      <w:r w:rsidRPr="00625F1E">
        <w:rPr>
          <w:rFonts w:cs="Verdana"/>
          <w:sz w:val="16"/>
          <w:szCs w:val="16"/>
        </w:rPr>
        <w:t xml:space="preserve">- E-mail: </w:t>
      </w:r>
      <w:hyperlink r:id="rId10" w:history="1">
        <w:r w:rsidR="0028303B" w:rsidRPr="00625F1E">
          <w:rPr>
            <w:rStyle w:val="Hyperlink"/>
            <w:rFonts w:cs="Verdana"/>
            <w:sz w:val="16"/>
            <w:szCs w:val="16"/>
          </w:rPr>
          <w:t>info@icj.org</w:t>
        </w:r>
      </w:hyperlink>
    </w:p>
    <w:p w14:paraId="4C212713" w14:textId="77777777" w:rsidR="0028303B" w:rsidRPr="00625F1E" w:rsidRDefault="0028303B" w:rsidP="0028303B">
      <w:pPr>
        <w:widowControl w:val="0"/>
        <w:autoSpaceDE w:val="0"/>
        <w:autoSpaceDN w:val="0"/>
        <w:adjustRightInd w:val="0"/>
        <w:jc w:val="center"/>
        <w:rPr>
          <w:rStyle w:val="Strong"/>
          <w:rFonts w:ascii="Times" w:hAnsi="Times" w:cs="Times"/>
          <w:b w:val="0"/>
          <w:bCs w:val="0"/>
          <w:sz w:val="16"/>
          <w:szCs w:val="16"/>
        </w:rPr>
      </w:pPr>
    </w:p>
    <w:p w14:paraId="64693131" w14:textId="47D6C6A6" w:rsidR="007A1C49" w:rsidRPr="00625F1E" w:rsidRDefault="007A1C49" w:rsidP="00242364">
      <w:pPr>
        <w:pStyle w:val="ListParagraph"/>
        <w:widowControl w:val="0"/>
        <w:numPr>
          <w:ilvl w:val="0"/>
          <w:numId w:val="26"/>
        </w:numPr>
        <w:tabs>
          <w:tab w:val="left" w:pos="567"/>
        </w:tabs>
        <w:autoSpaceDE w:val="0"/>
        <w:autoSpaceDN w:val="0"/>
        <w:adjustRightInd w:val="0"/>
        <w:ind w:left="567" w:hanging="567"/>
        <w:rPr>
          <w:rStyle w:val="Strong"/>
          <w:rFonts w:cs="Verdana"/>
          <w:bCs w:val="0"/>
          <w:sz w:val="20"/>
          <w:szCs w:val="20"/>
        </w:rPr>
      </w:pPr>
      <w:r w:rsidRPr="00625F1E">
        <w:rPr>
          <w:rStyle w:val="Strong"/>
          <w:rFonts w:cs="Verdana"/>
          <w:bCs w:val="0"/>
          <w:sz w:val="20"/>
          <w:szCs w:val="20"/>
        </w:rPr>
        <w:lastRenderedPageBreak/>
        <w:t>Introduction</w:t>
      </w:r>
    </w:p>
    <w:p w14:paraId="32910CF4" w14:textId="77777777" w:rsidR="007A1C49" w:rsidRPr="00625F1E" w:rsidRDefault="007A1C49" w:rsidP="00BB020A">
      <w:pPr>
        <w:widowControl w:val="0"/>
        <w:tabs>
          <w:tab w:val="left" w:pos="220"/>
          <w:tab w:val="left" w:pos="720"/>
        </w:tabs>
        <w:autoSpaceDE w:val="0"/>
        <w:autoSpaceDN w:val="0"/>
        <w:adjustRightInd w:val="0"/>
        <w:rPr>
          <w:rStyle w:val="Strong"/>
          <w:rFonts w:cs="Verdana"/>
          <w:b w:val="0"/>
          <w:bCs w:val="0"/>
          <w:sz w:val="20"/>
          <w:szCs w:val="20"/>
        </w:rPr>
      </w:pPr>
    </w:p>
    <w:p w14:paraId="447048A4" w14:textId="796DACC3" w:rsidR="00406F6D" w:rsidRPr="00625F1E" w:rsidRDefault="00A6006F" w:rsidP="00406F6D">
      <w:pPr>
        <w:pStyle w:val="ListParagraph"/>
        <w:widowControl w:val="0"/>
        <w:numPr>
          <w:ilvl w:val="0"/>
          <w:numId w:val="15"/>
        </w:numPr>
        <w:tabs>
          <w:tab w:val="left" w:pos="567"/>
        </w:tabs>
        <w:autoSpaceDE w:val="0"/>
        <w:autoSpaceDN w:val="0"/>
        <w:adjustRightInd w:val="0"/>
        <w:spacing w:line="256" w:lineRule="atLeast"/>
        <w:ind w:left="567" w:hanging="567"/>
        <w:jc w:val="both"/>
        <w:rPr>
          <w:rFonts w:cs="Verdana"/>
          <w:sz w:val="20"/>
          <w:szCs w:val="20"/>
        </w:rPr>
      </w:pPr>
      <w:r w:rsidRPr="00625F1E">
        <w:rPr>
          <w:rFonts w:cs="Verdana"/>
          <w:sz w:val="20"/>
          <w:szCs w:val="20"/>
        </w:rPr>
        <w:t>During its</w:t>
      </w:r>
      <w:r w:rsidR="00540ABC" w:rsidRPr="00625F1E">
        <w:rPr>
          <w:rFonts w:cs="Verdana"/>
          <w:sz w:val="20"/>
          <w:szCs w:val="20"/>
        </w:rPr>
        <w:t xml:space="preserve"> 6</w:t>
      </w:r>
      <w:r w:rsidR="00242364" w:rsidRPr="00625F1E">
        <w:rPr>
          <w:rFonts w:cs="Verdana"/>
          <w:sz w:val="20"/>
          <w:szCs w:val="20"/>
        </w:rPr>
        <w:t>8</w:t>
      </w:r>
      <w:r w:rsidR="00540ABC" w:rsidRPr="00625F1E">
        <w:rPr>
          <w:rFonts w:cs="Verdana"/>
          <w:sz w:val="20"/>
          <w:szCs w:val="20"/>
          <w:vertAlign w:val="superscript"/>
        </w:rPr>
        <w:t>th</w:t>
      </w:r>
      <w:r w:rsidRPr="00625F1E">
        <w:rPr>
          <w:rFonts w:cs="Verdana"/>
          <w:position w:val="13"/>
          <w:sz w:val="20"/>
          <w:szCs w:val="20"/>
        </w:rPr>
        <w:t xml:space="preserve"> </w:t>
      </w:r>
      <w:r w:rsidR="00242364" w:rsidRPr="00625F1E">
        <w:rPr>
          <w:rFonts w:cs="Verdana"/>
          <w:sz w:val="20"/>
          <w:szCs w:val="20"/>
        </w:rPr>
        <w:t>s</w:t>
      </w:r>
      <w:r w:rsidRPr="00625F1E">
        <w:rPr>
          <w:rFonts w:cs="Verdana"/>
          <w:sz w:val="20"/>
          <w:szCs w:val="20"/>
        </w:rPr>
        <w:t xml:space="preserve">ession, </w:t>
      </w:r>
      <w:r w:rsidR="00242364" w:rsidRPr="00625F1E">
        <w:rPr>
          <w:rFonts w:cs="Verdana"/>
          <w:sz w:val="20"/>
          <w:szCs w:val="20"/>
        </w:rPr>
        <w:t>from 11 November to 6 December 2019</w:t>
      </w:r>
      <w:r w:rsidRPr="00625F1E">
        <w:rPr>
          <w:rFonts w:cs="Verdana"/>
          <w:sz w:val="20"/>
          <w:szCs w:val="20"/>
        </w:rPr>
        <w:t>, the UN Committee against Torture (</w:t>
      </w:r>
      <w:r w:rsidR="00242364" w:rsidRPr="00625F1E">
        <w:rPr>
          <w:rFonts w:cs="Verdana"/>
          <w:sz w:val="20"/>
          <w:szCs w:val="20"/>
        </w:rPr>
        <w:t>hereafter, “</w:t>
      </w:r>
      <w:r w:rsidRPr="00625F1E">
        <w:rPr>
          <w:rFonts w:cs="Verdana"/>
          <w:sz w:val="20"/>
          <w:szCs w:val="20"/>
        </w:rPr>
        <w:t>the Committee</w:t>
      </w:r>
      <w:r w:rsidR="00242364" w:rsidRPr="00625F1E">
        <w:rPr>
          <w:rFonts w:cs="Verdana"/>
          <w:sz w:val="20"/>
          <w:szCs w:val="20"/>
        </w:rPr>
        <w:t>”</w:t>
      </w:r>
      <w:r w:rsidRPr="00625F1E">
        <w:rPr>
          <w:rFonts w:cs="Verdana"/>
          <w:sz w:val="20"/>
          <w:szCs w:val="20"/>
        </w:rPr>
        <w:t xml:space="preserve">) will </w:t>
      </w:r>
      <w:r w:rsidR="00242364" w:rsidRPr="00625F1E">
        <w:rPr>
          <w:rFonts w:cs="Verdana"/>
          <w:sz w:val="20"/>
          <w:szCs w:val="20"/>
        </w:rPr>
        <w:t>evaluat</w:t>
      </w:r>
      <w:r w:rsidRPr="00625F1E">
        <w:rPr>
          <w:rFonts w:cs="Verdana"/>
          <w:sz w:val="20"/>
          <w:szCs w:val="20"/>
        </w:rPr>
        <w:t xml:space="preserve">e </w:t>
      </w:r>
      <w:r w:rsidR="00242364" w:rsidRPr="00625F1E">
        <w:rPr>
          <w:rFonts w:cs="Verdana"/>
          <w:sz w:val="20"/>
          <w:szCs w:val="20"/>
        </w:rPr>
        <w:t xml:space="preserve">Uzbekistan’s compliance with its obligations under the </w:t>
      </w:r>
      <w:r w:rsidRPr="00625F1E">
        <w:rPr>
          <w:rFonts w:cs="Verdana"/>
          <w:sz w:val="20"/>
          <w:szCs w:val="20"/>
        </w:rPr>
        <w:t>Convention against Torture and Other Cruel, Inhuman or Degrading Treatment or Punishment (</w:t>
      </w:r>
      <w:r w:rsidR="00242364" w:rsidRPr="00625F1E">
        <w:rPr>
          <w:rFonts w:cs="Verdana"/>
          <w:sz w:val="20"/>
          <w:szCs w:val="20"/>
        </w:rPr>
        <w:t>hereafter, “</w:t>
      </w:r>
      <w:r w:rsidRPr="00625F1E">
        <w:rPr>
          <w:rFonts w:cs="Verdana"/>
          <w:sz w:val="20"/>
          <w:szCs w:val="20"/>
        </w:rPr>
        <w:t>the Convention</w:t>
      </w:r>
      <w:r w:rsidR="00242364" w:rsidRPr="00625F1E">
        <w:rPr>
          <w:rFonts w:cs="Verdana"/>
          <w:sz w:val="20"/>
          <w:szCs w:val="20"/>
        </w:rPr>
        <w:t>”</w:t>
      </w:r>
      <w:r w:rsidRPr="00625F1E">
        <w:rPr>
          <w:rFonts w:cs="Verdana"/>
          <w:sz w:val="20"/>
          <w:szCs w:val="20"/>
        </w:rPr>
        <w:t>)</w:t>
      </w:r>
      <w:r w:rsidR="00242364" w:rsidRPr="00625F1E">
        <w:rPr>
          <w:rFonts w:cs="Verdana"/>
          <w:sz w:val="20"/>
          <w:szCs w:val="20"/>
        </w:rPr>
        <w:t>, including in light of the State party’s fifth periodic report under Article 19 of the Convention</w:t>
      </w:r>
      <w:r w:rsidRPr="00625F1E">
        <w:rPr>
          <w:rFonts w:cs="Verdana"/>
          <w:sz w:val="20"/>
          <w:szCs w:val="20"/>
        </w:rPr>
        <w:t>.</w:t>
      </w:r>
      <w:r w:rsidR="00242364" w:rsidRPr="00625F1E">
        <w:rPr>
          <w:rFonts w:cs="Verdana"/>
          <w:sz w:val="20"/>
          <w:szCs w:val="20"/>
        </w:rPr>
        <w:t xml:space="preserve"> In this context, </w:t>
      </w:r>
      <w:r w:rsidR="00B4625F" w:rsidRPr="00625F1E">
        <w:rPr>
          <w:rFonts w:cs="Verdana"/>
          <w:sz w:val="20"/>
          <w:szCs w:val="20"/>
        </w:rPr>
        <w:t>t</w:t>
      </w:r>
      <w:r w:rsidRPr="00625F1E">
        <w:rPr>
          <w:rFonts w:cs="Verdana"/>
          <w:sz w:val="20"/>
          <w:szCs w:val="20"/>
        </w:rPr>
        <w:t>he International Commission of Jurists (ICJ) welcome</w:t>
      </w:r>
      <w:r w:rsidR="00242364" w:rsidRPr="00625F1E">
        <w:rPr>
          <w:rFonts w:cs="Verdana"/>
          <w:sz w:val="20"/>
          <w:szCs w:val="20"/>
        </w:rPr>
        <w:t>s</w:t>
      </w:r>
      <w:r w:rsidRPr="00625F1E">
        <w:rPr>
          <w:rFonts w:cs="Verdana"/>
          <w:sz w:val="20"/>
          <w:szCs w:val="20"/>
        </w:rPr>
        <w:t xml:space="preserve"> the opportunity to </w:t>
      </w:r>
      <w:r w:rsidR="00242364" w:rsidRPr="00625F1E">
        <w:rPr>
          <w:rFonts w:cs="Verdana"/>
          <w:sz w:val="20"/>
          <w:szCs w:val="20"/>
        </w:rPr>
        <w:t>submit the present briefing to the Committee</w:t>
      </w:r>
      <w:r w:rsidRPr="00625F1E">
        <w:rPr>
          <w:rFonts w:cs="Verdana"/>
          <w:sz w:val="20"/>
          <w:szCs w:val="20"/>
        </w:rPr>
        <w:t>.</w:t>
      </w:r>
    </w:p>
    <w:p w14:paraId="612B04E9" w14:textId="77777777" w:rsidR="00406F6D" w:rsidRPr="00625F1E" w:rsidRDefault="00406F6D" w:rsidP="00335573">
      <w:pPr>
        <w:widowControl w:val="0"/>
        <w:tabs>
          <w:tab w:val="left" w:pos="567"/>
        </w:tabs>
        <w:autoSpaceDE w:val="0"/>
        <w:autoSpaceDN w:val="0"/>
        <w:adjustRightInd w:val="0"/>
        <w:spacing w:line="256" w:lineRule="atLeast"/>
        <w:jc w:val="both"/>
        <w:rPr>
          <w:rFonts w:cs="Verdana"/>
          <w:sz w:val="20"/>
          <w:szCs w:val="20"/>
        </w:rPr>
      </w:pPr>
    </w:p>
    <w:p w14:paraId="76AB3CFC" w14:textId="2A1EB2C8" w:rsidR="00745C88" w:rsidRPr="00DE199E" w:rsidRDefault="008271E9" w:rsidP="00DE199E">
      <w:pPr>
        <w:pStyle w:val="ListParagraph"/>
        <w:widowControl w:val="0"/>
        <w:numPr>
          <w:ilvl w:val="0"/>
          <w:numId w:val="15"/>
        </w:numPr>
        <w:tabs>
          <w:tab w:val="left" w:pos="567"/>
        </w:tabs>
        <w:autoSpaceDE w:val="0"/>
        <w:autoSpaceDN w:val="0"/>
        <w:adjustRightInd w:val="0"/>
        <w:spacing w:line="256" w:lineRule="atLeast"/>
        <w:ind w:left="567" w:hanging="567"/>
        <w:jc w:val="both"/>
        <w:rPr>
          <w:rFonts w:cs="Verdana"/>
          <w:sz w:val="20"/>
          <w:szCs w:val="20"/>
        </w:rPr>
      </w:pPr>
      <w:r w:rsidRPr="004E5683">
        <w:rPr>
          <w:rFonts w:cs="Verdana"/>
          <w:sz w:val="20"/>
          <w:szCs w:val="20"/>
        </w:rPr>
        <w:t>The change of government in</w:t>
      </w:r>
      <w:r w:rsidR="004452F8" w:rsidRPr="004E5683">
        <w:rPr>
          <w:rFonts w:cs="Verdana"/>
          <w:sz w:val="20"/>
          <w:szCs w:val="20"/>
        </w:rPr>
        <w:t xml:space="preserve"> 2016 has generated a wave of reform</w:t>
      </w:r>
      <w:r w:rsidR="001C02E0" w:rsidRPr="004E5683">
        <w:rPr>
          <w:rFonts w:cs="Verdana"/>
          <w:sz w:val="20"/>
          <w:szCs w:val="20"/>
        </w:rPr>
        <w:t>s</w:t>
      </w:r>
      <w:r w:rsidR="004452F8" w:rsidRPr="004E5683">
        <w:rPr>
          <w:rFonts w:cs="Verdana"/>
          <w:sz w:val="20"/>
          <w:szCs w:val="20"/>
        </w:rPr>
        <w:t xml:space="preserve"> in Uzbekistan</w:t>
      </w:r>
      <w:r w:rsidR="00D03180">
        <w:rPr>
          <w:rFonts w:cs="Verdana"/>
          <w:sz w:val="20"/>
          <w:szCs w:val="20"/>
        </w:rPr>
        <w:t>,</w:t>
      </w:r>
      <w:r w:rsidR="00D02A8C" w:rsidRPr="00625F1E">
        <w:rPr>
          <w:rStyle w:val="FootnoteReference"/>
          <w:rFonts w:cs="Verdana"/>
          <w:szCs w:val="20"/>
        </w:rPr>
        <w:footnoteReference w:id="1"/>
      </w:r>
      <w:r w:rsidR="00DE199E">
        <w:rPr>
          <w:rFonts w:cs="Verdana"/>
          <w:sz w:val="20"/>
          <w:szCs w:val="20"/>
        </w:rPr>
        <w:t xml:space="preserve"> </w:t>
      </w:r>
      <w:r w:rsidR="00DA35BE">
        <w:rPr>
          <w:rFonts w:cs="Verdana"/>
          <w:sz w:val="20"/>
          <w:szCs w:val="20"/>
        </w:rPr>
        <w:t>including announced</w:t>
      </w:r>
      <w:r w:rsidR="004E5683">
        <w:rPr>
          <w:rFonts w:cs="Verdana"/>
          <w:sz w:val="20"/>
          <w:szCs w:val="20"/>
        </w:rPr>
        <w:t xml:space="preserve"> changes</w:t>
      </w:r>
      <w:r w:rsidR="004E5683" w:rsidRPr="00625F1E">
        <w:rPr>
          <w:rFonts w:cs="Verdana"/>
          <w:sz w:val="20"/>
          <w:szCs w:val="20"/>
        </w:rPr>
        <w:t xml:space="preserve"> </w:t>
      </w:r>
      <w:r w:rsidR="00B8069A" w:rsidRPr="00625F1E">
        <w:rPr>
          <w:rFonts w:cs="Verdana"/>
          <w:sz w:val="20"/>
          <w:szCs w:val="20"/>
        </w:rPr>
        <w:t>to the Criminal Code</w:t>
      </w:r>
      <w:r w:rsidR="00DA35BE">
        <w:rPr>
          <w:rFonts w:cs="Verdana"/>
          <w:sz w:val="20"/>
          <w:szCs w:val="20"/>
        </w:rPr>
        <w:t xml:space="preserve"> and</w:t>
      </w:r>
      <w:r w:rsidR="00B8069A" w:rsidRPr="00625F1E">
        <w:rPr>
          <w:rFonts w:cs="Verdana"/>
          <w:sz w:val="20"/>
          <w:szCs w:val="20"/>
        </w:rPr>
        <w:t xml:space="preserve"> Criminal Procedure Code</w:t>
      </w:r>
      <w:r w:rsidR="00DE199E">
        <w:rPr>
          <w:rFonts w:cs="Verdana"/>
          <w:sz w:val="20"/>
          <w:szCs w:val="20"/>
        </w:rPr>
        <w:t>. T</w:t>
      </w:r>
      <w:r w:rsidR="00B8069A" w:rsidRPr="00625F1E">
        <w:rPr>
          <w:rFonts w:cs="Verdana"/>
          <w:sz w:val="20"/>
          <w:szCs w:val="20"/>
        </w:rPr>
        <w:t>he r</w:t>
      </w:r>
      <w:r w:rsidR="00B47ACC" w:rsidRPr="00625F1E">
        <w:rPr>
          <w:rFonts w:cs="Verdana"/>
          <w:sz w:val="20"/>
          <w:szCs w:val="20"/>
        </w:rPr>
        <w:t xml:space="preserve">ecent ratification of the </w:t>
      </w:r>
      <w:r w:rsidR="00CC1044" w:rsidRPr="00CC1044">
        <w:rPr>
          <w:rFonts w:cs="Verdana"/>
          <w:sz w:val="20"/>
          <w:szCs w:val="20"/>
        </w:rPr>
        <w:t>Commonwealth of Independent States (hereafter, “CIS”)</w:t>
      </w:r>
      <w:r w:rsidR="00CC1044">
        <w:rPr>
          <w:rFonts w:cs="Verdana"/>
          <w:sz w:val="20"/>
          <w:szCs w:val="20"/>
        </w:rPr>
        <w:t xml:space="preserve"> </w:t>
      </w:r>
      <w:r w:rsidR="00C43255" w:rsidRPr="00625F1E">
        <w:rPr>
          <w:rFonts w:cs="Verdana"/>
          <w:sz w:val="20"/>
          <w:szCs w:val="20"/>
        </w:rPr>
        <w:t>Convention on Legal Assistance and Legal Relations in Civil, Family and Criminal Matters 2002, known as the Chisinau Convention,</w:t>
      </w:r>
      <w:r w:rsidR="00DA35BE">
        <w:rPr>
          <w:rFonts w:cs="Verdana"/>
          <w:sz w:val="20"/>
          <w:szCs w:val="20"/>
        </w:rPr>
        <w:t xml:space="preserve"> </w:t>
      </w:r>
      <w:r w:rsidR="000A0995">
        <w:rPr>
          <w:rFonts w:cs="Verdana"/>
          <w:sz w:val="20"/>
          <w:szCs w:val="20"/>
        </w:rPr>
        <w:t>has been</w:t>
      </w:r>
      <w:r w:rsidR="000A0995" w:rsidRPr="00625F1E">
        <w:rPr>
          <w:rFonts w:cs="Verdana"/>
          <w:sz w:val="20"/>
          <w:szCs w:val="20"/>
        </w:rPr>
        <w:t xml:space="preserve"> </w:t>
      </w:r>
      <w:r w:rsidR="00B2253E">
        <w:rPr>
          <w:rFonts w:cs="Verdana"/>
          <w:sz w:val="20"/>
          <w:szCs w:val="20"/>
        </w:rPr>
        <w:t>was</w:t>
      </w:r>
      <w:r w:rsidR="002D72E4" w:rsidRPr="00625F1E">
        <w:rPr>
          <w:rFonts w:cs="Verdana"/>
          <w:sz w:val="20"/>
          <w:szCs w:val="20"/>
        </w:rPr>
        <w:t xml:space="preserve"> a</w:t>
      </w:r>
      <w:r w:rsidR="002D72E4" w:rsidRPr="00DE199E">
        <w:rPr>
          <w:rFonts w:cs="Verdana"/>
          <w:sz w:val="20"/>
          <w:szCs w:val="20"/>
        </w:rPr>
        <w:t xml:space="preserve"> </w:t>
      </w:r>
      <w:r w:rsidR="00C43255" w:rsidRPr="00DE199E">
        <w:rPr>
          <w:rFonts w:cs="Verdana"/>
          <w:sz w:val="20"/>
          <w:szCs w:val="20"/>
        </w:rPr>
        <w:t xml:space="preserve">welcome step towards the </w:t>
      </w:r>
      <w:r w:rsidR="007D3DAD" w:rsidRPr="00DE199E">
        <w:rPr>
          <w:rFonts w:cs="Verdana"/>
          <w:sz w:val="20"/>
          <w:szCs w:val="20"/>
        </w:rPr>
        <w:t>compliance of the country’s extradition system with international standards</w:t>
      </w:r>
      <w:r w:rsidR="00DA35BE" w:rsidRPr="00DE199E">
        <w:rPr>
          <w:rFonts w:cs="Verdana"/>
          <w:sz w:val="20"/>
          <w:szCs w:val="20"/>
        </w:rPr>
        <w:t>.</w:t>
      </w:r>
      <w:r w:rsidR="00C43255" w:rsidRPr="00625F1E">
        <w:rPr>
          <w:rStyle w:val="FootnoteReference"/>
          <w:rFonts w:cs="Verdana"/>
          <w:sz w:val="17"/>
          <w:szCs w:val="17"/>
        </w:rPr>
        <w:footnoteReference w:id="2"/>
      </w:r>
    </w:p>
    <w:p w14:paraId="233D0E3C" w14:textId="77777777" w:rsidR="004E5683" w:rsidRPr="00DA35BE" w:rsidRDefault="004E5683" w:rsidP="00DA35BE">
      <w:pPr>
        <w:widowControl w:val="0"/>
        <w:autoSpaceDE w:val="0"/>
        <w:autoSpaceDN w:val="0"/>
        <w:adjustRightInd w:val="0"/>
        <w:spacing w:line="256" w:lineRule="atLeast"/>
        <w:jc w:val="both"/>
        <w:rPr>
          <w:rFonts w:cs="Verdana"/>
          <w:sz w:val="20"/>
          <w:szCs w:val="20"/>
        </w:rPr>
      </w:pPr>
    </w:p>
    <w:p w14:paraId="27F9E720" w14:textId="4DF93E9D" w:rsidR="0098145C" w:rsidRDefault="00DB180F" w:rsidP="000E1C8D">
      <w:pPr>
        <w:pStyle w:val="ListParagraph"/>
        <w:widowControl w:val="0"/>
        <w:numPr>
          <w:ilvl w:val="0"/>
          <w:numId w:val="15"/>
        </w:numPr>
        <w:tabs>
          <w:tab w:val="left" w:pos="567"/>
        </w:tabs>
        <w:autoSpaceDE w:val="0"/>
        <w:autoSpaceDN w:val="0"/>
        <w:adjustRightInd w:val="0"/>
        <w:spacing w:line="256" w:lineRule="atLeast"/>
        <w:ind w:left="567" w:hanging="567"/>
        <w:jc w:val="both"/>
        <w:rPr>
          <w:rFonts w:cs="Verdana"/>
          <w:sz w:val="20"/>
          <w:szCs w:val="20"/>
        </w:rPr>
      </w:pPr>
      <w:r w:rsidRPr="000E1C8D">
        <w:rPr>
          <w:rFonts w:cs="Verdana"/>
          <w:sz w:val="20"/>
          <w:szCs w:val="20"/>
        </w:rPr>
        <w:t xml:space="preserve">This submission </w:t>
      </w:r>
      <w:r w:rsidR="00F72CC9" w:rsidRPr="000E1C8D">
        <w:rPr>
          <w:rFonts w:cs="Verdana"/>
          <w:sz w:val="20"/>
          <w:szCs w:val="20"/>
        </w:rPr>
        <w:t xml:space="preserve">addresses </w:t>
      </w:r>
      <w:r w:rsidR="00957D6D" w:rsidRPr="000E1C8D">
        <w:rPr>
          <w:rFonts w:cs="Verdana"/>
          <w:sz w:val="20"/>
          <w:szCs w:val="20"/>
        </w:rPr>
        <w:t xml:space="preserve">Uzbekistan’s legislation on extradition, its potential discrepancies with international </w:t>
      </w:r>
      <w:r w:rsidR="00F72CC9" w:rsidRPr="000E1C8D">
        <w:rPr>
          <w:rFonts w:cs="Verdana"/>
          <w:sz w:val="20"/>
          <w:szCs w:val="20"/>
        </w:rPr>
        <w:t>law</w:t>
      </w:r>
      <w:r w:rsidR="000202EE" w:rsidRPr="000E1C8D">
        <w:rPr>
          <w:rFonts w:cs="Verdana"/>
          <w:sz w:val="20"/>
          <w:szCs w:val="20"/>
        </w:rPr>
        <w:t>,</w:t>
      </w:r>
      <w:r w:rsidR="00F72CC9" w:rsidRPr="000E1C8D">
        <w:rPr>
          <w:rFonts w:cs="Verdana"/>
          <w:sz w:val="20"/>
          <w:szCs w:val="20"/>
        </w:rPr>
        <w:t xml:space="preserve"> </w:t>
      </w:r>
      <w:r w:rsidR="00957D6D" w:rsidRPr="000E1C8D">
        <w:rPr>
          <w:rFonts w:cs="Verdana"/>
          <w:sz w:val="20"/>
          <w:szCs w:val="20"/>
        </w:rPr>
        <w:t>and how they</w:t>
      </w:r>
      <w:r w:rsidR="000202EE" w:rsidRPr="000E1C8D">
        <w:rPr>
          <w:rFonts w:cs="Verdana"/>
          <w:sz w:val="20"/>
          <w:szCs w:val="20"/>
        </w:rPr>
        <w:t>, in turn,</w:t>
      </w:r>
      <w:r w:rsidR="00957D6D" w:rsidRPr="000E1C8D">
        <w:rPr>
          <w:rFonts w:cs="Verdana"/>
          <w:sz w:val="20"/>
          <w:szCs w:val="20"/>
        </w:rPr>
        <w:t xml:space="preserve"> </w:t>
      </w:r>
      <w:r w:rsidR="008B67D2" w:rsidRPr="000E1C8D">
        <w:rPr>
          <w:rFonts w:cs="Verdana"/>
          <w:sz w:val="20"/>
          <w:szCs w:val="20"/>
        </w:rPr>
        <w:t xml:space="preserve">have led to documented </w:t>
      </w:r>
      <w:r w:rsidR="00957D6D" w:rsidRPr="000E1C8D">
        <w:rPr>
          <w:rFonts w:cs="Verdana"/>
          <w:sz w:val="20"/>
          <w:szCs w:val="20"/>
        </w:rPr>
        <w:t>violations of the Convention, notably</w:t>
      </w:r>
      <w:r w:rsidR="00F72CC9" w:rsidRPr="000E1C8D">
        <w:rPr>
          <w:rFonts w:cs="Verdana"/>
          <w:sz w:val="20"/>
          <w:szCs w:val="20"/>
        </w:rPr>
        <w:t xml:space="preserve"> under</w:t>
      </w:r>
      <w:r w:rsidR="00957D6D" w:rsidRPr="000E1C8D">
        <w:rPr>
          <w:rFonts w:cs="Verdana"/>
          <w:sz w:val="20"/>
          <w:szCs w:val="20"/>
        </w:rPr>
        <w:t xml:space="preserve"> Articles 2, 3 and 16</w:t>
      </w:r>
      <w:r w:rsidR="00DA35BE" w:rsidRPr="000E1C8D">
        <w:rPr>
          <w:rFonts w:cs="Verdana"/>
          <w:sz w:val="20"/>
          <w:szCs w:val="20"/>
        </w:rPr>
        <w:t xml:space="preserve"> CAT</w:t>
      </w:r>
      <w:r w:rsidR="00957D6D" w:rsidRPr="000E1C8D">
        <w:rPr>
          <w:rFonts w:cs="Verdana"/>
          <w:sz w:val="20"/>
          <w:szCs w:val="20"/>
        </w:rPr>
        <w:t xml:space="preserve">. </w:t>
      </w:r>
    </w:p>
    <w:p w14:paraId="6DE3DB42" w14:textId="77777777" w:rsidR="000E1C8D" w:rsidRPr="000E1C8D" w:rsidRDefault="000E1C8D" w:rsidP="000E1C8D">
      <w:pPr>
        <w:widowControl w:val="0"/>
        <w:tabs>
          <w:tab w:val="left" w:pos="567"/>
        </w:tabs>
        <w:autoSpaceDE w:val="0"/>
        <w:autoSpaceDN w:val="0"/>
        <w:adjustRightInd w:val="0"/>
        <w:spacing w:line="256" w:lineRule="atLeast"/>
        <w:jc w:val="both"/>
        <w:rPr>
          <w:rStyle w:val="Strong"/>
          <w:rFonts w:cs="Verdana"/>
          <w:b w:val="0"/>
          <w:bCs w:val="0"/>
          <w:sz w:val="20"/>
          <w:szCs w:val="20"/>
        </w:rPr>
      </w:pPr>
    </w:p>
    <w:p w14:paraId="6C5C9EF8" w14:textId="39982858" w:rsidR="0098145C" w:rsidRPr="00625F1E" w:rsidRDefault="00266517" w:rsidP="00A87A11">
      <w:pPr>
        <w:pStyle w:val="ListParagraph"/>
        <w:widowControl w:val="0"/>
        <w:numPr>
          <w:ilvl w:val="0"/>
          <w:numId w:val="15"/>
        </w:numPr>
        <w:tabs>
          <w:tab w:val="left" w:pos="567"/>
        </w:tabs>
        <w:autoSpaceDE w:val="0"/>
        <w:autoSpaceDN w:val="0"/>
        <w:adjustRightInd w:val="0"/>
        <w:spacing w:line="256" w:lineRule="atLeast"/>
        <w:ind w:left="567" w:hanging="567"/>
        <w:jc w:val="both"/>
        <w:rPr>
          <w:rStyle w:val="Strong"/>
          <w:rFonts w:cs="Verdana"/>
          <w:b w:val="0"/>
          <w:bCs w:val="0"/>
          <w:sz w:val="20"/>
          <w:szCs w:val="20"/>
        </w:rPr>
      </w:pPr>
      <w:r w:rsidRPr="00625F1E">
        <w:rPr>
          <w:rStyle w:val="Strong"/>
          <w:rFonts w:cs="Verdana"/>
          <w:b w:val="0"/>
          <w:bCs w:val="0"/>
          <w:sz w:val="20"/>
          <w:szCs w:val="20"/>
        </w:rPr>
        <w:t>T</w:t>
      </w:r>
      <w:r w:rsidR="00DB180F" w:rsidRPr="00625F1E">
        <w:rPr>
          <w:rStyle w:val="Strong"/>
          <w:rFonts w:cs="Verdana"/>
          <w:b w:val="0"/>
          <w:bCs w:val="0"/>
          <w:sz w:val="20"/>
          <w:szCs w:val="20"/>
        </w:rPr>
        <w:t>he</w:t>
      </w:r>
      <w:r w:rsidR="00242364" w:rsidRPr="00625F1E">
        <w:rPr>
          <w:rStyle w:val="Strong"/>
          <w:rFonts w:cs="Verdana"/>
          <w:b w:val="0"/>
          <w:bCs w:val="0"/>
          <w:sz w:val="20"/>
          <w:szCs w:val="20"/>
        </w:rPr>
        <w:t xml:space="preserve"> present observations are</w:t>
      </w:r>
      <w:r w:rsidR="00DB180F" w:rsidRPr="00625F1E">
        <w:rPr>
          <w:rStyle w:val="Strong"/>
          <w:rFonts w:cs="Verdana"/>
          <w:b w:val="0"/>
          <w:bCs w:val="0"/>
          <w:sz w:val="20"/>
          <w:szCs w:val="20"/>
        </w:rPr>
        <w:t xml:space="preserve"> </w:t>
      </w:r>
      <w:r w:rsidR="00242364" w:rsidRPr="00625F1E">
        <w:rPr>
          <w:rStyle w:val="Strong"/>
          <w:rFonts w:cs="Verdana"/>
          <w:b w:val="0"/>
          <w:bCs w:val="0"/>
          <w:sz w:val="20"/>
          <w:szCs w:val="20"/>
        </w:rPr>
        <w:t>based</w:t>
      </w:r>
      <w:r w:rsidR="00AE428F" w:rsidRPr="00625F1E">
        <w:rPr>
          <w:rStyle w:val="Strong"/>
          <w:rFonts w:cs="Verdana"/>
          <w:b w:val="0"/>
          <w:bCs w:val="0"/>
          <w:sz w:val="20"/>
          <w:szCs w:val="20"/>
        </w:rPr>
        <w:t xml:space="preserve"> predominantly</w:t>
      </w:r>
      <w:r w:rsidR="00242364" w:rsidRPr="00625F1E">
        <w:rPr>
          <w:rStyle w:val="Strong"/>
          <w:rFonts w:cs="Verdana"/>
          <w:b w:val="0"/>
          <w:bCs w:val="0"/>
          <w:sz w:val="20"/>
          <w:szCs w:val="20"/>
        </w:rPr>
        <w:t xml:space="preserve"> on </w:t>
      </w:r>
      <w:r w:rsidR="001A3AAF">
        <w:rPr>
          <w:rStyle w:val="Strong"/>
          <w:rFonts w:cs="Verdana"/>
          <w:b w:val="0"/>
          <w:bCs w:val="0"/>
          <w:sz w:val="20"/>
          <w:szCs w:val="20"/>
        </w:rPr>
        <w:t>the</w:t>
      </w:r>
      <w:r w:rsidR="001A3AAF" w:rsidRPr="00625F1E">
        <w:rPr>
          <w:rStyle w:val="Strong"/>
          <w:rFonts w:cs="Verdana"/>
          <w:b w:val="0"/>
          <w:bCs w:val="0"/>
          <w:sz w:val="20"/>
          <w:szCs w:val="20"/>
        </w:rPr>
        <w:t xml:space="preserve"> </w:t>
      </w:r>
      <w:r w:rsidR="001A3AAF">
        <w:rPr>
          <w:rStyle w:val="Strong"/>
          <w:rFonts w:cs="Verdana"/>
          <w:b w:val="0"/>
          <w:bCs w:val="0"/>
          <w:sz w:val="20"/>
          <w:szCs w:val="20"/>
        </w:rPr>
        <w:t xml:space="preserve">ICJ </w:t>
      </w:r>
      <w:r w:rsidR="00242364" w:rsidRPr="00625F1E">
        <w:rPr>
          <w:rStyle w:val="Strong"/>
          <w:rFonts w:cs="Verdana"/>
          <w:b w:val="0"/>
          <w:bCs w:val="0"/>
          <w:sz w:val="20"/>
          <w:szCs w:val="20"/>
        </w:rPr>
        <w:t>report</w:t>
      </w:r>
      <w:r w:rsidR="008C07EF" w:rsidRPr="00625F1E">
        <w:rPr>
          <w:rStyle w:val="Strong"/>
          <w:rFonts w:cs="Verdana"/>
          <w:b w:val="0"/>
          <w:bCs w:val="0"/>
          <w:sz w:val="20"/>
          <w:szCs w:val="20"/>
        </w:rPr>
        <w:t>:</w:t>
      </w:r>
      <w:r w:rsidR="00242364" w:rsidRPr="00625F1E">
        <w:rPr>
          <w:rStyle w:val="Strong"/>
          <w:rFonts w:cs="Verdana"/>
          <w:b w:val="0"/>
          <w:bCs w:val="0"/>
          <w:sz w:val="20"/>
          <w:szCs w:val="20"/>
        </w:rPr>
        <w:t xml:space="preserve"> </w:t>
      </w:r>
      <w:r w:rsidR="00242364" w:rsidRPr="00625F1E">
        <w:rPr>
          <w:rStyle w:val="Strong"/>
          <w:rFonts w:cs="Verdana"/>
          <w:b w:val="0"/>
          <w:bCs w:val="0"/>
          <w:i/>
          <w:iCs/>
          <w:sz w:val="20"/>
          <w:szCs w:val="20"/>
        </w:rPr>
        <w:t>Transnational Injustices: National Security Transfers and International Law</w:t>
      </w:r>
      <w:r w:rsidR="00B26ED7" w:rsidRPr="00625F1E">
        <w:rPr>
          <w:rStyle w:val="Strong"/>
          <w:rFonts w:cs="Verdana"/>
          <w:b w:val="0"/>
          <w:bCs w:val="0"/>
          <w:i/>
          <w:iCs/>
          <w:sz w:val="20"/>
          <w:szCs w:val="20"/>
        </w:rPr>
        <w:t xml:space="preserve"> </w:t>
      </w:r>
      <w:r w:rsidR="00242364" w:rsidRPr="00625F1E">
        <w:rPr>
          <w:rStyle w:val="Strong"/>
          <w:rFonts w:cs="Verdana"/>
          <w:b w:val="0"/>
          <w:bCs w:val="0"/>
          <w:sz w:val="20"/>
          <w:szCs w:val="20"/>
        </w:rPr>
        <w:t>published in 2017</w:t>
      </w:r>
      <w:r w:rsidR="001A3AAF">
        <w:rPr>
          <w:rStyle w:val="Strong"/>
          <w:rFonts w:cs="Verdana"/>
          <w:b w:val="0"/>
          <w:bCs w:val="0"/>
          <w:sz w:val="20"/>
          <w:szCs w:val="20"/>
        </w:rPr>
        <w:t xml:space="preserve">, which </w:t>
      </w:r>
      <w:r w:rsidR="00406F6D" w:rsidRPr="00625F1E">
        <w:rPr>
          <w:rStyle w:val="Strong"/>
          <w:rFonts w:cs="Verdana"/>
          <w:b w:val="0"/>
          <w:bCs w:val="0"/>
          <w:sz w:val="20"/>
          <w:szCs w:val="20"/>
        </w:rPr>
        <w:t>outline</w:t>
      </w:r>
      <w:r w:rsidR="001A3AAF">
        <w:rPr>
          <w:rStyle w:val="Strong"/>
          <w:rFonts w:cs="Verdana"/>
          <w:b w:val="0"/>
          <w:bCs w:val="0"/>
          <w:sz w:val="20"/>
          <w:szCs w:val="20"/>
        </w:rPr>
        <w:t>s</w:t>
      </w:r>
      <w:r w:rsidR="00406F6D" w:rsidRPr="00625F1E">
        <w:rPr>
          <w:rStyle w:val="Strong"/>
          <w:rFonts w:cs="Verdana"/>
          <w:b w:val="0"/>
          <w:bCs w:val="0"/>
          <w:sz w:val="20"/>
          <w:szCs w:val="20"/>
        </w:rPr>
        <w:t xml:space="preserve"> and compare</w:t>
      </w:r>
      <w:r w:rsidR="001A3AAF">
        <w:rPr>
          <w:rStyle w:val="Strong"/>
          <w:rFonts w:cs="Verdana"/>
          <w:b w:val="0"/>
          <w:bCs w:val="0"/>
          <w:sz w:val="20"/>
          <w:szCs w:val="20"/>
        </w:rPr>
        <w:t>s</w:t>
      </w:r>
      <w:r w:rsidR="00406F6D" w:rsidRPr="00625F1E">
        <w:rPr>
          <w:rStyle w:val="Strong"/>
          <w:rFonts w:cs="Verdana"/>
          <w:b w:val="0"/>
          <w:bCs w:val="0"/>
          <w:sz w:val="20"/>
          <w:szCs w:val="20"/>
        </w:rPr>
        <w:t xml:space="preserve"> legal rules, jurisprudence and </w:t>
      </w:r>
      <w:r w:rsidR="001A3AAF">
        <w:rPr>
          <w:rStyle w:val="Strong"/>
          <w:rFonts w:cs="Verdana"/>
          <w:b w:val="0"/>
          <w:bCs w:val="0"/>
          <w:sz w:val="20"/>
          <w:szCs w:val="20"/>
        </w:rPr>
        <w:t xml:space="preserve">extradition </w:t>
      </w:r>
      <w:r w:rsidR="00406F6D" w:rsidRPr="00625F1E">
        <w:rPr>
          <w:rStyle w:val="Strong"/>
          <w:rFonts w:cs="Verdana"/>
          <w:b w:val="0"/>
          <w:bCs w:val="0"/>
          <w:sz w:val="20"/>
          <w:szCs w:val="20"/>
        </w:rPr>
        <w:t>practice, expulsions and informal practices</w:t>
      </w:r>
      <w:r w:rsidR="001A3AAF">
        <w:rPr>
          <w:rStyle w:val="Strong"/>
          <w:rFonts w:cs="Verdana"/>
          <w:b w:val="0"/>
          <w:bCs w:val="0"/>
          <w:sz w:val="20"/>
          <w:szCs w:val="20"/>
        </w:rPr>
        <w:t>,</w:t>
      </w:r>
      <w:r w:rsidR="00406F6D" w:rsidRPr="00625F1E">
        <w:rPr>
          <w:rStyle w:val="Strong"/>
          <w:rFonts w:cs="Verdana"/>
          <w:b w:val="0"/>
          <w:bCs w:val="0"/>
          <w:sz w:val="20"/>
          <w:szCs w:val="20"/>
        </w:rPr>
        <w:t xml:space="preserve"> such as renditions</w:t>
      </w:r>
      <w:r w:rsidR="001C02E0" w:rsidRPr="00625F1E">
        <w:rPr>
          <w:rStyle w:val="Strong"/>
          <w:rFonts w:cs="Verdana"/>
          <w:b w:val="0"/>
          <w:bCs w:val="0"/>
          <w:sz w:val="20"/>
          <w:szCs w:val="20"/>
        </w:rPr>
        <w:t>,</w:t>
      </w:r>
      <w:r w:rsidR="00406F6D" w:rsidRPr="00625F1E">
        <w:rPr>
          <w:rStyle w:val="Strong"/>
          <w:rFonts w:cs="Verdana"/>
          <w:b w:val="0"/>
          <w:bCs w:val="0"/>
          <w:sz w:val="20"/>
          <w:szCs w:val="20"/>
        </w:rPr>
        <w:t xml:space="preserve"> in countries of Europe and the CIS region</w:t>
      </w:r>
      <w:r w:rsidR="001A3AAF">
        <w:rPr>
          <w:rStyle w:val="Strong"/>
          <w:rFonts w:cs="Verdana"/>
          <w:b w:val="0"/>
          <w:bCs w:val="0"/>
          <w:sz w:val="20"/>
          <w:szCs w:val="20"/>
        </w:rPr>
        <w:t>,</w:t>
      </w:r>
      <w:r w:rsidR="00406F6D" w:rsidRPr="00625F1E">
        <w:rPr>
          <w:rStyle w:val="Strong"/>
          <w:rFonts w:cs="Verdana"/>
          <w:b w:val="0"/>
          <w:bCs w:val="0"/>
          <w:sz w:val="20"/>
          <w:szCs w:val="20"/>
        </w:rPr>
        <w:t xml:space="preserve"> and assess</w:t>
      </w:r>
      <w:r w:rsidR="001A3AAF">
        <w:rPr>
          <w:rStyle w:val="Strong"/>
          <w:rFonts w:cs="Verdana"/>
          <w:b w:val="0"/>
          <w:bCs w:val="0"/>
          <w:sz w:val="20"/>
          <w:szCs w:val="20"/>
        </w:rPr>
        <w:t>es</w:t>
      </w:r>
      <w:r w:rsidR="00406F6D" w:rsidRPr="00625F1E">
        <w:rPr>
          <w:rStyle w:val="Strong"/>
          <w:rFonts w:cs="Verdana"/>
          <w:b w:val="0"/>
          <w:bCs w:val="0"/>
          <w:sz w:val="20"/>
          <w:szCs w:val="20"/>
        </w:rPr>
        <w:t xml:space="preserve"> their compliance with international law, including human rights and refugee law</w:t>
      </w:r>
      <w:r w:rsidR="004E5683">
        <w:rPr>
          <w:rStyle w:val="Strong"/>
          <w:rFonts w:cs="Verdana"/>
          <w:b w:val="0"/>
          <w:bCs w:val="0"/>
          <w:sz w:val="20"/>
          <w:szCs w:val="20"/>
        </w:rPr>
        <w:t>.</w:t>
      </w:r>
      <w:r w:rsidR="00B26ED7" w:rsidRPr="00625F1E">
        <w:rPr>
          <w:rStyle w:val="FootnoteReference"/>
          <w:rFonts w:cs="Verdana"/>
          <w:sz w:val="18"/>
          <w:szCs w:val="28"/>
        </w:rPr>
        <w:footnoteReference w:id="3"/>
      </w:r>
      <w:r w:rsidR="004E5683">
        <w:rPr>
          <w:rStyle w:val="Strong"/>
          <w:rFonts w:cs="Verdana"/>
          <w:b w:val="0"/>
          <w:bCs w:val="0"/>
          <w:sz w:val="20"/>
          <w:szCs w:val="20"/>
        </w:rPr>
        <w:t xml:space="preserve"> </w:t>
      </w:r>
      <w:r w:rsidR="001A3AAF">
        <w:rPr>
          <w:rStyle w:val="Strong"/>
          <w:rFonts w:cs="Verdana"/>
          <w:b w:val="0"/>
          <w:bCs w:val="0"/>
          <w:sz w:val="20"/>
          <w:szCs w:val="20"/>
        </w:rPr>
        <w:t>In addition, t</w:t>
      </w:r>
      <w:r w:rsidR="00B2253E">
        <w:rPr>
          <w:rStyle w:val="Strong"/>
          <w:rFonts w:cs="Verdana"/>
          <w:b w:val="0"/>
          <w:bCs w:val="0"/>
          <w:sz w:val="20"/>
          <w:szCs w:val="20"/>
        </w:rPr>
        <w:t xml:space="preserve">he submission takes into account recent developments since the publication of </w:t>
      </w:r>
      <w:r w:rsidR="00DA35BE">
        <w:rPr>
          <w:rStyle w:val="Strong"/>
          <w:rFonts w:cs="Verdana"/>
          <w:b w:val="0"/>
          <w:bCs w:val="0"/>
          <w:sz w:val="20"/>
          <w:szCs w:val="20"/>
        </w:rPr>
        <w:t>th</w:t>
      </w:r>
      <w:r w:rsidR="001A3AAF">
        <w:rPr>
          <w:rStyle w:val="Strong"/>
          <w:rFonts w:cs="Verdana"/>
          <w:b w:val="0"/>
          <w:bCs w:val="0"/>
          <w:sz w:val="20"/>
          <w:szCs w:val="20"/>
        </w:rPr>
        <w:t xml:space="preserve">e above-mentioned </w:t>
      </w:r>
      <w:r w:rsidR="00DA35BE">
        <w:rPr>
          <w:rStyle w:val="Strong"/>
          <w:rFonts w:cs="Verdana"/>
          <w:b w:val="0"/>
          <w:bCs w:val="0"/>
          <w:sz w:val="20"/>
          <w:szCs w:val="20"/>
        </w:rPr>
        <w:t>report</w:t>
      </w:r>
      <w:r w:rsidR="00B2253E">
        <w:rPr>
          <w:rStyle w:val="Strong"/>
          <w:rFonts w:cs="Verdana"/>
          <w:b w:val="0"/>
          <w:bCs w:val="0"/>
          <w:sz w:val="20"/>
          <w:szCs w:val="20"/>
        </w:rPr>
        <w:t>.</w:t>
      </w:r>
    </w:p>
    <w:p w14:paraId="74BBF8E2" w14:textId="77777777" w:rsidR="00266517" w:rsidRPr="00625F1E" w:rsidRDefault="00266517" w:rsidP="00856308">
      <w:pPr>
        <w:widowControl w:val="0"/>
        <w:tabs>
          <w:tab w:val="left" w:pos="426"/>
        </w:tabs>
        <w:autoSpaceDE w:val="0"/>
        <w:autoSpaceDN w:val="0"/>
        <w:adjustRightInd w:val="0"/>
        <w:spacing w:line="256" w:lineRule="atLeast"/>
        <w:jc w:val="both"/>
        <w:rPr>
          <w:rStyle w:val="Strong"/>
          <w:rFonts w:cs="Verdana"/>
          <w:b w:val="0"/>
          <w:bCs w:val="0"/>
          <w:sz w:val="22"/>
          <w:szCs w:val="22"/>
        </w:rPr>
      </w:pPr>
    </w:p>
    <w:p w14:paraId="3FE4AF9B" w14:textId="1D508A9E" w:rsidR="00335573" w:rsidRPr="00625F1E" w:rsidRDefault="005B7FC0" w:rsidP="000E508C">
      <w:pPr>
        <w:pStyle w:val="NormalWeb"/>
        <w:widowControl w:val="0"/>
        <w:numPr>
          <w:ilvl w:val="0"/>
          <w:numId w:val="16"/>
        </w:numPr>
        <w:tabs>
          <w:tab w:val="left" w:pos="0"/>
          <w:tab w:val="left" w:pos="567"/>
        </w:tabs>
        <w:autoSpaceDE w:val="0"/>
        <w:autoSpaceDN w:val="0"/>
        <w:adjustRightInd w:val="0"/>
        <w:spacing w:before="0" w:beforeAutospacing="0" w:after="0" w:afterAutospacing="0" w:line="256" w:lineRule="atLeast"/>
        <w:ind w:left="567" w:hanging="567"/>
        <w:jc w:val="both"/>
        <w:rPr>
          <w:rStyle w:val="Strong"/>
          <w:rFonts w:cs="Verdana"/>
          <w:b w:val="0"/>
          <w:bCs w:val="0"/>
          <w:lang w:val="en-GB"/>
        </w:rPr>
      </w:pPr>
      <w:r w:rsidRPr="00625F1E">
        <w:rPr>
          <w:rStyle w:val="Strong"/>
          <w:rFonts w:ascii="Verdana" w:hAnsi="Verdana"/>
          <w:iCs/>
          <w:lang w:val="en-GB"/>
        </w:rPr>
        <w:t xml:space="preserve">International transfers and </w:t>
      </w:r>
      <w:r w:rsidR="004D1683" w:rsidRPr="00625F1E">
        <w:rPr>
          <w:rStyle w:val="Strong"/>
          <w:rFonts w:ascii="Verdana" w:hAnsi="Verdana"/>
          <w:iCs/>
          <w:lang w:val="en-GB"/>
        </w:rPr>
        <w:t>ill-treatment</w:t>
      </w:r>
      <w:r w:rsidRPr="00625F1E">
        <w:rPr>
          <w:rStyle w:val="Strong"/>
          <w:rFonts w:ascii="Verdana" w:hAnsi="Verdana"/>
          <w:iCs/>
          <w:lang w:val="en-GB"/>
        </w:rPr>
        <w:t xml:space="preserve"> (</w:t>
      </w:r>
      <w:r w:rsidR="00CC1044">
        <w:rPr>
          <w:rStyle w:val="Strong"/>
          <w:rFonts w:ascii="Verdana" w:hAnsi="Verdana"/>
          <w:iCs/>
          <w:lang w:val="en-GB"/>
        </w:rPr>
        <w:t>A</w:t>
      </w:r>
      <w:r w:rsidRPr="00625F1E">
        <w:rPr>
          <w:rStyle w:val="Strong"/>
          <w:rFonts w:ascii="Verdana" w:hAnsi="Verdana"/>
          <w:iCs/>
          <w:lang w:val="en-GB"/>
        </w:rPr>
        <w:t xml:space="preserve">rticles </w:t>
      </w:r>
      <w:r w:rsidR="005E0230" w:rsidRPr="00625F1E">
        <w:rPr>
          <w:rStyle w:val="Strong"/>
          <w:rFonts w:ascii="Verdana" w:hAnsi="Verdana"/>
          <w:iCs/>
          <w:lang w:val="en-GB"/>
        </w:rPr>
        <w:t xml:space="preserve">1, </w:t>
      </w:r>
      <w:r w:rsidRPr="00625F1E">
        <w:rPr>
          <w:rStyle w:val="Strong"/>
          <w:rFonts w:ascii="Verdana" w:hAnsi="Verdana"/>
          <w:iCs/>
          <w:lang w:val="en-GB"/>
        </w:rPr>
        <w:t>2</w:t>
      </w:r>
      <w:r w:rsidR="00A87A11" w:rsidRPr="00625F1E">
        <w:rPr>
          <w:rStyle w:val="Strong"/>
          <w:rFonts w:ascii="Verdana" w:hAnsi="Verdana"/>
          <w:iCs/>
          <w:lang w:val="en-GB"/>
        </w:rPr>
        <w:t xml:space="preserve">, </w:t>
      </w:r>
      <w:r w:rsidR="000C31CC" w:rsidRPr="00625F1E">
        <w:rPr>
          <w:rStyle w:val="Strong"/>
          <w:rFonts w:ascii="Verdana" w:hAnsi="Verdana"/>
          <w:iCs/>
          <w:lang w:val="en-GB"/>
        </w:rPr>
        <w:t xml:space="preserve">3, </w:t>
      </w:r>
      <w:r w:rsidRPr="00625F1E">
        <w:rPr>
          <w:rStyle w:val="Strong"/>
          <w:rFonts w:ascii="Verdana" w:hAnsi="Verdana"/>
          <w:iCs/>
          <w:lang w:val="en-GB"/>
        </w:rPr>
        <w:t xml:space="preserve">11 </w:t>
      </w:r>
      <w:r w:rsidR="00A87A11" w:rsidRPr="00625F1E">
        <w:rPr>
          <w:rStyle w:val="Strong"/>
          <w:rFonts w:ascii="Verdana" w:hAnsi="Verdana"/>
          <w:iCs/>
          <w:lang w:val="en-GB"/>
        </w:rPr>
        <w:t xml:space="preserve">and 16 </w:t>
      </w:r>
      <w:r w:rsidRPr="00625F1E">
        <w:rPr>
          <w:rStyle w:val="Strong"/>
          <w:rFonts w:ascii="Verdana" w:hAnsi="Verdana"/>
          <w:iCs/>
          <w:lang w:val="en-GB"/>
        </w:rPr>
        <w:t>CAT)</w:t>
      </w:r>
    </w:p>
    <w:p w14:paraId="655036D2" w14:textId="51540854" w:rsidR="00A87A11" w:rsidRPr="00625F1E" w:rsidRDefault="00A87A11" w:rsidP="00A87A11">
      <w:pPr>
        <w:pStyle w:val="NormalWeb"/>
        <w:widowControl w:val="0"/>
        <w:tabs>
          <w:tab w:val="left" w:pos="0"/>
          <w:tab w:val="left" w:pos="567"/>
        </w:tabs>
        <w:autoSpaceDE w:val="0"/>
        <w:autoSpaceDN w:val="0"/>
        <w:adjustRightInd w:val="0"/>
        <w:spacing w:before="0" w:beforeAutospacing="0" w:after="0" w:afterAutospacing="0" w:line="256" w:lineRule="atLeast"/>
        <w:ind w:left="567"/>
        <w:jc w:val="both"/>
        <w:rPr>
          <w:rStyle w:val="Strong"/>
          <w:rFonts w:ascii="Verdana" w:hAnsi="Verdana"/>
          <w:iCs/>
          <w:lang w:val="en-GB"/>
        </w:rPr>
      </w:pPr>
    </w:p>
    <w:p w14:paraId="780217A5" w14:textId="78840358" w:rsidR="009D6981" w:rsidRPr="00625F1E" w:rsidRDefault="009D6981" w:rsidP="009D6981">
      <w:pPr>
        <w:pStyle w:val="ListParagraph"/>
        <w:widowControl w:val="0"/>
        <w:numPr>
          <w:ilvl w:val="0"/>
          <w:numId w:val="31"/>
        </w:numPr>
        <w:autoSpaceDE w:val="0"/>
        <w:autoSpaceDN w:val="0"/>
        <w:adjustRightInd w:val="0"/>
        <w:spacing w:line="256" w:lineRule="atLeast"/>
        <w:ind w:left="567" w:hanging="567"/>
        <w:jc w:val="both"/>
        <w:rPr>
          <w:rStyle w:val="Strong"/>
          <w:rFonts w:cs="Verdana"/>
          <w:b w:val="0"/>
          <w:bCs w:val="0"/>
          <w:sz w:val="20"/>
          <w:szCs w:val="20"/>
          <w:u w:val="single"/>
        </w:rPr>
      </w:pPr>
      <w:r w:rsidRPr="00625F1E">
        <w:rPr>
          <w:rStyle w:val="Strong"/>
          <w:rFonts w:cs="Verdana"/>
          <w:b w:val="0"/>
          <w:bCs w:val="0"/>
          <w:sz w:val="20"/>
          <w:szCs w:val="20"/>
          <w:u w:val="single"/>
        </w:rPr>
        <w:t>Extraditions</w:t>
      </w:r>
    </w:p>
    <w:p w14:paraId="2B2F4250" w14:textId="77777777" w:rsidR="009D6981" w:rsidRPr="00375038" w:rsidRDefault="009D6981" w:rsidP="00375038">
      <w:pPr>
        <w:widowControl w:val="0"/>
        <w:autoSpaceDE w:val="0"/>
        <w:autoSpaceDN w:val="0"/>
        <w:adjustRightInd w:val="0"/>
        <w:spacing w:line="256" w:lineRule="atLeast"/>
        <w:jc w:val="both"/>
        <w:rPr>
          <w:rStyle w:val="Strong"/>
          <w:rFonts w:cs="Verdana"/>
          <w:b w:val="0"/>
          <w:bCs w:val="0"/>
          <w:sz w:val="20"/>
          <w:szCs w:val="20"/>
          <w:u w:val="single"/>
        </w:rPr>
      </w:pPr>
    </w:p>
    <w:p w14:paraId="39AE8C79" w14:textId="7B2A4337" w:rsidR="0045210B" w:rsidRPr="00625F1E" w:rsidRDefault="0045210B" w:rsidP="00CB718F">
      <w:pPr>
        <w:pStyle w:val="ListParagraph"/>
        <w:widowControl w:val="0"/>
        <w:numPr>
          <w:ilvl w:val="0"/>
          <w:numId w:val="15"/>
        </w:numPr>
        <w:autoSpaceDE w:val="0"/>
        <w:autoSpaceDN w:val="0"/>
        <w:adjustRightInd w:val="0"/>
        <w:spacing w:line="256" w:lineRule="atLeast"/>
        <w:ind w:left="567" w:hanging="567"/>
        <w:jc w:val="both"/>
        <w:rPr>
          <w:rStyle w:val="Strong"/>
          <w:rFonts w:cs="Verdana"/>
          <w:b w:val="0"/>
          <w:bCs w:val="0"/>
          <w:sz w:val="20"/>
          <w:szCs w:val="20"/>
        </w:rPr>
      </w:pPr>
      <w:r w:rsidRPr="00625F1E">
        <w:rPr>
          <w:rStyle w:val="Strong"/>
          <w:rFonts w:cs="Verdana"/>
          <w:b w:val="0"/>
          <w:bCs w:val="0"/>
          <w:sz w:val="20"/>
          <w:szCs w:val="20"/>
        </w:rPr>
        <w:t>Uzbekistan</w:t>
      </w:r>
      <w:r w:rsidR="0047309A" w:rsidRPr="00625F1E">
        <w:rPr>
          <w:rStyle w:val="Strong"/>
          <w:rFonts w:cs="Verdana"/>
          <w:b w:val="0"/>
          <w:bCs w:val="0"/>
          <w:sz w:val="20"/>
          <w:szCs w:val="20"/>
        </w:rPr>
        <w:t xml:space="preserve"> </w:t>
      </w:r>
      <w:r w:rsidR="00266517" w:rsidRPr="00625F1E">
        <w:rPr>
          <w:rStyle w:val="Strong"/>
          <w:rFonts w:cs="Verdana"/>
          <w:b w:val="0"/>
          <w:bCs w:val="0"/>
          <w:sz w:val="20"/>
          <w:szCs w:val="20"/>
        </w:rPr>
        <w:t>has ratified</w:t>
      </w:r>
      <w:r w:rsidR="0047309A" w:rsidRPr="00625F1E">
        <w:rPr>
          <w:rStyle w:val="Strong"/>
          <w:rFonts w:cs="Verdana"/>
          <w:b w:val="0"/>
          <w:bCs w:val="0"/>
          <w:sz w:val="20"/>
          <w:szCs w:val="20"/>
        </w:rPr>
        <w:t xml:space="preserve"> </w:t>
      </w:r>
      <w:r w:rsidR="00993FBC">
        <w:rPr>
          <w:rStyle w:val="Strong"/>
          <w:rFonts w:cs="Verdana"/>
          <w:b w:val="0"/>
          <w:bCs w:val="0"/>
          <w:sz w:val="20"/>
          <w:szCs w:val="20"/>
        </w:rPr>
        <w:t xml:space="preserve">the two </w:t>
      </w:r>
      <w:r w:rsidR="0047309A" w:rsidRPr="00625F1E">
        <w:rPr>
          <w:rStyle w:val="Strong"/>
          <w:rFonts w:cs="Verdana"/>
          <w:b w:val="0"/>
          <w:bCs w:val="0"/>
          <w:sz w:val="20"/>
          <w:szCs w:val="20"/>
        </w:rPr>
        <w:t xml:space="preserve">main regional extradition treaties </w:t>
      </w:r>
      <w:r w:rsidR="005C22CC">
        <w:rPr>
          <w:rStyle w:val="Strong"/>
          <w:rFonts w:cs="Verdana"/>
          <w:b w:val="0"/>
          <w:bCs w:val="0"/>
          <w:sz w:val="20"/>
          <w:szCs w:val="20"/>
        </w:rPr>
        <w:t xml:space="preserve">in force </w:t>
      </w:r>
      <w:r w:rsidR="0047309A" w:rsidRPr="00625F1E">
        <w:rPr>
          <w:rStyle w:val="Strong"/>
          <w:rFonts w:cs="Verdana"/>
          <w:b w:val="0"/>
          <w:bCs w:val="0"/>
          <w:sz w:val="20"/>
          <w:szCs w:val="20"/>
        </w:rPr>
        <w:t xml:space="preserve">among </w:t>
      </w:r>
      <w:r w:rsidR="00993FBC">
        <w:rPr>
          <w:rStyle w:val="Strong"/>
          <w:rFonts w:cs="Verdana"/>
          <w:b w:val="0"/>
          <w:bCs w:val="0"/>
          <w:sz w:val="20"/>
          <w:szCs w:val="20"/>
        </w:rPr>
        <w:t xml:space="preserve">CIS </w:t>
      </w:r>
      <w:r w:rsidR="00266517" w:rsidRPr="00625F1E">
        <w:rPr>
          <w:rStyle w:val="Strong"/>
          <w:rFonts w:cs="Verdana"/>
          <w:b w:val="0"/>
          <w:bCs w:val="0"/>
          <w:sz w:val="20"/>
          <w:szCs w:val="20"/>
        </w:rPr>
        <w:t>countries</w:t>
      </w:r>
      <w:r w:rsidR="0047309A" w:rsidRPr="00625F1E">
        <w:rPr>
          <w:rStyle w:val="Strong"/>
          <w:rFonts w:cs="Verdana"/>
          <w:b w:val="0"/>
          <w:bCs w:val="0"/>
          <w:sz w:val="20"/>
          <w:szCs w:val="20"/>
        </w:rPr>
        <w:t xml:space="preserve">, </w:t>
      </w:r>
      <w:r w:rsidR="00266517" w:rsidRPr="00625F1E">
        <w:rPr>
          <w:rStyle w:val="Strong"/>
          <w:rFonts w:cs="Verdana"/>
          <w:b w:val="0"/>
          <w:bCs w:val="0"/>
          <w:sz w:val="20"/>
          <w:szCs w:val="20"/>
        </w:rPr>
        <w:t>namely</w:t>
      </w:r>
      <w:r w:rsidR="00993FBC">
        <w:rPr>
          <w:rStyle w:val="Strong"/>
          <w:rFonts w:cs="Verdana"/>
          <w:b w:val="0"/>
          <w:bCs w:val="0"/>
          <w:sz w:val="20"/>
          <w:szCs w:val="20"/>
        </w:rPr>
        <w:t>,</w:t>
      </w:r>
      <w:r w:rsidR="00266517" w:rsidRPr="00625F1E">
        <w:rPr>
          <w:rStyle w:val="Strong"/>
          <w:rFonts w:cs="Verdana"/>
          <w:b w:val="0"/>
          <w:bCs w:val="0"/>
          <w:sz w:val="20"/>
          <w:szCs w:val="20"/>
        </w:rPr>
        <w:t xml:space="preserve"> the </w:t>
      </w:r>
      <w:r w:rsidR="0047309A" w:rsidRPr="00625F1E">
        <w:rPr>
          <w:rStyle w:val="Strong"/>
          <w:rFonts w:cs="Verdana"/>
          <w:b w:val="0"/>
          <w:bCs w:val="0"/>
          <w:i/>
          <w:iCs/>
          <w:sz w:val="20"/>
          <w:szCs w:val="20"/>
        </w:rPr>
        <w:t>CIS Convention on Legal Assistance and Legal Relations in Civil</w:t>
      </w:r>
      <w:r w:rsidR="00266517" w:rsidRPr="00625F1E">
        <w:rPr>
          <w:rStyle w:val="Strong"/>
          <w:rFonts w:cs="Verdana"/>
          <w:b w:val="0"/>
          <w:bCs w:val="0"/>
          <w:i/>
          <w:iCs/>
          <w:sz w:val="20"/>
          <w:szCs w:val="20"/>
        </w:rPr>
        <w:t>,</w:t>
      </w:r>
      <w:r w:rsidR="0047309A" w:rsidRPr="00625F1E">
        <w:rPr>
          <w:rStyle w:val="Strong"/>
          <w:rFonts w:cs="Verdana"/>
          <w:b w:val="0"/>
          <w:bCs w:val="0"/>
          <w:i/>
          <w:iCs/>
          <w:sz w:val="20"/>
          <w:szCs w:val="20"/>
        </w:rPr>
        <w:t xml:space="preserve"> Family and Criminal Matters</w:t>
      </w:r>
      <w:r w:rsidR="0047309A" w:rsidRPr="00625F1E">
        <w:rPr>
          <w:rStyle w:val="Strong"/>
          <w:rFonts w:cs="Verdana"/>
          <w:b w:val="0"/>
          <w:bCs w:val="0"/>
          <w:sz w:val="20"/>
          <w:szCs w:val="20"/>
        </w:rPr>
        <w:t xml:space="preserve"> </w:t>
      </w:r>
      <w:r w:rsidR="0047309A" w:rsidRPr="00625F1E">
        <w:rPr>
          <w:rStyle w:val="Strong"/>
          <w:rFonts w:cs="Verdana"/>
          <w:b w:val="0"/>
          <w:bCs w:val="0"/>
          <w:i/>
          <w:iCs/>
          <w:sz w:val="20"/>
          <w:szCs w:val="20"/>
        </w:rPr>
        <w:t>1993</w:t>
      </w:r>
      <w:r w:rsidR="0047309A" w:rsidRPr="00625F1E">
        <w:rPr>
          <w:rStyle w:val="Strong"/>
          <w:rFonts w:cs="Verdana"/>
          <w:b w:val="0"/>
          <w:bCs w:val="0"/>
          <w:sz w:val="20"/>
          <w:szCs w:val="20"/>
        </w:rPr>
        <w:t xml:space="preserve"> (</w:t>
      </w:r>
      <w:r w:rsidR="00266517" w:rsidRPr="00625F1E">
        <w:rPr>
          <w:rStyle w:val="Strong"/>
          <w:rFonts w:cs="Verdana"/>
          <w:b w:val="0"/>
          <w:bCs w:val="0"/>
          <w:sz w:val="20"/>
          <w:szCs w:val="20"/>
        </w:rPr>
        <w:t xml:space="preserve">hereafter, </w:t>
      </w:r>
      <w:r w:rsidR="0047309A" w:rsidRPr="00625F1E">
        <w:rPr>
          <w:rStyle w:val="Strong"/>
          <w:rFonts w:cs="Verdana"/>
          <w:b w:val="0"/>
          <w:bCs w:val="0"/>
          <w:sz w:val="20"/>
          <w:szCs w:val="20"/>
        </w:rPr>
        <w:t>“the Minsk Convention”) and</w:t>
      </w:r>
      <w:r w:rsidR="00DA35BE">
        <w:rPr>
          <w:rStyle w:val="Strong"/>
          <w:rFonts w:cs="Verdana"/>
          <w:b w:val="0"/>
          <w:bCs w:val="0"/>
          <w:sz w:val="20"/>
          <w:szCs w:val="20"/>
        </w:rPr>
        <w:t xml:space="preserve">, </w:t>
      </w:r>
      <w:r w:rsidR="005C22CC">
        <w:rPr>
          <w:rStyle w:val="Strong"/>
          <w:rFonts w:cs="Verdana"/>
          <w:b w:val="0"/>
          <w:bCs w:val="0"/>
          <w:sz w:val="20"/>
          <w:szCs w:val="20"/>
        </w:rPr>
        <w:t xml:space="preserve">in </w:t>
      </w:r>
      <w:r w:rsidR="00DA35BE">
        <w:rPr>
          <w:rStyle w:val="Strong"/>
          <w:rFonts w:cs="Verdana"/>
          <w:b w:val="0"/>
          <w:bCs w:val="0"/>
          <w:sz w:val="20"/>
          <w:szCs w:val="20"/>
        </w:rPr>
        <w:t>August 2019,</w:t>
      </w:r>
      <w:r w:rsidR="0047309A" w:rsidRPr="00625F1E">
        <w:rPr>
          <w:rStyle w:val="Strong"/>
          <w:rFonts w:cs="Verdana"/>
          <w:b w:val="0"/>
          <w:bCs w:val="0"/>
          <w:sz w:val="20"/>
          <w:szCs w:val="20"/>
        </w:rPr>
        <w:t xml:space="preserve"> the </w:t>
      </w:r>
      <w:r w:rsidR="0047309A" w:rsidRPr="00625F1E">
        <w:rPr>
          <w:rStyle w:val="Strong"/>
          <w:rFonts w:cs="Verdana"/>
          <w:b w:val="0"/>
          <w:bCs w:val="0"/>
          <w:i/>
          <w:iCs/>
          <w:sz w:val="20"/>
          <w:szCs w:val="20"/>
        </w:rPr>
        <w:t xml:space="preserve">CIS Convention on Legal Assistance and Legal Relations in Civil, Family and Criminal Matters 2002 </w:t>
      </w:r>
      <w:r w:rsidR="0047309A" w:rsidRPr="00625F1E">
        <w:rPr>
          <w:rStyle w:val="Strong"/>
          <w:rFonts w:cs="Verdana"/>
          <w:b w:val="0"/>
          <w:bCs w:val="0"/>
          <w:sz w:val="20"/>
          <w:szCs w:val="20"/>
        </w:rPr>
        <w:t>(</w:t>
      </w:r>
      <w:r w:rsidR="00266517" w:rsidRPr="00625F1E">
        <w:rPr>
          <w:rStyle w:val="Strong"/>
          <w:rFonts w:cs="Verdana"/>
          <w:b w:val="0"/>
          <w:bCs w:val="0"/>
          <w:sz w:val="20"/>
          <w:szCs w:val="20"/>
        </w:rPr>
        <w:t xml:space="preserve">hereafter, </w:t>
      </w:r>
      <w:r w:rsidR="0047309A" w:rsidRPr="00625F1E">
        <w:rPr>
          <w:rStyle w:val="Strong"/>
          <w:rFonts w:cs="Verdana"/>
          <w:b w:val="0"/>
          <w:bCs w:val="0"/>
          <w:sz w:val="20"/>
          <w:szCs w:val="20"/>
        </w:rPr>
        <w:t>“the Chisinau Convention”).</w:t>
      </w:r>
    </w:p>
    <w:p w14:paraId="29764714" w14:textId="77777777" w:rsidR="0047309A" w:rsidRPr="00625F1E" w:rsidRDefault="0047309A" w:rsidP="0047309A">
      <w:pPr>
        <w:pStyle w:val="ListParagraph"/>
        <w:widowControl w:val="0"/>
        <w:autoSpaceDE w:val="0"/>
        <w:autoSpaceDN w:val="0"/>
        <w:adjustRightInd w:val="0"/>
        <w:spacing w:line="256" w:lineRule="atLeast"/>
        <w:ind w:left="567"/>
        <w:jc w:val="both"/>
        <w:rPr>
          <w:rStyle w:val="Strong"/>
          <w:rFonts w:cs="Verdana"/>
          <w:b w:val="0"/>
          <w:bCs w:val="0"/>
          <w:sz w:val="20"/>
          <w:szCs w:val="20"/>
        </w:rPr>
      </w:pPr>
    </w:p>
    <w:p w14:paraId="2B26C5EF" w14:textId="73515EFB" w:rsidR="0047309A" w:rsidRPr="00625F1E" w:rsidRDefault="005C22CC" w:rsidP="00CB718F">
      <w:pPr>
        <w:pStyle w:val="ListParagraph"/>
        <w:widowControl w:val="0"/>
        <w:numPr>
          <w:ilvl w:val="0"/>
          <w:numId w:val="15"/>
        </w:numPr>
        <w:autoSpaceDE w:val="0"/>
        <w:autoSpaceDN w:val="0"/>
        <w:adjustRightInd w:val="0"/>
        <w:spacing w:line="256" w:lineRule="atLeast"/>
        <w:ind w:left="567" w:hanging="567"/>
        <w:jc w:val="both"/>
        <w:rPr>
          <w:rStyle w:val="Strong"/>
          <w:rFonts w:cs="Verdana"/>
          <w:b w:val="0"/>
          <w:bCs w:val="0"/>
          <w:sz w:val="20"/>
          <w:szCs w:val="20"/>
        </w:rPr>
      </w:pPr>
      <w:r>
        <w:rPr>
          <w:rStyle w:val="Strong"/>
          <w:rFonts w:cs="Verdana"/>
          <w:b w:val="0"/>
          <w:bCs w:val="0"/>
          <w:sz w:val="20"/>
          <w:szCs w:val="20"/>
        </w:rPr>
        <w:t>In the first place, t</w:t>
      </w:r>
      <w:r w:rsidR="0047309A" w:rsidRPr="00625F1E">
        <w:rPr>
          <w:rStyle w:val="Strong"/>
          <w:rFonts w:cs="Verdana"/>
          <w:b w:val="0"/>
          <w:bCs w:val="0"/>
          <w:sz w:val="20"/>
          <w:szCs w:val="20"/>
        </w:rPr>
        <w:t xml:space="preserve">he Minsk Convention contains </w:t>
      </w:r>
      <w:r w:rsidR="00266517" w:rsidRPr="00625F1E">
        <w:rPr>
          <w:rStyle w:val="Strong"/>
          <w:rFonts w:cs="Verdana"/>
          <w:b w:val="0"/>
          <w:bCs w:val="0"/>
          <w:sz w:val="20"/>
          <w:szCs w:val="20"/>
        </w:rPr>
        <w:t>the</w:t>
      </w:r>
      <w:r w:rsidR="0047309A" w:rsidRPr="00625F1E">
        <w:rPr>
          <w:rStyle w:val="Strong"/>
          <w:rFonts w:cs="Verdana"/>
          <w:b w:val="0"/>
          <w:bCs w:val="0"/>
          <w:sz w:val="20"/>
          <w:szCs w:val="20"/>
        </w:rPr>
        <w:t xml:space="preserve"> obligation to extradite </w:t>
      </w:r>
      <w:r w:rsidR="00266517" w:rsidRPr="00625F1E">
        <w:rPr>
          <w:rStyle w:val="Strong"/>
          <w:rFonts w:cs="Verdana"/>
          <w:b w:val="0"/>
          <w:bCs w:val="0"/>
          <w:sz w:val="20"/>
          <w:szCs w:val="20"/>
        </w:rPr>
        <w:t>individuals</w:t>
      </w:r>
      <w:r w:rsidR="0047309A" w:rsidRPr="00625F1E">
        <w:rPr>
          <w:rStyle w:val="Strong"/>
          <w:rFonts w:cs="Verdana"/>
          <w:b w:val="0"/>
          <w:bCs w:val="0"/>
          <w:sz w:val="20"/>
          <w:szCs w:val="20"/>
        </w:rPr>
        <w:t xml:space="preserve"> </w:t>
      </w:r>
      <w:r>
        <w:rPr>
          <w:rStyle w:val="Strong"/>
          <w:rFonts w:cs="Verdana"/>
          <w:b w:val="0"/>
          <w:bCs w:val="0"/>
          <w:sz w:val="20"/>
          <w:szCs w:val="20"/>
        </w:rPr>
        <w:t xml:space="preserve">present on </w:t>
      </w:r>
      <w:r w:rsidR="0047309A" w:rsidRPr="00625F1E">
        <w:rPr>
          <w:rStyle w:val="Strong"/>
          <w:rFonts w:cs="Verdana"/>
          <w:b w:val="0"/>
          <w:bCs w:val="0"/>
          <w:sz w:val="20"/>
          <w:szCs w:val="20"/>
        </w:rPr>
        <w:t xml:space="preserve">a State’s territory for offences that are considered as </w:t>
      </w:r>
      <w:r w:rsidR="0047309A" w:rsidRPr="00625F1E">
        <w:rPr>
          <w:rStyle w:val="Strong"/>
          <w:rFonts w:cs="Verdana"/>
          <w:b w:val="0"/>
          <w:bCs w:val="0"/>
          <w:sz w:val="20"/>
          <w:szCs w:val="20"/>
        </w:rPr>
        <w:lastRenderedPageBreak/>
        <w:t>crimes and are punishable by at least on</w:t>
      </w:r>
      <w:r w:rsidR="00266517" w:rsidRPr="00625F1E">
        <w:rPr>
          <w:rStyle w:val="Strong"/>
          <w:rFonts w:cs="Verdana"/>
          <w:b w:val="0"/>
          <w:bCs w:val="0"/>
          <w:sz w:val="20"/>
          <w:szCs w:val="20"/>
        </w:rPr>
        <w:t>e</w:t>
      </w:r>
      <w:r w:rsidR="0047309A" w:rsidRPr="00625F1E">
        <w:rPr>
          <w:rStyle w:val="Strong"/>
          <w:rFonts w:cs="Verdana"/>
          <w:b w:val="0"/>
          <w:bCs w:val="0"/>
          <w:sz w:val="20"/>
          <w:szCs w:val="20"/>
        </w:rPr>
        <w:t xml:space="preserve"> year</w:t>
      </w:r>
      <w:r>
        <w:rPr>
          <w:rStyle w:val="Strong"/>
          <w:rFonts w:cs="Verdana"/>
          <w:b w:val="0"/>
          <w:bCs w:val="0"/>
          <w:sz w:val="20"/>
          <w:szCs w:val="20"/>
        </w:rPr>
        <w:t>’s</w:t>
      </w:r>
      <w:r w:rsidR="0047309A" w:rsidRPr="00625F1E">
        <w:rPr>
          <w:rStyle w:val="Strong"/>
          <w:rFonts w:cs="Verdana"/>
          <w:b w:val="0"/>
          <w:bCs w:val="0"/>
          <w:sz w:val="20"/>
          <w:szCs w:val="20"/>
        </w:rPr>
        <w:t xml:space="preserve"> imprisonment</w:t>
      </w:r>
      <w:r w:rsidR="00B2253E">
        <w:rPr>
          <w:rStyle w:val="Strong"/>
          <w:rFonts w:cs="Verdana"/>
          <w:b w:val="0"/>
          <w:bCs w:val="0"/>
          <w:sz w:val="20"/>
          <w:szCs w:val="20"/>
        </w:rPr>
        <w:t>.</w:t>
      </w:r>
      <w:r w:rsidR="0047309A" w:rsidRPr="00625F1E">
        <w:rPr>
          <w:rStyle w:val="FootnoteReference"/>
          <w:rFonts w:cs="Verdana"/>
          <w:sz w:val="18"/>
          <w:szCs w:val="28"/>
        </w:rPr>
        <w:footnoteReference w:id="4"/>
      </w:r>
      <w:r w:rsidR="0047309A" w:rsidRPr="00625F1E">
        <w:rPr>
          <w:rStyle w:val="Strong"/>
          <w:rFonts w:cs="Verdana"/>
          <w:b w:val="0"/>
          <w:bCs w:val="0"/>
          <w:sz w:val="20"/>
          <w:szCs w:val="20"/>
        </w:rPr>
        <w:t xml:space="preserve"> </w:t>
      </w:r>
      <w:r w:rsidR="00856308" w:rsidRPr="00625F1E">
        <w:rPr>
          <w:rStyle w:val="Strong"/>
          <w:rFonts w:cs="Verdana"/>
          <w:b w:val="0"/>
          <w:bCs w:val="0"/>
          <w:sz w:val="20"/>
          <w:szCs w:val="20"/>
        </w:rPr>
        <w:t>It also details the requirements for extradition requests</w:t>
      </w:r>
      <w:r w:rsidR="00856308" w:rsidRPr="00625F1E">
        <w:rPr>
          <w:rStyle w:val="FootnoteReference"/>
          <w:rFonts w:cs="Verdana"/>
          <w:sz w:val="18"/>
          <w:szCs w:val="28"/>
        </w:rPr>
        <w:footnoteReference w:id="5"/>
      </w:r>
      <w:r w:rsidR="00856308" w:rsidRPr="00625F1E">
        <w:rPr>
          <w:rStyle w:val="Strong"/>
          <w:rFonts w:cs="Verdana"/>
          <w:b w:val="0"/>
          <w:bCs w:val="0"/>
          <w:sz w:val="20"/>
          <w:szCs w:val="20"/>
        </w:rPr>
        <w:t xml:space="preserve"> and procedure</w:t>
      </w:r>
      <w:r w:rsidR="00B2253E">
        <w:rPr>
          <w:rStyle w:val="Strong"/>
          <w:rFonts w:cs="Verdana"/>
          <w:b w:val="0"/>
          <w:bCs w:val="0"/>
          <w:sz w:val="20"/>
          <w:szCs w:val="20"/>
        </w:rPr>
        <w:t>.</w:t>
      </w:r>
      <w:r w:rsidR="00856308" w:rsidRPr="00625F1E">
        <w:rPr>
          <w:rStyle w:val="FootnoteReference"/>
          <w:rFonts w:cs="Verdana"/>
          <w:sz w:val="18"/>
          <w:szCs w:val="28"/>
        </w:rPr>
        <w:footnoteReference w:id="6"/>
      </w:r>
      <w:r w:rsidR="00856308" w:rsidRPr="00625F1E">
        <w:rPr>
          <w:rStyle w:val="Strong"/>
          <w:rFonts w:cs="Verdana"/>
          <w:b w:val="0"/>
          <w:bCs w:val="0"/>
          <w:sz w:val="20"/>
          <w:szCs w:val="20"/>
        </w:rPr>
        <w:t xml:space="preserve"> </w:t>
      </w:r>
      <w:r w:rsidR="0073312B" w:rsidRPr="00625F1E">
        <w:rPr>
          <w:rStyle w:val="Strong"/>
          <w:rFonts w:cs="Verdana"/>
          <w:b w:val="0"/>
          <w:bCs w:val="0"/>
          <w:sz w:val="20"/>
          <w:szCs w:val="20"/>
        </w:rPr>
        <w:t>Yet</w:t>
      </w:r>
      <w:r w:rsidR="0047309A" w:rsidRPr="00625F1E">
        <w:rPr>
          <w:rStyle w:val="Strong"/>
          <w:rFonts w:cs="Verdana"/>
          <w:b w:val="0"/>
          <w:bCs w:val="0"/>
          <w:sz w:val="20"/>
          <w:szCs w:val="20"/>
        </w:rPr>
        <w:t xml:space="preserve">, in respect of grounds </w:t>
      </w:r>
      <w:r w:rsidR="00D608FA" w:rsidRPr="00625F1E">
        <w:rPr>
          <w:rStyle w:val="Strong"/>
          <w:rFonts w:cs="Verdana"/>
          <w:b w:val="0"/>
          <w:bCs w:val="0"/>
          <w:sz w:val="20"/>
          <w:szCs w:val="20"/>
        </w:rPr>
        <w:t xml:space="preserve">that could </w:t>
      </w:r>
      <w:r>
        <w:rPr>
          <w:rStyle w:val="Strong"/>
          <w:rFonts w:cs="Verdana"/>
          <w:b w:val="0"/>
          <w:bCs w:val="0"/>
          <w:sz w:val="20"/>
          <w:szCs w:val="20"/>
        </w:rPr>
        <w:t xml:space="preserve">provide a bar </w:t>
      </w:r>
      <w:r w:rsidR="0047309A" w:rsidRPr="00625F1E">
        <w:rPr>
          <w:rStyle w:val="Strong"/>
          <w:rFonts w:cs="Verdana"/>
          <w:b w:val="0"/>
          <w:bCs w:val="0"/>
          <w:sz w:val="20"/>
          <w:szCs w:val="20"/>
        </w:rPr>
        <w:t>extradition, it provide</w:t>
      </w:r>
      <w:r w:rsidR="00D87389" w:rsidRPr="00625F1E">
        <w:rPr>
          <w:rStyle w:val="Strong"/>
          <w:rFonts w:cs="Verdana"/>
          <w:b w:val="0"/>
          <w:bCs w:val="0"/>
          <w:sz w:val="20"/>
          <w:szCs w:val="20"/>
        </w:rPr>
        <w:t>s</w:t>
      </w:r>
      <w:r w:rsidR="0047309A" w:rsidRPr="00625F1E">
        <w:rPr>
          <w:rStyle w:val="Strong"/>
          <w:rFonts w:cs="Verdana"/>
          <w:b w:val="0"/>
          <w:bCs w:val="0"/>
          <w:sz w:val="20"/>
          <w:szCs w:val="20"/>
        </w:rPr>
        <w:t xml:space="preserve"> </w:t>
      </w:r>
      <w:r w:rsidR="00D87389" w:rsidRPr="00625F1E">
        <w:rPr>
          <w:rStyle w:val="Strong"/>
          <w:rFonts w:cs="Verdana"/>
          <w:b w:val="0"/>
          <w:bCs w:val="0"/>
          <w:sz w:val="20"/>
          <w:szCs w:val="20"/>
        </w:rPr>
        <w:t>no</w:t>
      </w:r>
      <w:r w:rsidR="00D608FA" w:rsidRPr="00625F1E">
        <w:rPr>
          <w:rStyle w:val="Strong"/>
          <w:rFonts w:cs="Verdana"/>
          <w:b w:val="0"/>
          <w:bCs w:val="0"/>
          <w:sz w:val="20"/>
          <w:szCs w:val="20"/>
        </w:rPr>
        <w:t xml:space="preserve"> </w:t>
      </w:r>
      <w:r w:rsidR="0047309A" w:rsidRPr="00625F1E">
        <w:rPr>
          <w:rStyle w:val="Strong"/>
          <w:rFonts w:cs="Verdana"/>
          <w:b w:val="0"/>
          <w:bCs w:val="0"/>
          <w:sz w:val="20"/>
          <w:szCs w:val="20"/>
        </w:rPr>
        <w:t>human rights safeguard</w:t>
      </w:r>
      <w:r w:rsidR="00B2253E">
        <w:rPr>
          <w:rStyle w:val="Strong"/>
          <w:rFonts w:cs="Verdana"/>
          <w:b w:val="0"/>
          <w:bCs w:val="0"/>
          <w:sz w:val="20"/>
          <w:szCs w:val="20"/>
        </w:rPr>
        <w:t>s</w:t>
      </w:r>
      <w:r>
        <w:rPr>
          <w:rStyle w:val="Strong"/>
          <w:rFonts w:cs="Verdana"/>
          <w:b w:val="0"/>
          <w:bCs w:val="0"/>
          <w:sz w:val="20"/>
          <w:szCs w:val="20"/>
        </w:rPr>
        <w:t xml:space="preserve">, </w:t>
      </w:r>
      <w:r w:rsidR="0047309A" w:rsidRPr="00625F1E">
        <w:rPr>
          <w:rStyle w:val="Strong"/>
          <w:rFonts w:cs="Verdana"/>
          <w:b w:val="0"/>
          <w:bCs w:val="0"/>
          <w:sz w:val="20"/>
          <w:szCs w:val="20"/>
        </w:rPr>
        <w:t>such as</w:t>
      </w:r>
      <w:r>
        <w:rPr>
          <w:rStyle w:val="Strong"/>
          <w:rFonts w:cs="Verdana"/>
          <w:b w:val="0"/>
          <w:bCs w:val="0"/>
          <w:sz w:val="20"/>
          <w:szCs w:val="20"/>
        </w:rPr>
        <w:t xml:space="preserve"> the protection against extradition in violation of </w:t>
      </w:r>
      <w:r w:rsidR="00094E03" w:rsidRPr="00625F1E">
        <w:rPr>
          <w:rStyle w:val="Strong"/>
          <w:rFonts w:cs="Verdana"/>
          <w:b w:val="0"/>
          <w:bCs w:val="0"/>
          <w:sz w:val="20"/>
          <w:szCs w:val="20"/>
        </w:rPr>
        <w:t xml:space="preserve">the </w:t>
      </w:r>
      <w:r w:rsidR="0047309A" w:rsidRPr="00625F1E">
        <w:rPr>
          <w:rStyle w:val="Strong"/>
          <w:rFonts w:cs="Verdana"/>
          <w:b w:val="0"/>
          <w:bCs w:val="0"/>
          <w:i/>
          <w:iCs/>
          <w:sz w:val="20"/>
          <w:szCs w:val="20"/>
        </w:rPr>
        <w:t>non-refoulement</w:t>
      </w:r>
      <w:r>
        <w:rPr>
          <w:rStyle w:val="Strong"/>
          <w:rFonts w:cs="Verdana"/>
          <w:b w:val="0"/>
          <w:bCs w:val="0"/>
          <w:iCs/>
          <w:sz w:val="20"/>
          <w:szCs w:val="20"/>
        </w:rPr>
        <w:t xml:space="preserve"> principle (e.g., Article 3 of the Convention)</w:t>
      </w:r>
      <w:r w:rsidR="0047309A" w:rsidRPr="00625F1E">
        <w:rPr>
          <w:rStyle w:val="Strong"/>
          <w:rFonts w:cs="Verdana"/>
          <w:b w:val="0"/>
          <w:bCs w:val="0"/>
          <w:sz w:val="20"/>
          <w:szCs w:val="20"/>
        </w:rPr>
        <w:t>.</w:t>
      </w:r>
    </w:p>
    <w:p w14:paraId="1F2CC134" w14:textId="77777777" w:rsidR="0047309A" w:rsidRPr="00625F1E" w:rsidRDefault="0047309A" w:rsidP="0047309A">
      <w:pPr>
        <w:pStyle w:val="ListParagraph"/>
        <w:widowControl w:val="0"/>
        <w:autoSpaceDE w:val="0"/>
        <w:autoSpaceDN w:val="0"/>
        <w:adjustRightInd w:val="0"/>
        <w:spacing w:line="256" w:lineRule="atLeast"/>
        <w:ind w:left="567"/>
        <w:jc w:val="both"/>
        <w:rPr>
          <w:rStyle w:val="Strong"/>
          <w:rFonts w:cs="Verdana"/>
          <w:b w:val="0"/>
          <w:bCs w:val="0"/>
          <w:sz w:val="20"/>
          <w:szCs w:val="20"/>
        </w:rPr>
      </w:pPr>
    </w:p>
    <w:p w14:paraId="653A3FAD" w14:textId="1781FCD0" w:rsidR="0047309A" w:rsidRPr="00625F1E" w:rsidRDefault="00D87389" w:rsidP="00CB718F">
      <w:pPr>
        <w:pStyle w:val="ListParagraph"/>
        <w:widowControl w:val="0"/>
        <w:numPr>
          <w:ilvl w:val="0"/>
          <w:numId w:val="15"/>
        </w:numPr>
        <w:autoSpaceDE w:val="0"/>
        <w:autoSpaceDN w:val="0"/>
        <w:adjustRightInd w:val="0"/>
        <w:spacing w:line="256" w:lineRule="atLeast"/>
        <w:ind w:left="567" w:hanging="567"/>
        <w:jc w:val="both"/>
        <w:rPr>
          <w:rStyle w:val="Strong"/>
          <w:rFonts w:cs="Verdana"/>
          <w:b w:val="0"/>
          <w:bCs w:val="0"/>
          <w:sz w:val="20"/>
          <w:szCs w:val="20"/>
        </w:rPr>
      </w:pPr>
      <w:r w:rsidRPr="00625F1E">
        <w:rPr>
          <w:rStyle w:val="Strong"/>
          <w:rFonts w:cs="Verdana"/>
          <w:b w:val="0"/>
          <w:bCs w:val="0"/>
          <w:sz w:val="20"/>
          <w:szCs w:val="20"/>
        </w:rPr>
        <w:t>T</w:t>
      </w:r>
      <w:r w:rsidR="0047309A" w:rsidRPr="00625F1E">
        <w:rPr>
          <w:rStyle w:val="Strong"/>
          <w:rFonts w:cs="Verdana"/>
          <w:b w:val="0"/>
          <w:bCs w:val="0"/>
          <w:sz w:val="20"/>
          <w:szCs w:val="20"/>
        </w:rPr>
        <w:t>he Chisinau Convention</w:t>
      </w:r>
      <w:r w:rsidRPr="00625F1E">
        <w:rPr>
          <w:rStyle w:val="Strong"/>
          <w:rFonts w:cs="Verdana"/>
          <w:b w:val="0"/>
          <w:bCs w:val="0"/>
          <w:sz w:val="20"/>
          <w:szCs w:val="20"/>
        </w:rPr>
        <w:t>, on the other hand,</w:t>
      </w:r>
      <w:r w:rsidR="0047309A" w:rsidRPr="00625F1E">
        <w:rPr>
          <w:rStyle w:val="Strong"/>
          <w:rFonts w:cs="Verdana"/>
          <w:b w:val="0"/>
          <w:bCs w:val="0"/>
          <w:sz w:val="20"/>
          <w:szCs w:val="20"/>
        </w:rPr>
        <w:t xml:space="preserve"> </w:t>
      </w:r>
      <w:r w:rsidRPr="00625F1E">
        <w:rPr>
          <w:rStyle w:val="Strong"/>
          <w:rFonts w:cs="Verdana"/>
          <w:b w:val="0"/>
          <w:bCs w:val="0"/>
          <w:sz w:val="20"/>
          <w:szCs w:val="20"/>
        </w:rPr>
        <w:t>offers</w:t>
      </w:r>
      <w:r w:rsidR="0047309A" w:rsidRPr="00625F1E">
        <w:rPr>
          <w:rStyle w:val="Strong"/>
          <w:rFonts w:cs="Verdana"/>
          <w:b w:val="0"/>
          <w:bCs w:val="0"/>
          <w:sz w:val="20"/>
          <w:szCs w:val="20"/>
        </w:rPr>
        <w:t xml:space="preserve"> a</w:t>
      </w:r>
      <w:r w:rsidRPr="00625F1E">
        <w:rPr>
          <w:rStyle w:val="Strong"/>
          <w:rFonts w:cs="Verdana"/>
          <w:b w:val="0"/>
          <w:bCs w:val="0"/>
          <w:sz w:val="20"/>
          <w:szCs w:val="20"/>
        </w:rPr>
        <w:t>n</w:t>
      </w:r>
      <w:r w:rsidR="0047309A" w:rsidRPr="00625F1E">
        <w:rPr>
          <w:rStyle w:val="Strong"/>
          <w:rFonts w:cs="Verdana"/>
          <w:b w:val="0"/>
          <w:bCs w:val="0"/>
          <w:sz w:val="20"/>
          <w:szCs w:val="20"/>
        </w:rPr>
        <w:t xml:space="preserve"> extensive list of grounds </w:t>
      </w:r>
      <w:r w:rsidRPr="00625F1E">
        <w:rPr>
          <w:rStyle w:val="Strong"/>
          <w:rFonts w:cs="Verdana"/>
          <w:b w:val="0"/>
          <w:bCs w:val="0"/>
          <w:sz w:val="20"/>
          <w:szCs w:val="20"/>
        </w:rPr>
        <w:t>for refusal of extradition</w:t>
      </w:r>
      <w:r w:rsidR="0047309A" w:rsidRPr="00625F1E">
        <w:rPr>
          <w:rStyle w:val="Strong"/>
          <w:rFonts w:cs="Verdana"/>
          <w:b w:val="0"/>
          <w:bCs w:val="0"/>
          <w:sz w:val="20"/>
          <w:szCs w:val="20"/>
        </w:rPr>
        <w:t xml:space="preserve">, including </w:t>
      </w:r>
      <w:r w:rsidR="00AA458E">
        <w:rPr>
          <w:rStyle w:val="Strong"/>
          <w:rFonts w:cs="Verdana"/>
          <w:b w:val="0"/>
          <w:bCs w:val="0"/>
          <w:sz w:val="20"/>
          <w:szCs w:val="20"/>
        </w:rPr>
        <w:t>circumstances</w:t>
      </w:r>
      <w:r w:rsidR="00AA458E" w:rsidRPr="00625F1E">
        <w:rPr>
          <w:rStyle w:val="Strong"/>
          <w:rFonts w:cs="Verdana"/>
          <w:b w:val="0"/>
          <w:bCs w:val="0"/>
          <w:sz w:val="20"/>
          <w:szCs w:val="20"/>
        </w:rPr>
        <w:t xml:space="preserve"> </w:t>
      </w:r>
      <w:r w:rsidRPr="00625F1E">
        <w:rPr>
          <w:rStyle w:val="Strong"/>
          <w:rFonts w:cs="Verdana"/>
          <w:b w:val="0"/>
          <w:bCs w:val="0"/>
          <w:sz w:val="20"/>
          <w:szCs w:val="20"/>
        </w:rPr>
        <w:t xml:space="preserve">where there are </w:t>
      </w:r>
      <w:r w:rsidR="0047309A" w:rsidRPr="00625F1E">
        <w:rPr>
          <w:rStyle w:val="Strong"/>
          <w:rFonts w:cs="Verdana"/>
          <w:b w:val="0"/>
          <w:bCs w:val="0"/>
          <w:sz w:val="20"/>
          <w:szCs w:val="20"/>
        </w:rPr>
        <w:t>serious reasons to believe that the request</w:t>
      </w:r>
      <w:r w:rsidR="00AA458E">
        <w:rPr>
          <w:rStyle w:val="Strong"/>
          <w:rFonts w:cs="Verdana"/>
          <w:b w:val="0"/>
          <w:bCs w:val="0"/>
          <w:sz w:val="20"/>
          <w:szCs w:val="20"/>
        </w:rPr>
        <w:t xml:space="preserve">, if granted, would give rise to a real risk of </w:t>
      </w:r>
      <w:r w:rsidRPr="00625F1E">
        <w:rPr>
          <w:rStyle w:val="Strong"/>
          <w:rFonts w:cs="Verdana"/>
          <w:b w:val="0"/>
          <w:bCs w:val="0"/>
          <w:sz w:val="20"/>
          <w:szCs w:val="20"/>
        </w:rPr>
        <w:t xml:space="preserve">the </w:t>
      </w:r>
      <w:r w:rsidR="0047309A" w:rsidRPr="00625F1E">
        <w:rPr>
          <w:rStyle w:val="Strong"/>
          <w:rFonts w:cs="Verdana"/>
          <w:b w:val="0"/>
          <w:bCs w:val="0"/>
          <w:sz w:val="20"/>
          <w:szCs w:val="20"/>
        </w:rPr>
        <w:t>persecution of a</w:t>
      </w:r>
      <w:r w:rsidRPr="00625F1E">
        <w:rPr>
          <w:rStyle w:val="Strong"/>
          <w:rFonts w:cs="Verdana"/>
          <w:b w:val="0"/>
          <w:bCs w:val="0"/>
          <w:sz w:val="20"/>
          <w:szCs w:val="20"/>
        </w:rPr>
        <w:t>n</w:t>
      </w:r>
      <w:r w:rsidR="0047309A" w:rsidRPr="00625F1E">
        <w:rPr>
          <w:rStyle w:val="Strong"/>
          <w:rFonts w:cs="Verdana"/>
          <w:b w:val="0"/>
          <w:bCs w:val="0"/>
          <w:sz w:val="20"/>
          <w:szCs w:val="20"/>
        </w:rPr>
        <w:t xml:space="preserve"> </w:t>
      </w:r>
      <w:r w:rsidRPr="00625F1E">
        <w:rPr>
          <w:rStyle w:val="Strong"/>
          <w:rFonts w:cs="Verdana"/>
          <w:b w:val="0"/>
          <w:bCs w:val="0"/>
          <w:sz w:val="20"/>
          <w:szCs w:val="20"/>
        </w:rPr>
        <w:t>individual</w:t>
      </w:r>
      <w:r w:rsidR="0047309A" w:rsidRPr="00625F1E">
        <w:rPr>
          <w:rStyle w:val="Strong"/>
          <w:rFonts w:cs="Verdana"/>
          <w:b w:val="0"/>
          <w:bCs w:val="0"/>
          <w:sz w:val="20"/>
          <w:szCs w:val="20"/>
        </w:rPr>
        <w:t xml:space="preserve"> on the basis of race, gender, religion, ethnic background or political convictions</w:t>
      </w:r>
      <w:r w:rsidR="00B00D6B" w:rsidRPr="00625F1E">
        <w:rPr>
          <w:rStyle w:val="Strong"/>
          <w:rFonts w:cs="Verdana"/>
          <w:b w:val="0"/>
          <w:bCs w:val="0"/>
          <w:sz w:val="20"/>
          <w:szCs w:val="20"/>
        </w:rPr>
        <w:t>.</w:t>
      </w:r>
      <w:r w:rsidR="0047309A" w:rsidRPr="00625F1E">
        <w:rPr>
          <w:rStyle w:val="FootnoteReference"/>
          <w:rFonts w:cs="Verdana"/>
          <w:sz w:val="18"/>
          <w:szCs w:val="28"/>
        </w:rPr>
        <w:footnoteReference w:id="7"/>
      </w:r>
      <w:r w:rsidR="00245E72" w:rsidRPr="00625F1E">
        <w:rPr>
          <w:rStyle w:val="Strong"/>
          <w:rFonts w:cs="Verdana"/>
          <w:b w:val="0"/>
          <w:bCs w:val="0"/>
          <w:sz w:val="20"/>
          <w:szCs w:val="20"/>
        </w:rPr>
        <w:t xml:space="preserve"> </w:t>
      </w:r>
    </w:p>
    <w:p w14:paraId="037BED50" w14:textId="77777777" w:rsidR="0047309A" w:rsidRPr="00625F1E" w:rsidRDefault="0047309A" w:rsidP="0047309A">
      <w:pPr>
        <w:widowControl w:val="0"/>
        <w:autoSpaceDE w:val="0"/>
        <w:autoSpaceDN w:val="0"/>
        <w:adjustRightInd w:val="0"/>
        <w:spacing w:line="256" w:lineRule="atLeast"/>
        <w:jc w:val="both"/>
        <w:rPr>
          <w:rStyle w:val="Strong"/>
          <w:rFonts w:cs="Verdana"/>
          <w:b w:val="0"/>
          <w:bCs w:val="0"/>
          <w:sz w:val="20"/>
          <w:szCs w:val="20"/>
        </w:rPr>
      </w:pPr>
    </w:p>
    <w:p w14:paraId="270A78CF" w14:textId="74BCC693" w:rsidR="00094E03" w:rsidRPr="00625F1E" w:rsidRDefault="0047309A" w:rsidP="00CB718F">
      <w:pPr>
        <w:pStyle w:val="ListParagraph"/>
        <w:widowControl w:val="0"/>
        <w:numPr>
          <w:ilvl w:val="0"/>
          <w:numId w:val="15"/>
        </w:numPr>
        <w:autoSpaceDE w:val="0"/>
        <w:autoSpaceDN w:val="0"/>
        <w:adjustRightInd w:val="0"/>
        <w:spacing w:line="256" w:lineRule="atLeast"/>
        <w:ind w:left="567" w:hanging="567"/>
        <w:jc w:val="both"/>
        <w:rPr>
          <w:rStyle w:val="Strong"/>
          <w:rFonts w:cs="Verdana"/>
          <w:b w:val="0"/>
          <w:bCs w:val="0"/>
          <w:sz w:val="20"/>
          <w:szCs w:val="20"/>
        </w:rPr>
      </w:pPr>
      <w:r w:rsidRPr="00625F1E">
        <w:rPr>
          <w:rStyle w:val="Strong"/>
          <w:rFonts w:cs="Verdana"/>
          <w:b w:val="0"/>
          <w:bCs w:val="0"/>
          <w:sz w:val="20"/>
          <w:szCs w:val="20"/>
        </w:rPr>
        <w:t>Uzbekistan has implemented some of the core principles of extradition in its national legislation</w:t>
      </w:r>
      <w:r w:rsidR="008A73AD" w:rsidRPr="00625F1E">
        <w:rPr>
          <w:rStyle w:val="Strong"/>
          <w:rFonts w:cs="Verdana"/>
          <w:b w:val="0"/>
          <w:bCs w:val="0"/>
          <w:sz w:val="20"/>
          <w:szCs w:val="20"/>
        </w:rPr>
        <w:t>:</w:t>
      </w:r>
      <w:r w:rsidRPr="00625F1E">
        <w:rPr>
          <w:rStyle w:val="Strong"/>
          <w:rFonts w:cs="Verdana"/>
          <w:b w:val="0"/>
          <w:bCs w:val="0"/>
          <w:sz w:val="20"/>
          <w:szCs w:val="20"/>
        </w:rPr>
        <w:t xml:space="preserve"> </w:t>
      </w:r>
      <w:r w:rsidR="00AA458E">
        <w:rPr>
          <w:rStyle w:val="Strong"/>
          <w:rFonts w:cs="Verdana"/>
          <w:b w:val="0"/>
          <w:bCs w:val="0"/>
          <w:sz w:val="20"/>
          <w:szCs w:val="20"/>
        </w:rPr>
        <w:t xml:space="preserve">the </w:t>
      </w:r>
      <w:r w:rsidR="008A73AD" w:rsidRPr="00625F1E">
        <w:rPr>
          <w:rStyle w:val="Strong"/>
          <w:rFonts w:cs="Verdana"/>
          <w:b w:val="0"/>
          <w:bCs w:val="0"/>
          <w:sz w:val="20"/>
          <w:szCs w:val="20"/>
        </w:rPr>
        <w:t>p</w:t>
      </w:r>
      <w:r w:rsidRPr="00625F1E">
        <w:rPr>
          <w:rStyle w:val="Strong"/>
          <w:rFonts w:cs="Verdana"/>
          <w:b w:val="0"/>
          <w:bCs w:val="0"/>
          <w:sz w:val="20"/>
          <w:szCs w:val="20"/>
        </w:rPr>
        <w:t>rinciples of</w:t>
      </w:r>
      <w:r w:rsidR="00654AEB" w:rsidRPr="00625F1E">
        <w:rPr>
          <w:rStyle w:val="Strong"/>
          <w:rFonts w:cs="Verdana"/>
          <w:b w:val="0"/>
          <w:bCs w:val="0"/>
          <w:sz w:val="20"/>
          <w:szCs w:val="20"/>
        </w:rPr>
        <w:t xml:space="preserve"> </w:t>
      </w:r>
      <w:r w:rsidRPr="00625F1E">
        <w:rPr>
          <w:rStyle w:val="Strong"/>
          <w:rFonts w:cs="Verdana"/>
          <w:b w:val="0"/>
          <w:bCs w:val="0"/>
          <w:sz w:val="20"/>
          <w:szCs w:val="20"/>
        </w:rPr>
        <w:t>specialty</w:t>
      </w:r>
      <w:r w:rsidRPr="00625F1E">
        <w:rPr>
          <w:rStyle w:val="FootnoteReference"/>
          <w:rFonts w:cs="Verdana"/>
          <w:sz w:val="18"/>
          <w:szCs w:val="28"/>
        </w:rPr>
        <w:footnoteReference w:id="8"/>
      </w:r>
      <w:r w:rsidRPr="00625F1E">
        <w:rPr>
          <w:rStyle w:val="Strong"/>
          <w:rFonts w:cs="Verdana"/>
          <w:b w:val="0"/>
          <w:bCs w:val="0"/>
          <w:sz w:val="20"/>
          <w:szCs w:val="20"/>
        </w:rPr>
        <w:t xml:space="preserve"> and double criminality</w:t>
      </w:r>
      <w:r w:rsidR="00094E03" w:rsidRPr="00625F1E">
        <w:rPr>
          <w:rStyle w:val="FootnoteReference"/>
          <w:rFonts w:cs="Verdana"/>
          <w:sz w:val="18"/>
          <w:szCs w:val="28"/>
        </w:rPr>
        <w:footnoteReference w:id="9"/>
      </w:r>
      <w:r w:rsidRPr="00625F1E">
        <w:rPr>
          <w:rStyle w:val="Strong"/>
          <w:rFonts w:cs="Verdana"/>
          <w:b w:val="0"/>
          <w:bCs w:val="0"/>
          <w:sz w:val="20"/>
          <w:szCs w:val="20"/>
        </w:rPr>
        <w:t xml:space="preserve"> are enshrined in its C</w:t>
      </w:r>
      <w:r w:rsidR="00D87389" w:rsidRPr="00625F1E">
        <w:rPr>
          <w:rStyle w:val="Strong"/>
          <w:rFonts w:cs="Verdana"/>
          <w:b w:val="0"/>
          <w:bCs w:val="0"/>
          <w:sz w:val="20"/>
          <w:szCs w:val="20"/>
        </w:rPr>
        <w:t xml:space="preserve">ivil </w:t>
      </w:r>
      <w:r w:rsidRPr="00625F1E">
        <w:rPr>
          <w:rStyle w:val="Strong"/>
          <w:rFonts w:cs="Verdana"/>
          <w:b w:val="0"/>
          <w:bCs w:val="0"/>
          <w:sz w:val="20"/>
          <w:szCs w:val="20"/>
        </w:rPr>
        <w:t>P</w:t>
      </w:r>
      <w:r w:rsidR="00D87389" w:rsidRPr="00625F1E">
        <w:rPr>
          <w:rStyle w:val="Strong"/>
          <w:rFonts w:cs="Verdana"/>
          <w:b w:val="0"/>
          <w:bCs w:val="0"/>
          <w:sz w:val="20"/>
          <w:szCs w:val="20"/>
        </w:rPr>
        <w:t xml:space="preserve">rocedure </w:t>
      </w:r>
      <w:r w:rsidRPr="00625F1E">
        <w:rPr>
          <w:rStyle w:val="Strong"/>
          <w:rFonts w:cs="Verdana"/>
          <w:b w:val="0"/>
          <w:bCs w:val="0"/>
          <w:sz w:val="20"/>
          <w:szCs w:val="20"/>
        </w:rPr>
        <w:t>C</w:t>
      </w:r>
      <w:r w:rsidR="00D87389" w:rsidRPr="00625F1E">
        <w:rPr>
          <w:rStyle w:val="Strong"/>
          <w:rFonts w:cs="Verdana"/>
          <w:b w:val="0"/>
          <w:bCs w:val="0"/>
          <w:sz w:val="20"/>
          <w:szCs w:val="20"/>
        </w:rPr>
        <w:t>ode (hereafter, “CPC”)</w:t>
      </w:r>
      <w:r w:rsidR="00AA458E">
        <w:rPr>
          <w:rStyle w:val="Strong"/>
          <w:rFonts w:cs="Verdana"/>
          <w:b w:val="0"/>
          <w:bCs w:val="0"/>
          <w:sz w:val="20"/>
          <w:szCs w:val="20"/>
        </w:rPr>
        <w:t>, for e</w:t>
      </w:r>
      <w:r w:rsidR="000E1C8D">
        <w:rPr>
          <w:rStyle w:val="Strong"/>
          <w:rFonts w:cs="Verdana"/>
          <w:b w:val="0"/>
          <w:bCs w:val="0"/>
          <w:sz w:val="20"/>
          <w:szCs w:val="20"/>
        </w:rPr>
        <w:t>xa</w:t>
      </w:r>
      <w:r w:rsidR="00AA458E">
        <w:rPr>
          <w:rStyle w:val="Strong"/>
          <w:rFonts w:cs="Verdana"/>
          <w:b w:val="0"/>
          <w:bCs w:val="0"/>
          <w:sz w:val="20"/>
          <w:szCs w:val="20"/>
        </w:rPr>
        <w:t>mple</w:t>
      </w:r>
      <w:r w:rsidRPr="00625F1E">
        <w:rPr>
          <w:rStyle w:val="Strong"/>
          <w:rFonts w:cs="Verdana"/>
          <w:b w:val="0"/>
          <w:bCs w:val="0"/>
          <w:sz w:val="20"/>
          <w:szCs w:val="20"/>
        </w:rPr>
        <w:t xml:space="preserve">. </w:t>
      </w:r>
    </w:p>
    <w:p w14:paraId="57C9576B" w14:textId="77777777" w:rsidR="00094E03" w:rsidRPr="00625F1E" w:rsidRDefault="00094E03" w:rsidP="00094E03">
      <w:pPr>
        <w:pStyle w:val="ListParagraph"/>
        <w:rPr>
          <w:rStyle w:val="Strong"/>
          <w:rFonts w:cs="Verdana"/>
          <w:b w:val="0"/>
          <w:bCs w:val="0"/>
          <w:sz w:val="20"/>
          <w:szCs w:val="20"/>
        </w:rPr>
      </w:pPr>
    </w:p>
    <w:p w14:paraId="4A8CA3FB" w14:textId="7851970A" w:rsidR="0001642C" w:rsidRPr="00625F1E" w:rsidRDefault="00DA35BE" w:rsidP="0001642C">
      <w:pPr>
        <w:pStyle w:val="ListParagraph"/>
        <w:widowControl w:val="0"/>
        <w:numPr>
          <w:ilvl w:val="0"/>
          <w:numId w:val="15"/>
        </w:numPr>
        <w:autoSpaceDE w:val="0"/>
        <w:autoSpaceDN w:val="0"/>
        <w:adjustRightInd w:val="0"/>
        <w:spacing w:line="256" w:lineRule="atLeast"/>
        <w:ind w:left="567" w:hanging="567"/>
        <w:jc w:val="both"/>
        <w:rPr>
          <w:rStyle w:val="Strong"/>
          <w:rFonts w:cs="Verdana"/>
          <w:b w:val="0"/>
          <w:bCs w:val="0"/>
          <w:sz w:val="20"/>
          <w:szCs w:val="20"/>
        </w:rPr>
      </w:pPr>
      <w:r>
        <w:rPr>
          <w:rStyle w:val="Strong"/>
          <w:rFonts w:cs="Verdana"/>
          <w:b w:val="0"/>
          <w:bCs w:val="0"/>
          <w:sz w:val="20"/>
          <w:szCs w:val="20"/>
        </w:rPr>
        <w:t xml:space="preserve">However, </w:t>
      </w:r>
      <w:r w:rsidR="00AA458E">
        <w:rPr>
          <w:rStyle w:val="Strong"/>
          <w:rFonts w:cs="Verdana"/>
          <w:b w:val="0"/>
          <w:bCs w:val="0"/>
          <w:sz w:val="20"/>
          <w:szCs w:val="20"/>
        </w:rPr>
        <w:t xml:space="preserve">perhaps </w:t>
      </w:r>
      <w:r w:rsidR="009C555D">
        <w:rPr>
          <w:rStyle w:val="Strong"/>
          <w:rFonts w:cs="Verdana"/>
          <w:b w:val="0"/>
          <w:bCs w:val="0"/>
          <w:sz w:val="20"/>
          <w:szCs w:val="20"/>
        </w:rPr>
        <w:t>partly</w:t>
      </w:r>
      <w:r w:rsidR="00AA458E">
        <w:rPr>
          <w:rStyle w:val="Strong"/>
          <w:rFonts w:cs="Verdana"/>
          <w:b w:val="0"/>
          <w:bCs w:val="0"/>
          <w:sz w:val="20"/>
          <w:szCs w:val="20"/>
        </w:rPr>
        <w:t xml:space="preserve"> because the country has ratified </w:t>
      </w:r>
      <w:r w:rsidR="003566D7" w:rsidRPr="00625F1E">
        <w:rPr>
          <w:rStyle w:val="Strong"/>
          <w:rFonts w:cs="Verdana"/>
          <w:b w:val="0"/>
          <w:bCs w:val="0"/>
          <w:sz w:val="20"/>
          <w:szCs w:val="20"/>
        </w:rPr>
        <w:t xml:space="preserve">the Chisinau Convention only recently, some key human rights </w:t>
      </w:r>
      <w:r w:rsidR="00B00D6B" w:rsidRPr="00625F1E">
        <w:rPr>
          <w:rStyle w:val="Strong"/>
          <w:rFonts w:cs="Verdana"/>
          <w:b w:val="0"/>
          <w:bCs w:val="0"/>
          <w:sz w:val="20"/>
          <w:szCs w:val="20"/>
        </w:rPr>
        <w:t>guarant</w:t>
      </w:r>
      <w:r w:rsidR="00B2253E">
        <w:rPr>
          <w:rStyle w:val="Strong"/>
          <w:rFonts w:cs="Verdana"/>
          <w:b w:val="0"/>
          <w:bCs w:val="0"/>
          <w:sz w:val="20"/>
          <w:szCs w:val="20"/>
        </w:rPr>
        <w:t>e</w:t>
      </w:r>
      <w:r w:rsidR="00B00D6B" w:rsidRPr="00625F1E">
        <w:rPr>
          <w:rStyle w:val="Strong"/>
          <w:rFonts w:cs="Verdana"/>
          <w:b w:val="0"/>
          <w:bCs w:val="0"/>
          <w:sz w:val="20"/>
          <w:szCs w:val="20"/>
        </w:rPr>
        <w:t>e</w:t>
      </w:r>
      <w:r w:rsidR="00B2253E">
        <w:rPr>
          <w:rStyle w:val="Strong"/>
          <w:rFonts w:cs="Verdana"/>
          <w:b w:val="0"/>
          <w:bCs w:val="0"/>
          <w:sz w:val="20"/>
          <w:szCs w:val="20"/>
        </w:rPr>
        <w:t>s</w:t>
      </w:r>
      <w:r w:rsidR="00AA458E">
        <w:rPr>
          <w:rStyle w:val="Strong"/>
          <w:rFonts w:cs="Verdana"/>
          <w:b w:val="0"/>
          <w:bCs w:val="0"/>
          <w:sz w:val="20"/>
          <w:szCs w:val="20"/>
        </w:rPr>
        <w:t>,</w:t>
      </w:r>
      <w:r w:rsidR="003566D7" w:rsidRPr="00625F1E">
        <w:rPr>
          <w:rStyle w:val="Strong"/>
          <w:rFonts w:cs="Verdana"/>
          <w:b w:val="0"/>
          <w:bCs w:val="0"/>
          <w:sz w:val="20"/>
          <w:szCs w:val="20"/>
        </w:rPr>
        <w:t xml:space="preserve"> which protect</w:t>
      </w:r>
      <w:r w:rsidR="009C555D">
        <w:rPr>
          <w:rStyle w:val="Strong"/>
          <w:rFonts w:cs="Verdana"/>
          <w:b w:val="0"/>
          <w:bCs w:val="0"/>
          <w:sz w:val="20"/>
          <w:szCs w:val="20"/>
        </w:rPr>
        <w:t>,</w:t>
      </w:r>
      <w:r w:rsidR="003566D7" w:rsidRPr="00625F1E">
        <w:rPr>
          <w:rStyle w:val="Strong"/>
          <w:rFonts w:cs="Verdana"/>
          <w:b w:val="0"/>
          <w:bCs w:val="0"/>
          <w:sz w:val="20"/>
          <w:szCs w:val="20"/>
        </w:rPr>
        <w:t xml:space="preserve"> </w:t>
      </w:r>
      <w:r w:rsidR="009C555D">
        <w:rPr>
          <w:rStyle w:val="Strong"/>
          <w:rFonts w:cs="Verdana"/>
          <w:b w:val="0"/>
          <w:bCs w:val="0"/>
          <w:sz w:val="20"/>
          <w:szCs w:val="20"/>
        </w:rPr>
        <w:t xml:space="preserve">for example, </w:t>
      </w:r>
      <w:r w:rsidR="00B2253E">
        <w:rPr>
          <w:rStyle w:val="Strong"/>
          <w:rFonts w:cs="Verdana"/>
          <w:b w:val="0"/>
          <w:bCs w:val="0"/>
          <w:sz w:val="20"/>
          <w:szCs w:val="20"/>
        </w:rPr>
        <w:t xml:space="preserve">against extradition </w:t>
      </w:r>
      <w:r w:rsidR="009C555D">
        <w:rPr>
          <w:rStyle w:val="Strong"/>
          <w:rFonts w:cs="Verdana"/>
          <w:b w:val="0"/>
          <w:bCs w:val="0"/>
          <w:sz w:val="20"/>
          <w:szCs w:val="20"/>
        </w:rPr>
        <w:t xml:space="preserve">in circumstances where it would give rise </w:t>
      </w:r>
      <w:r w:rsidR="00B2253E">
        <w:rPr>
          <w:rStyle w:val="Strong"/>
          <w:rFonts w:cs="Verdana"/>
          <w:b w:val="0"/>
          <w:bCs w:val="0"/>
          <w:sz w:val="20"/>
          <w:szCs w:val="20"/>
        </w:rPr>
        <w:t xml:space="preserve">to </w:t>
      </w:r>
      <w:r w:rsidR="009C555D">
        <w:rPr>
          <w:rStyle w:val="Strong"/>
          <w:rFonts w:cs="Verdana"/>
          <w:b w:val="0"/>
          <w:bCs w:val="0"/>
          <w:sz w:val="20"/>
          <w:szCs w:val="20"/>
        </w:rPr>
        <w:t xml:space="preserve">a real risk of </w:t>
      </w:r>
      <w:r w:rsidR="00B2253E">
        <w:rPr>
          <w:rStyle w:val="Strong"/>
          <w:rFonts w:cs="Verdana"/>
          <w:b w:val="0"/>
          <w:bCs w:val="0"/>
          <w:sz w:val="20"/>
          <w:szCs w:val="20"/>
        </w:rPr>
        <w:t xml:space="preserve">torture </w:t>
      </w:r>
      <w:r w:rsidR="009C555D">
        <w:rPr>
          <w:rStyle w:val="Strong"/>
          <w:rFonts w:cs="Verdana"/>
          <w:b w:val="0"/>
          <w:bCs w:val="0"/>
          <w:sz w:val="20"/>
          <w:szCs w:val="20"/>
        </w:rPr>
        <w:t xml:space="preserve">or </w:t>
      </w:r>
      <w:r w:rsidR="00B2253E">
        <w:rPr>
          <w:rStyle w:val="Strong"/>
          <w:rFonts w:cs="Verdana"/>
          <w:b w:val="0"/>
          <w:bCs w:val="0"/>
          <w:sz w:val="20"/>
          <w:szCs w:val="20"/>
        </w:rPr>
        <w:t>other cruel, inhuman or degrading treatment or punishment</w:t>
      </w:r>
      <w:r w:rsidR="009C555D">
        <w:rPr>
          <w:rStyle w:val="Strong"/>
          <w:rFonts w:cs="Verdana"/>
          <w:b w:val="0"/>
          <w:bCs w:val="0"/>
          <w:sz w:val="20"/>
          <w:szCs w:val="20"/>
        </w:rPr>
        <w:t>,</w:t>
      </w:r>
      <w:r w:rsidR="003566D7" w:rsidRPr="00625F1E">
        <w:rPr>
          <w:rStyle w:val="Strong"/>
          <w:rFonts w:cs="Verdana"/>
          <w:b w:val="0"/>
          <w:bCs w:val="0"/>
          <w:sz w:val="20"/>
          <w:szCs w:val="20"/>
        </w:rPr>
        <w:t xml:space="preserve"> </w:t>
      </w:r>
      <w:r w:rsidR="00B2253E">
        <w:rPr>
          <w:rStyle w:val="Strong"/>
          <w:rFonts w:cs="Verdana"/>
          <w:b w:val="0"/>
          <w:bCs w:val="0"/>
          <w:sz w:val="20"/>
          <w:szCs w:val="20"/>
        </w:rPr>
        <w:t>are still not incorporated in</w:t>
      </w:r>
      <w:r w:rsidR="003566D7" w:rsidRPr="00625F1E">
        <w:rPr>
          <w:rStyle w:val="Strong"/>
          <w:rFonts w:cs="Verdana"/>
          <w:b w:val="0"/>
          <w:bCs w:val="0"/>
          <w:sz w:val="20"/>
          <w:szCs w:val="20"/>
        </w:rPr>
        <w:t>to Uzbekistan’s legislation. Thus, w</w:t>
      </w:r>
      <w:r w:rsidR="00583B16" w:rsidRPr="00625F1E">
        <w:rPr>
          <w:rStyle w:val="Strong"/>
          <w:rFonts w:cs="Verdana"/>
          <w:b w:val="0"/>
          <w:bCs w:val="0"/>
          <w:sz w:val="20"/>
          <w:szCs w:val="20"/>
        </w:rPr>
        <w:t>hile t</w:t>
      </w:r>
      <w:r w:rsidR="00094E03" w:rsidRPr="00625F1E">
        <w:rPr>
          <w:rStyle w:val="Strong"/>
          <w:rFonts w:cs="Verdana"/>
          <w:b w:val="0"/>
          <w:bCs w:val="0"/>
          <w:sz w:val="20"/>
          <w:szCs w:val="20"/>
        </w:rPr>
        <w:t xml:space="preserve">he Chisinau Convention </w:t>
      </w:r>
      <w:r w:rsidR="0001642C" w:rsidRPr="00625F1E">
        <w:rPr>
          <w:rStyle w:val="Strong"/>
          <w:rFonts w:cs="Verdana"/>
          <w:b w:val="0"/>
          <w:bCs w:val="0"/>
          <w:sz w:val="20"/>
          <w:szCs w:val="20"/>
        </w:rPr>
        <w:t xml:space="preserve">explicitly </w:t>
      </w:r>
      <w:r w:rsidR="00094E03" w:rsidRPr="00625F1E">
        <w:rPr>
          <w:rStyle w:val="Strong"/>
          <w:rFonts w:cs="Verdana"/>
          <w:b w:val="0"/>
          <w:bCs w:val="0"/>
          <w:sz w:val="20"/>
          <w:szCs w:val="20"/>
        </w:rPr>
        <w:t xml:space="preserve">mentions </w:t>
      </w:r>
      <w:r w:rsidR="00D87389" w:rsidRPr="00625F1E">
        <w:rPr>
          <w:rStyle w:val="Strong"/>
          <w:rFonts w:cs="Verdana"/>
          <w:b w:val="0"/>
          <w:bCs w:val="0"/>
          <w:sz w:val="20"/>
          <w:szCs w:val="20"/>
        </w:rPr>
        <w:t xml:space="preserve">persecution on the basis of </w:t>
      </w:r>
      <w:r w:rsidR="00094E03" w:rsidRPr="00625F1E">
        <w:rPr>
          <w:rStyle w:val="Strong"/>
          <w:rFonts w:cs="Verdana"/>
          <w:b w:val="0"/>
          <w:bCs w:val="0"/>
          <w:sz w:val="20"/>
          <w:szCs w:val="20"/>
        </w:rPr>
        <w:t>“political convictions” as a ground for refusal to extradite</w:t>
      </w:r>
      <w:r w:rsidR="00B2253E">
        <w:rPr>
          <w:rStyle w:val="Strong"/>
          <w:rFonts w:cs="Verdana"/>
          <w:b w:val="0"/>
          <w:bCs w:val="0"/>
          <w:sz w:val="20"/>
          <w:szCs w:val="20"/>
        </w:rPr>
        <w:t>,</w:t>
      </w:r>
      <w:r w:rsidR="00094E03" w:rsidRPr="00625F1E">
        <w:rPr>
          <w:rStyle w:val="FootnoteReference"/>
          <w:rFonts w:cs="Verdana"/>
          <w:sz w:val="18"/>
          <w:szCs w:val="28"/>
        </w:rPr>
        <w:footnoteReference w:id="10"/>
      </w:r>
      <w:r w:rsidR="00094E03" w:rsidRPr="00625F1E">
        <w:rPr>
          <w:rStyle w:val="Strong"/>
          <w:rFonts w:cs="Verdana"/>
          <w:b w:val="0"/>
          <w:bCs w:val="0"/>
          <w:sz w:val="20"/>
          <w:szCs w:val="20"/>
        </w:rPr>
        <w:t xml:space="preserve"> </w:t>
      </w:r>
      <w:r>
        <w:rPr>
          <w:rStyle w:val="Strong"/>
          <w:rFonts w:cs="Verdana"/>
          <w:b w:val="0"/>
          <w:bCs w:val="0"/>
          <w:sz w:val="20"/>
          <w:szCs w:val="20"/>
        </w:rPr>
        <w:t>this</w:t>
      </w:r>
      <w:r w:rsidR="00094E03" w:rsidRPr="00625F1E">
        <w:rPr>
          <w:rStyle w:val="Strong"/>
          <w:rFonts w:cs="Verdana"/>
          <w:b w:val="0"/>
          <w:bCs w:val="0"/>
          <w:sz w:val="20"/>
          <w:szCs w:val="20"/>
        </w:rPr>
        <w:t xml:space="preserve"> </w:t>
      </w:r>
      <w:r w:rsidR="009C555D">
        <w:rPr>
          <w:rStyle w:val="Strong"/>
          <w:rFonts w:cs="Verdana"/>
          <w:b w:val="0"/>
          <w:bCs w:val="0"/>
          <w:sz w:val="20"/>
          <w:szCs w:val="20"/>
        </w:rPr>
        <w:t xml:space="preserve">reference </w:t>
      </w:r>
      <w:r w:rsidR="00094E03" w:rsidRPr="00625F1E">
        <w:rPr>
          <w:rStyle w:val="Strong"/>
          <w:rFonts w:cs="Verdana"/>
          <w:b w:val="0"/>
          <w:bCs w:val="0"/>
          <w:sz w:val="20"/>
          <w:szCs w:val="20"/>
        </w:rPr>
        <w:t>is absent from the Uzbek</w:t>
      </w:r>
      <w:r w:rsidR="00583B16" w:rsidRPr="00625F1E">
        <w:rPr>
          <w:rStyle w:val="Strong"/>
          <w:rFonts w:cs="Verdana"/>
          <w:b w:val="0"/>
          <w:bCs w:val="0"/>
          <w:sz w:val="20"/>
          <w:szCs w:val="20"/>
        </w:rPr>
        <w:t>istan</w:t>
      </w:r>
      <w:r w:rsidR="00094E03" w:rsidRPr="00625F1E">
        <w:rPr>
          <w:rStyle w:val="Strong"/>
          <w:rFonts w:cs="Verdana"/>
          <w:b w:val="0"/>
          <w:bCs w:val="0"/>
          <w:sz w:val="20"/>
          <w:szCs w:val="20"/>
        </w:rPr>
        <w:t xml:space="preserve"> legislation</w:t>
      </w:r>
      <w:r w:rsidR="0001642C" w:rsidRPr="00625F1E">
        <w:rPr>
          <w:rStyle w:val="Strong"/>
          <w:rFonts w:cs="Verdana"/>
          <w:b w:val="0"/>
          <w:bCs w:val="0"/>
          <w:sz w:val="20"/>
          <w:szCs w:val="20"/>
        </w:rPr>
        <w:t>, as is</w:t>
      </w:r>
      <w:r w:rsidR="00094E03" w:rsidRPr="00625F1E">
        <w:rPr>
          <w:rStyle w:val="Strong"/>
          <w:rFonts w:cs="Verdana"/>
          <w:b w:val="0"/>
          <w:bCs w:val="0"/>
          <w:sz w:val="20"/>
          <w:szCs w:val="20"/>
        </w:rPr>
        <w:t xml:space="preserve"> the prohibition </w:t>
      </w:r>
      <w:r w:rsidR="00B2253E">
        <w:rPr>
          <w:rStyle w:val="Strong"/>
          <w:rFonts w:cs="Verdana"/>
          <w:b w:val="0"/>
          <w:bCs w:val="0"/>
          <w:sz w:val="20"/>
          <w:szCs w:val="20"/>
        </w:rPr>
        <w:t>of</w:t>
      </w:r>
      <w:r w:rsidR="00B2253E" w:rsidRPr="00625F1E">
        <w:rPr>
          <w:rStyle w:val="Strong"/>
          <w:rFonts w:cs="Verdana"/>
          <w:b w:val="0"/>
          <w:bCs w:val="0"/>
          <w:sz w:val="20"/>
          <w:szCs w:val="20"/>
        </w:rPr>
        <w:t xml:space="preserve"> </w:t>
      </w:r>
      <w:r w:rsidR="00094E03" w:rsidRPr="00625F1E">
        <w:rPr>
          <w:rStyle w:val="Strong"/>
          <w:rFonts w:cs="Verdana"/>
          <w:b w:val="0"/>
          <w:bCs w:val="0"/>
          <w:sz w:val="20"/>
          <w:szCs w:val="20"/>
        </w:rPr>
        <w:t>extradit</w:t>
      </w:r>
      <w:r w:rsidR="00B2253E">
        <w:rPr>
          <w:rStyle w:val="Strong"/>
          <w:rFonts w:cs="Verdana"/>
          <w:b w:val="0"/>
          <w:bCs w:val="0"/>
          <w:sz w:val="20"/>
          <w:szCs w:val="20"/>
        </w:rPr>
        <w:t>ion</w:t>
      </w:r>
      <w:r w:rsidR="00094E03" w:rsidRPr="00625F1E">
        <w:rPr>
          <w:rStyle w:val="Strong"/>
          <w:rFonts w:cs="Verdana"/>
          <w:b w:val="0"/>
          <w:bCs w:val="0"/>
          <w:sz w:val="20"/>
          <w:szCs w:val="20"/>
        </w:rPr>
        <w:t xml:space="preserve"> for any </w:t>
      </w:r>
      <w:r w:rsidR="009C555D">
        <w:rPr>
          <w:rStyle w:val="Strong"/>
          <w:rFonts w:cs="Verdana"/>
          <w:b w:val="0"/>
          <w:bCs w:val="0"/>
          <w:sz w:val="20"/>
          <w:szCs w:val="20"/>
        </w:rPr>
        <w:t xml:space="preserve">other </w:t>
      </w:r>
      <w:r w:rsidR="00094E03" w:rsidRPr="00625F1E">
        <w:rPr>
          <w:rStyle w:val="Strong"/>
          <w:rFonts w:cs="Verdana"/>
          <w:b w:val="0"/>
          <w:bCs w:val="0"/>
          <w:sz w:val="20"/>
          <w:szCs w:val="20"/>
        </w:rPr>
        <w:t xml:space="preserve">grounds enshrined in international treaties binding upon both the requesting and </w:t>
      </w:r>
      <w:r w:rsidR="009C555D">
        <w:rPr>
          <w:rStyle w:val="Strong"/>
          <w:rFonts w:cs="Verdana"/>
          <w:b w:val="0"/>
          <w:bCs w:val="0"/>
          <w:sz w:val="20"/>
          <w:szCs w:val="20"/>
        </w:rPr>
        <w:t xml:space="preserve">requested </w:t>
      </w:r>
      <w:r w:rsidR="00094E03" w:rsidRPr="00625F1E">
        <w:rPr>
          <w:rStyle w:val="Strong"/>
          <w:rFonts w:cs="Verdana"/>
          <w:b w:val="0"/>
          <w:bCs w:val="0"/>
          <w:sz w:val="20"/>
          <w:szCs w:val="20"/>
        </w:rPr>
        <w:t>State</w:t>
      </w:r>
      <w:r w:rsidR="00B00D6B" w:rsidRPr="00625F1E">
        <w:rPr>
          <w:rStyle w:val="Strong"/>
          <w:rFonts w:cs="Verdana"/>
          <w:b w:val="0"/>
          <w:bCs w:val="0"/>
          <w:sz w:val="20"/>
          <w:szCs w:val="20"/>
        </w:rPr>
        <w:t>.</w:t>
      </w:r>
      <w:r w:rsidR="00094E03" w:rsidRPr="00625F1E">
        <w:rPr>
          <w:rStyle w:val="FootnoteReference"/>
          <w:rFonts w:cs="Verdana"/>
          <w:sz w:val="18"/>
          <w:szCs w:val="28"/>
        </w:rPr>
        <w:footnoteReference w:id="11"/>
      </w:r>
      <w:r w:rsidR="0001642C" w:rsidRPr="00625F1E">
        <w:rPr>
          <w:rStyle w:val="Strong"/>
          <w:rFonts w:cs="Verdana"/>
          <w:b w:val="0"/>
          <w:bCs w:val="0"/>
          <w:sz w:val="20"/>
          <w:szCs w:val="20"/>
        </w:rPr>
        <w:t xml:space="preserve"> </w:t>
      </w:r>
    </w:p>
    <w:p w14:paraId="107BBEA9" w14:textId="77777777" w:rsidR="0001642C" w:rsidRPr="00625F1E" w:rsidRDefault="0001642C" w:rsidP="0001642C">
      <w:pPr>
        <w:pStyle w:val="ListParagraph"/>
        <w:rPr>
          <w:rStyle w:val="Strong"/>
          <w:rFonts w:cs="Verdana"/>
          <w:b w:val="0"/>
          <w:bCs w:val="0"/>
          <w:sz w:val="20"/>
          <w:szCs w:val="20"/>
        </w:rPr>
      </w:pPr>
    </w:p>
    <w:p w14:paraId="7CB0C79B" w14:textId="74796E0A" w:rsidR="00CF3F4D" w:rsidRPr="00DA35BE" w:rsidRDefault="0001642C" w:rsidP="0001642C">
      <w:pPr>
        <w:pStyle w:val="ListParagraph"/>
        <w:widowControl w:val="0"/>
        <w:numPr>
          <w:ilvl w:val="0"/>
          <w:numId w:val="15"/>
        </w:numPr>
        <w:autoSpaceDE w:val="0"/>
        <w:autoSpaceDN w:val="0"/>
        <w:adjustRightInd w:val="0"/>
        <w:spacing w:line="256" w:lineRule="atLeast"/>
        <w:ind w:left="567" w:hanging="567"/>
        <w:jc w:val="both"/>
        <w:rPr>
          <w:rStyle w:val="Strong"/>
          <w:rFonts w:cs="Verdana"/>
          <w:b w:val="0"/>
          <w:bCs w:val="0"/>
          <w:sz w:val="20"/>
          <w:szCs w:val="20"/>
        </w:rPr>
      </w:pPr>
      <w:r w:rsidRPr="00625F1E">
        <w:rPr>
          <w:rStyle w:val="Strong"/>
          <w:rFonts w:cs="Verdana"/>
          <w:b w:val="0"/>
          <w:bCs w:val="0"/>
          <w:sz w:val="20"/>
          <w:szCs w:val="20"/>
        </w:rPr>
        <w:t>Likewise, t</w:t>
      </w:r>
      <w:r w:rsidR="002260A9" w:rsidRPr="00625F1E">
        <w:rPr>
          <w:rStyle w:val="Strong"/>
          <w:rFonts w:cs="Verdana"/>
          <w:b w:val="0"/>
          <w:bCs w:val="0"/>
          <w:sz w:val="20"/>
          <w:szCs w:val="20"/>
        </w:rPr>
        <w:t xml:space="preserve">here are no specific provisions </w:t>
      </w:r>
      <w:r w:rsidRPr="00625F1E">
        <w:rPr>
          <w:rStyle w:val="Strong"/>
          <w:rFonts w:cs="Verdana"/>
          <w:b w:val="0"/>
          <w:bCs w:val="0"/>
          <w:sz w:val="20"/>
          <w:szCs w:val="20"/>
        </w:rPr>
        <w:t>regard</w:t>
      </w:r>
      <w:r w:rsidR="002260A9" w:rsidRPr="00625F1E">
        <w:rPr>
          <w:rStyle w:val="Strong"/>
          <w:rFonts w:cs="Verdana"/>
          <w:b w:val="0"/>
          <w:bCs w:val="0"/>
          <w:sz w:val="20"/>
          <w:szCs w:val="20"/>
        </w:rPr>
        <w:t xml:space="preserve">ing the risk of torture or other human rights violations in the </w:t>
      </w:r>
      <w:r w:rsidRPr="00625F1E">
        <w:rPr>
          <w:rStyle w:val="Strong"/>
          <w:rFonts w:cs="Verdana"/>
          <w:b w:val="0"/>
          <w:bCs w:val="0"/>
          <w:sz w:val="20"/>
          <w:szCs w:val="20"/>
        </w:rPr>
        <w:t>CPC</w:t>
      </w:r>
      <w:r w:rsidR="002260A9" w:rsidRPr="00625F1E">
        <w:rPr>
          <w:rStyle w:val="Strong"/>
          <w:rFonts w:cs="Verdana"/>
          <w:b w:val="0"/>
          <w:bCs w:val="0"/>
          <w:sz w:val="20"/>
          <w:szCs w:val="20"/>
        </w:rPr>
        <w:t xml:space="preserve">, which however prohibits </w:t>
      </w:r>
      <w:r w:rsidR="0073312B" w:rsidRPr="00625F1E">
        <w:rPr>
          <w:rStyle w:val="Strong"/>
          <w:rFonts w:cs="Verdana"/>
          <w:b w:val="0"/>
          <w:bCs w:val="0"/>
          <w:sz w:val="20"/>
          <w:szCs w:val="20"/>
        </w:rPr>
        <w:t>extraditing</w:t>
      </w:r>
      <w:r w:rsidR="002260A9" w:rsidRPr="00625F1E">
        <w:rPr>
          <w:rStyle w:val="Strong"/>
          <w:rFonts w:cs="Verdana"/>
          <w:b w:val="0"/>
          <w:bCs w:val="0"/>
          <w:sz w:val="20"/>
          <w:szCs w:val="20"/>
        </w:rPr>
        <w:t xml:space="preserve"> </w:t>
      </w:r>
      <w:r w:rsidR="0073312B" w:rsidRPr="00625F1E">
        <w:rPr>
          <w:rStyle w:val="Strong"/>
          <w:rFonts w:cs="Verdana"/>
          <w:b w:val="0"/>
          <w:bCs w:val="0"/>
          <w:sz w:val="20"/>
          <w:szCs w:val="20"/>
        </w:rPr>
        <w:t xml:space="preserve">individuals </w:t>
      </w:r>
      <w:r w:rsidR="002260A9" w:rsidRPr="00625F1E">
        <w:rPr>
          <w:rStyle w:val="Strong"/>
          <w:rFonts w:cs="Verdana"/>
          <w:b w:val="0"/>
          <w:bCs w:val="0"/>
          <w:sz w:val="20"/>
          <w:szCs w:val="20"/>
        </w:rPr>
        <w:t xml:space="preserve">who have been granted asylum and face </w:t>
      </w:r>
      <w:r w:rsidR="007F77FE">
        <w:rPr>
          <w:rStyle w:val="Strong"/>
          <w:rFonts w:cs="Verdana"/>
          <w:b w:val="0"/>
          <w:bCs w:val="0"/>
          <w:sz w:val="20"/>
          <w:szCs w:val="20"/>
        </w:rPr>
        <w:t xml:space="preserve">a real risk of </w:t>
      </w:r>
      <w:r w:rsidR="002260A9" w:rsidRPr="00625F1E">
        <w:rPr>
          <w:rStyle w:val="Strong"/>
          <w:rFonts w:cs="Verdana"/>
          <w:b w:val="0"/>
          <w:bCs w:val="0"/>
          <w:sz w:val="20"/>
          <w:szCs w:val="20"/>
        </w:rPr>
        <w:t>persecution</w:t>
      </w:r>
      <w:r w:rsidR="00B2253E">
        <w:rPr>
          <w:rStyle w:val="Strong"/>
          <w:rFonts w:cs="Verdana"/>
          <w:b w:val="0"/>
          <w:bCs w:val="0"/>
          <w:sz w:val="20"/>
          <w:szCs w:val="20"/>
        </w:rPr>
        <w:t>.</w:t>
      </w:r>
      <w:r w:rsidR="002260A9" w:rsidRPr="00625F1E">
        <w:rPr>
          <w:rStyle w:val="FootnoteReference"/>
          <w:rFonts w:cs="Verdana"/>
          <w:sz w:val="18"/>
          <w:szCs w:val="28"/>
        </w:rPr>
        <w:footnoteReference w:id="12"/>
      </w:r>
      <w:r w:rsidRPr="00625F1E">
        <w:rPr>
          <w:rStyle w:val="Strong"/>
          <w:rFonts w:cs="Verdana"/>
          <w:b w:val="0"/>
          <w:bCs w:val="0"/>
          <w:sz w:val="20"/>
          <w:szCs w:val="20"/>
        </w:rPr>
        <w:t xml:space="preserve"> </w:t>
      </w:r>
      <w:r w:rsidR="0073312B" w:rsidRPr="00625F1E">
        <w:rPr>
          <w:rStyle w:val="Strong"/>
          <w:rFonts w:cs="Verdana"/>
          <w:b w:val="0"/>
          <w:bCs w:val="0"/>
          <w:sz w:val="20"/>
          <w:szCs w:val="20"/>
        </w:rPr>
        <w:t>In that respect, it is significant that</w:t>
      </w:r>
      <w:r w:rsidR="00CF3F4D" w:rsidRPr="00625F1E">
        <w:rPr>
          <w:rStyle w:val="Strong"/>
          <w:rFonts w:cs="Verdana"/>
          <w:b w:val="0"/>
          <w:bCs w:val="0"/>
          <w:sz w:val="20"/>
          <w:szCs w:val="20"/>
        </w:rPr>
        <w:t xml:space="preserve"> Uzbekistan is not a signatory to the </w:t>
      </w:r>
      <w:r w:rsidR="0073312B" w:rsidRPr="00625F1E">
        <w:rPr>
          <w:rStyle w:val="Strong"/>
          <w:rFonts w:cs="Verdana"/>
          <w:b w:val="0"/>
          <w:bCs w:val="0"/>
          <w:sz w:val="20"/>
          <w:szCs w:val="20"/>
        </w:rPr>
        <w:t xml:space="preserve">1951 </w:t>
      </w:r>
      <w:r w:rsidR="0073312B" w:rsidRPr="00DA35BE">
        <w:rPr>
          <w:rStyle w:val="Strong"/>
          <w:rFonts w:cs="Verdana"/>
          <w:b w:val="0"/>
          <w:bCs w:val="0"/>
          <w:sz w:val="20"/>
          <w:szCs w:val="20"/>
        </w:rPr>
        <w:t>Convention Relating to the Status of Refugees</w:t>
      </w:r>
      <w:r w:rsidR="000E1A96" w:rsidRPr="00DA35BE">
        <w:rPr>
          <w:rStyle w:val="Strong"/>
          <w:rFonts w:cs="Verdana"/>
          <w:b w:val="0"/>
          <w:bCs w:val="0"/>
          <w:sz w:val="20"/>
          <w:szCs w:val="20"/>
        </w:rPr>
        <w:t xml:space="preserve"> and has no specialized domestic legislative act on the protection of refugees</w:t>
      </w:r>
      <w:r w:rsidR="00CF3F4D" w:rsidRPr="00DA35BE">
        <w:rPr>
          <w:rStyle w:val="Strong"/>
          <w:rFonts w:cs="Verdana"/>
          <w:b w:val="0"/>
          <w:bCs w:val="0"/>
          <w:sz w:val="20"/>
          <w:szCs w:val="20"/>
        </w:rPr>
        <w:t xml:space="preserve">. </w:t>
      </w:r>
      <w:r w:rsidR="00DA35BE" w:rsidRPr="00DA35BE">
        <w:rPr>
          <w:rStyle w:val="Strong"/>
          <w:rFonts w:cs="Verdana"/>
          <w:b w:val="0"/>
          <w:bCs w:val="0"/>
          <w:sz w:val="20"/>
          <w:szCs w:val="20"/>
        </w:rPr>
        <w:t>While, i</w:t>
      </w:r>
      <w:r w:rsidR="00CF3F4D" w:rsidRPr="00DA35BE">
        <w:rPr>
          <w:rStyle w:val="Strong"/>
          <w:rFonts w:cs="Verdana"/>
          <w:b w:val="0"/>
          <w:bCs w:val="0"/>
          <w:sz w:val="20"/>
          <w:szCs w:val="20"/>
        </w:rPr>
        <w:t xml:space="preserve">n 1999, </w:t>
      </w:r>
      <w:r w:rsidR="007F77FE">
        <w:rPr>
          <w:rStyle w:val="Strong"/>
          <w:rFonts w:cs="Verdana"/>
          <w:b w:val="0"/>
          <w:bCs w:val="0"/>
          <w:sz w:val="20"/>
          <w:szCs w:val="20"/>
        </w:rPr>
        <w:t xml:space="preserve">Uzbekistan signed </w:t>
      </w:r>
      <w:r w:rsidR="00CF3F4D" w:rsidRPr="00DA35BE">
        <w:rPr>
          <w:rStyle w:val="Strong"/>
          <w:rFonts w:cs="Verdana"/>
          <w:b w:val="0"/>
          <w:bCs w:val="0"/>
          <w:sz w:val="20"/>
          <w:szCs w:val="20"/>
        </w:rPr>
        <w:t>the OSCE Charter for European Security, which contains a commitment to respect the right to seek asylum and to ensure the international protection of refugees, as set out in the 1951 Convention and its 1967 Protocol</w:t>
      </w:r>
      <w:r w:rsidR="00DA35BE" w:rsidRPr="00DA35BE">
        <w:rPr>
          <w:rStyle w:val="Strong"/>
          <w:rFonts w:cs="Verdana"/>
          <w:b w:val="0"/>
          <w:bCs w:val="0"/>
          <w:sz w:val="20"/>
          <w:szCs w:val="20"/>
        </w:rPr>
        <w:t>,</w:t>
      </w:r>
      <w:r w:rsidR="00CF3F4D" w:rsidRPr="00DA35BE">
        <w:rPr>
          <w:rStyle w:val="FootnoteReference"/>
          <w:rFonts w:cs="Verdana"/>
          <w:sz w:val="18"/>
          <w:szCs w:val="28"/>
        </w:rPr>
        <w:footnoteReference w:id="13"/>
      </w:r>
      <w:r w:rsidR="00CF3F4D" w:rsidRPr="00DA35BE">
        <w:rPr>
          <w:rStyle w:val="Strong"/>
          <w:rFonts w:cs="Verdana"/>
          <w:b w:val="0"/>
          <w:bCs w:val="0"/>
          <w:sz w:val="20"/>
          <w:szCs w:val="20"/>
        </w:rPr>
        <w:t xml:space="preserve"> </w:t>
      </w:r>
      <w:r w:rsidR="00DA35BE" w:rsidRPr="00DA35BE">
        <w:rPr>
          <w:rStyle w:val="Strong"/>
          <w:rFonts w:cs="Verdana"/>
          <w:b w:val="0"/>
          <w:bCs w:val="0"/>
          <w:sz w:val="20"/>
          <w:szCs w:val="20"/>
        </w:rPr>
        <w:t>this document</w:t>
      </w:r>
      <w:r w:rsidR="00CF3F4D" w:rsidRPr="00DA35BE">
        <w:rPr>
          <w:rStyle w:val="Strong"/>
          <w:rFonts w:cs="Verdana"/>
          <w:b w:val="0"/>
          <w:bCs w:val="0"/>
          <w:sz w:val="20"/>
          <w:szCs w:val="20"/>
        </w:rPr>
        <w:t xml:space="preserve"> is</w:t>
      </w:r>
      <w:r w:rsidR="00E32AD2" w:rsidRPr="00DA35BE">
        <w:rPr>
          <w:rStyle w:val="Strong"/>
          <w:rFonts w:cs="Verdana"/>
          <w:b w:val="0"/>
          <w:bCs w:val="0"/>
          <w:sz w:val="20"/>
          <w:szCs w:val="20"/>
        </w:rPr>
        <w:t xml:space="preserve"> </w:t>
      </w:r>
      <w:r w:rsidR="00CF3F4D" w:rsidRPr="00DA35BE">
        <w:rPr>
          <w:rStyle w:val="Strong"/>
          <w:rFonts w:cs="Verdana"/>
          <w:b w:val="0"/>
          <w:bCs w:val="0"/>
          <w:sz w:val="20"/>
          <w:szCs w:val="20"/>
        </w:rPr>
        <w:t>not legally binding.</w:t>
      </w:r>
    </w:p>
    <w:p w14:paraId="73B1FF7D" w14:textId="77777777" w:rsidR="00094E03" w:rsidRPr="00625F1E" w:rsidRDefault="00094E03" w:rsidP="00654AEB">
      <w:pPr>
        <w:pStyle w:val="ListParagraph"/>
        <w:ind w:left="567" w:hanging="567"/>
        <w:rPr>
          <w:rStyle w:val="Strong"/>
          <w:rFonts w:cs="Verdana"/>
          <w:b w:val="0"/>
          <w:bCs w:val="0"/>
          <w:sz w:val="20"/>
          <w:szCs w:val="20"/>
        </w:rPr>
      </w:pPr>
    </w:p>
    <w:p w14:paraId="0F3D8FE4" w14:textId="2EB579EB" w:rsidR="00C612A6" w:rsidRPr="007C3F80" w:rsidRDefault="006864D2" w:rsidP="00DA35BE">
      <w:pPr>
        <w:pStyle w:val="ListParagraph"/>
        <w:widowControl w:val="0"/>
        <w:numPr>
          <w:ilvl w:val="0"/>
          <w:numId w:val="15"/>
        </w:numPr>
        <w:autoSpaceDE w:val="0"/>
        <w:autoSpaceDN w:val="0"/>
        <w:adjustRightInd w:val="0"/>
        <w:spacing w:line="256" w:lineRule="atLeast"/>
        <w:ind w:left="567" w:hanging="567"/>
        <w:jc w:val="both"/>
        <w:rPr>
          <w:rStyle w:val="Strong"/>
          <w:rFonts w:cs="Verdana"/>
          <w:b w:val="0"/>
          <w:bCs w:val="0"/>
          <w:sz w:val="20"/>
          <w:szCs w:val="20"/>
        </w:rPr>
      </w:pPr>
      <w:r w:rsidRPr="00625F1E">
        <w:rPr>
          <w:rStyle w:val="Strong"/>
          <w:rFonts w:cs="Verdana"/>
          <w:b w:val="0"/>
          <w:bCs w:val="0"/>
          <w:sz w:val="20"/>
          <w:szCs w:val="20"/>
        </w:rPr>
        <w:t xml:space="preserve">Lastly, trial in absentia </w:t>
      </w:r>
      <w:r w:rsidR="00C5151E" w:rsidRPr="00625F1E">
        <w:rPr>
          <w:rStyle w:val="Strong"/>
          <w:rFonts w:cs="Verdana"/>
          <w:b w:val="0"/>
          <w:bCs w:val="0"/>
          <w:sz w:val="20"/>
          <w:szCs w:val="20"/>
        </w:rPr>
        <w:t xml:space="preserve">or a </w:t>
      </w:r>
      <w:r w:rsidRPr="00625F1E">
        <w:rPr>
          <w:rStyle w:val="Strong"/>
          <w:rFonts w:cs="Verdana"/>
          <w:b w:val="0"/>
          <w:bCs w:val="0"/>
          <w:sz w:val="20"/>
          <w:szCs w:val="20"/>
        </w:rPr>
        <w:t xml:space="preserve">lack of fairness of trial proceedings are </w:t>
      </w:r>
      <w:r w:rsidR="00C5151E" w:rsidRPr="00625F1E">
        <w:rPr>
          <w:rStyle w:val="Strong"/>
          <w:rFonts w:cs="Verdana"/>
          <w:b w:val="0"/>
          <w:bCs w:val="0"/>
          <w:sz w:val="20"/>
          <w:szCs w:val="20"/>
        </w:rPr>
        <w:t xml:space="preserve">not </w:t>
      </w:r>
      <w:r w:rsidRPr="00625F1E">
        <w:rPr>
          <w:rStyle w:val="Strong"/>
          <w:rFonts w:cs="Verdana"/>
          <w:b w:val="0"/>
          <w:bCs w:val="0"/>
          <w:sz w:val="20"/>
          <w:szCs w:val="20"/>
        </w:rPr>
        <w:t xml:space="preserve">mentioned as grounds </w:t>
      </w:r>
      <w:r w:rsidR="00634680" w:rsidRPr="00625F1E">
        <w:rPr>
          <w:rStyle w:val="Strong"/>
          <w:rFonts w:cs="Verdana"/>
          <w:b w:val="0"/>
          <w:bCs w:val="0"/>
          <w:sz w:val="20"/>
          <w:szCs w:val="20"/>
        </w:rPr>
        <w:t xml:space="preserve">for </w:t>
      </w:r>
      <w:r w:rsidR="007F77FE">
        <w:rPr>
          <w:rStyle w:val="Strong"/>
          <w:rFonts w:cs="Verdana"/>
          <w:b w:val="0"/>
          <w:bCs w:val="0"/>
          <w:sz w:val="20"/>
          <w:szCs w:val="20"/>
        </w:rPr>
        <w:t>refusal</w:t>
      </w:r>
      <w:r w:rsidR="007F77FE" w:rsidRPr="00625F1E">
        <w:rPr>
          <w:rStyle w:val="Strong"/>
          <w:rFonts w:cs="Verdana"/>
          <w:b w:val="0"/>
          <w:bCs w:val="0"/>
          <w:sz w:val="20"/>
          <w:szCs w:val="20"/>
        </w:rPr>
        <w:t xml:space="preserve"> </w:t>
      </w:r>
      <w:r w:rsidR="007F77FE">
        <w:rPr>
          <w:rStyle w:val="Strong"/>
          <w:rFonts w:cs="Verdana"/>
          <w:b w:val="0"/>
          <w:bCs w:val="0"/>
          <w:sz w:val="20"/>
          <w:szCs w:val="20"/>
        </w:rPr>
        <w:t xml:space="preserve">of </w:t>
      </w:r>
      <w:r w:rsidRPr="00625F1E">
        <w:rPr>
          <w:rStyle w:val="Strong"/>
          <w:rFonts w:cs="Verdana"/>
          <w:b w:val="0"/>
          <w:bCs w:val="0"/>
          <w:sz w:val="20"/>
          <w:szCs w:val="20"/>
        </w:rPr>
        <w:t>extradition from Uzbekistan</w:t>
      </w:r>
      <w:r w:rsidR="000E1A96" w:rsidRPr="00625F1E">
        <w:rPr>
          <w:rStyle w:val="Strong"/>
          <w:rFonts w:cs="Verdana"/>
          <w:b w:val="0"/>
          <w:bCs w:val="0"/>
          <w:sz w:val="20"/>
          <w:szCs w:val="20"/>
        </w:rPr>
        <w:t>, even though i</w:t>
      </w:r>
      <w:r w:rsidR="002260A9" w:rsidRPr="00625F1E">
        <w:rPr>
          <w:rStyle w:val="Strong"/>
          <w:rFonts w:cs="Verdana"/>
          <w:b w:val="0"/>
          <w:bCs w:val="0"/>
          <w:sz w:val="20"/>
          <w:szCs w:val="20"/>
        </w:rPr>
        <w:t xml:space="preserve">nternational standards prohibit </w:t>
      </w:r>
      <w:r w:rsidRPr="00625F1E">
        <w:rPr>
          <w:rStyle w:val="Strong"/>
          <w:rFonts w:cs="Verdana"/>
          <w:b w:val="0"/>
          <w:bCs w:val="0"/>
          <w:sz w:val="20"/>
          <w:szCs w:val="20"/>
        </w:rPr>
        <w:t>extraditions</w:t>
      </w:r>
      <w:r w:rsidR="002260A9" w:rsidRPr="00625F1E">
        <w:rPr>
          <w:rStyle w:val="Strong"/>
          <w:rFonts w:cs="Verdana"/>
          <w:b w:val="0"/>
          <w:bCs w:val="0"/>
          <w:sz w:val="20"/>
          <w:szCs w:val="20"/>
        </w:rPr>
        <w:t xml:space="preserve"> if the original trial </w:t>
      </w:r>
      <w:r w:rsidR="007F77FE">
        <w:rPr>
          <w:rStyle w:val="Strong"/>
          <w:rFonts w:cs="Verdana"/>
          <w:b w:val="0"/>
          <w:bCs w:val="0"/>
          <w:sz w:val="20"/>
          <w:szCs w:val="20"/>
        </w:rPr>
        <w:t xml:space="preserve">was conducted without sufficient guarantees to enable the presence of the accused at trial, the latter </w:t>
      </w:r>
      <w:r w:rsidR="002260A9" w:rsidRPr="00625F1E">
        <w:rPr>
          <w:rStyle w:val="Strong"/>
          <w:rFonts w:cs="Verdana"/>
          <w:b w:val="0"/>
          <w:bCs w:val="0"/>
          <w:sz w:val="20"/>
          <w:szCs w:val="20"/>
        </w:rPr>
        <w:t>was held in absentia</w:t>
      </w:r>
      <w:r w:rsidR="007F77FE">
        <w:rPr>
          <w:rStyle w:val="Strong"/>
          <w:rFonts w:cs="Verdana"/>
          <w:b w:val="0"/>
          <w:bCs w:val="0"/>
          <w:sz w:val="20"/>
          <w:szCs w:val="20"/>
        </w:rPr>
        <w:t xml:space="preserve">, and </w:t>
      </w:r>
      <w:r w:rsidR="007F77FE" w:rsidRPr="00625F1E">
        <w:rPr>
          <w:rStyle w:val="Strong"/>
          <w:rFonts w:cs="Verdana"/>
          <w:b w:val="0"/>
          <w:bCs w:val="0"/>
          <w:sz w:val="20"/>
          <w:szCs w:val="20"/>
        </w:rPr>
        <w:t>the requesting State</w:t>
      </w:r>
      <w:r w:rsidR="007F77FE">
        <w:rPr>
          <w:rStyle w:val="Strong"/>
          <w:rFonts w:cs="Verdana"/>
          <w:b w:val="0"/>
          <w:bCs w:val="0"/>
          <w:sz w:val="20"/>
          <w:szCs w:val="20"/>
        </w:rPr>
        <w:t xml:space="preserve"> does not guarantee the </w:t>
      </w:r>
      <w:r w:rsidR="002260A9" w:rsidRPr="00625F1E">
        <w:rPr>
          <w:rStyle w:val="Strong"/>
          <w:rFonts w:cs="Verdana"/>
          <w:b w:val="0"/>
          <w:bCs w:val="0"/>
          <w:sz w:val="20"/>
          <w:szCs w:val="20"/>
        </w:rPr>
        <w:t xml:space="preserve">possibility of retrial </w:t>
      </w:r>
      <w:r w:rsidR="007F77FE">
        <w:rPr>
          <w:rStyle w:val="Strong"/>
          <w:rFonts w:cs="Verdana"/>
          <w:b w:val="0"/>
          <w:bCs w:val="0"/>
          <w:sz w:val="20"/>
          <w:szCs w:val="20"/>
        </w:rPr>
        <w:t xml:space="preserve">once the extradition has taken </w:t>
      </w:r>
      <w:r w:rsidR="007F77FE">
        <w:rPr>
          <w:rStyle w:val="Strong"/>
          <w:rFonts w:cs="Verdana"/>
          <w:b w:val="0"/>
          <w:bCs w:val="0"/>
          <w:sz w:val="20"/>
          <w:szCs w:val="20"/>
        </w:rPr>
        <w:lastRenderedPageBreak/>
        <w:t>place</w:t>
      </w:r>
      <w:r w:rsidR="00C5151E" w:rsidRPr="00625F1E">
        <w:rPr>
          <w:rStyle w:val="Strong"/>
          <w:rFonts w:cs="Verdana"/>
          <w:b w:val="0"/>
          <w:bCs w:val="0"/>
          <w:sz w:val="20"/>
          <w:szCs w:val="20"/>
        </w:rPr>
        <w:t>.</w:t>
      </w:r>
      <w:r w:rsidR="002260A9" w:rsidRPr="00625F1E">
        <w:rPr>
          <w:rStyle w:val="FootnoteReference"/>
          <w:rFonts w:cs="Verdana"/>
          <w:sz w:val="18"/>
          <w:szCs w:val="28"/>
        </w:rPr>
        <w:footnoteReference w:id="14"/>
      </w:r>
    </w:p>
    <w:p w14:paraId="45C7A428" w14:textId="77777777" w:rsidR="00DA35BE" w:rsidRPr="00DA35BE" w:rsidDel="00C612A6" w:rsidRDefault="00DA35BE" w:rsidP="00DA35BE">
      <w:pPr>
        <w:widowControl w:val="0"/>
        <w:autoSpaceDE w:val="0"/>
        <w:autoSpaceDN w:val="0"/>
        <w:adjustRightInd w:val="0"/>
        <w:spacing w:line="256" w:lineRule="atLeast"/>
        <w:jc w:val="both"/>
        <w:rPr>
          <w:rStyle w:val="Strong"/>
          <w:rFonts w:cs="Verdana"/>
          <w:b w:val="0"/>
          <w:bCs w:val="0"/>
          <w:sz w:val="20"/>
          <w:szCs w:val="20"/>
        </w:rPr>
      </w:pPr>
    </w:p>
    <w:p w14:paraId="79120047" w14:textId="67506170" w:rsidR="00CF3F4D" w:rsidRPr="00625F1E" w:rsidRDefault="00654AEB" w:rsidP="00654AEB">
      <w:pPr>
        <w:pStyle w:val="ListParagraph"/>
        <w:widowControl w:val="0"/>
        <w:numPr>
          <w:ilvl w:val="0"/>
          <w:numId w:val="31"/>
        </w:numPr>
        <w:autoSpaceDE w:val="0"/>
        <w:autoSpaceDN w:val="0"/>
        <w:adjustRightInd w:val="0"/>
        <w:spacing w:line="256" w:lineRule="atLeast"/>
        <w:ind w:left="567" w:hanging="567"/>
        <w:jc w:val="both"/>
        <w:rPr>
          <w:rStyle w:val="Strong"/>
          <w:rFonts w:cs="Verdana"/>
          <w:b w:val="0"/>
          <w:bCs w:val="0"/>
          <w:sz w:val="20"/>
          <w:szCs w:val="20"/>
          <w:u w:val="single"/>
        </w:rPr>
      </w:pPr>
      <w:r w:rsidRPr="00625F1E">
        <w:rPr>
          <w:rStyle w:val="Strong"/>
          <w:rFonts w:cs="Verdana"/>
          <w:b w:val="0"/>
          <w:bCs w:val="0"/>
          <w:sz w:val="20"/>
          <w:szCs w:val="20"/>
          <w:u w:val="single"/>
        </w:rPr>
        <w:t>Uzbekistan’s practice as Re</w:t>
      </w:r>
      <w:r w:rsidR="0016201F" w:rsidRPr="00625F1E">
        <w:rPr>
          <w:rStyle w:val="Strong"/>
          <w:rFonts w:cs="Verdana"/>
          <w:b w:val="0"/>
          <w:bCs w:val="0"/>
          <w:sz w:val="20"/>
          <w:szCs w:val="20"/>
          <w:u w:val="single"/>
        </w:rPr>
        <w:t>questing</w:t>
      </w:r>
      <w:r w:rsidRPr="00625F1E">
        <w:rPr>
          <w:rStyle w:val="Strong"/>
          <w:rFonts w:cs="Verdana"/>
          <w:b w:val="0"/>
          <w:bCs w:val="0"/>
          <w:sz w:val="20"/>
          <w:szCs w:val="20"/>
          <w:u w:val="single"/>
        </w:rPr>
        <w:t xml:space="preserve"> State</w:t>
      </w:r>
    </w:p>
    <w:p w14:paraId="732B32AA" w14:textId="77777777" w:rsidR="000C31CC" w:rsidRPr="00625F1E" w:rsidRDefault="000C31CC" w:rsidP="000C31CC">
      <w:pPr>
        <w:pStyle w:val="ListParagraph"/>
        <w:widowControl w:val="0"/>
        <w:autoSpaceDE w:val="0"/>
        <w:autoSpaceDN w:val="0"/>
        <w:adjustRightInd w:val="0"/>
        <w:spacing w:line="256" w:lineRule="atLeast"/>
        <w:ind w:left="567"/>
        <w:jc w:val="both"/>
        <w:rPr>
          <w:rStyle w:val="Strong"/>
          <w:rFonts w:cs="Verdana"/>
          <w:b w:val="0"/>
          <w:bCs w:val="0"/>
          <w:sz w:val="20"/>
          <w:szCs w:val="20"/>
          <w:u w:val="single"/>
        </w:rPr>
      </w:pPr>
    </w:p>
    <w:p w14:paraId="412CF580" w14:textId="33745E3F" w:rsidR="00A6754C" w:rsidRPr="007C3F80" w:rsidRDefault="005A4C1D" w:rsidP="00DA35BE">
      <w:pPr>
        <w:pStyle w:val="ListParagraph"/>
        <w:widowControl w:val="0"/>
        <w:autoSpaceDE w:val="0"/>
        <w:autoSpaceDN w:val="0"/>
        <w:adjustRightInd w:val="0"/>
        <w:spacing w:line="256" w:lineRule="atLeast"/>
        <w:ind w:left="567"/>
        <w:jc w:val="both"/>
        <w:rPr>
          <w:sz w:val="20"/>
          <w:szCs w:val="20"/>
        </w:rPr>
      </w:pPr>
      <w:r w:rsidRPr="00625F1E">
        <w:rPr>
          <w:rStyle w:val="Strong"/>
          <w:rFonts w:cs="Verdana"/>
          <w:b w:val="0"/>
          <w:bCs w:val="0"/>
          <w:sz w:val="20"/>
          <w:szCs w:val="20"/>
        </w:rPr>
        <w:t xml:space="preserve">In its </w:t>
      </w:r>
      <w:r w:rsidR="00DE199E">
        <w:rPr>
          <w:rStyle w:val="Strong"/>
          <w:rFonts w:cs="Verdana"/>
          <w:b w:val="0"/>
          <w:bCs w:val="0"/>
          <w:sz w:val="20"/>
          <w:szCs w:val="20"/>
        </w:rPr>
        <w:t xml:space="preserve">last </w:t>
      </w:r>
      <w:r w:rsidRPr="00625F1E">
        <w:rPr>
          <w:rStyle w:val="Strong"/>
          <w:rFonts w:cs="Verdana"/>
          <w:b w:val="0"/>
          <w:bCs w:val="0"/>
          <w:sz w:val="20"/>
          <w:szCs w:val="20"/>
        </w:rPr>
        <w:t xml:space="preserve">Concluding observations on Uzbekistan’s previous periodic report, the Committee raised </w:t>
      </w:r>
      <w:r w:rsidR="00EE6319" w:rsidRPr="00625F1E">
        <w:rPr>
          <w:rStyle w:val="Strong"/>
          <w:rFonts w:cs="Verdana"/>
          <w:b w:val="0"/>
          <w:bCs w:val="0"/>
          <w:sz w:val="20"/>
          <w:szCs w:val="20"/>
        </w:rPr>
        <w:t xml:space="preserve">serious </w:t>
      </w:r>
      <w:r w:rsidR="00D51B64" w:rsidRPr="00625F1E">
        <w:rPr>
          <w:rStyle w:val="Strong"/>
          <w:rFonts w:cs="Verdana"/>
          <w:b w:val="0"/>
          <w:bCs w:val="0"/>
          <w:sz w:val="20"/>
          <w:szCs w:val="20"/>
        </w:rPr>
        <w:t xml:space="preserve">concern </w:t>
      </w:r>
      <w:r w:rsidR="00CB718F" w:rsidRPr="00625F1E">
        <w:rPr>
          <w:rStyle w:val="Strong"/>
          <w:rFonts w:cs="Verdana"/>
          <w:b w:val="0"/>
          <w:bCs w:val="0"/>
          <w:sz w:val="20"/>
          <w:szCs w:val="20"/>
        </w:rPr>
        <w:t>“</w:t>
      </w:r>
      <w:r w:rsidR="000A6B00" w:rsidRPr="00625F1E">
        <w:rPr>
          <w:rStyle w:val="Strong"/>
          <w:rFonts w:cs="Verdana"/>
          <w:b w:val="0"/>
          <w:bCs w:val="0"/>
          <w:sz w:val="20"/>
          <w:szCs w:val="20"/>
        </w:rPr>
        <w:t xml:space="preserve">at allegations that some individuals extradited from </w:t>
      </w:r>
      <w:r w:rsidR="00CB718F" w:rsidRPr="007C3F80">
        <w:rPr>
          <w:rStyle w:val="Strong"/>
          <w:rFonts w:cs="Verdana"/>
          <w:b w:val="0"/>
          <w:bCs w:val="0"/>
          <w:sz w:val="20"/>
          <w:szCs w:val="20"/>
        </w:rPr>
        <w:t>neighbo</w:t>
      </w:r>
      <w:r w:rsidR="00B73CFB" w:rsidRPr="007C3F80">
        <w:rPr>
          <w:rStyle w:val="Strong"/>
          <w:rFonts w:cs="Verdana"/>
          <w:b w:val="0"/>
          <w:bCs w:val="0"/>
          <w:sz w:val="20"/>
          <w:szCs w:val="20"/>
        </w:rPr>
        <w:t>u</w:t>
      </w:r>
      <w:r w:rsidR="00CB718F" w:rsidRPr="007C3F80">
        <w:rPr>
          <w:rStyle w:val="Strong"/>
          <w:rFonts w:cs="Verdana"/>
          <w:b w:val="0"/>
          <w:bCs w:val="0"/>
          <w:sz w:val="20"/>
          <w:szCs w:val="20"/>
        </w:rPr>
        <w:t>ring</w:t>
      </w:r>
      <w:r w:rsidR="000A6B00" w:rsidRPr="007C3F80">
        <w:rPr>
          <w:rStyle w:val="Strong"/>
          <w:rFonts w:cs="Verdana"/>
          <w:b w:val="0"/>
          <w:bCs w:val="0"/>
          <w:sz w:val="20"/>
          <w:szCs w:val="20"/>
        </w:rPr>
        <w:t xml:space="preserve"> countries have been subjected to torture and others detained incommunicado</w:t>
      </w:r>
      <w:r w:rsidR="00CB718F" w:rsidRPr="007C3F80">
        <w:rPr>
          <w:rStyle w:val="Strong"/>
          <w:rFonts w:cs="Verdana"/>
          <w:b w:val="0"/>
          <w:bCs w:val="0"/>
          <w:sz w:val="20"/>
          <w:szCs w:val="20"/>
        </w:rPr>
        <w:t>”</w:t>
      </w:r>
      <w:r w:rsidR="00CB718F" w:rsidRPr="007C3F80">
        <w:rPr>
          <w:rStyle w:val="FootnoteReference"/>
          <w:rFonts w:cs="Verdana"/>
          <w:sz w:val="18"/>
          <w:szCs w:val="18"/>
        </w:rPr>
        <w:footnoteReference w:id="15"/>
      </w:r>
      <w:r w:rsidR="000A6B00" w:rsidRPr="007C3F80">
        <w:rPr>
          <w:rStyle w:val="Strong"/>
          <w:rFonts w:cs="Verdana"/>
          <w:b w:val="0"/>
          <w:bCs w:val="0"/>
          <w:sz w:val="20"/>
          <w:szCs w:val="20"/>
        </w:rPr>
        <w:t>.</w:t>
      </w:r>
      <w:r w:rsidR="00F87709" w:rsidRPr="007C3F80">
        <w:rPr>
          <w:rStyle w:val="Strong"/>
          <w:rFonts w:cs="Verdana"/>
          <w:b w:val="0"/>
          <w:bCs w:val="0"/>
          <w:sz w:val="20"/>
          <w:szCs w:val="20"/>
        </w:rPr>
        <w:t xml:space="preserve"> </w:t>
      </w:r>
    </w:p>
    <w:p w14:paraId="4B9C6E78" w14:textId="77777777" w:rsidR="007C3F80" w:rsidRPr="007C3F80" w:rsidRDefault="007C3F80" w:rsidP="00DA35BE">
      <w:pPr>
        <w:pStyle w:val="ListParagraph"/>
        <w:widowControl w:val="0"/>
        <w:autoSpaceDE w:val="0"/>
        <w:autoSpaceDN w:val="0"/>
        <w:adjustRightInd w:val="0"/>
        <w:spacing w:line="256" w:lineRule="atLeast"/>
        <w:ind w:left="567"/>
        <w:jc w:val="both"/>
        <w:rPr>
          <w:rStyle w:val="Strong"/>
          <w:rFonts w:cs="Verdana"/>
          <w:b w:val="0"/>
          <w:bCs w:val="0"/>
          <w:sz w:val="20"/>
          <w:szCs w:val="20"/>
        </w:rPr>
      </w:pPr>
    </w:p>
    <w:p w14:paraId="592B1E03" w14:textId="211529AA" w:rsidR="007003F0" w:rsidRPr="007C3F80" w:rsidRDefault="00CB718F" w:rsidP="000D2637">
      <w:pPr>
        <w:pStyle w:val="ListParagraph"/>
        <w:widowControl w:val="0"/>
        <w:numPr>
          <w:ilvl w:val="0"/>
          <w:numId w:val="15"/>
        </w:numPr>
        <w:autoSpaceDE w:val="0"/>
        <w:autoSpaceDN w:val="0"/>
        <w:adjustRightInd w:val="0"/>
        <w:spacing w:line="256" w:lineRule="atLeast"/>
        <w:ind w:left="567" w:hanging="567"/>
        <w:jc w:val="both"/>
        <w:rPr>
          <w:rStyle w:val="Strong"/>
          <w:rFonts w:cs="Verdana"/>
          <w:b w:val="0"/>
          <w:bCs w:val="0"/>
          <w:sz w:val="20"/>
          <w:szCs w:val="20"/>
        </w:rPr>
      </w:pPr>
      <w:r w:rsidRPr="007C3F80">
        <w:rPr>
          <w:rStyle w:val="Strong"/>
          <w:rFonts w:cs="Verdana"/>
          <w:b w:val="0"/>
          <w:bCs w:val="0"/>
          <w:sz w:val="20"/>
          <w:szCs w:val="20"/>
        </w:rPr>
        <w:t xml:space="preserve">As </w:t>
      </w:r>
      <w:r w:rsidR="006D65A4">
        <w:rPr>
          <w:rStyle w:val="Strong"/>
          <w:rFonts w:cs="Verdana"/>
          <w:b w:val="0"/>
          <w:bCs w:val="0"/>
          <w:sz w:val="20"/>
          <w:szCs w:val="20"/>
        </w:rPr>
        <w:t>documented</w:t>
      </w:r>
      <w:r w:rsidR="006D65A4" w:rsidRPr="007C3F80">
        <w:rPr>
          <w:rStyle w:val="Strong"/>
          <w:rFonts w:cs="Verdana"/>
          <w:b w:val="0"/>
          <w:bCs w:val="0"/>
          <w:sz w:val="20"/>
          <w:szCs w:val="20"/>
        </w:rPr>
        <w:t xml:space="preserve"> </w:t>
      </w:r>
      <w:r w:rsidR="007C3F80" w:rsidRPr="007C3F80">
        <w:rPr>
          <w:rStyle w:val="Strong"/>
          <w:rFonts w:cs="Verdana"/>
          <w:b w:val="0"/>
          <w:bCs w:val="0"/>
          <w:sz w:val="20"/>
          <w:szCs w:val="20"/>
        </w:rPr>
        <w:t>in judgments of the European Court of Human Rights</w:t>
      </w:r>
      <w:r w:rsidR="00DE199E">
        <w:rPr>
          <w:rStyle w:val="FootnoteReference"/>
          <w:rFonts w:cs="Verdana"/>
          <w:szCs w:val="20"/>
        </w:rPr>
        <w:footnoteReference w:id="16"/>
      </w:r>
      <w:r w:rsidR="007C3F80" w:rsidRPr="007C3F80">
        <w:rPr>
          <w:rStyle w:val="Strong"/>
          <w:rFonts w:cs="Verdana"/>
          <w:b w:val="0"/>
          <w:bCs w:val="0"/>
          <w:sz w:val="20"/>
          <w:szCs w:val="20"/>
        </w:rPr>
        <w:t xml:space="preserve"> and in </w:t>
      </w:r>
      <w:r w:rsidR="006D65A4">
        <w:rPr>
          <w:rStyle w:val="Strong"/>
          <w:rFonts w:cs="Verdana"/>
          <w:b w:val="0"/>
          <w:bCs w:val="0"/>
          <w:sz w:val="20"/>
          <w:szCs w:val="20"/>
        </w:rPr>
        <w:t xml:space="preserve">non-governmental organizations’ </w:t>
      </w:r>
      <w:r w:rsidR="007C3F80" w:rsidRPr="007C3F80">
        <w:rPr>
          <w:rStyle w:val="Strong"/>
          <w:rFonts w:cs="Verdana"/>
          <w:b w:val="0"/>
          <w:bCs w:val="0"/>
          <w:sz w:val="20"/>
          <w:szCs w:val="20"/>
        </w:rPr>
        <w:t xml:space="preserve">reports, including ICJ’s </w:t>
      </w:r>
      <w:r w:rsidR="007C3F80" w:rsidRPr="007C3F80">
        <w:rPr>
          <w:rStyle w:val="Strong"/>
          <w:rFonts w:cs="Verdana"/>
          <w:b w:val="0"/>
          <w:bCs w:val="0"/>
          <w:i/>
          <w:iCs/>
          <w:sz w:val="20"/>
          <w:szCs w:val="20"/>
        </w:rPr>
        <w:t>Transnational Injustices</w:t>
      </w:r>
      <w:r w:rsidR="003D5A35" w:rsidRPr="007C3F80">
        <w:rPr>
          <w:rStyle w:val="FootnoteReference"/>
          <w:rFonts w:cs="Verdana"/>
          <w:sz w:val="18"/>
          <w:szCs w:val="18"/>
        </w:rPr>
        <w:footnoteReference w:id="17"/>
      </w:r>
      <w:r w:rsidRPr="007C3F80">
        <w:rPr>
          <w:rStyle w:val="Strong"/>
          <w:rFonts w:cs="Verdana"/>
          <w:b w:val="0"/>
          <w:bCs w:val="0"/>
          <w:sz w:val="20"/>
          <w:szCs w:val="20"/>
        </w:rPr>
        <w:t>,</w:t>
      </w:r>
      <w:r w:rsidR="003D5A35" w:rsidRPr="007C3F80">
        <w:rPr>
          <w:rStyle w:val="Strong"/>
          <w:rFonts w:cs="Verdana"/>
          <w:b w:val="0"/>
          <w:bCs w:val="0"/>
          <w:sz w:val="20"/>
          <w:szCs w:val="20"/>
        </w:rPr>
        <w:t xml:space="preserve"> </w:t>
      </w:r>
      <w:r w:rsidR="006D65A4">
        <w:rPr>
          <w:sz w:val="20"/>
          <w:szCs w:val="20"/>
        </w:rPr>
        <w:t xml:space="preserve">between </w:t>
      </w:r>
      <w:r w:rsidR="006D65A4" w:rsidRPr="007C3F80">
        <w:t>January 2015 and June 2016</w:t>
      </w:r>
      <w:r w:rsidR="006D65A4">
        <w:t xml:space="preserve">, </w:t>
      </w:r>
      <w:r w:rsidR="003D5A35" w:rsidRPr="007C3F80">
        <w:rPr>
          <w:rStyle w:val="Strong"/>
          <w:rFonts w:cs="Verdana"/>
          <w:b w:val="0"/>
          <w:bCs w:val="0"/>
          <w:sz w:val="20"/>
          <w:szCs w:val="20"/>
        </w:rPr>
        <w:t xml:space="preserve">Uzbekistan </w:t>
      </w:r>
      <w:r w:rsidR="007C3F80" w:rsidRPr="007C3F80">
        <w:rPr>
          <w:rStyle w:val="Strong"/>
          <w:rFonts w:cs="Verdana"/>
          <w:b w:val="0"/>
          <w:bCs w:val="0"/>
          <w:sz w:val="20"/>
          <w:szCs w:val="20"/>
        </w:rPr>
        <w:t>requested the extradition</w:t>
      </w:r>
      <w:r w:rsidR="003D5A35" w:rsidRPr="007C3F80">
        <w:rPr>
          <w:rStyle w:val="Strong"/>
          <w:rFonts w:cs="Verdana"/>
          <w:b w:val="0"/>
          <w:bCs w:val="0"/>
          <w:sz w:val="20"/>
          <w:szCs w:val="20"/>
        </w:rPr>
        <w:t xml:space="preserve"> of many of its citizens </w:t>
      </w:r>
      <w:r w:rsidR="006D65A4">
        <w:rPr>
          <w:rStyle w:val="Strong"/>
          <w:rFonts w:cs="Verdana"/>
          <w:b w:val="0"/>
          <w:bCs w:val="0"/>
          <w:sz w:val="20"/>
          <w:szCs w:val="20"/>
        </w:rPr>
        <w:t xml:space="preserve">it </w:t>
      </w:r>
      <w:r w:rsidR="00385D00">
        <w:rPr>
          <w:rStyle w:val="Strong"/>
          <w:rFonts w:cs="Verdana"/>
          <w:b w:val="0"/>
          <w:bCs w:val="0"/>
          <w:sz w:val="20"/>
          <w:szCs w:val="20"/>
        </w:rPr>
        <w:t>considered</w:t>
      </w:r>
      <w:r w:rsidR="003D5A35" w:rsidRPr="007C3F80">
        <w:rPr>
          <w:rStyle w:val="Strong"/>
          <w:rFonts w:cs="Verdana"/>
          <w:b w:val="0"/>
          <w:bCs w:val="0"/>
          <w:sz w:val="20"/>
          <w:szCs w:val="20"/>
        </w:rPr>
        <w:t xml:space="preserve"> as opponents or threats to national security</w:t>
      </w:r>
      <w:r w:rsidR="00AD49E6">
        <w:rPr>
          <w:rStyle w:val="Strong"/>
          <w:rFonts w:cs="Verdana"/>
          <w:b w:val="0"/>
          <w:bCs w:val="0"/>
          <w:sz w:val="20"/>
          <w:szCs w:val="20"/>
        </w:rPr>
        <w:t xml:space="preserve">, </w:t>
      </w:r>
      <w:r w:rsidR="006D65A4">
        <w:rPr>
          <w:rStyle w:val="Strong"/>
          <w:rFonts w:cs="Verdana"/>
          <w:b w:val="0"/>
          <w:bCs w:val="0"/>
          <w:sz w:val="20"/>
          <w:szCs w:val="20"/>
        </w:rPr>
        <w:t xml:space="preserve">obtaining the extradition of </w:t>
      </w:r>
      <w:r w:rsidR="00AD49E6" w:rsidRPr="007C3F80">
        <w:rPr>
          <w:sz w:val="20"/>
          <w:szCs w:val="20"/>
        </w:rPr>
        <w:t>542 persons</w:t>
      </w:r>
      <w:r w:rsidR="006D65A4">
        <w:rPr>
          <w:sz w:val="20"/>
          <w:szCs w:val="20"/>
        </w:rPr>
        <w:t>.</w:t>
      </w:r>
      <w:r w:rsidR="00AD49E6" w:rsidRPr="007C3F80">
        <w:rPr>
          <w:rStyle w:val="FootnoteReference"/>
          <w:sz w:val="18"/>
          <w:szCs w:val="18"/>
        </w:rPr>
        <w:footnoteReference w:id="18"/>
      </w:r>
      <w:r w:rsidR="003D5A35" w:rsidRPr="007C3F80">
        <w:rPr>
          <w:rStyle w:val="Strong"/>
          <w:rFonts w:cs="Verdana"/>
          <w:b w:val="0"/>
          <w:bCs w:val="0"/>
          <w:sz w:val="20"/>
          <w:szCs w:val="20"/>
        </w:rPr>
        <w:t xml:space="preserve"> </w:t>
      </w:r>
      <w:r w:rsidR="004915A7">
        <w:rPr>
          <w:rStyle w:val="Strong"/>
          <w:rFonts w:cs="Verdana"/>
          <w:b w:val="0"/>
          <w:bCs w:val="0"/>
          <w:sz w:val="20"/>
          <w:szCs w:val="20"/>
        </w:rPr>
        <w:t>Members of banned religious groups and other persons</w:t>
      </w:r>
      <w:r w:rsidR="006D65A4" w:rsidRPr="007C3F80">
        <w:rPr>
          <w:rStyle w:val="Strong"/>
          <w:rFonts w:cs="Verdana"/>
          <w:b w:val="0"/>
          <w:bCs w:val="0"/>
          <w:sz w:val="20"/>
          <w:szCs w:val="20"/>
        </w:rPr>
        <w:t xml:space="preserve"> labelled as “terrorists”</w:t>
      </w:r>
      <w:r w:rsidR="006D65A4">
        <w:rPr>
          <w:rStyle w:val="Strong"/>
          <w:rFonts w:cs="Verdana"/>
          <w:b w:val="0"/>
          <w:bCs w:val="0"/>
          <w:sz w:val="20"/>
          <w:szCs w:val="20"/>
        </w:rPr>
        <w:t xml:space="preserve"> </w:t>
      </w:r>
      <w:r w:rsidR="004915A7">
        <w:rPr>
          <w:rStyle w:val="Strong"/>
          <w:rFonts w:cs="Verdana"/>
          <w:b w:val="0"/>
          <w:bCs w:val="0"/>
          <w:sz w:val="20"/>
          <w:szCs w:val="20"/>
        </w:rPr>
        <w:t xml:space="preserve">have been </w:t>
      </w:r>
      <w:r w:rsidR="006D65A4">
        <w:rPr>
          <w:rStyle w:val="Strong"/>
          <w:rFonts w:cs="Verdana"/>
          <w:b w:val="0"/>
          <w:bCs w:val="0"/>
          <w:sz w:val="20"/>
          <w:szCs w:val="20"/>
        </w:rPr>
        <w:t>p</w:t>
      </w:r>
      <w:r w:rsidR="003D5A35" w:rsidRPr="007C3F80">
        <w:rPr>
          <w:rStyle w:val="Strong"/>
          <w:rFonts w:cs="Verdana"/>
          <w:b w:val="0"/>
          <w:bCs w:val="0"/>
          <w:sz w:val="20"/>
          <w:szCs w:val="20"/>
        </w:rPr>
        <w:t xml:space="preserve">articularly </w:t>
      </w:r>
      <w:r w:rsidR="0016201F" w:rsidRPr="007C3F80">
        <w:rPr>
          <w:rStyle w:val="Strong"/>
          <w:rFonts w:cs="Verdana"/>
          <w:b w:val="0"/>
          <w:bCs w:val="0"/>
          <w:sz w:val="20"/>
          <w:szCs w:val="20"/>
        </w:rPr>
        <w:t>at risk</w:t>
      </w:r>
      <w:r w:rsidR="003D5A35" w:rsidRPr="007C3F80">
        <w:rPr>
          <w:rStyle w:val="Strong"/>
          <w:rFonts w:cs="Verdana"/>
          <w:b w:val="0"/>
          <w:bCs w:val="0"/>
          <w:sz w:val="20"/>
          <w:szCs w:val="20"/>
        </w:rPr>
        <w:t xml:space="preserve"> </w:t>
      </w:r>
      <w:r w:rsidR="006D65A4">
        <w:rPr>
          <w:rStyle w:val="Strong"/>
          <w:rFonts w:cs="Verdana"/>
          <w:b w:val="0"/>
          <w:bCs w:val="0"/>
          <w:sz w:val="20"/>
          <w:szCs w:val="20"/>
        </w:rPr>
        <w:t>of human rights violations following extradition to Uzbekistan</w:t>
      </w:r>
      <w:r w:rsidR="004915A7">
        <w:rPr>
          <w:rStyle w:val="Strong"/>
          <w:rFonts w:cs="Verdana"/>
          <w:b w:val="0"/>
          <w:bCs w:val="0"/>
          <w:sz w:val="20"/>
          <w:szCs w:val="20"/>
        </w:rPr>
        <w:t xml:space="preserve"> during the reporting period</w:t>
      </w:r>
      <w:r w:rsidR="003D5A35" w:rsidRPr="007C3F80">
        <w:rPr>
          <w:rStyle w:val="Strong"/>
          <w:rFonts w:cs="Verdana"/>
          <w:b w:val="0"/>
          <w:bCs w:val="0"/>
          <w:sz w:val="20"/>
          <w:szCs w:val="20"/>
        </w:rPr>
        <w:t>.</w:t>
      </w:r>
      <w:r w:rsidR="00DE4C45">
        <w:rPr>
          <w:rStyle w:val="FootnoteReference"/>
          <w:rFonts w:cs="Verdana"/>
          <w:szCs w:val="20"/>
        </w:rPr>
        <w:footnoteReference w:id="19"/>
      </w:r>
      <w:r w:rsidR="003D5A35" w:rsidRPr="007C3F80">
        <w:rPr>
          <w:rStyle w:val="Strong"/>
          <w:rFonts w:cs="Verdana"/>
          <w:b w:val="0"/>
          <w:bCs w:val="0"/>
          <w:sz w:val="20"/>
          <w:szCs w:val="20"/>
        </w:rPr>
        <w:t xml:space="preserve"> </w:t>
      </w:r>
      <w:r w:rsidR="007003F0" w:rsidRPr="007C3F80">
        <w:rPr>
          <w:rStyle w:val="Strong"/>
          <w:rFonts w:cs="Verdana"/>
          <w:b w:val="0"/>
          <w:bCs w:val="0"/>
          <w:sz w:val="20"/>
          <w:szCs w:val="20"/>
        </w:rPr>
        <w:t xml:space="preserve">In that regard, </w:t>
      </w:r>
      <w:r w:rsidR="00AD49E6">
        <w:rPr>
          <w:rStyle w:val="Strong"/>
          <w:rFonts w:cs="Verdana"/>
          <w:b w:val="0"/>
          <w:bCs w:val="0"/>
          <w:sz w:val="20"/>
          <w:szCs w:val="20"/>
        </w:rPr>
        <w:t xml:space="preserve">the ICJ recalls that </w:t>
      </w:r>
      <w:r w:rsidR="007003F0" w:rsidRPr="007C3F80">
        <w:rPr>
          <w:rStyle w:val="Strong"/>
          <w:rFonts w:cs="Verdana"/>
          <w:b w:val="0"/>
          <w:bCs w:val="0"/>
          <w:sz w:val="20"/>
          <w:szCs w:val="20"/>
        </w:rPr>
        <w:t>the</w:t>
      </w:r>
      <w:r w:rsidR="00DD0A8B" w:rsidRPr="007C3F80">
        <w:rPr>
          <w:rStyle w:val="Strong"/>
          <w:rFonts w:cs="Verdana"/>
          <w:b w:val="0"/>
          <w:bCs w:val="0"/>
          <w:sz w:val="20"/>
          <w:szCs w:val="20"/>
        </w:rPr>
        <w:t xml:space="preserve"> UN</w:t>
      </w:r>
      <w:r w:rsidR="007003F0" w:rsidRPr="007C3F80">
        <w:rPr>
          <w:rStyle w:val="Strong"/>
          <w:rFonts w:cs="Verdana"/>
          <w:b w:val="0"/>
          <w:bCs w:val="0"/>
          <w:sz w:val="20"/>
          <w:szCs w:val="20"/>
        </w:rPr>
        <w:t xml:space="preserve"> Human Rights Committee</w:t>
      </w:r>
      <w:r w:rsidR="00DD0A8B" w:rsidRPr="007C3F80">
        <w:rPr>
          <w:rStyle w:val="Strong"/>
          <w:rFonts w:cs="Verdana"/>
          <w:b w:val="0"/>
          <w:bCs w:val="0"/>
          <w:sz w:val="20"/>
          <w:szCs w:val="20"/>
        </w:rPr>
        <w:t xml:space="preserve"> (hereafter, “HRC”)</w:t>
      </w:r>
      <w:r w:rsidR="007003F0" w:rsidRPr="007C3F80">
        <w:rPr>
          <w:rStyle w:val="Strong"/>
          <w:rFonts w:cs="Verdana"/>
          <w:b w:val="0"/>
          <w:bCs w:val="0"/>
          <w:sz w:val="20"/>
          <w:szCs w:val="20"/>
        </w:rPr>
        <w:t xml:space="preserve"> </w:t>
      </w:r>
      <w:r w:rsidR="00EE6319" w:rsidRPr="007C3F80">
        <w:rPr>
          <w:rStyle w:val="Strong"/>
          <w:rFonts w:cs="Verdana"/>
          <w:b w:val="0"/>
          <w:bCs w:val="0"/>
          <w:sz w:val="20"/>
          <w:szCs w:val="20"/>
        </w:rPr>
        <w:t xml:space="preserve">had previously </w:t>
      </w:r>
      <w:r w:rsidR="007003F0" w:rsidRPr="007C3F80">
        <w:rPr>
          <w:rStyle w:val="Strong"/>
          <w:rFonts w:cs="Verdana"/>
          <w:b w:val="0"/>
          <w:bCs w:val="0"/>
          <w:sz w:val="20"/>
          <w:szCs w:val="20"/>
        </w:rPr>
        <w:t xml:space="preserve">pointed </w:t>
      </w:r>
      <w:r w:rsidR="00AD49E6">
        <w:rPr>
          <w:rStyle w:val="Strong"/>
          <w:rFonts w:cs="Verdana"/>
          <w:b w:val="0"/>
          <w:bCs w:val="0"/>
          <w:sz w:val="20"/>
          <w:szCs w:val="20"/>
        </w:rPr>
        <w:t>at</w:t>
      </w:r>
      <w:r w:rsidR="007003F0" w:rsidRPr="007C3F80">
        <w:rPr>
          <w:rStyle w:val="Strong"/>
          <w:rFonts w:cs="Verdana"/>
          <w:b w:val="0"/>
          <w:bCs w:val="0"/>
          <w:sz w:val="20"/>
          <w:szCs w:val="20"/>
        </w:rPr>
        <w:t xml:space="preserve"> “the overly broad definition of terrorism and terrorist activities that is reportedly widely used to charge and prosecute members or suspected members of banned Islamic movements”</w:t>
      </w:r>
      <w:r w:rsidR="007003F0" w:rsidRPr="007C3F80">
        <w:rPr>
          <w:rStyle w:val="FootnoteReference"/>
          <w:rFonts w:cs="Verdana"/>
          <w:sz w:val="18"/>
          <w:szCs w:val="18"/>
        </w:rPr>
        <w:footnoteReference w:id="20"/>
      </w:r>
      <w:r w:rsidR="007003F0" w:rsidRPr="007C3F80">
        <w:rPr>
          <w:rStyle w:val="Strong"/>
          <w:rFonts w:cs="Verdana"/>
          <w:b w:val="0"/>
          <w:bCs w:val="0"/>
          <w:sz w:val="20"/>
          <w:szCs w:val="20"/>
        </w:rPr>
        <w:t>.</w:t>
      </w:r>
    </w:p>
    <w:p w14:paraId="6A2C755B" w14:textId="2C6D117C" w:rsidR="00112261" w:rsidRPr="007C3F80" w:rsidRDefault="00112261" w:rsidP="00112261">
      <w:pPr>
        <w:widowControl w:val="0"/>
        <w:autoSpaceDE w:val="0"/>
        <w:autoSpaceDN w:val="0"/>
        <w:adjustRightInd w:val="0"/>
        <w:spacing w:line="256" w:lineRule="atLeast"/>
        <w:jc w:val="both"/>
        <w:rPr>
          <w:rStyle w:val="Strong"/>
          <w:rFonts w:cs="Verdana"/>
          <w:b w:val="0"/>
          <w:bCs w:val="0"/>
          <w:sz w:val="20"/>
          <w:szCs w:val="20"/>
        </w:rPr>
      </w:pPr>
    </w:p>
    <w:p w14:paraId="5AB7CD06" w14:textId="06B6908F" w:rsidR="00C00F83" w:rsidRPr="0055491B" w:rsidRDefault="00450F90" w:rsidP="00C00F83">
      <w:pPr>
        <w:pStyle w:val="ListParagraph"/>
        <w:widowControl w:val="0"/>
        <w:numPr>
          <w:ilvl w:val="0"/>
          <w:numId w:val="15"/>
        </w:numPr>
        <w:autoSpaceDE w:val="0"/>
        <w:autoSpaceDN w:val="0"/>
        <w:adjustRightInd w:val="0"/>
        <w:spacing w:line="256" w:lineRule="atLeast"/>
        <w:ind w:left="567" w:hanging="567"/>
        <w:jc w:val="both"/>
        <w:rPr>
          <w:rFonts w:cs="Verdana"/>
          <w:sz w:val="20"/>
          <w:szCs w:val="20"/>
        </w:rPr>
      </w:pPr>
      <w:r w:rsidRPr="007C3F80">
        <w:rPr>
          <w:rStyle w:val="Strong"/>
          <w:rFonts w:cs="Verdana"/>
          <w:b w:val="0"/>
          <w:bCs w:val="0"/>
          <w:sz w:val="20"/>
          <w:szCs w:val="20"/>
        </w:rPr>
        <w:t xml:space="preserve">While systematically offering </w:t>
      </w:r>
      <w:r w:rsidR="00C00F83" w:rsidRPr="007C3F80">
        <w:rPr>
          <w:rStyle w:val="Strong"/>
          <w:rFonts w:cs="Verdana"/>
          <w:b w:val="0"/>
          <w:bCs w:val="0"/>
          <w:sz w:val="20"/>
          <w:szCs w:val="20"/>
        </w:rPr>
        <w:t>“</w:t>
      </w:r>
      <w:r w:rsidRPr="007C3F80">
        <w:rPr>
          <w:rStyle w:val="Strong"/>
          <w:rFonts w:cs="Verdana"/>
          <w:b w:val="0"/>
          <w:bCs w:val="0"/>
          <w:sz w:val="20"/>
          <w:szCs w:val="20"/>
        </w:rPr>
        <w:t>diplomatic assurances</w:t>
      </w:r>
      <w:r w:rsidR="00C00F83" w:rsidRPr="007C3F80">
        <w:rPr>
          <w:rStyle w:val="Strong"/>
          <w:rFonts w:cs="Verdana"/>
          <w:b w:val="0"/>
          <w:bCs w:val="0"/>
          <w:sz w:val="20"/>
          <w:szCs w:val="20"/>
        </w:rPr>
        <w:t>”</w:t>
      </w:r>
      <w:r w:rsidRPr="007C3F80">
        <w:rPr>
          <w:rStyle w:val="Strong"/>
          <w:rFonts w:cs="Verdana"/>
          <w:b w:val="0"/>
          <w:bCs w:val="0"/>
          <w:sz w:val="20"/>
          <w:szCs w:val="20"/>
        </w:rPr>
        <w:t xml:space="preserve"> that the transferred individuals w</w:t>
      </w:r>
      <w:r w:rsidR="00EE6319" w:rsidRPr="007C3F80">
        <w:rPr>
          <w:rStyle w:val="Strong"/>
          <w:rFonts w:cs="Verdana"/>
          <w:b w:val="0"/>
          <w:bCs w:val="0"/>
          <w:sz w:val="20"/>
          <w:szCs w:val="20"/>
        </w:rPr>
        <w:t>ill</w:t>
      </w:r>
      <w:r w:rsidRPr="007C3F80">
        <w:rPr>
          <w:rStyle w:val="Strong"/>
          <w:rFonts w:cs="Verdana"/>
          <w:b w:val="0"/>
          <w:bCs w:val="0"/>
          <w:sz w:val="20"/>
          <w:szCs w:val="20"/>
        </w:rPr>
        <w:t xml:space="preserve"> not be </w:t>
      </w:r>
      <w:r w:rsidR="007003F0" w:rsidRPr="007C3F80">
        <w:rPr>
          <w:rStyle w:val="Strong"/>
          <w:rFonts w:cs="Verdana"/>
          <w:b w:val="0"/>
          <w:bCs w:val="0"/>
          <w:sz w:val="20"/>
          <w:szCs w:val="20"/>
        </w:rPr>
        <w:t>tortured or ill-treated</w:t>
      </w:r>
      <w:r w:rsidRPr="007C3F80">
        <w:rPr>
          <w:rStyle w:val="Strong"/>
          <w:rFonts w:cs="Verdana"/>
          <w:b w:val="0"/>
          <w:bCs w:val="0"/>
          <w:sz w:val="20"/>
          <w:szCs w:val="20"/>
        </w:rPr>
        <w:t xml:space="preserve">, </w:t>
      </w:r>
      <w:r w:rsidR="00C64A59" w:rsidRPr="007C3F80">
        <w:rPr>
          <w:rStyle w:val="Strong"/>
          <w:rFonts w:cs="Verdana"/>
          <w:b w:val="0"/>
          <w:bCs w:val="0"/>
          <w:sz w:val="20"/>
          <w:szCs w:val="20"/>
        </w:rPr>
        <w:t>respect</w:t>
      </w:r>
      <w:r w:rsidRPr="007C3F80">
        <w:rPr>
          <w:rStyle w:val="Strong"/>
          <w:rFonts w:cs="Verdana"/>
          <w:b w:val="0"/>
          <w:bCs w:val="0"/>
          <w:sz w:val="20"/>
          <w:szCs w:val="20"/>
        </w:rPr>
        <w:t xml:space="preserve"> </w:t>
      </w:r>
      <w:r w:rsidR="00B73CFB" w:rsidRPr="007C3F80">
        <w:rPr>
          <w:rStyle w:val="Strong"/>
          <w:rFonts w:cs="Verdana"/>
          <w:b w:val="0"/>
          <w:bCs w:val="0"/>
          <w:sz w:val="20"/>
          <w:szCs w:val="20"/>
        </w:rPr>
        <w:t>of</w:t>
      </w:r>
      <w:r w:rsidR="00B73CFB">
        <w:rPr>
          <w:rStyle w:val="Strong"/>
          <w:rFonts w:cs="Verdana"/>
          <w:b w:val="0"/>
          <w:bCs w:val="0"/>
          <w:sz w:val="20"/>
          <w:szCs w:val="20"/>
        </w:rPr>
        <w:t xml:space="preserve"> such assurances</w:t>
      </w:r>
      <w:r w:rsidR="00B73CFB" w:rsidRPr="00625F1E">
        <w:rPr>
          <w:rStyle w:val="Strong"/>
          <w:rFonts w:cs="Verdana"/>
          <w:b w:val="0"/>
          <w:bCs w:val="0"/>
          <w:sz w:val="20"/>
          <w:szCs w:val="20"/>
        </w:rPr>
        <w:t xml:space="preserve"> </w:t>
      </w:r>
      <w:r w:rsidR="00C00F83" w:rsidRPr="00625F1E">
        <w:rPr>
          <w:rStyle w:val="Strong"/>
          <w:rFonts w:cs="Verdana"/>
          <w:b w:val="0"/>
          <w:bCs w:val="0"/>
          <w:sz w:val="20"/>
          <w:szCs w:val="20"/>
        </w:rPr>
        <w:t>by Uzbek</w:t>
      </w:r>
      <w:r w:rsidR="00A6754C" w:rsidRPr="00625F1E">
        <w:rPr>
          <w:rStyle w:val="Strong"/>
          <w:rFonts w:cs="Verdana"/>
          <w:b w:val="0"/>
          <w:bCs w:val="0"/>
          <w:sz w:val="20"/>
          <w:szCs w:val="20"/>
        </w:rPr>
        <w:t>istan</w:t>
      </w:r>
      <w:r w:rsidR="00C00F83" w:rsidRPr="00625F1E">
        <w:rPr>
          <w:rStyle w:val="Strong"/>
          <w:rFonts w:cs="Verdana"/>
          <w:b w:val="0"/>
          <w:bCs w:val="0"/>
          <w:sz w:val="20"/>
          <w:szCs w:val="20"/>
        </w:rPr>
        <w:t xml:space="preserve"> </w:t>
      </w:r>
      <w:r w:rsidRPr="00625F1E">
        <w:rPr>
          <w:rStyle w:val="Strong"/>
          <w:rFonts w:cs="Verdana"/>
          <w:b w:val="0"/>
          <w:bCs w:val="0"/>
          <w:sz w:val="20"/>
          <w:szCs w:val="20"/>
        </w:rPr>
        <w:t xml:space="preserve">remains </w:t>
      </w:r>
      <w:r w:rsidR="00B73CFB">
        <w:rPr>
          <w:rStyle w:val="Strong"/>
          <w:rFonts w:cs="Verdana"/>
          <w:b w:val="0"/>
          <w:bCs w:val="0"/>
          <w:sz w:val="20"/>
          <w:szCs w:val="20"/>
        </w:rPr>
        <w:t>lacking</w:t>
      </w:r>
      <w:r w:rsidR="00B73CFB" w:rsidRPr="00625F1E">
        <w:rPr>
          <w:rStyle w:val="Strong"/>
          <w:rFonts w:cs="Verdana"/>
          <w:b w:val="0"/>
          <w:bCs w:val="0"/>
          <w:sz w:val="20"/>
          <w:szCs w:val="20"/>
        </w:rPr>
        <w:t xml:space="preserve"> </w:t>
      </w:r>
      <w:r w:rsidRPr="00625F1E">
        <w:rPr>
          <w:rStyle w:val="Strong"/>
          <w:rFonts w:cs="Verdana"/>
          <w:b w:val="0"/>
          <w:bCs w:val="0"/>
          <w:sz w:val="20"/>
          <w:szCs w:val="20"/>
        </w:rPr>
        <w:t>in practice.</w:t>
      </w:r>
      <w:r w:rsidR="00E130CD" w:rsidRPr="00625F1E">
        <w:rPr>
          <w:rStyle w:val="FootnoteReference"/>
          <w:rFonts w:cs="Verdana"/>
          <w:szCs w:val="20"/>
        </w:rPr>
        <w:footnoteReference w:id="21"/>
      </w:r>
      <w:r w:rsidRPr="00625F1E">
        <w:rPr>
          <w:rStyle w:val="Strong"/>
          <w:rFonts w:cs="Verdana"/>
          <w:b w:val="0"/>
          <w:bCs w:val="0"/>
          <w:sz w:val="20"/>
          <w:szCs w:val="20"/>
        </w:rPr>
        <w:t xml:space="preserve"> </w:t>
      </w:r>
      <w:r w:rsidR="00C00F83" w:rsidRPr="00625F1E">
        <w:rPr>
          <w:rStyle w:val="Strong"/>
          <w:rFonts w:cs="Verdana"/>
          <w:b w:val="0"/>
          <w:bCs w:val="0"/>
          <w:sz w:val="20"/>
          <w:szCs w:val="20"/>
        </w:rPr>
        <w:t xml:space="preserve">As outlined by the </w:t>
      </w:r>
      <w:r w:rsidR="00DD0A8B" w:rsidRPr="00625F1E">
        <w:rPr>
          <w:rStyle w:val="Strong"/>
          <w:rFonts w:cs="Verdana"/>
          <w:b w:val="0"/>
          <w:bCs w:val="0"/>
          <w:sz w:val="20"/>
          <w:szCs w:val="20"/>
        </w:rPr>
        <w:t>HRC</w:t>
      </w:r>
      <w:r w:rsidR="00C00F83" w:rsidRPr="00625F1E">
        <w:rPr>
          <w:rStyle w:val="Strong"/>
          <w:rFonts w:cs="Verdana"/>
          <w:b w:val="0"/>
          <w:bCs w:val="0"/>
          <w:sz w:val="20"/>
          <w:szCs w:val="20"/>
        </w:rPr>
        <w:t xml:space="preserve"> in an individual </w:t>
      </w:r>
      <w:r w:rsidR="00FE4C5B" w:rsidRPr="00625F1E">
        <w:rPr>
          <w:rStyle w:val="Strong"/>
          <w:rFonts w:cs="Verdana"/>
          <w:b w:val="0"/>
          <w:bCs w:val="0"/>
          <w:sz w:val="20"/>
          <w:szCs w:val="20"/>
        </w:rPr>
        <w:t xml:space="preserve">communication </w:t>
      </w:r>
      <w:r w:rsidR="00C00F83" w:rsidRPr="00625F1E">
        <w:rPr>
          <w:rStyle w:val="Strong"/>
          <w:rFonts w:cs="Verdana"/>
          <w:b w:val="0"/>
          <w:bCs w:val="0"/>
          <w:sz w:val="20"/>
          <w:szCs w:val="20"/>
        </w:rPr>
        <w:t xml:space="preserve">directed at Kyrgyzstan </w:t>
      </w:r>
      <w:r w:rsidR="006D65A4">
        <w:rPr>
          <w:rStyle w:val="Strong"/>
          <w:rFonts w:cs="Verdana"/>
          <w:b w:val="0"/>
          <w:bCs w:val="0"/>
          <w:sz w:val="20"/>
          <w:szCs w:val="20"/>
        </w:rPr>
        <w:t xml:space="preserve">arising from </w:t>
      </w:r>
      <w:r w:rsidR="00543060" w:rsidRPr="00625F1E">
        <w:rPr>
          <w:rStyle w:val="Strong"/>
          <w:rFonts w:cs="Verdana"/>
          <w:b w:val="0"/>
          <w:bCs w:val="0"/>
          <w:sz w:val="20"/>
          <w:szCs w:val="20"/>
        </w:rPr>
        <w:t xml:space="preserve">several </w:t>
      </w:r>
      <w:r w:rsidR="00C00F83" w:rsidRPr="00625F1E">
        <w:rPr>
          <w:rStyle w:val="Strong"/>
          <w:rFonts w:cs="Verdana"/>
          <w:b w:val="0"/>
          <w:bCs w:val="0"/>
          <w:sz w:val="20"/>
          <w:szCs w:val="20"/>
        </w:rPr>
        <w:t xml:space="preserve">extraditions </w:t>
      </w:r>
      <w:r w:rsidR="00FE4C5B" w:rsidRPr="00625F1E">
        <w:rPr>
          <w:rStyle w:val="Strong"/>
          <w:rFonts w:cs="Verdana"/>
          <w:b w:val="0"/>
          <w:bCs w:val="0"/>
          <w:sz w:val="20"/>
          <w:szCs w:val="20"/>
        </w:rPr>
        <w:t xml:space="preserve">to </w:t>
      </w:r>
      <w:r w:rsidR="00C00F83" w:rsidRPr="00625F1E">
        <w:rPr>
          <w:rStyle w:val="Strong"/>
          <w:rFonts w:cs="Verdana"/>
          <w:b w:val="0"/>
          <w:bCs w:val="0"/>
          <w:sz w:val="20"/>
          <w:szCs w:val="20"/>
        </w:rPr>
        <w:t xml:space="preserve">Uzbekistan, the assurances received </w:t>
      </w:r>
      <w:r w:rsidR="00EE6319" w:rsidRPr="00625F1E">
        <w:rPr>
          <w:rStyle w:val="Strong"/>
          <w:rFonts w:cs="Verdana"/>
          <w:b w:val="0"/>
          <w:bCs w:val="0"/>
          <w:sz w:val="20"/>
          <w:szCs w:val="20"/>
        </w:rPr>
        <w:t xml:space="preserve">generally </w:t>
      </w:r>
      <w:r w:rsidR="00C00F83" w:rsidRPr="00625F1E">
        <w:rPr>
          <w:rStyle w:val="Strong"/>
          <w:rFonts w:cs="Verdana"/>
          <w:b w:val="0"/>
          <w:bCs w:val="0"/>
          <w:sz w:val="20"/>
          <w:szCs w:val="20"/>
        </w:rPr>
        <w:t>“contain</w:t>
      </w:r>
      <w:r w:rsidR="00543060" w:rsidRPr="00625F1E">
        <w:rPr>
          <w:rStyle w:val="Strong"/>
          <w:rFonts w:cs="Verdana"/>
          <w:b w:val="0"/>
          <w:bCs w:val="0"/>
          <w:sz w:val="20"/>
          <w:szCs w:val="20"/>
        </w:rPr>
        <w:t>ed</w:t>
      </w:r>
      <w:r w:rsidR="00C00F83" w:rsidRPr="00625F1E">
        <w:rPr>
          <w:rStyle w:val="Strong"/>
          <w:rFonts w:cs="Verdana"/>
          <w:b w:val="0"/>
          <w:bCs w:val="0"/>
          <w:sz w:val="20"/>
          <w:szCs w:val="20"/>
        </w:rPr>
        <w:t xml:space="preserve"> no concrete mechanism for their enforcement, [and </w:t>
      </w:r>
      <w:r w:rsidR="00543060" w:rsidRPr="00625F1E">
        <w:rPr>
          <w:rStyle w:val="Strong"/>
          <w:rFonts w:cs="Verdana"/>
          <w:b w:val="0"/>
          <w:bCs w:val="0"/>
          <w:sz w:val="20"/>
          <w:szCs w:val="20"/>
        </w:rPr>
        <w:t>were</w:t>
      </w:r>
      <w:r w:rsidR="00C00F83" w:rsidRPr="00625F1E">
        <w:rPr>
          <w:rStyle w:val="Strong"/>
          <w:rFonts w:cs="Verdana"/>
          <w:b w:val="0"/>
          <w:bCs w:val="0"/>
          <w:sz w:val="20"/>
          <w:szCs w:val="20"/>
        </w:rPr>
        <w:t xml:space="preserve">] insufficient to protect against such risk [of torture]. [A]t the very minimum, the assurances procured should contain such a monitoring mechanism and be </w:t>
      </w:r>
      <w:r w:rsidR="00C00F83" w:rsidRPr="0055491B">
        <w:rPr>
          <w:rStyle w:val="Strong"/>
          <w:rFonts w:cs="Verdana"/>
          <w:b w:val="0"/>
          <w:bCs w:val="0"/>
          <w:sz w:val="20"/>
          <w:szCs w:val="20"/>
        </w:rPr>
        <w:t>safeguarded by arrangements made outside the text of the assurances themselves which would provide for their effective implementation”</w:t>
      </w:r>
      <w:r w:rsidR="00D769CB" w:rsidRPr="0055491B">
        <w:rPr>
          <w:rStyle w:val="Strong"/>
          <w:rFonts w:cs="Verdana"/>
          <w:b w:val="0"/>
          <w:bCs w:val="0"/>
          <w:sz w:val="20"/>
          <w:szCs w:val="20"/>
        </w:rPr>
        <w:t>.</w:t>
      </w:r>
      <w:r w:rsidR="00C00F83" w:rsidRPr="0055491B">
        <w:rPr>
          <w:rStyle w:val="FootnoteReference"/>
          <w:rFonts w:cs="Verdana"/>
          <w:sz w:val="18"/>
          <w:szCs w:val="18"/>
        </w:rPr>
        <w:footnoteReference w:id="22"/>
      </w:r>
      <w:r w:rsidR="00AD49E6" w:rsidRPr="0055491B">
        <w:rPr>
          <w:rStyle w:val="Strong"/>
          <w:rFonts w:cs="Verdana"/>
          <w:b w:val="0"/>
          <w:bCs w:val="0"/>
          <w:sz w:val="20"/>
          <w:szCs w:val="20"/>
        </w:rPr>
        <w:t xml:space="preserve"> </w:t>
      </w:r>
      <w:r w:rsidR="006D65A4">
        <w:rPr>
          <w:rStyle w:val="Strong"/>
          <w:rFonts w:cs="Verdana"/>
          <w:b w:val="0"/>
          <w:bCs w:val="0"/>
          <w:sz w:val="20"/>
          <w:szCs w:val="20"/>
        </w:rPr>
        <w:t>I</w:t>
      </w:r>
      <w:r w:rsidR="006D65A4" w:rsidRPr="0055491B">
        <w:rPr>
          <w:rStyle w:val="Strong"/>
          <w:rFonts w:cs="Verdana"/>
          <w:b w:val="0"/>
          <w:bCs w:val="0"/>
          <w:sz w:val="20"/>
          <w:szCs w:val="20"/>
        </w:rPr>
        <w:t>n 2018</w:t>
      </w:r>
      <w:r w:rsidR="006D65A4">
        <w:rPr>
          <w:rStyle w:val="Strong"/>
          <w:rFonts w:cs="Verdana"/>
          <w:b w:val="0"/>
          <w:bCs w:val="0"/>
          <w:sz w:val="20"/>
          <w:szCs w:val="20"/>
        </w:rPr>
        <w:t>, t</w:t>
      </w:r>
      <w:r w:rsidR="00AD49E6" w:rsidRPr="0055491B">
        <w:rPr>
          <w:rStyle w:val="Strong"/>
          <w:rFonts w:cs="Verdana"/>
          <w:b w:val="0"/>
          <w:bCs w:val="0"/>
          <w:sz w:val="20"/>
          <w:szCs w:val="20"/>
        </w:rPr>
        <w:t xml:space="preserve">he European Court </w:t>
      </w:r>
      <w:r w:rsidR="006D65A4">
        <w:rPr>
          <w:rStyle w:val="Strong"/>
          <w:rFonts w:cs="Verdana"/>
          <w:b w:val="0"/>
          <w:bCs w:val="0"/>
          <w:sz w:val="20"/>
          <w:szCs w:val="20"/>
        </w:rPr>
        <w:t>of Human Rights criticized</w:t>
      </w:r>
      <w:r w:rsidR="00AD49E6" w:rsidRPr="0055491B">
        <w:rPr>
          <w:rStyle w:val="Strong"/>
          <w:rFonts w:cs="Verdana"/>
          <w:b w:val="0"/>
          <w:bCs w:val="0"/>
          <w:sz w:val="20"/>
          <w:szCs w:val="20"/>
        </w:rPr>
        <w:t xml:space="preserve"> </w:t>
      </w:r>
      <w:r w:rsidR="006D65A4">
        <w:rPr>
          <w:rStyle w:val="Strong"/>
          <w:rFonts w:cs="Verdana"/>
          <w:b w:val="0"/>
          <w:bCs w:val="0"/>
          <w:sz w:val="20"/>
          <w:szCs w:val="20"/>
        </w:rPr>
        <w:t xml:space="preserve">the </w:t>
      </w:r>
      <w:r w:rsidR="00AD49E6" w:rsidRPr="0055491B">
        <w:rPr>
          <w:rStyle w:val="Strong"/>
          <w:rFonts w:cs="Verdana"/>
          <w:b w:val="0"/>
          <w:bCs w:val="0"/>
          <w:sz w:val="20"/>
          <w:szCs w:val="20"/>
        </w:rPr>
        <w:t xml:space="preserve">Russian courts’ </w:t>
      </w:r>
      <w:r w:rsidR="00AD49E6" w:rsidRPr="0055491B">
        <w:rPr>
          <w:rFonts w:cs="Arial"/>
          <w:color w:val="000000"/>
          <w:shd w:val="clear" w:color="auto" w:fill="FFFFFF"/>
        </w:rPr>
        <w:t>reliance on the assurances of the Uzbek authorities</w:t>
      </w:r>
      <w:r w:rsidR="006D65A4">
        <w:rPr>
          <w:rFonts w:cs="Arial"/>
          <w:color w:val="000000"/>
          <w:shd w:val="clear" w:color="auto" w:fill="FFFFFF"/>
        </w:rPr>
        <w:t xml:space="preserve"> because of </w:t>
      </w:r>
      <w:r w:rsidR="00AD49E6" w:rsidRPr="0055491B">
        <w:rPr>
          <w:rFonts w:cs="Arial"/>
          <w:color w:val="000000"/>
          <w:shd w:val="clear" w:color="auto" w:fill="FFFFFF"/>
        </w:rPr>
        <w:t>their formulation in standard terms</w:t>
      </w:r>
      <w:r w:rsidR="006D65A4">
        <w:rPr>
          <w:rFonts w:cs="Arial"/>
          <w:color w:val="000000"/>
          <w:shd w:val="clear" w:color="auto" w:fill="FFFFFF"/>
        </w:rPr>
        <w:t xml:space="preserve"> and </w:t>
      </w:r>
      <w:r w:rsidR="00AD49E6" w:rsidRPr="0055491B">
        <w:rPr>
          <w:rFonts w:cs="Arial"/>
          <w:color w:val="000000"/>
          <w:shd w:val="clear" w:color="auto" w:fill="FFFFFF"/>
        </w:rPr>
        <w:t xml:space="preserve">given that </w:t>
      </w:r>
      <w:r w:rsidR="00515DFC">
        <w:rPr>
          <w:rFonts w:cs="Arial"/>
          <w:color w:val="000000"/>
          <w:shd w:val="clear" w:color="auto" w:fill="FFFFFF"/>
        </w:rPr>
        <w:t xml:space="preserve">it had consistently considered </w:t>
      </w:r>
      <w:r w:rsidR="00AD49E6" w:rsidRPr="0055491B">
        <w:rPr>
          <w:rFonts w:cs="Arial"/>
          <w:color w:val="000000"/>
          <w:shd w:val="clear" w:color="auto" w:fill="FFFFFF"/>
        </w:rPr>
        <w:t>similar assurances unsatisfactory in the past.</w:t>
      </w:r>
      <w:r w:rsidR="00AD49E6" w:rsidRPr="0055491B">
        <w:rPr>
          <w:rStyle w:val="FootnoteReference"/>
          <w:rFonts w:cs="Arial"/>
          <w:color w:val="000000"/>
          <w:shd w:val="clear" w:color="auto" w:fill="FFFFFF"/>
        </w:rPr>
        <w:footnoteReference w:id="23"/>
      </w:r>
    </w:p>
    <w:p w14:paraId="57A56A88" w14:textId="77777777" w:rsidR="007154D6" w:rsidRPr="0055491B" w:rsidRDefault="007154D6" w:rsidP="007154D6">
      <w:pPr>
        <w:widowControl w:val="0"/>
        <w:autoSpaceDE w:val="0"/>
        <w:autoSpaceDN w:val="0"/>
        <w:adjustRightInd w:val="0"/>
        <w:spacing w:line="256" w:lineRule="atLeast"/>
        <w:jc w:val="both"/>
        <w:rPr>
          <w:rStyle w:val="Strong"/>
          <w:rFonts w:cs="Verdana"/>
          <w:b w:val="0"/>
          <w:bCs w:val="0"/>
          <w:sz w:val="20"/>
          <w:szCs w:val="20"/>
        </w:rPr>
      </w:pPr>
    </w:p>
    <w:p w14:paraId="318E052B" w14:textId="77777777" w:rsidR="007154D6" w:rsidRDefault="007C3F80" w:rsidP="007154D6">
      <w:pPr>
        <w:pStyle w:val="ListParagraph"/>
        <w:widowControl w:val="0"/>
        <w:numPr>
          <w:ilvl w:val="0"/>
          <w:numId w:val="15"/>
        </w:numPr>
        <w:autoSpaceDE w:val="0"/>
        <w:autoSpaceDN w:val="0"/>
        <w:adjustRightInd w:val="0"/>
        <w:spacing w:line="256" w:lineRule="atLeast"/>
        <w:ind w:left="567" w:hanging="567"/>
        <w:jc w:val="both"/>
        <w:rPr>
          <w:rStyle w:val="Strong"/>
          <w:rFonts w:cs="Verdana"/>
          <w:b w:val="0"/>
          <w:bCs w:val="0"/>
          <w:sz w:val="20"/>
          <w:szCs w:val="20"/>
        </w:rPr>
      </w:pPr>
      <w:r w:rsidRPr="0055491B">
        <w:rPr>
          <w:rStyle w:val="Strong"/>
          <w:rFonts w:cs="Verdana"/>
          <w:b w:val="0"/>
          <w:bCs w:val="0"/>
          <w:sz w:val="20"/>
          <w:szCs w:val="20"/>
        </w:rPr>
        <w:t>International human rights authorities, including the UN General Assembly</w:t>
      </w:r>
      <w:r w:rsidRPr="0055491B">
        <w:rPr>
          <w:rStyle w:val="FootnoteReference"/>
          <w:rFonts w:cs="Verdana"/>
          <w:sz w:val="18"/>
          <w:szCs w:val="28"/>
        </w:rPr>
        <w:footnoteReference w:id="24"/>
      </w:r>
      <w:r w:rsidRPr="0055491B">
        <w:rPr>
          <w:rStyle w:val="Strong"/>
          <w:rFonts w:cs="Verdana"/>
          <w:b w:val="0"/>
          <w:bCs w:val="0"/>
          <w:sz w:val="20"/>
          <w:szCs w:val="20"/>
        </w:rPr>
        <w:t xml:space="preserve">, UN Treaty Bodies, the UN High Commissioner for Human Rights and independent expert mechanisms of the UN Human Rights Council have stated that diplomatic assurances purporting to ensure protection from torture or other ill treatment cannot relieve States of their </w:t>
      </w:r>
      <w:r w:rsidRPr="0055491B">
        <w:rPr>
          <w:rStyle w:val="Strong"/>
          <w:rFonts w:cs="Verdana"/>
          <w:b w:val="0"/>
          <w:bCs w:val="0"/>
          <w:i/>
          <w:iCs/>
          <w:sz w:val="20"/>
          <w:szCs w:val="20"/>
        </w:rPr>
        <w:t>non-refoulement</w:t>
      </w:r>
      <w:r w:rsidRPr="0055491B">
        <w:rPr>
          <w:rStyle w:val="Strong"/>
          <w:rFonts w:cs="Verdana"/>
          <w:b w:val="0"/>
          <w:bCs w:val="0"/>
          <w:sz w:val="20"/>
          <w:szCs w:val="20"/>
        </w:rPr>
        <w:t xml:space="preserve"> obligations, and thus cannot</w:t>
      </w:r>
      <w:r w:rsidRPr="00625F1E">
        <w:rPr>
          <w:rStyle w:val="Strong"/>
          <w:rFonts w:cs="Verdana"/>
          <w:b w:val="0"/>
          <w:bCs w:val="0"/>
          <w:sz w:val="20"/>
          <w:szCs w:val="20"/>
        </w:rPr>
        <w:t xml:space="preserve"> be presumed to permit a transfer that would otherwise be prohibited</w:t>
      </w:r>
      <w:r w:rsidRPr="00625F1E">
        <w:rPr>
          <w:rStyle w:val="FootnoteReference"/>
          <w:rFonts w:cs="Verdana"/>
          <w:sz w:val="18"/>
          <w:szCs w:val="28"/>
        </w:rPr>
        <w:footnoteReference w:id="25"/>
      </w:r>
      <w:r w:rsidRPr="00625F1E">
        <w:rPr>
          <w:rStyle w:val="Strong"/>
          <w:rFonts w:cs="Verdana"/>
          <w:b w:val="0"/>
          <w:bCs w:val="0"/>
          <w:sz w:val="20"/>
          <w:szCs w:val="20"/>
        </w:rPr>
        <w:t>.</w:t>
      </w:r>
    </w:p>
    <w:p w14:paraId="0627B480" w14:textId="1D64729F" w:rsidR="007C3F80" w:rsidRPr="007154D6" w:rsidRDefault="007C3F80" w:rsidP="007154D6">
      <w:pPr>
        <w:widowControl w:val="0"/>
        <w:autoSpaceDE w:val="0"/>
        <w:autoSpaceDN w:val="0"/>
        <w:adjustRightInd w:val="0"/>
        <w:spacing w:line="256" w:lineRule="atLeast"/>
        <w:jc w:val="both"/>
        <w:rPr>
          <w:rStyle w:val="Strong"/>
          <w:rFonts w:cs="Verdana"/>
          <w:b w:val="0"/>
          <w:bCs w:val="0"/>
          <w:sz w:val="20"/>
          <w:szCs w:val="20"/>
        </w:rPr>
      </w:pPr>
    </w:p>
    <w:p w14:paraId="3C443425" w14:textId="77777777" w:rsidR="007C3F80" w:rsidRPr="00625F1E" w:rsidRDefault="007C3F80" w:rsidP="007C3F80">
      <w:pPr>
        <w:pStyle w:val="ListParagraph"/>
        <w:widowControl w:val="0"/>
        <w:numPr>
          <w:ilvl w:val="0"/>
          <w:numId w:val="15"/>
        </w:numPr>
        <w:autoSpaceDE w:val="0"/>
        <w:autoSpaceDN w:val="0"/>
        <w:adjustRightInd w:val="0"/>
        <w:spacing w:line="256" w:lineRule="atLeast"/>
        <w:ind w:left="567" w:hanging="567"/>
        <w:jc w:val="both"/>
        <w:rPr>
          <w:rStyle w:val="Strong"/>
          <w:rFonts w:cs="Verdana"/>
          <w:b w:val="0"/>
          <w:bCs w:val="0"/>
          <w:sz w:val="20"/>
          <w:szCs w:val="20"/>
        </w:rPr>
      </w:pPr>
      <w:r w:rsidRPr="00625F1E">
        <w:rPr>
          <w:rStyle w:val="Strong"/>
          <w:rFonts w:cs="Verdana"/>
          <w:b w:val="0"/>
          <w:bCs w:val="0"/>
          <w:sz w:val="20"/>
          <w:szCs w:val="20"/>
        </w:rPr>
        <w:t>This Committee has categorically stated that “under no circumstances must diplomatic guarantees be used as a safeguard against torture or ill-treatment where there are substantial grounds for believing that a person would be in danger of being subjected to torture or ill-treatment upon return”</w:t>
      </w:r>
      <w:r>
        <w:rPr>
          <w:rStyle w:val="Strong"/>
          <w:rFonts w:cs="Verdana"/>
          <w:b w:val="0"/>
          <w:bCs w:val="0"/>
          <w:sz w:val="20"/>
          <w:szCs w:val="20"/>
        </w:rPr>
        <w:t>.</w:t>
      </w:r>
      <w:r w:rsidRPr="00625F1E">
        <w:rPr>
          <w:rStyle w:val="FootnoteReference"/>
          <w:rFonts w:cs="Verdana"/>
          <w:sz w:val="18"/>
          <w:szCs w:val="28"/>
        </w:rPr>
        <w:footnoteReference w:id="26"/>
      </w:r>
      <w:r w:rsidRPr="00625F1E">
        <w:rPr>
          <w:rStyle w:val="Strong"/>
          <w:rFonts w:cs="Verdana"/>
          <w:b w:val="0"/>
          <w:bCs w:val="0"/>
          <w:sz w:val="20"/>
          <w:szCs w:val="20"/>
        </w:rPr>
        <w:t xml:space="preserve"> It has further recalled that “diplomatic assurances from a State party to the Convention to which a person is to be deported should not be used as a loophole to undermine the principle of non-refoulement as set out in article 3 of the Convention, where there are substantial grounds for believing that the person would be in danger of being subjected to torture in that State”</w:t>
      </w:r>
      <w:r>
        <w:rPr>
          <w:rStyle w:val="Strong"/>
          <w:rFonts w:cs="Verdana"/>
          <w:b w:val="0"/>
          <w:bCs w:val="0"/>
          <w:sz w:val="20"/>
          <w:szCs w:val="20"/>
        </w:rPr>
        <w:t>.</w:t>
      </w:r>
      <w:r w:rsidRPr="00625F1E">
        <w:rPr>
          <w:rStyle w:val="FootnoteReference"/>
          <w:rFonts w:cs="Verdana"/>
          <w:sz w:val="18"/>
          <w:szCs w:val="28"/>
        </w:rPr>
        <w:footnoteReference w:id="27"/>
      </w:r>
    </w:p>
    <w:p w14:paraId="1F913846" w14:textId="77777777" w:rsidR="007C3F80" w:rsidRPr="00625F1E" w:rsidRDefault="007C3F80" w:rsidP="007C3F80">
      <w:pPr>
        <w:pStyle w:val="ListParagraph"/>
        <w:widowControl w:val="0"/>
        <w:autoSpaceDE w:val="0"/>
        <w:autoSpaceDN w:val="0"/>
        <w:adjustRightInd w:val="0"/>
        <w:spacing w:line="256" w:lineRule="atLeast"/>
        <w:ind w:left="567"/>
        <w:jc w:val="both"/>
        <w:rPr>
          <w:rStyle w:val="Strong"/>
          <w:rFonts w:cs="Verdana"/>
          <w:b w:val="0"/>
          <w:bCs w:val="0"/>
          <w:sz w:val="20"/>
          <w:szCs w:val="20"/>
        </w:rPr>
      </w:pPr>
    </w:p>
    <w:p w14:paraId="223C6AD5" w14:textId="2A39FE52" w:rsidR="007154D6" w:rsidRPr="007154D6" w:rsidRDefault="007C3F80" w:rsidP="007154D6">
      <w:pPr>
        <w:pStyle w:val="ListParagraph"/>
        <w:widowControl w:val="0"/>
        <w:numPr>
          <w:ilvl w:val="0"/>
          <w:numId w:val="15"/>
        </w:numPr>
        <w:autoSpaceDE w:val="0"/>
        <w:autoSpaceDN w:val="0"/>
        <w:adjustRightInd w:val="0"/>
        <w:spacing w:line="256" w:lineRule="atLeast"/>
        <w:ind w:left="567" w:hanging="567"/>
        <w:jc w:val="both"/>
        <w:rPr>
          <w:rStyle w:val="Strong"/>
          <w:rFonts w:cs="Verdana"/>
          <w:b w:val="0"/>
          <w:bCs w:val="0"/>
          <w:sz w:val="20"/>
          <w:szCs w:val="20"/>
        </w:rPr>
      </w:pPr>
      <w:r w:rsidRPr="00625F1E" w:rsidDel="00C612A6">
        <w:rPr>
          <w:rStyle w:val="Strong"/>
          <w:rFonts w:cs="Verdana"/>
          <w:b w:val="0"/>
          <w:bCs w:val="0"/>
          <w:sz w:val="20"/>
          <w:szCs w:val="20"/>
        </w:rPr>
        <w:t xml:space="preserve">The ICJ </w:t>
      </w:r>
      <w:r w:rsidRPr="00625F1E">
        <w:rPr>
          <w:rStyle w:val="Strong"/>
          <w:rFonts w:cs="Verdana"/>
          <w:b w:val="0"/>
          <w:bCs w:val="0"/>
          <w:sz w:val="20"/>
          <w:szCs w:val="20"/>
        </w:rPr>
        <w:t>considers</w:t>
      </w:r>
      <w:r w:rsidRPr="00625F1E" w:rsidDel="00C612A6">
        <w:rPr>
          <w:rStyle w:val="Strong"/>
          <w:rFonts w:cs="Verdana"/>
          <w:b w:val="0"/>
          <w:bCs w:val="0"/>
          <w:sz w:val="20"/>
          <w:szCs w:val="20"/>
        </w:rPr>
        <w:t xml:space="preserve"> all use of diplomatic assurances </w:t>
      </w:r>
      <w:r w:rsidR="002A15B4">
        <w:rPr>
          <w:rStyle w:val="Strong"/>
          <w:rFonts w:cs="Verdana"/>
          <w:b w:val="0"/>
          <w:bCs w:val="0"/>
          <w:sz w:val="20"/>
          <w:szCs w:val="20"/>
        </w:rPr>
        <w:t xml:space="preserve">purportedly mitigating a real risk of </w:t>
      </w:r>
      <w:r w:rsidRPr="00625F1E" w:rsidDel="00C612A6">
        <w:rPr>
          <w:rStyle w:val="Strong"/>
          <w:rFonts w:cs="Verdana"/>
          <w:b w:val="0"/>
          <w:bCs w:val="0"/>
          <w:sz w:val="20"/>
          <w:szCs w:val="20"/>
        </w:rPr>
        <w:t xml:space="preserve">torture or other ill-treatment to be inherently incompatible with the </w:t>
      </w:r>
      <w:r w:rsidRPr="00625F1E" w:rsidDel="00C612A6">
        <w:rPr>
          <w:rStyle w:val="Strong"/>
          <w:rFonts w:cs="Verdana"/>
          <w:b w:val="0"/>
          <w:bCs w:val="0"/>
          <w:i/>
          <w:iCs/>
          <w:sz w:val="20"/>
          <w:szCs w:val="20"/>
        </w:rPr>
        <w:t>non-refoulement</w:t>
      </w:r>
      <w:r w:rsidRPr="00625F1E" w:rsidDel="00C612A6">
        <w:rPr>
          <w:rStyle w:val="Strong"/>
          <w:rFonts w:cs="Verdana"/>
          <w:b w:val="0"/>
          <w:bCs w:val="0"/>
          <w:sz w:val="20"/>
          <w:szCs w:val="20"/>
        </w:rPr>
        <w:t xml:space="preserve"> principle</w:t>
      </w:r>
      <w:r w:rsidR="002A15B4">
        <w:rPr>
          <w:rStyle w:val="Strong"/>
          <w:rFonts w:cs="Verdana"/>
          <w:b w:val="0"/>
          <w:bCs w:val="0"/>
          <w:sz w:val="20"/>
          <w:szCs w:val="20"/>
        </w:rPr>
        <w:t xml:space="preserve"> in Article 3 of the Convention</w:t>
      </w:r>
      <w:r>
        <w:rPr>
          <w:rStyle w:val="Strong"/>
          <w:rFonts w:cs="Verdana"/>
          <w:b w:val="0"/>
          <w:bCs w:val="0"/>
          <w:sz w:val="20"/>
          <w:szCs w:val="20"/>
        </w:rPr>
        <w:t>.</w:t>
      </w:r>
      <w:r w:rsidR="007154D6">
        <w:rPr>
          <w:rStyle w:val="Strong"/>
          <w:rFonts w:cs="Verdana"/>
          <w:b w:val="0"/>
          <w:bCs w:val="0"/>
          <w:sz w:val="20"/>
          <w:szCs w:val="20"/>
        </w:rPr>
        <w:t xml:space="preserve"> Torture prevention is the only effective assurance against torture. The ICJ therefore urges the Committee to recommend Uzbekistan to set </w:t>
      </w:r>
      <w:r w:rsidR="007154D6" w:rsidRPr="00625F1E">
        <w:rPr>
          <w:rFonts w:cs="Verdana"/>
          <w:sz w:val="20"/>
          <w:szCs w:val="20"/>
        </w:rPr>
        <w:t>effective measures to prevent torture and other forms of ill-treatment</w:t>
      </w:r>
      <w:r w:rsidR="002A15B4">
        <w:rPr>
          <w:rFonts w:cs="Verdana"/>
          <w:sz w:val="20"/>
          <w:szCs w:val="20"/>
        </w:rPr>
        <w:t>,</w:t>
      </w:r>
      <w:r w:rsidR="007154D6">
        <w:rPr>
          <w:rFonts w:cs="Verdana"/>
          <w:sz w:val="20"/>
          <w:szCs w:val="20"/>
        </w:rPr>
        <w:t xml:space="preserve"> including </w:t>
      </w:r>
      <w:r w:rsidR="002A15B4">
        <w:rPr>
          <w:rFonts w:cs="Verdana"/>
          <w:sz w:val="20"/>
          <w:szCs w:val="20"/>
        </w:rPr>
        <w:t xml:space="preserve">by ensuring the recognition of and adherence to </w:t>
      </w:r>
      <w:r w:rsidR="007154D6">
        <w:rPr>
          <w:rFonts w:cs="Verdana"/>
          <w:sz w:val="20"/>
          <w:szCs w:val="20"/>
        </w:rPr>
        <w:t xml:space="preserve">the </w:t>
      </w:r>
      <w:r w:rsidR="007154D6" w:rsidRPr="00DA35BE">
        <w:rPr>
          <w:rFonts w:cs="Verdana"/>
          <w:i/>
          <w:iCs/>
          <w:sz w:val="20"/>
          <w:szCs w:val="20"/>
        </w:rPr>
        <w:t>non-refoulement</w:t>
      </w:r>
      <w:r w:rsidR="007154D6">
        <w:rPr>
          <w:rFonts w:cs="Verdana"/>
          <w:sz w:val="20"/>
          <w:szCs w:val="20"/>
        </w:rPr>
        <w:t xml:space="preserve"> principle in extradition proceedings</w:t>
      </w:r>
      <w:r w:rsidR="002A15B4">
        <w:rPr>
          <w:rFonts w:cs="Verdana"/>
          <w:sz w:val="20"/>
          <w:szCs w:val="20"/>
        </w:rPr>
        <w:t xml:space="preserve"> as a refusal ground</w:t>
      </w:r>
      <w:r w:rsidR="007154D6" w:rsidRPr="00625F1E">
        <w:rPr>
          <w:rFonts w:cs="Verdana"/>
          <w:sz w:val="20"/>
          <w:szCs w:val="20"/>
        </w:rPr>
        <w:t>.</w:t>
      </w:r>
    </w:p>
    <w:p w14:paraId="73D665BB" w14:textId="77777777" w:rsidR="000C31CC" w:rsidRPr="008F189E" w:rsidRDefault="000C31CC" w:rsidP="008F189E">
      <w:pPr>
        <w:rPr>
          <w:rFonts w:cs="Verdana"/>
          <w:sz w:val="20"/>
          <w:szCs w:val="20"/>
        </w:rPr>
      </w:pPr>
    </w:p>
    <w:p w14:paraId="3522BD7A" w14:textId="2E59466E" w:rsidR="000C31CC" w:rsidRPr="00625F1E" w:rsidRDefault="00DA35BE" w:rsidP="000C31CC">
      <w:pPr>
        <w:pStyle w:val="ListParagraph"/>
        <w:widowControl w:val="0"/>
        <w:numPr>
          <w:ilvl w:val="0"/>
          <w:numId w:val="31"/>
        </w:numPr>
        <w:autoSpaceDE w:val="0"/>
        <w:autoSpaceDN w:val="0"/>
        <w:adjustRightInd w:val="0"/>
        <w:spacing w:line="256" w:lineRule="atLeast"/>
        <w:ind w:left="567" w:hanging="567"/>
        <w:jc w:val="both"/>
        <w:rPr>
          <w:rFonts w:cs="Verdana"/>
          <w:sz w:val="20"/>
          <w:szCs w:val="20"/>
          <w:u w:val="single"/>
        </w:rPr>
      </w:pPr>
      <w:r>
        <w:rPr>
          <w:rFonts w:cs="Verdana"/>
          <w:sz w:val="20"/>
          <w:szCs w:val="20"/>
          <w:u w:val="single"/>
        </w:rPr>
        <w:t>Conclusions</w:t>
      </w:r>
    </w:p>
    <w:p w14:paraId="727FB06F" w14:textId="27A098E6" w:rsidR="000C31CC" w:rsidRPr="00625F1E" w:rsidRDefault="000C31CC" w:rsidP="000C31CC">
      <w:pPr>
        <w:pStyle w:val="ListParagraph"/>
        <w:widowControl w:val="0"/>
        <w:autoSpaceDE w:val="0"/>
        <w:autoSpaceDN w:val="0"/>
        <w:adjustRightInd w:val="0"/>
        <w:spacing w:line="256" w:lineRule="atLeast"/>
        <w:ind w:left="567"/>
        <w:jc w:val="both"/>
        <w:rPr>
          <w:rFonts w:cs="Verdana"/>
          <w:sz w:val="20"/>
          <w:szCs w:val="20"/>
          <w:u w:val="single"/>
        </w:rPr>
      </w:pPr>
    </w:p>
    <w:p w14:paraId="339DB882" w14:textId="0880A67E" w:rsidR="000C31CC" w:rsidRPr="00625F1E" w:rsidRDefault="00AC0483" w:rsidP="000C31CC">
      <w:pPr>
        <w:pStyle w:val="ListParagraph"/>
        <w:widowControl w:val="0"/>
        <w:numPr>
          <w:ilvl w:val="0"/>
          <w:numId w:val="15"/>
        </w:numPr>
        <w:autoSpaceDE w:val="0"/>
        <w:autoSpaceDN w:val="0"/>
        <w:adjustRightInd w:val="0"/>
        <w:spacing w:line="256" w:lineRule="atLeast"/>
        <w:ind w:left="567" w:hanging="567"/>
        <w:jc w:val="both"/>
        <w:rPr>
          <w:rStyle w:val="Strong"/>
          <w:rFonts w:cs="Verdana"/>
          <w:b w:val="0"/>
          <w:bCs w:val="0"/>
          <w:sz w:val="20"/>
          <w:szCs w:val="20"/>
        </w:rPr>
      </w:pPr>
      <w:r w:rsidRPr="00625F1E">
        <w:rPr>
          <w:rStyle w:val="Strong"/>
          <w:rFonts w:cs="Verdana"/>
          <w:b w:val="0"/>
          <w:bCs w:val="0"/>
          <w:sz w:val="20"/>
          <w:szCs w:val="20"/>
        </w:rPr>
        <w:t xml:space="preserve">Uzbekistan’s legislative framework and </w:t>
      </w:r>
      <w:r w:rsidR="006A4CB4" w:rsidRPr="00625F1E">
        <w:rPr>
          <w:rStyle w:val="Strong"/>
          <w:rFonts w:cs="Verdana"/>
          <w:b w:val="0"/>
          <w:bCs w:val="0"/>
          <w:sz w:val="20"/>
          <w:szCs w:val="20"/>
        </w:rPr>
        <w:t xml:space="preserve">reported </w:t>
      </w:r>
      <w:r w:rsidRPr="00625F1E">
        <w:rPr>
          <w:rStyle w:val="Strong"/>
          <w:rFonts w:cs="Verdana"/>
          <w:b w:val="0"/>
          <w:bCs w:val="0"/>
          <w:sz w:val="20"/>
          <w:szCs w:val="20"/>
        </w:rPr>
        <w:t>practice of international transfers</w:t>
      </w:r>
      <w:r w:rsidR="000C31CC" w:rsidRPr="00625F1E">
        <w:rPr>
          <w:rStyle w:val="Strong"/>
          <w:rFonts w:cs="Verdana"/>
          <w:b w:val="0"/>
          <w:bCs w:val="0"/>
          <w:sz w:val="20"/>
          <w:szCs w:val="20"/>
        </w:rPr>
        <w:t xml:space="preserve"> </w:t>
      </w:r>
      <w:r w:rsidR="004915A7">
        <w:rPr>
          <w:rStyle w:val="Strong"/>
          <w:rFonts w:cs="Verdana"/>
          <w:b w:val="0"/>
          <w:bCs w:val="0"/>
          <w:sz w:val="20"/>
          <w:szCs w:val="20"/>
        </w:rPr>
        <w:t xml:space="preserve">may </w:t>
      </w:r>
      <w:r w:rsidR="00FC5474">
        <w:rPr>
          <w:rStyle w:val="Strong"/>
          <w:rFonts w:cs="Verdana"/>
          <w:b w:val="0"/>
          <w:bCs w:val="0"/>
          <w:sz w:val="20"/>
          <w:szCs w:val="20"/>
        </w:rPr>
        <w:t>lead</w:t>
      </w:r>
      <w:r w:rsidR="00464E32">
        <w:rPr>
          <w:rStyle w:val="Strong"/>
          <w:rFonts w:cs="Verdana"/>
          <w:b w:val="0"/>
          <w:bCs w:val="0"/>
          <w:sz w:val="20"/>
          <w:szCs w:val="20"/>
        </w:rPr>
        <w:t xml:space="preserve"> to </w:t>
      </w:r>
      <w:r w:rsidRPr="00625F1E">
        <w:rPr>
          <w:rStyle w:val="Strong"/>
          <w:rFonts w:cs="Verdana"/>
          <w:b w:val="0"/>
          <w:bCs w:val="0"/>
          <w:sz w:val="20"/>
          <w:szCs w:val="20"/>
        </w:rPr>
        <w:t>serious</w:t>
      </w:r>
      <w:r w:rsidR="000C31CC" w:rsidRPr="00625F1E">
        <w:rPr>
          <w:rStyle w:val="Strong"/>
          <w:rFonts w:cs="Verdana"/>
          <w:b w:val="0"/>
          <w:bCs w:val="0"/>
          <w:sz w:val="20"/>
          <w:szCs w:val="20"/>
        </w:rPr>
        <w:t xml:space="preserve"> violations of the Convention, most notably of Articles </w:t>
      </w:r>
      <w:r w:rsidR="001065C6" w:rsidRPr="00625F1E">
        <w:rPr>
          <w:rStyle w:val="Strong"/>
          <w:rFonts w:cs="Verdana"/>
          <w:b w:val="0"/>
          <w:bCs w:val="0"/>
          <w:sz w:val="20"/>
          <w:szCs w:val="20"/>
        </w:rPr>
        <w:t xml:space="preserve">1, </w:t>
      </w:r>
      <w:r w:rsidR="000C31CC" w:rsidRPr="00625F1E">
        <w:rPr>
          <w:rStyle w:val="Strong"/>
          <w:rFonts w:cs="Verdana"/>
          <w:b w:val="0"/>
          <w:bCs w:val="0"/>
          <w:sz w:val="20"/>
          <w:szCs w:val="20"/>
        </w:rPr>
        <w:t>2</w:t>
      </w:r>
      <w:r w:rsidRPr="00625F1E">
        <w:rPr>
          <w:rStyle w:val="Strong"/>
          <w:rFonts w:cs="Verdana"/>
          <w:b w:val="0"/>
          <w:bCs w:val="0"/>
          <w:sz w:val="20"/>
          <w:szCs w:val="20"/>
        </w:rPr>
        <w:t>,</w:t>
      </w:r>
      <w:r w:rsidR="000C31CC" w:rsidRPr="00625F1E">
        <w:rPr>
          <w:rStyle w:val="Strong"/>
          <w:rFonts w:cs="Verdana"/>
          <w:b w:val="0"/>
          <w:bCs w:val="0"/>
          <w:sz w:val="20"/>
          <w:szCs w:val="20"/>
        </w:rPr>
        <w:t xml:space="preserve"> 3</w:t>
      </w:r>
      <w:r w:rsidR="001065C6" w:rsidRPr="00625F1E">
        <w:rPr>
          <w:rStyle w:val="Strong"/>
          <w:rFonts w:cs="Verdana"/>
          <w:b w:val="0"/>
          <w:bCs w:val="0"/>
          <w:sz w:val="20"/>
          <w:szCs w:val="20"/>
        </w:rPr>
        <w:t>, 11</w:t>
      </w:r>
      <w:r w:rsidRPr="00625F1E">
        <w:rPr>
          <w:rStyle w:val="Strong"/>
          <w:rFonts w:cs="Verdana"/>
          <w:b w:val="0"/>
          <w:bCs w:val="0"/>
          <w:sz w:val="20"/>
          <w:szCs w:val="20"/>
        </w:rPr>
        <w:t xml:space="preserve"> and 16</w:t>
      </w:r>
      <w:r w:rsidR="000C31CC" w:rsidRPr="00625F1E">
        <w:rPr>
          <w:rStyle w:val="Strong"/>
          <w:rFonts w:cs="Verdana"/>
          <w:b w:val="0"/>
          <w:bCs w:val="0"/>
          <w:sz w:val="20"/>
          <w:szCs w:val="20"/>
        </w:rPr>
        <w:t>.</w:t>
      </w:r>
    </w:p>
    <w:p w14:paraId="44094FDC" w14:textId="77777777" w:rsidR="008D136F" w:rsidRPr="00625F1E" w:rsidRDefault="008D136F" w:rsidP="008D136F">
      <w:pPr>
        <w:pStyle w:val="ListParagraph"/>
        <w:widowControl w:val="0"/>
        <w:autoSpaceDE w:val="0"/>
        <w:autoSpaceDN w:val="0"/>
        <w:adjustRightInd w:val="0"/>
        <w:spacing w:line="256" w:lineRule="atLeast"/>
        <w:ind w:left="567"/>
        <w:jc w:val="both"/>
        <w:rPr>
          <w:rStyle w:val="Strong"/>
          <w:rFonts w:cs="Verdana"/>
          <w:b w:val="0"/>
          <w:bCs w:val="0"/>
          <w:sz w:val="20"/>
          <w:szCs w:val="20"/>
        </w:rPr>
      </w:pPr>
    </w:p>
    <w:p w14:paraId="27D1C003" w14:textId="1C0CCBA4" w:rsidR="000C31CC" w:rsidRPr="00625F1E" w:rsidRDefault="000C31CC" w:rsidP="000C31CC">
      <w:pPr>
        <w:pStyle w:val="ListParagraph"/>
        <w:widowControl w:val="0"/>
        <w:numPr>
          <w:ilvl w:val="0"/>
          <w:numId w:val="15"/>
        </w:numPr>
        <w:autoSpaceDE w:val="0"/>
        <w:autoSpaceDN w:val="0"/>
        <w:adjustRightInd w:val="0"/>
        <w:spacing w:line="256" w:lineRule="atLeast"/>
        <w:ind w:left="567" w:hanging="567"/>
        <w:jc w:val="both"/>
        <w:rPr>
          <w:rFonts w:cs="Verdana"/>
          <w:sz w:val="20"/>
          <w:szCs w:val="20"/>
        </w:rPr>
      </w:pPr>
      <w:r w:rsidRPr="00625F1E">
        <w:rPr>
          <w:rStyle w:val="Strong"/>
          <w:rFonts w:cs="Verdana"/>
          <w:b w:val="0"/>
          <w:bCs w:val="0"/>
          <w:sz w:val="20"/>
          <w:szCs w:val="20"/>
        </w:rPr>
        <w:t xml:space="preserve">As the Committee </w:t>
      </w:r>
      <w:r w:rsidR="00464E32">
        <w:rPr>
          <w:rStyle w:val="Strong"/>
          <w:rFonts w:cs="Verdana"/>
          <w:b w:val="0"/>
          <w:bCs w:val="0"/>
          <w:sz w:val="20"/>
          <w:szCs w:val="20"/>
        </w:rPr>
        <w:t xml:space="preserve">has </w:t>
      </w:r>
      <w:r w:rsidRPr="00625F1E">
        <w:rPr>
          <w:rStyle w:val="Strong"/>
          <w:rFonts w:cs="Verdana"/>
          <w:b w:val="0"/>
          <w:bCs w:val="0"/>
          <w:sz w:val="20"/>
          <w:szCs w:val="20"/>
        </w:rPr>
        <w:t xml:space="preserve">recalled, </w:t>
      </w:r>
      <w:r w:rsidRPr="00625F1E">
        <w:rPr>
          <w:sz w:val="20"/>
          <w:szCs w:val="20"/>
        </w:rPr>
        <w:t xml:space="preserve">the prohibition of torture, as defined in </w:t>
      </w:r>
      <w:r w:rsidR="00EB705C" w:rsidRPr="00625F1E">
        <w:rPr>
          <w:sz w:val="20"/>
          <w:szCs w:val="20"/>
        </w:rPr>
        <w:t>A</w:t>
      </w:r>
      <w:r w:rsidRPr="00625F1E">
        <w:rPr>
          <w:sz w:val="20"/>
          <w:szCs w:val="20"/>
        </w:rPr>
        <w:t>rticle 1 of the Convention, is absolute</w:t>
      </w:r>
      <w:r w:rsidR="00EB705C" w:rsidRPr="00625F1E">
        <w:rPr>
          <w:sz w:val="20"/>
          <w:szCs w:val="20"/>
        </w:rPr>
        <w:t>.</w:t>
      </w:r>
      <w:r w:rsidR="008D136F" w:rsidRPr="00625F1E">
        <w:rPr>
          <w:rStyle w:val="FootnoteReference"/>
          <w:sz w:val="18"/>
          <w:szCs w:val="28"/>
        </w:rPr>
        <w:footnoteReference w:id="28"/>
      </w:r>
      <w:r w:rsidRPr="00625F1E">
        <w:rPr>
          <w:sz w:val="20"/>
          <w:szCs w:val="20"/>
        </w:rPr>
        <w:t xml:space="preserve"> Article 2 (2) of the Convention provides that “no exceptional circumstances whatsoever, whether a state of war or a threat of war, internal political instability or any other public emergency, may be invoked as a justification of torture”</w:t>
      </w:r>
      <w:r w:rsidR="00EB705C" w:rsidRPr="00625F1E">
        <w:rPr>
          <w:sz w:val="20"/>
          <w:szCs w:val="20"/>
        </w:rPr>
        <w:t>.</w:t>
      </w:r>
      <w:r w:rsidR="00EF07DE" w:rsidRPr="00625F1E">
        <w:rPr>
          <w:rStyle w:val="FootnoteReference"/>
          <w:sz w:val="18"/>
          <w:szCs w:val="28"/>
        </w:rPr>
        <w:footnoteReference w:id="29"/>
      </w:r>
      <w:r w:rsidRPr="00625F1E">
        <w:rPr>
          <w:sz w:val="20"/>
          <w:szCs w:val="20"/>
        </w:rPr>
        <w:t xml:space="preserve"> The Committee </w:t>
      </w:r>
      <w:r w:rsidR="00464E32">
        <w:rPr>
          <w:sz w:val="20"/>
          <w:szCs w:val="20"/>
        </w:rPr>
        <w:t xml:space="preserve">has </w:t>
      </w:r>
      <w:r w:rsidRPr="00625F1E">
        <w:rPr>
          <w:sz w:val="20"/>
          <w:szCs w:val="20"/>
        </w:rPr>
        <w:t>further recall</w:t>
      </w:r>
      <w:r w:rsidR="006A4CB4" w:rsidRPr="00625F1E">
        <w:rPr>
          <w:sz w:val="20"/>
          <w:szCs w:val="20"/>
        </w:rPr>
        <w:t>ed</w:t>
      </w:r>
      <w:r w:rsidRPr="00625F1E">
        <w:rPr>
          <w:sz w:val="20"/>
          <w:szCs w:val="20"/>
        </w:rPr>
        <w:t xml:space="preserve"> that other acts of ill-treatment</w:t>
      </w:r>
      <w:r w:rsidR="00464E32">
        <w:rPr>
          <w:sz w:val="20"/>
          <w:szCs w:val="20"/>
        </w:rPr>
        <w:t xml:space="preserve"> short of torture</w:t>
      </w:r>
      <w:r w:rsidRPr="00625F1E">
        <w:rPr>
          <w:sz w:val="20"/>
          <w:szCs w:val="20"/>
        </w:rPr>
        <w:t xml:space="preserve"> are equally prohibited</w:t>
      </w:r>
      <w:r w:rsidR="00464E32">
        <w:rPr>
          <w:sz w:val="20"/>
          <w:szCs w:val="20"/>
        </w:rPr>
        <w:t>,</w:t>
      </w:r>
      <w:r w:rsidRPr="00625F1E">
        <w:rPr>
          <w:sz w:val="20"/>
          <w:szCs w:val="20"/>
        </w:rPr>
        <w:t xml:space="preserve"> and that the prohibition of ill-treatment is likewise non-</w:t>
      </w:r>
      <w:proofErr w:type="spellStart"/>
      <w:r w:rsidRPr="00625F1E">
        <w:rPr>
          <w:sz w:val="20"/>
          <w:szCs w:val="20"/>
        </w:rPr>
        <w:t>derogable</w:t>
      </w:r>
      <w:proofErr w:type="spellEnd"/>
      <w:r w:rsidR="00CB5CAC" w:rsidRPr="00625F1E">
        <w:rPr>
          <w:sz w:val="20"/>
          <w:szCs w:val="20"/>
        </w:rPr>
        <w:t>.</w:t>
      </w:r>
      <w:r w:rsidR="00523521" w:rsidRPr="00625F1E">
        <w:rPr>
          <w:rStyle w:val="FootnoteReference"/>
          <w:sz w:val="18"/>
          <w:szCs w:val="28"/>
        </w:rPr>
        <w:footnoteReference w:id="30"/>
      </w:r>
    </w:p>
    <w:p w14:paraId="736E46CE" w14:textId="77777777" w:rsidR="008D136F" w:rsidRPr="00625F1E" w:rsidRDefault="008D136F" w:rsidP="008D136F">
      <w:pPr>
        <w:pStyle w:val="ListParagraph"/>
        <w:rPr>
          <w:rStyle w:val="Strong"/>
          <w:rFonts w:cs="Verdana"/>
          <w:b w:val="0"/>
          <w:bCs w:val="0"/>
          <w:sz w:val="20"/>
          <w:szCs w:val="20"/>
        </w:rPr>
      </w:pPr>
    </w:p>
    <w:p w14:paraId="431DF302" w14:textId="22C20588" w:rsidR="008D136F" w:rsidRPr="00625F1E" w:rsidRDefault="00EF07DE" w:rsidP="00231010">
      <w:pPr>
        <w:pStyle w:val="ListParagraph"/>
        <w:widowControl w:val="0"/>
        <w:numPr>
          <w:ilvl w:val="0"/>
          <w:numId w:val="15"/>
        </w:numPr>
        <w:autoSpaceDE w:val="0"/>
        <w:autoSpaceDN w:val="0"/>
        <w:adjustRightInd w:val="0"/>
        <w:spacing w:line="256" w:lineRule="atLeast"/>
        <w:ind w:left="567" w:hanging="567"/>
        <w:jc w:val="both"/>
        <w:rPr>
          <w:rFonts w:cs="Verdana"/>
          <w:sz w:val="20"/>
          <w:szCs w:val="20"/>
        </w:rPr>
      </w:pPr>
      <w:r w:rsidRPr="00625F1E">
        <w:rPr>
          <w:sz w:val="20"/>
          <w:szCs w:val="20"/>
        </w:rPr>
        <w:t>Similarly absolute is the</w:t>
      </w:r>
      <w:r w:rsidR="008D136F" w:rsidRPr="00625F1E">
        <w:rPr>
          <w:sz w:val="20"/>
          <w:szCs w:val="20"/>
        </w:rPr>
        <w:t xml:space="preserve"> principle of </w:t>
      </w:r>
      <w:r w:rsidR="008D136F" w:rsidRPr="00625F1E">
        <w:rPr>
          <w:i/>
          <w:iCs/>
          <w:sz w:val="20"/>
          <w:szCs w:val="20"/>
        </w:rPr>
        <w:t>non-refoulement</w:t>
      </w:r>
      <w:r w:rsidR="008D136F" w:rsidRPr="00625F1E">
        <w:rPr>
          <w:sz w:val="20"/>
          <w:szCs w:val="20"/>
        </w:rPr>
        <w:t xml:space="preserve"> </w:t>
      </w:r>
      <w:r w:rsidRPr="00625F1E">
        <w:rPr>
          <w:sz w:val="20"/>
          <w:szCs w:val="20"/>
        </w:rPr>
        <w:t>enshrined in Article 3</w:t>
      </w:r>
      <w:r w:rsidR="00464E32">
        <w:rPr>
          <w:sz w:val="20"/>
          <w:szCs w:val="20"/>
        </w:rPr>
        <w:t>,</w:t>
      </w:r>
      <w:r w:rsidR="008D136F" w:rsidRPr="00625F1E">
        <w:rPr>
          <w:rStyle w:val="FootnoteReference"/>
          <w:sz w:val="18"/>
          <w:szCs w:val="28"/>
        </w:rPr>
        <w:footnoteReference w:id="31"/>
      </w:r>
      <w:r w:rsidRPr="00625F1E">
        <w:rPr>
          <w:sz w:val="20"/>
          <w:szCs w:val="20"/>
        </w:rPr>
        <w:t xml:space="preserve"> which applies </w:t>
      </w:r>
      <w:r w:rsidR="008D136F" w:rsidRPr="00625F1E">
        <w:rPr>
          <w:sz w:val="20"/>
          <w:szCs w:val="20"/>
        </w:rPr>
        <w:t>whenever there are “substantial grounds”</w:t>
      </w:r>
      <w:r w:rsidR="008D136F" w:rsidRPr="00625F1E">
        <w:rPr>
          <w:rStyle w:val="FootnoteReference"/>
          <w:sz w:val="18"/>
          <w:szCs w:val="28"/>
        </w:rPr>
        <w:footnoteReference w:id="32"/>
      </w:r>
      <w:r w:rsidRPr="00625F1E">
        <w:rPr>
          <w:sz w:val="20"/>
          <w:szCs w:val="20"/>
        </w:rPr>
        <w:t xml:space="preserve"> </w:t>
      </w:r>
      <w:r w:rsidR="008D136F" w:rsidRPr="00625F1E">
        <w:rPr>
          <w:sz w:val="20"/>
          <w:szCs w:val="20"/>
        </w:rPr>
        <w:t xml:space="preserve">for believing that the person concerned would be in danger of being subjected to torture in </w:t>
      </w:r>
      <w:r w:rsidR="006A4CB4" w:rsidRPr="00625F1E">
        <w:rPr>
          <w:sz w:val="20"/>
          <w:szCs w:val="20"/>
        </w:rPr>
        <w:t>the</w:t>
      </w:r>
      <w:r w:rsidR="008D136F" w:rsidRPr="00625F1E">
        <w:rPr>
          <w:sz w:val="20"/>
          <w:szCs w:val="20"/>
        </w:rPr>
        <w:t xml:space="preserve"> State </w:t>
      </w:r>
      <w:r w:rsidRPr="00625F1E">
        <w:rPr>
          <w:sz w:val="20"/>
          <w:szCs w:val="20"/>
        </w:rPr>
        <w:t>of destination</w:t>
      </w:r>
      <w:r w:rsidR="008D136F" w:rsidRPr="00625F1E">
        <w:rPr>
          <w:sz w:val="20"/>
          <w:szCs w:val="20"/>
        </w:rPr>
        <w:t xml:space="preserve">, either as an individual or as a member of a group that may be at risk of being tortured in </w:t>
      </w:r>
      <w:r w:rsidRPr="00625F1E">
        <w:rPr>
          <w:sz w:val="20"/>
          <w:szCs w:val="20"/>
        </w:rPr>
        <w:t>that State</w:t>
      </w:r>
      <w:r w:rsidR="008D136F" w:rsidRPr="00625F1E">
        <w:rPr>
          <w:sz w:val="20"/>
          <w:szCs w:val="20"/>
        </w:rPr>
        <w:t>. The Committee’s practice has been to determine that “substantial grounds” exist whenever the risk of torture is “foreseeable, personal, present and real”</w:t>
      </w:r>
      <w:r w:rsidR="008D136F" w:rsidRPr="00625F1E">
        <w:rPr>
          <w:rStyle w:val="FootnoteReference"/>
          <w:sz w:val="18"/>
          <w:szCs w:val="28"/>
        </w:rPr>
        <w:footnoteReference w:id="33"/>
      </w:r>
      <w:r w:rsidR="008D136F" w:rsidRPr="00625F1E">
        <w:rPr>
          <w:sz w:val="20"/>
          <w:szCs w:val="20"/>
        </w:rPr>
        <w:t>.</w:t>
      </w:r>
    </w:p>
    <w:p w14:paraId="72B2C8BC" w14:textId="77777777" w:rsidR="00523521" w:rsidRPr="00625F1E" w:rsidRDefault="00523521" w:rsidP="00523521">
      <w:pPr>
        <w:widowControl w:val="0"/>
        <w:autoSpaceDE w:val="0"/>
        <w:autoSpaceDN w:val="0"/>
        <w:adjustRightInd w:val="0"/>
        <w:spacing w:line="256" w:lineRule="atLeast"/>
        <w:jc w:val="both"/>
        <w:rPr>
          <w:rStyle w:val="Strong"/>
          <w:rFonts w:cs="Verdana"/>
          <w:b w:val="0"/>
          <w:bCs w:val="0"/>
          <w:sz w:val="20"/>
          <w:szCs w:val="20"/>
        </w:rPr>
      </w:pPr>
    </w:p>
    <w:p w14:paraId="0C33CECF" w14:textId="5C41FC3F" w:rsidR="00075E2A" w:rsidRPr="00075E2A" w:rsidRDefault="00FA55A6" w:rsidP="00075E2A">
      <w:pPr>
        <w:pStyle w:val="ListParagraph"/>
        <w:widowControl w:val="0"/>
        <w:numPr>
          <w:ilvl w:val="0"/>
          <w:numId w:val="15"/>
        </w:numPr>
        <w:autoSpaceDE w:val="0"/>
        <w:autoSpaceDN w:val="0"/>
        <w:adjustRightInd w:val="0"/>
        <w:spacing w:line="256" w:lineRule="atLeast"/>
        <w:ind w:left="567" w:hanging="567"/>
        <w:jc w:val="both"/>
        <w:rPr>
          <w:rFonts w:cs="Verdana"/>
          <w:sz w:val="20"/>
          <w:szCs w:val="20"/>
        </w:rPr>
      </w:pPr>
      <w:r w:rsidRPr="00625F1E">
        <w:rPr>
          <w:sz w:val="20"/>
          <w:szCs w:val="20"/>
        </w:rPr>
        <w:t>F</w:t>
      </w:r>
      <w:r w:rsidR="00733D1E" w:rsidRPr="00625F1E">
        <w:rPr>
          <w:sz w:val="20"/>
          <w:szCs w:val="20"/>
        </w:rPr>
        <w:t xml:space="preserve">or the purpose of fully implementing </w:t>
      </w:r>
      <w:r w:rsidR="00CB5CAC" w:rsidRPr="00625F1E">
        <w:rPr>
          <w:sz w:val="20"/>
          <w:szCs w:val="20"/>
        </w:rPr>
        <w:t>A</w:t>
      </w:r>
      <w:r w:rsidR="00733D1E" w:rsidRPr="00625F1E">
        <w:rPr>
          <w:sz w:val="20"/>
          <w:szCs w:val="20"/>
        </w:rPr>
        <w:t xml:space="preserve">rticle 3 of the Convention, States parties should take legislative, administrative, judicial and other preventive measures against possible violations of the principle of </w:t>
      </w:r>
      <w:r w:rsidR="00733D1E" w:rsidRPr="00625F1E">
        <w:rPr>
          <w:i/>
          <w:iCs/>
          <w:sz w:val="20"/>
          <w:szCs w:val="20"/>
        </w:rPr>
        <w:t>non-refoulement</w:t>
      </w:r>
      <w:r w:rsidR="00EF07DE" w:rsidRPr="00625F1E">
        <w:rPr>
          <w:rStyle w:val="FootnoteReference"/>
          <w:i/>
          <w:iCs/>
          <w:sz w:val="18"/>
          <w:szCs w:val="28"/>
        </w:rPr>
        <w:footnoteReference w:id="34"/>
      </w:r>
      <w:r w:rsidR="00733D1E" w:rsidRPr="00625F1E">
        <w:rPr>
          <w:sz w:val="20"/>
          <w:szCs w:val="20"/>
        </w:rPr>
        <w:t>.</w:t>
      </w:r>
      <w:r w:rsidR="00007421" w:rsidRPr="00625F1E">
        <w:rPr>
          <w:sz w:val="20"/>
          <w:szCs w:val="20"/>
        </w:rPr>
        <w:t xml:space="preserve"> </w:t>
      </w:r>
      <w:r w:rsidR="00815828" w:rsidRPr="00625F1E">
        <w:rPr>
          <w:sz w:val="20"/>
          <w:szCs w:val="20"/>
        </w:rPr>
        <w:t>According to Article</w:t>
      </w:r>
      <w:r w:rsidR="008D136F" w:rsidRPr="00625F1E">
        <w:rPr>
          <w:sz w:val="20"/>
          <w:szCs w:val="20"/>
        </w:rPr>
        <w:t xml:space="preserve"> 16</w:t>
      </w:r>
      <w:r w:rsidR="00815828" w:rsidRPr="00625F1E">
        <w:rPr>
          <w:sz w:val="20"/>
          <w:szCs w:val="20"/>
        </w:rPr>
        <w:t>, States also</w:t>
      </w:r>
      <w:r w:rsidR="00E86199" w:rsidRPr="00625F1E">
        <w:rPr>
          <w:sz w:val="20"/>
          <w:szCs w:val="20"/>
        </w:rPr>
        <w:t xml:space="preserve"> have a duty to</w:t>
      </w:r>
      <w:r w:rsidR="00815828" w:rsidRPr="00625F1E">
        <w:rPr>
          <w:sz w:val="20"/>
          <w:szCs w:val="20"/>
        </w:rPr>
        <w:t xml:space="preserve"> </w:t>
      </w:r>
      <w:r w:rsidR="008D136F" w:rsidRPr="00625F1E">
        <w:rPr>
          <w:sz w:val="20"/>
          <w:szCs w:val="20"/>
        </w:rPr>
        <w:t>prevent acts of ill-treatment which do not amount to torture</w:t>
      </w:r>
      <w:r w:rsidR="00464E32">
        <w:rPr>
          <w:sz w:val="20"/>
          <w:szCs w:val="20"/>
        </w:rPr>
        <w:t>,</w:t>
      </w:r>
      <w:r w:rsidR="008D136F" w:rsidRPr="00625F1E">
        <w:rPr>
          <w:sz w:val="20"/>
          <w:szCs w:val="20"/>
        </w:rPr>
        <w:t xml:space="preserve"> as defined in article 1 of the Convention</w:t>
      </w:r>
      <w:r w:rsidR="008D136F" w:rsidRPr="00625F1E">
        <w:rPr>
          <w:rStyle w:val="FootnoteReference"/>
          <w:sz w:val="18"/>
          <w:szCs w:val="28"/>
        </w:rPr>
        <w:footnoteReference w:id="35"/>
      </w:r>
      <w:r w:rsidR="008D136F" w:rsidRPr="00625F1E">
        <w:rPr>
          <w:sz w:val="20"/>
          <w:szCs w:val="20"/>
        </w:rPr>
        <w:t>.</w:t>
      </w:r>
    </w:p>
    <w:p w14:paraId="55DE09E6" w14:textId="77777777" w:rsidR="008D136F" w:rsidRPr="00625F1E" w:rsidRDefault="008D136F" w:rsidP="00733D1E">
      <w:pPr>
        <w:rPr>
          <w:rStyle w:val="Strong"/>
          <w:rFonts w:cs="Verdana"/>
          <w:b w:val="0"/>
          <w:bCs w:val="0"/>
          <w:sz w:val="20"/>
          <w:szCs w:val="20"/>
        </w:rPr>
      </w:pPr>
    </w:p>
    <w:p w14:paraId="0229D593" w14:textId="4AF87141" w:rsidR="000C31CC" w:rsidRPr="00625F1E" w:rsidRDefault="008D136F" w:rsidP="00007421">
      <w:pPr>
        <w:pStyle w:val="ListParagraph"/>
        <w:widowControl w:val="0"/>
        <w:numPr>
          <w:ilvl w:val="0"/>
          <w:numId w:val="15"/>
        </w:numPr>
        <w:autoSpaceDE w:val="0"/>
        <w:autoSpaceDN w:val="0"/>
        <w:adjustRightInd w:val="0"/>
        <w:spacing w:line="256" w:lineRule="atLeast"/>
        <w:ind w:left="567" w:hanging="567"/>
        <w:jc w:val="both"/>
        <w:rPr>
          <w:rStyle w:val="Strong"/>
          <w:rFonts w:cs="Verdana"/>
          <w:b w:val="0"/>
          <w:bCs w:val="0"/>
          <w:sz w:val="20"/>
          <w:szCs w:val="20"/>
        </w:rPr>
      </w:pPr>
      <w:r w:rsidRPr="00625F1E">
        <w:rPr>
          <w:rStyle w:val="Strong"/>
          <w:rFonts w:cs="Verdana"/>
          <w:b w:val="0"/>
          <w:bCs w:val="0"/>
          <w:sz w:val="20"/>
          <w:szCs w:val="20"/>
        </w:rPr>
        <w:t>As highlighted above</w:t>
      </w:r>
      <w:r w:rsidR="00E86199" w:rsidRPr="00625F1E">
        <w:rPr>
          <w:rStyle w:val="Strong"/>
          <w:rFonts w:cs="Verdana"/>
          <w:b w:val="0"/>
          <w:bCs w:val="0"/>
          <w:sz w:val="20"/>
          <w:szCs w:val="20"/>
        </w:rPr>
        <w:t xml:space="preserve"> (</w:t>
      </w:r>
      <w:r w:rsidR="00E86199" w:rsidRPr="00625F1E">
        <w:rPr>
          <w:rStyle w:val="Strong"/>
          <w:rFonts w:cs="Verdana"/>
          <w:b w:val="0"/>
          <w:bCs w:val="0"/>
          <w:i/>
          <w:iCs/>
          <w:sz w:val="20"/>
          <w:szCs w:val="20"/>
        </w:rPr>
        <w:t xml:space="preserve">supra </w:t>
      </w:r>
      <w:r w:rsidR="00E86199" w:rsidRPr="00625F1E">
        <w:rPr>
          <w:rStyle w:val="Strong"/>
          <w:rFonts w:cs="Verdana"/>
          <w:b w:val="0"/>
          <w:bCs w:val="0"/>
          <w:sz w:val="20"/>
          <w:szCs w:val="20"/>
        </w:rPr>
        <w:t>B.I</w:t>
      </w:r>
      <w:r w:rsidR="00E86199" w:rsidRPr="00625F1E">
        <w:rPr>
          <w:rStyle w:val="Strong"/>
          <w:rFonts w:cs="Verdana"/>
          <w:b w:val="0"/>
          <w:bCs w:val="0"/>
          <w:i/>
          <w:iCs/>
          <w:sz w:val="20"/>
          <w:szCs w:val="20"/>
        </w:rPr>
        <w:t xml:space="preserve"> </w:t>
      </w:r>
      <w:r w:rsidR="00E86199" w:rsidRPr="00625F1E">
        <w:rPr>
          <w:rStyle w:val="Strong"/>
          <w:rFonts w:cs="Verdana"/>
          <w:b w:val="0"/>
          <w:bCs w:val="0"/>
          <w:sz w:val="20"/>
          <w:szCs w:val="20"/>
        </w:rPr>
        <w:t>and</w:t>
      </w:r>
      <w:r w:rsidR="00E86199" w:rsidRPr="00625F1E">
        <w:rPr>
          <w:rStyle w:val="Strong"/>
          <w:rFonts w:cs="Verdana"/>
          <w:b w:val="0"/>
          <w:bCs w:val="0"/>
          <w:i/>
          <w:iCs/>
          <w:sz w:val="20"/>
          <w:szCs w:val="20"/>
        </w:rPr>
        <w:t xml:space="preserve"> </w:t>
      </w:r>
      <w:r w:rsidR="00E86199" w:rsidRPr="00625F1E">
        <w:rPr>
          <w:rStyle w:val="Strong"/>
          <w:rFonts w:cs="Verdana"/>
          <w:b w:val="0"/>
          <w:bCs w:val="0"/>
          <w:sz w:val="20"/>
          <w:szCs w:val="20"/>
        </w:rPr>
        <w:t>B.II)</w:t>
      </w:r>
      <w:r w:rsidRPr="00625F1E">
        <w:rPr>
          <w:rStyle w:val="Strong"/>
          <w:rFonts w:cs="Verdana"/>
          <w:b w:val="0"/>
          <w:bCs w:val="0"/>
          <w:sz w:val="20"/>
          <w:szCs w:val="20"/>
        </w:rPr>
        <w:t xml:space="preserve">, Uzbekistan’s current legislation on extradition </w:t>
      </w:r>
      <w:r w:rsidR="00AC0483" w:rsidRPr="00625F1E">
        <w:rPr>
          <w:rStyle w:val="Strong"/>
          <w:rFonts w:cs="Verdana"/>
          <w:b w:val="0"/>
          <w:bCs w:val="0"/>
          <w:sz w:val="20"/>
          <w:szCs w:val="20"/>
        </w:rPr>
        <w:t>does</w:t>
      </w:r>
      <w:r w:rsidR="000E5754" w:rsidRPr="00625F1E">
        <w:rPr>
          <w:rStyle w:val="Strong"/>
          <w:rFonts w:cs="Verdana"/>
          <w:b w:val="0"/>
          <w:bCs w:val="0"/>
          <w:sz w:val="20"/>
          <w:szCs w:val="20"/>
        </w:rPr>
        <w:t xml:space="preserve"> </w:t>
      </w:r>
      <w:r w:rsidR="00AC0483" w:rsidRPr="00625F1E">
        <w:rPr>
          <w:rStyle w:val="Strong"/>
          <w:rFonts w:cs="Verdana"/>
          <w:b w:val="0"/>
          <w:bCs w:val="0"/>
          <w:sz w:val="20"/>
          <w:szCs w:val="20"/>
        </w:rPr>
        <w:t>n</w:t>
      </w:r>
      <w:r w:rsidR="000E5754" w:rsidRPr="00625F1E">
        <w:rPr>
          <w:rStyle w:val="Strong"/>
          <w:rFonts w:cs="Verdana"/>
          <w:b w:val="0"/>
          <w:bCs w:val="0"/>
          <w:sz w:val="20"/>
          <w:szCs w:val="20"/>
        </w:rPr>
        <w:t>o</w:t>
      </w:r>
      <w:r w:rsidR="00AC0483" w:rsidRPr="00625F1E">
        <w:rPr>
          <w:rStyle w:val="Strong"/>
          <w:rFonts w:cs="Verdana"/>
          <w:b w:val="0"/>
          <w:bCs w:val="0"/>
          <w:sz w:val="20"/>
          <w:szCs w:val="20"/>
        </w:rPr>
        <w:t>t fully comply with its international obligations under the Minsk and Chisinau Conventions</w:t>
      </w:r>
      <w:r w:rsidR="00464E32">
        <w:rPr>
          <w:rStyle w:val="Strong"/>
          <w:rFonts w:cs="Verdana"/>
          <w:b w:val="0"/>
          <w:bCs w:val="0"/>
          <w:sz w:val="20"/>
          <w:szCs w:val="20"/>
        </w:rPr>
        <w:t xml:space="preserve"> and under the Convention</w:t>
      </w:r>
      <w:r w:rsidR="00AC0483" w:rsidRPr="00625F1E">
        <w:rPr>
          <w:rStyle w:val="Strong"/>
          <w:rFonts w:cs="Verdana"/>
          <w:b w:val="0"/>
          <w:bCs w:val="0"/>
          <w:sz w:val="20"/>
          <w:szCs w:val="20"/>
        </w:rPr>
        <w:t xml:space="preserve">. </w:t>
      </w:r>
      <w:r w:rsidR="000E5754" w:rsidRPr="00625F1E">
        <w:rPr>
          <w:rStyle w:val="Strong"/>
          <w:rFonts w:cs="Verdana"/>
          <w:b w:val="0"/>
          <w:bCs w:val="0"/>
          <w:sz w:val="20"/>
          <w:szCs w:val="20"/>
        </w:rPr>
        <w:t>Individuals subjected to t</w:t>
      </w:r>
      <w:r w:rsidR="00AC0483" w:rsidRPr="00625F1E">
        <w:rPr>
          <w:rStyle w:val="Strong"/>
          <w:rFonts w:cs="Verdana"/>
          <w:b w:val="0"/>
          <w:bCs w:val="0"/>
          <w:sz w:val="20"/>
          <w:szCs w:val="20"/>
        </w:rPr>
        <w:t>ransfer</w:t>
      </w:r>
      <w:r w:rsidR="000E5754" w:rsidRPr="00625F1E">
        <w:rPr>
          <w:rStyle w:val="Strong"/>
          <w:rFonts w:cs="Verdana"/>
          <w:b w:val="0"/>
          <w:bCs w:val="0"/>
          <w:sz w:val="20"/>
          <w:szCs w:val="20"/>
        </w:rPr>
        <w:t>s</w:t>
      </w:r>
      <w:r w:rsidR="00AC0483" w:rsidRPr="00625F1E">
        <w:rPr>
          <w:rStyle w:val="Strong"/>
          <w:rFonts w:cs="Verdana"/>
          <w:b w:val="0"/>
          <w:bCs w:val="0"/>
          <w:sz w:val="20"/>
          <w:szCs w:val="20"/>
        </w:rPr>
        <w:t xml:space="preserve"> are not sufficiently protected against risks of torture and/or ill-treatment, as provided by </w:t>
      </w:r>
      <w:r w:rsidR="00E86199" w:rsidRPr="00625F1E">
        <w:rPr>
          <w:rStyle w:val="Strong"/>
          <w:rFonts w:cs="Verdana"/>
          <w:b w:val="0"/>
          <w:bCs w:val="0"/>
          <w:sz w:val="20"/>
          <w:szCs w:val="20"/>
        </w:rPr>
        <w:t xml:space="preserve">Articles 1, 2, 3 and 16 of </w:t>
      </w:r>
      <w:r w:rsidR="00AC0483" w:rsidRPr="00625F1E">
        <w:rPr>
          <w:rStyle w:val="Strong"/>
          <w:rFonts w:cs="Verdana"/>
          <w:b w:val="0"/>
          <w:bCs w:val="0"/>
          <w:sz w:val="20"/>
          <w:szCs w:val="20"/>
        </w:rPr>
        <w:t>the Convention.</w:t>
      </w:r>
      <w:r w:rsidR="00007421" w:rsidRPr="00625F1E">
        <w:rPr>
          <w:rStyle w:val="Strong"/>
          <w:rFonts w:cs="Verdana"/>
          <w:b w:val="0"/>
          <w:bCs w:val="0"/>
          <w:sz w:val="20"/>
          <w:szCs w:val="20"/>
        </w:rPr>
        <w:t xml:space="preserve"> </w:t>
      </w:r>
    </w:p>
    <w:p w14:paraId="5A00D3E3" w14:textId="77777777" w:rsidR="002F7590" w:rsidRPr="00625F1E" w:rsidRDefault="002F7590" w:rsidP="002F7590">
      <w:pPr>
        <w:pStyle w:val="ListParagraph"/>
        <w:rPr>
          <w:rFonts w:cs="Verdana"/>
          <w:sz w:val="20"/>
          <w:szCs w:val="20"/>
        </w:rPr>
      </w:pPr>
    </w:p>
    <w:p w14:paraId="321B3D06" w14:textId="11DB1C32" w:rsidR="002F7590" w:rsidRPr="00625F1E" w:rsidRDefault="00FA55A6" w:rsidP="002F7590">
      <w:pPr>
        <w:pStyle w:val="ListParagraph"/>
        <w:widowControl w:val="0"/>
        <w:numPr>
          <w:ilvl w:val="0"/>
          <w:numId w:val="15"/>
        </w:numPr>
        <w:autoSpaceDE w:val="0"/>
        <w:autoSpaceDN w:val="0"/>
        <w:adjustRightInd w:val="0"/>
        <w:spacing w:line="256" w:lineRule="atLeast"/>
        <w:ind w:left="567" w:hanging="567"/>
        <w:jc w:val="both"/>
        <w:rPr>
          <w:rFonts w:cs="Verdana"/>
          <w:sz w:val="20"/>
          <w:szCs w:val="20"/>
        </w:rPr>
      </w:pPr>
      <w:r w:rsidRPr="00625F1E">
        <w:rPr>
          <w:rFonts w:cs="Verdana"/>
          <w:sz w:val="20"/>
          <w:szCs w:val="20"/>
        </w:rPr>
        <w:t>Moreover</w:t>
      </w:r>
      <w:r w:rsidR="00007421" w:rsidRPr="00625F1E">
        <w:rPr>
          <w:rFonts w:cs="Verdana"/>
          <w:sz w:val="20"/>
          <w:szCs w:val="20"/>
        </w:rPr>
        <w:t>,</w:t>
      </w:r>
      <w:r w:rsidR="002F7590" w:rsidRPr="00625F1E">
        <w:rPr>
          <w:rFonts w:cs="Verdana"/>
          <w:sz w:val="20"/>
          <w:szCs w:val="20"/>
        </w:rPr>
        <w:t xml:space="preserve"> </w:t>
      </w:r>
      <w:r w:rsidR="00007421" w:rsidRPr="00625F1E">
        <w:rPr>
          <w:rFonts w:cs="Verdana"/>
          <w:sz w:val="20"/>
          <w:szCs w:val="20"/>
        </w:rPr>
        <w:t>complaints</w:t>
      </w:r>
      <w:r w:rsidR="002F7590" w:rsidRPr="00625F1E">
        <w:rPr>
          <w:rFonts w:cs="Verdana"/>
          <w:sz w:val="20"/>
          <w:szCs w:val="20"/>
        </w:rPr>
        <w:t xml:space="preserve"> of torture and other ill-treatment by Uzbek </w:t>
      </w:r>
      <w:r w:rsidR="00007421" w:rsidRPr="00625F1E">
        <w:rPr>
          <w:rFonts w:cs="Verdana"/>
          <w:sz w:val="20"/>
          <w:szCs w:val="20"/>
        </w:rPr>
        <w:t xml:space="preserve">law-enforcement </w:t>
      </w:r>
      <w:r w:rsidR="002F7590" w:rsidRPr="00625F1E">
        <w:rPr>
          <w:rFonts w:cs="Verdana"/>
          <w:sz w:val="20"/>
          <w:szCs w:val="20"/>
        </w:rPr>
        <w:t xml:space="preserve">authorities following extradition proceedings or renditions from </w:t>
      </w:r>
      <w:r w:rsidR="007C3F80" w:rsidRPr="00625F1E">
        <w:rPr>
          <w:rFonts w:cs="Verdana"/>
          <w:sz w:val="20"/>
          <w:szCs w:val="20"/>
        </w:rPr>
        <w:t>neighbouring</w:t>
      </w:r>
      <w:r w:rsidR="002F7590" w:rsidRPr="00625F1E">
        <w:rPr>
          <w:rFonts w:cs="Verdana"/>
          <w:sz w:val="20"/>
          <w:szCs w:val="20"/>
        </w:rPr>
        <w:t xml:space="preserve"> countries are particularly </w:t>
      </w:r>
      <w:r w:rsidR="00007421" w:rsidRPr="00625F1E">
        <w:rPr>
          <w:rFonts w:cs="Verdana"/>
          <w:sz w:val="20"/>
          <w:szCs w:val="20"/>
        </w:rPr>
        <w:t>alarming</w:t>
      </w:r>
      <w:r w:rsidR="002F7590" w:rsidRPr="00625F1E">
        <w:rPr>
          <w:rFonts w:cs="Verdana"/>
          <w:sz w:val="20"/>
          <w:szCs w:val="20"/>
        </w:rPr>
        <w:t xml:space="preserve"> and </w:t>
      </w:r>
      <w:r w:rsidR="00007421" w:rsidRPr="00625F1E">
        <w:rPr>
          <w:rFonts w:cs="Verdana"/>
          <w:sz w:val="20"/>
          <w:szCs w:val="20"/>
        </w:rPr>
        <w:t xml:space="preserve">must </w:t>
      </w:r>
      <w:r w:rsidR="002F7590" w:rsidRPr="00625F1E">
        <w:rPr>
          <w:rFonts w:cs="Verdana"/>
          <w:sz w:val="20"/>
          <w:szCs w:val="20"/>
        </w:rPr>
        <w:t xml:space="preserve">be </w:t>
      </w:r>
      <w:r w:rsidR="00007421" w:rsidRPr="00625F1E">
        <w:rPr>
          <w:rFonts w:cs="Verdana"/>
          <w:sz w:val="20"/>
          <w:szCs w:val="20"/>
        </w:rPr>
        <w:t>addressed and remedied by Uzbekistan,</w:t>
      </w:r>
      <w:r w:rsidR="002F7590" w:rsidRPr="00625F1E">
        <w:rPr>
          <w:rFonts w:cs="Verdana"/>
          <w:sz w:val="20"/>
          <w:szCs w:val="20"/>
        </w:rPr>
        <w:t xml:space="preserve"> as they represent </w:t>
      </w:r>
      <w:r w:rsidR="00733D1E" w:rsidRPr="00625F1E">
        <w:rPr>
          <w:rFonts w:cs="Verdana"/>
          <w:sz w:val="20"/>
          <w:szCs w:val="20"/>
        </w:rPr>
        <w:t>particularly</w:t>
      </w:r>
      <w:r w:rsidR="002F7590" w:rsidRPr="00625F1E">
        <w:rPr>
          <w:rFonts w:cs="Verdana"/>
          <w:sz w:val="20"/>
          <w:szCs w:val="20"/>
        </w:rPr>
        <w:t xml:space="preserve"> serious violations of core provisions of the Convention</w:t>
      </w:r>
      <w:r w:rsidR="00007421" w:rsidRPr="00625F1E">
        <w:rPr>
          <w:rFonts w:cs="Verdana"/>
          <w:sz w:val="20"/>
          <w:szCs w:val="20"/>
        </w:rPr>
        <w:t>, namely Articles 1, 2</w:t>
      </w:r>
      <w:r w:rsidR="005E0230" w:rsidRPr="00625F1E">
        <w:rPr>
          <w:rFonts w:cs="Verdana"/>
          <w:sz w:val="20"/>
          <w:szCs w:val="20"/>
        </w:rPr>
        <w:t>, 11</w:t>
      </w:r>
      <w:r w:rsidR="00007421" w:rsidRPr="00625F1E">
        <w:rPr>
          <w:rFonts w:cs="Verdana"/>
          <w:sz w:val="20"/>
          <w:szCs w:val="20"/>
        </w:rPr>
        <w:t xml:space="preserve"> and 16.</w:t>
      </w:r>
    </w:p>
    <w:p w14:paraId="78B75B95" w14:textId="77777777" w:rsidR="00543060" w:rsidRPr="00625F1E" w:rsidRDefault="00543060" w:rsidP="000A6B00">
      <w:pPr>
        <w:autoSpaceDE w:val="0"/>
        <w:autoSpaceDN w:val="0"/>
        <w:adjustRightInd w:val="0"/>
        <w:rPr>
          <w:rFonts w:ascii="Times New Roman" w:hAnsi="Times New Roman" w:cs="Times New Roman"/>
          <w:b/>
          <w:bCs/>
          <w:sz w:val="20"/>
          <w:szCs w:val="20"/>
        </w:rPr>
      </w:pPr>
    </w:p>
    <w:p w14:paraId="2B77D714" w14:textId="48D12CF7" w:rsidR="00543060" w:rsidRPr="00625F1E" w:rsidRDefault="00543060" w:rsidP="00543060">
      <w:pPr>
        <w:pStyle w:val="NormalWeb"/>
        <w:numPr>
          <w:ilvl w:val="0"/>
          <w:numId w:val="16"/>
        </w:numPr>
        <w:tabs>
          <w:tab w:val="left" w:pos="0"/>
        </w:tabs>
        <w:spacing w:before="0" w:beforeAutospacing="0" w:after="0" w:afterAutospacing="0" w:line="256" w:lineRule="atLeast"/>
        <w:ind w:left="567" w:hanging="567"/>
        <w:rPr>
          <w:rStyle w:val="Strong"/>
          <w:rFonts w:ascii="Verdana" w:hAnsi="Verdana"/>
          <w:iCs/>
          <w:lang w:val="en-GB"/>
        </w:rPr>
      </w:pPr>
      <w:r w:rsidRPr="00625F1E">
        <w:rPr>
          <w:rStyle w:val="Strong"/>
          <w:rFonts w:ascii="Verdana" w:hAnsi="Verdana"/>
          <w:iCs/>
          <w:lang w:val="en-GB"/>
        </w:rPr>
        <w:t>Recommendations</w:t>
      </w:r>
    </w:p>
    <w:p w14:paraId="1743DB54" w14:textId="77777777" w:rsidR="00543060" w:rsidRPr="00625F1E" w:rsidRDefault="00543060" w:rsidP="00543060">
      <w:pPr>
        <w:pStyle w:val="NormalWeb"/>
        <w:tabs>
          <w:tab w:val="left" w:pos="0"/>
        </w:tabs>
        <w:spacing w:before="0" w:beforeAutospacing="0" w:after="0" w:afterAutospacing="0" w:line="256" w:lineRule="atLeast"/>
        <w:rPr>
          <w:rStyle w:val="Strong"/>
          <w:rFonts w:ascii="Verdana" w:hAnsi="Verdana"/>
          <w:iCs/>
          <w:lang w:val="en-GB"/>
        </w:rPr>
      </w:pPr>
    </w:p>
    <w:p w14:paraId="275D1A77" w14:textId="68D6784A" w:rsidR="00543060" w:rsidRPr="00625F1E" w:rsidRDefault="00543060" w:rsidP="00543060">
      <w:pPr>
        <w:pStyle w:val="ListParagraph"/>
        <w:widowControl w:val="0"/>
        <w:numPr>
          <w:ilvl w:val="0"/>
          <w:numId w:val="15"/>
        </w:numPr>
        <w:tabs>
          <w:tab w:val="left" w:pos="567"/>
        </w:tabs>
        <w:autoSpaceDE w:val="0"/>
        <w:autoSpaceDN w:val="0"/>
        <w:adjustRightInd w:val="0"/>
        <w:spacing w:line="256" w:lineRule="atLeast"/>
        <w:ind w:left="567" w:hanging="567"/>
        <w:jc w:val="both"/>
        <w:rPr>
          <w:rStyle w:val="Strong"/>
          <w:rFonts w:cs="Verdana"/>
          <w:b w:val="0"/>
          <w:bCs w:val="0"/>
          <w:sz w:val="20"/>
          <w:szCs w:val="20"/>
        </w:rPr>
      </w:pPr>
      <w:r w:rsidRPr="00625F1E">
        <w:rPr>
          <w:rStyle w:val="Strong"/>
          <w:rFonts w:cs="Verdana"/>
          <w:b w:val="0"/>
          <w:bCs w:val="0"/>
          <w:sz w:val="20"/>
          <w:szCs w:val="20"/>
        </w:rPr>
        <w:t>In light of the above, the ICJ makes the following recommendations with a view of enhancing Uzbekistan’s compliance with and implementation of the following Convention provisions:</w:t>
      </w:r>
    </w:p>
    <w:p w14:paraId="06D19683" w14:textId="77777777" w:rsidR="00543060" w:rsidRPr="00625F1E" w:rsidRDefault="00543060" w:rsidP="00543060">
      <w:pPr>
        <w:pStyle w:val="ListParagraph"/>
        <w:widowControl w:val="0"/>
        <w:tabs>
          <w:tab w:val="left" w:pos="567"/>
        </w:tabs>
        <w:autoSpaceDE w:val="0"/>
        <w:autoSpaceDN w:val="0"/>
        <w:adjustRightInd w:val="0"/>
        <w:spacing w:line="256" w:lineRule="atLeast"/>
        <w:ind w:left="567"/>
        <w:jc w:val="both"/>
        <w:rPr>
          <w:rStyle w:val="Strong"/>
          <w:rFonts w:cs="Verdana"/>
          <w:b w:val="0"/>
          <w:bCs w:val="0"/>
          <w:sz w:val="20"/>
          <w:szCs w:val="20"/>
        </w:rPr>
      </w:pPr>
    </w:p>
    <w:p w14:paraId="4AD1AC94" w14:textId="1F387930" w:rsidR="00543060" w:rsidRPr="00625F1E" w:rsidRDefault="00543060" w:rsidP="00543060">
      <w:pPr>
        <w:pStyle w:val="ListParagraph"/>
        <w:widowControl w:val="0"/>
        <w:numPr>
          <w:ilvl w:val="0"/>
          <w:numId w:val="15"/>
        </w:numPr>
        <w:tabs>
          <w:tab w:val="left" w:pos="567"/>
        </w:tabs>
        <w:autoSpaceDE w:val="0"/>
        <w:autoSpaceDN w:val="0"/>
        <w:adjustRightInd w:val="0"/>
        <w:spacing w:line="256" w:lineRule="atLeast"/>
        <w:ind w:left="567" w:hanging="567"/>
        <w:jc w:val="both"/>
        <w:rPr>
          <w:rStyle w:val="Strong"/>
          <w:rFonts w:cs="Verdana"/>
          <w:sz w:val="20"/>
          <w:szCs w:val="20"/>
        </w:rPr>
      </w:pPr>
      <w:r w:rsidRPr="00625F1E">
        <w:rPr>
          <w:rStyle w:val="Strong"/>
          <w:rFonts w:cs="Verdana"/>
          <w:sz w:val="20"/>
          <w:szCs w:val="20"/>
        </w:rPr>
        <w:t xml:space="preserve">On the obligation to prevent torture and other forms of ill-treatment (Articles </w:t>
      </w:r>
      <w:r w:rsidR="00214A62" w:rsidRPr="00625F1E">
        <w:rPr>
          <w:rStyle w:val="Strong"/>
          <w:rFonts w:cs="Verdana"/>
          <w:sz w:val="20"/>
          <w:szCs w:val="20"/>
        </w:rPr>
        <w:t xml:space="preserve">1, </w:t>
      </w:r>
      <w:r w:rsidRPr="00625F1E">
        <w:rPr>
          <w:rStyle w:val="Strong"/>
          <w:rFonts w:cs="Verdana"/>
          <w:sz w:val="20"/>
          <w:szCs w:val="20"/>
        </w:rPr>
        <w:t>2</w:t>
      </w:r>
      <w:r w:rsidR="00214A62" w:rsidRPr="00625F1E">
        <w:rPr>
          <w:rStyle w:val="Strong"/>
          <w:rFonts w:cs="Verdana"/>
          <w:sz w:val="20"/>
          <w:szCs w:val="20"/>
        </w:rPr>
        <w:t>, 3 11</w:t>
      </w:r>
      <w:r w:rsidRPr="00625F1E">
        <w:rPr>
          <w:rStyle w:val="Strong"/>
          <w:rFonts w:cs="Verdana"/>
          <w:sz w:val="20"/>
          <w:szCs w:val="20"/>
        </w:rPr>
        <w:t xml:space="preserve"> and 16)</w:t>
      </w:r>
    </w:p>
    <w:p w14:paraId="71F9AB0F" w14:textId="035BF87B" w:rsidR="000A6B00" w:rsidRPr="00625F1E" w:rsidRDefault="000A6B00" w:rsidP="000A6B00">
      <w:pPr>
        <w:widowControl w:val="0"/>
        <w:tabs>
          <w:tab w:val="left" w:pos="220"/>
          <w:tab w:val="left" w:pos="284"/>
        </w:tabs>
        <w:autoSpaceDE w:val="0"/>
        <w:autoSpaceDN w:val="0"/>
        <w:adjustRightInd w:val="0"/>
        <w:spacing w:line="256" w:lineRule="atLeast"/>
        <w:rPr>
          <w:rStyle w:val="Strong"/>
          <w:rFonts w:cs="Verdana"/>
          <w:bCs w:val="0"/>
          <w:sz w:val="20"/>
          <w:szCs w:val="20"/>
        </w:rPr>
      </w:pPr>
    </w:p>
    <w:p w14:paraId="0F708735" w14:textId="25AA18D0" w:rsidR="00214793" w:rsidRPr="00625F1E" w:rsidRDefault="006A1873" w:rsidP="00214A62">
      <w:pPr>
        <w:pStyle w:val="ListParagraph"/>
        <w:numPr>
          <w:ilvl w:val="0"/>
          <w:numId w:val="28"/>
        </w:numPr>
        <w:autoSpaceDE w:val="0"/>
        <w:autoSpaceDN w:val="0"/>
        <w:adjustRightInd w:val="0"/>
        <w:ind w:left="567" w:hanging="283"/>
        <w:jc w:val="both"/>
        <w:rPr>
          <w:rFonts w:cs="Verdana"/>
          <w:sz w:val="20"/>
          <w:szCs w:val="20"/>
        </w:rPr>
      </w:pPr>
      <w:r w:rsidRPr="00625F1E">
        <w:rPr>
          <w:rFonts w:cs="Verdana"/>
          <w:sz w:val="20"/>
          <w:szCs w:val="20"/>
        </w:rPr>
        <w:t xml:space="preserve">Fully implement human rights and procedural safeguards and guarantees in </w:t>
      </w:r>
      <w:r w:rsidR="00464E32">
        <w:rPr>
          <w:rFonts w:cs="Verdana"/>
          <w:sz w:val="20"/>
          <w:szCs w:val="20"/>
        </w:rPr>
        <w:t xml:space="preserve">extradition </w:t>
      </w:r>
      <w:r w:rsidRPr="00625F1E">
        <w:rPr>
          <w:rFonts w:cs="Verdana"/>
          <w:sz w:val="20"/>
          <w:szCs w:val="20"/>
        </w:rPr>
        <w:t xml:space="preserve">proceedings or </w:t>
      </w:r>
      <w:r w:rsidR="004061AD">
        <w:rPr>
          <w:rFonts w:cs="Verdana"/>
          <w:sz w:val="20"/>
          <w:szCs w:val="20"/>
        </w:rPr>
        <w:t xml:space="preserve">in connection with </w:t>
      </w:r>
      <w:r w:rsidRPr="00625F1E">
        <w:rPr>
          <w:rFonts w:cs="Verdana"/>
          <w:sz w:val="20"/>
          <w:szCs w:val="20"/>
        </w:rPr>
        <w:t xml:space="preserve">other </w:t>
      </w:r>
      <w:r w:rsidR="004061AD">
        <w:rPr>
          <w:rFonts w:cs="Verdana"/>
          <w:sz w:val="20"/>
          <w:szCs w:val="20"/>
        </w:rPr>
        <w:t xml:space="preserve">types of </w:t>
      </w:r>
      <w:r w:rsidRPr="00625F1E">
        <w:rPr>
          <w:rFonts w:cs="Verdana"/>
          <w:sz w:val="20"/>
          <w:szCs w:val="20"/>
        </w:rPr>
        <w:t>transfers</w:t>
      </w:r>
      <w:r w:rsidR="004061AD">
        <w:rPr>
          <w:rFonts w:cs="Verdana"/>
          <w:sz w:val="20"/>
          <w:szCs w:val="20"/>
        </w:rPr>
        <w:t>,</w:t>
      </w:r>
      <w:r w:rsidRPr="00625F1E">
        <w:rPr>
          <w:rFonts w:cs="Verdana"/>
          <w:sz w:val="20"/>
          <w:szCs w:val="20"/>
        </w:rPr>
        <w:t xml:space="preserve"> and interpret and apply such safeguards in accordance with Uzbekistan’s international human rights law obligations. In particular, </w:t>
      </w:r>
      <w:r w:rsidR="00C67AED">
        <w:rPr>
          <w:rFonts w:cs="Verdana"/>
          <w:sz w:val="20"/>
          <w:szCs w:val="20"/>
        </w:rPr>
        <w:t xml:space="preserve">the Committee </w:t>
      </w:r>
      <w:r w:rsidR="00C67AED">
        <w:rPr>
          <w:rFonts w:cs="Verdana"/>
          <w:sz w:val="20"/>
          <w:szCs w:val="20"/>
        </w:rPr>
        <w:lastRenderedPageBreak/>
        <w:t xml:space="preserve">should recommend </w:t>
      </w:r>
      <w:r w:rsidR="004F54ED">
        <w:rPr>
          <w:rFonts w:cs="Verdana"/>
          <w:sz w:val="20"/>
          <w:szCs w:val="20"/>
        </w:rPr>
        <w:t>to</w:t>
      </w:r>
      <w:r w:rsidR="004F54ED" w:rsidRPr="00625F1E">
        <w:rPr>
          <w:rFonts w:cs="Verdana"/>
          <w:sz w:val="20"/>
          <w:szCs w:val="20"/>
        </w:rPr>
        <w:t xml:space="preserve"> </w:t>
      </w:r>
      <w:r w:rsidRPr="00625F1E">
        <w:rPr>
          <w:rFonts w:cs="Verdana"/>
          <w:sz w:val="20"/>
          <w:szCs w:val="20"/>
        </w:rPr>
        <w:t>Uzbekistan</w:t>
      </w:r>
      <w:r w:rsidR="004F54ED">
        <w:rPr>
          <w:rFonts w:cs="Verdana"/>
          <w:sz w:val="20"/>
          <w:szCs w:val="20"/>
        </w:rPr>
        <w:t xml:space="preserve"> to</w:t>
      </w:r>
      <w:r w:rsidRPr="00625F1E">
        <w:rPr>
          <w:rFonts w:cs="Verdana"/>
          <w:sz w:val="20"/>
          <w:szCs w:val="20"/>
        </w:rPr>
        <w:t xml:space="preserve"> t</w:t>
      </w:r>
      <w:r w:rsidR="00214793" w:rsidRPr="00625F1E">
        <w:rPr>
          <w:rFonts w:cs="Verdana"/>
          <w:sz w:val="20"/>
          <w:szCs w:val="20"/>
        </w:rPr>
        <w:t>ake</w:t>
      </w:r>
      <w:r w:rsidR="00C73E96" w:rsidRPr="00625F1E">
        <w:rPr>
          <w:rFonts w:cs="Verdana"/>
          <w:sz w:val="20"/>
          <w:szCs w:val="20"/>
        </w:rPr>
        <w:t xml:space="preserve"> all necessary</w:t>
      </w:r>
      <w:r w:rsidR="00214793" w:rsidRPr="00625F1E">
        <w:rPr>
          <w:rFonts w:cs="Verdana"/>
          <w:sz w:val="20"/>
          <w:szCs w:val="20"/>
        </w:rPr>
        <w:t xml:space="preserve"> measures to </w:t>
      </w:r>
      <w:r w:rsidR="00214A62" w:rsidRPr="00625F1E">
        <w:rPr>
          <w:rFonts w:cs="Verdana"/>
          <w:sz w:val="20"/>
          <w:szCs w:val="20"/>
        </w:rPr>
        <w:t xml:space="preserve">fully </w:t>
      </w:r>
      <w:r w:rsidR="00214793" w:rsidRPr="00625F1E">
        <w:rPr>
          <w:rFonts w:cs="Verdana"/>
          <w:sz w:val="20"/>
          <w:szCs w:val="20"/>
        </w:rPr>
        <w:t xml:space="preserve">implement </w:t>
      </w:r>
      <w:r w:rsidR="00C73E96" w:rsidRPr="00625F1E">
        <w:rPr>
          <w:rFonts w:cs="Verdana"/>
          <w:sz w:val="20"/>
          <w:szCs w:val="20"/>
        </w:rPr>
        <w:t xml:space="preserve">the </w:t>
      </w:r>
      <w:r w:rsidR="004061AD">
        <w:rPr>
          <w:rFonts w:cs="Verdana"/>
          <w:sz w:val="20"/>
          <w:szCs w:val="20"/>
        </w:rPr>
        <w:t xml:space="preserve">human rights </w:t>
      </w:r>
      <w:r w:rsidRPr="00625F1E">
        <w:rPr>
          <w:rFonts w:cs="Verdana"/>
          <w:sz w:val="20"/>
          <w:szCs w:val="20"/>
        </w:rPr>
        <w:t>guarantees</w:t>
      </w:r>
      <w:r w:rsidR="00C73E96" w:rsidRPr="00625F1E">
        <w:rPr>
          <w:rFonts w:cs="Verdana"/>
          <w:sz w:val="20"/>
          <w:szCs w:val="20"/>
        </w:rPr>
        <w:t xml:space="preserve"> </w:t>
      </w:r>
      <w:r w:rsidR="004061AD">
        <w:rPr>
          <w:rFonts w:cs="Verdana"/>
          <w:sz w:val="20"/>
          <w:szCs w:val="20"/>
        </w:rPr>
        <w:t xml:space="preserve">featured in </w:t>
      </w:r>
      <w:r w:rsidR="00AF20CC" w:rsidRPr="00625F1E">
        <w:rPr>
          <w:rFonts w:cs="Verdana"/>
          <w:sz w:val="20"/>
          <w:szCs w:val="20"/>
        </w:rPr>
        <w:t xml:space="preserve">the </w:t>
      </w:r>
      <w:r w:rsidR="00214793" w:rsidRPr="00625F1E">
        <w:rPr>
          <w:rFonts w:cs="Verdana"/>
          <w:sz w:val="20"/>
          <w:szCs w:val="20"/>
        </w:rPr>
        <w:t>Chisinau Convention</w:t>
      </w:r>
      <w:r w:rsidR="00C73E96" w:rsidRPr="00625F1E">
        <w:rPr>
          <w:rFonts w:cs="Verdana"/>
          <w:sz w:val="20"/>
          <w:szCs w:val="20"/>
        </w:rPr>
        <w:t xml:space="preserve"> into its domestic legislation.</w:t>
      </w:r>
      <w:r w:rsidRPr="00625F1E">
        <w:rPr>
          <w:rFonts w:cs="Verdana"/>
          <w:sz w:val="20"/>
          <w:szCs w:val="20"/>
        </w:rPr>
        <w:t xml:space="preserve"> </w:t>
      </w:r>
    </w:p>
    <w:p w14:paraId="0096EEB6" w14:textId="77777777" w:rsidR="004001E9" w:rsidRPr="00625F1E" w:rsidRDefault="004001E9" w:rsidP="00214A62">
      <w:pPr>
        <w:pStyle w:val="ListParagraph"/>
        <w:autoSpaceDE w:val="0"/>
        <w:autoSpaceDN w:val="0"/>
        <w:adjustRightInd w:val="0"/>
        <w:ind w:left="567" w:hanging="283"/>
        <w:jc w:val="both"/>
        <w:rPr>
          <w:rFonts w:cs="Verdana"/>
          <w:sz w:val="20"/>
          <w:szCs w:val="20"/>
        </w:rPr>
      </w:pPr>
    </w:p>
    <w:p w14:paraId="4C225026" w14:textId="1F8572CD" w:rsidR="004001E9" w:rsidRPr="00625F1E" w:rsidRDefault="00C67AED" w:rsidP="00214A62">
      <w:pPr>
        <w:pStyle w:val="ListParagraph"/>
        <w:numPr>
          <w:ilvl w:val="0"/>
          <w:numId w:val="28"/>
        </w:numPr>
        <w:autoSpaceDE w:val="0"/>
        <w:autoSpaceDN w:val="0"/>
        <w:adjustRightInd w:val="0"/>
        <w:ind w:left="567" w:hanging="283"/>
        <w:jc w:val="both"/>
        <w:rPr>
          <w:rFonts w:cs="Verdana"/>
          <w:sz w:val="20"/>
          <w:szCs w:val="20"/>
        </w:rPr>
      </w:pPr>
      <w:r>
        <w:rPr>
          <w:rFonts w:cs="Verdana"/>
          <w:sz w:val="20"/>
          <w:szCs w:val="20"/>
        </w:rPr>
        <w:t xml:space="preserve">Implement the necessary reforms to </w:t>
      </w:r>
      <w:r w:rsidR="00DA3B50">
        <w:rPr>
          <w:rFonts w:cs="Verdana"/>
          <w:sz w:val="20"/>
          <w:szCs w:val="20"/>
        </w:rPr>
        <w:t xml:space="preserve">give </w:t>
      </w:r>
      <w:r w:rsidR="00AF20CC" w:rsidRPr="00625F1E">
        <w:rPr>
          <w:rFonts w:cs="Verdana"/>
          <w:sz w:val="20"/>
          <w:szCs w:val="20"/>
        </w:rPr>
        <w:t>judicial authorities t</w:t>
      </w:r>
      <w:r w:rsidR="004001E9" w:rsidRPr="00625F1E">
        <w:rPr>
          <w:rFonts w:cs="Verdana"/>
          <w:sz w:val="20"/>
          <w:szCs w:val="20"/>
        </w:rPr>
        <w:t xml:space="preserve">he </w:t>
      </w:r>
      <w:r w:rsidR="00DA3B50">
        <w:rPr>
          <w:rFonts w:cs="Verdana"/>
          <w:sz w:val="20"/>
          <w:szCs w:val="20"/>
        </w:rPr>
        <w:t xml:space="preserve">central </w:t>
      </w:r>
      <w:r w:rsidR="004061AD">
        <w:rPr>
          <w:rFonts w:cs="Verdana"/>
          <w:sz w:val="20"/>
          <w:szCs w:val="20"/>
        </w:rPr>
        <w:t xml:space="preserve">decision-making </w:t>
      </w:r>
      <w:r w:rsidR="00DA3B50">
        <w:rPr>
          <w:rFonts w:cs="Verdana"/>
          <w:sz w:val="20"/>
          <w:szCs w:val="20"/>
        </w:rPr>
        <w:t xml:space="preserve">role </w:t>
      </w:r>
      <w:r w:rsidR="004001E9" w:rsidRPr="00625F1E">
        <w:rPr>
          <w:rFonts w:cs="Verdana"/>
          <w:sz w:val="20"/>
          <w:szCs w:val="20"/>
        </w:rPr>
        <w:t>in extradition proceedings</w:t>
      </w:r>
      <w:r w:rsidR="004061AD">
        <w:rPr>
          <w:rFonts w:cs="Verdana"/>
          <w:sz w:val="20"/>
          <w:szCs w:val="20"/>
        </w:rPr>
        <w:t>,</w:t>
      </w:r>
      <w:r w:rsidR="006A1873" w:rsidRPr="00625F1E">
        <w:rPr>
          <w:rFonts w:cs="Verdana"/>
          <w:sz w:val="20"/>
          <w:szCs w:val="20"/>
        </w:rPr>
        <w:t xml:space="preserve"> and ensure their full independence both at an institutional and personal level, in law and in practice</w:t>
      </w:r>
      <w:r w:rsidR="004001E9" w:rsidRPr="00625F1E">
        <w:rPr>
          <w:rFonts w:cs="Verdana"/>
          <w:sz w:val="20"/>
          <w:szCs w:val="20"/>
        </w:rPr>
        <w:t xml:space="preserve">. </w:t>
      </w:r>
      <w:r w:rsidR="004061AD">
        <w:rPr>
          <w:rFonts w:cs="Verdana"/>
          <w:sz w:val="20"/>
          <w:szCs w:val="20"/>
        </w:rPr>
        <w:t>Extradition d</w:t>
      </w:r>
      <w:r w:rsidR="004001E9" w:rsidRPr="00625F1E">
        <w:rPr>
          <w:rFonts w:cs="Verdana"/>
          <w:sz w:val="20"/>
          <w:szCs w:val="20"/>
        </w:rPr>
        <w:t>ecision</w:t>
      </w:r>
      <w:r w:rsidR="006A1873" w:rsidRPr="00625F1E">
        <w:rPr>
          <w:rFonts w:cs="Verdana"/>
          <w:sz w:val="20"/>
          <w:szCs w:val="20"/>
        </w:rPr>
        <w:t>s</w:t>
      </w:r>
      <w:r w:rsidR="004001E9" w:rsidRPr="00625F1E">
        <w:rPr>
          <w:rFonts w:cs="Verdana"/>
          <w:sz w:val="20"/>
          <w:szCs w:val="20"/>
        </w:rPr>
        <w:t xml:space="preserve"> should be </w:t>
      </w:r>
      <w:r w:rsidR="006A1873" w:rsidRPr="00625F1E">
        <w:rPr>
          <w:rFonts w:cs="Verdana"/>
          <w:sz w:val="20"/>
          <w:szCs w:val="20"/>
        </w:rPr>
        <w:t>taken</w:t>
      </w:r>
      <w:r w:rsidR="004001E9" w:rsidRPr="00625F1E">
        <w:rPr>
          <w:rFonts w:cs="Verdana"/>
          <w:sz w:val="20"/>
          <w:szCs w:val="20"/>
        </w:rPr>
        <w:t xml:space="preserve"> by prosecutor</w:t>
      </w:r>
      <w:r w:rsidR="006A1873" w:rsidRPr="00625F1E">
        <w:rPr>
          <w:rFonts w:cs="Verdana"/>
          <w:sz w:val="20"/>
          <w:szCs w:val="20"/>
        </w:rPr>
        <w:t>s</w:t>
      </w:r>
      <w:r w:rsidR="004001E9" w:rsidRPr="00625F1E">
        <w:rPr>
          <w:rFonts w:cs="Verdana"/>
          <w:sz w:val="20"/>
          <w:szCs w:val="20"/>
        </w:rPr>
        <w:t xml:space="preserve"> </w:t>
      </w:r>
      <w:r w:rsidR="004061AD">
        <w:rPr>
          <w:rFonts w:cs="Verdana"/>
          <w:sz w:val="20"/>
          <w:szCs w:val="20"/>
        </w:rPr>
        <w:t xml:space="preserve">only </w:t>
      </w:r>
      <w:r w:rsidR="004001E9" w:rsidRPr="00625F1E">
        <w:rPr>
          <w:rFonts w:cs="Verdana"/>
          <w:sz w:val="20"/>
          <w:szCs w:val="20"/>
        </w:rPr>
        <w:t xml:space="preserve">if </w:t>
      </w:r>
      <w:r w:rsidR="006A1873" w:rsidRPr="00625F1E">
        <w:rPr>
          <w:rFonts w:cs="Verdana"/>
          <w:sz w:val="20"/>
          <w:szCs w:val="20"/>
        </w:rPr>
        <w:t>they</w:t>
      </w:r>
      <w:r w:rsidR="004001E9" w:rsidRPr="00625F1E">
        <w:rPr>
          <w:rFonts w:cs="Verdana"/>
          <w:sz w:val="20"/>
          <w:szCs w:val="20"/>
        </w:rPr>
        <w:t xml:space="preserve"> enjoy the same level of independence as judges, in law and in practice.</w:t>
      </w:r>
    </w:p>
    <w:p w14:paraId="79A7CEC6" w14:textId="77777777" w:rsidR="00FE5132" w:rsidRPr="00625F1E" w:rsidRDefault="00FE5132" w:rsidP="00FE5132">
      <w:pPr>
        <w:autoSpaceDE w:val="0"/>
        <w:autoSpaceDN w:val="0"/>
        <w:adjustRightInd w:val="0"/>
        <w:jc w:val="both"/>
        <w:rPr>
          <w:rFonts w:cs="Verdana"/>
          <w:sz w:val="20"/>
          <w:szCs w:val="20"/>
        </w:rPr>
      </w:pPr>
    </w:p>
    <w:p w14:paraId="75910B2D" w14:textId="5D91F352" w:rsidR="00FE5132" w:rsidRPr="00625F1E" w:rsidRDefault="00FE5132" w:rsidP="00FE5132">
      <w:pPr>
        <w:pStyle w:val="ListParagraph"/>
        <w:numPr>
          <w:ilvl w:val="0"/>
          <w:numId w:val="28"/>
        </w:numPr>
        <w:autoSpaceDE w:val="0"/>
        <w:autoSpaceDN w:val="0"/>
        <w:adjustRightInd w:val="0"/>
        <w:ind w:left="567" w:hanging="283"/>
        <w:jc w:val="both"/>
        <w:rPr>
          <w:rFonts w:cs="Verdana"/>
          <w:sz w:val="20"/>
          <w:szCs w:val="20"/>
        </w:rPr>
      </w:pPr>
      <w:r w:rsidRPr="00625F1E">
        <w:rPr>
          <w:rFonts w:cs="Verdana"/>
          <w:sz w:val="20"/>
          <w:szCs w:val="20"/>
        </w:rPr>
        <w:t xml:space="preserve">Ensure that individuals extradited to face trial in </w:t>
      </w:r>
      <w:r w:rsidR="004061AD">
        <w:rPr>
          <w:rFonts w:cs="Verdana"/>
          <w:sz w:val="20"/>
          <w:szCs w:val="20"/>
        </w:rPr>
        <w:t>Uzbekistan</w:t>
      </w:r>
      <w:r w:rsidR="004061AD" w:rsidRPr="00625F1E">
        <w:rPr>
          <w:rFonts w:cs="Verdana"/>
          <w:sz w:val="20"/>
          <w:szCs w:val="20"/>
        </w:rPr>
        <w:t xml:space="preserve"> </w:t>
      </w:r>
      <w:r w:rsidRPr="00625F1E">
        <w:rPr>
          <w:rFonts w:cs="Verdana"/>
          <w:sz w:val="20"/>
          <w:szCs w:val="20"/>
        </w:rPr>
        <w:t>courts are awarded the full protection of the Convention.</w:t>
      </w:r>
    </w:p>
    <w:p w14:paraId="3BC02471" w14:textId="77777777" w:rsidR="004001E9" w:rsidRPr="00625F1E" w:rsidRDefault="004001E9" w:rsidP="006A1873">
      <w:pPr>
        <w:autoSpaceDE w:val="0"/>
        <w:autoSpaceDN w:val="0"/>
        <w:adjustRightInd w:val="0"/>
        <w:jc w:val="both"/>
        <w:rPr>
          <w:rFonts w:cs="Verdana"/>
          <w:sz w:val="20"/>
          <w:szCs w:val="20"/>
        </w:rPr>
      </w:pPr>
    </w:p>
    <w:p w14:paraId="7D2A3B29" w14:textId="336914CF" w:rsidR="00543060" w:rsidRPr="00625F1E" w:rsidRDefault="00543060" w:rsidP="00214A62">
      <w:pPr>
        <w:pStyle w:val="ListParagraph"/>
        <w:numPr>
          <w:ilvl w:val="0"/>
          <w:numId w:val="28"/>
        </w:numPr>
        <w:autoSpaceDE w:val="0"/>
        <w:autoSpaceDN w:val="0"/>
        <w:adjustRightInd w:val="0"/>
        <w:ind w:left="567" w:hanging="283"/>
        <w:jc w:val="both"/>
        <w:rPr>
          <w:rFonts w:cs="Verdana"/>
          <w:sz w:val="20"/>
          <w:szCs w:val="20"/>
        </w:rPr>
      </w:pPr>
      <w:r w:rsidRPr="00625F1E">
        <w:rPr>
          <w:rFonts w:cs="Verdana"/>
          <w:sz w:val="20"/>
          <w:szCs w:val="20"/>
        </w:rPr>
        <w:t>Take effective measures to prevent torture and other forms of ill-treatment</w:t>
      </w:r>
      <w:r w:rsidR="004061AD">
        <w:rPr>
          <w:rFonts w:cs="Verdana"/>
          <w:sz w:val="20"/>
          <w:szCs w:val="20"/>
        </w:rPr>
        <w:t>,</w:t>
      </w:r>
      <w:r w:rsidR="001D41D2">
        <w:rPr>
          <w:rFonts w:cs="Verdana"/>
          <w:sz w:val="20"/>
          <w:szCs w:val="20"/>
        </w:rPr>
        <w:t xml:space="preserve"> including </w:t>
      </w:r>
      <w:r w:rsidR="004061AD">
        <w:rPr>
          <w:rFonts w:cs="Verdana"/>
          <w:sz w:val="20"/>
          <w:szCs w:val="20"/>
        </w:rPr>
        <w:t xml:space="preserve">by ensuring compliance with </w:t>
      </w:r>
      <w:r w:rsidR="001D41D2">
        <w:rPr>
          <w:rFonts w:cs="Verdana"/>
          <w:sz w:val="20"/>
          <w:szCs w:val="20"/>
        </w:rPr>
        <w:t xml:space="preserve">the </w:t>
      </w:r>
      <w:r w:rsidR="001D41D2" w:rsidRPr="00DA35BE">
        <w:rPr>
          <w:rFonts w:cs="Verdana"/>
          <w:i/>
          <w:iCs/>
          <w:sz w:val="20"/>
          <w:szCs w:val="20"/>
        </w:rPr>
        <w:t>non-refoulement</w:t>
      </w:r>
      <w:r w:rsidR="001D41D2">
        <w:rPr>
          <w:rFonts w:cs="Verdana"/>
          <w:sz w:val="20"/>
          <w:szCs w:val="20"/>
        </w:rPr>
        <w:t xml:space="preserve"> principle in extradition proceedings</w:t>
      </w:r>
      <w:r w:rsidRPr="00625F1E">
        <w:rPr>
          <w:rFonts w:cs="Verdana"/>
          <w:sz w:val="20"/>
          <w:szCs w:val="20"/>
        </w:rPr>
        <w:t>.</w:t>
      </w:r>
    </w:p>
    <w:p w14:paraId="58611F9A" w14:textId="77777777" w:rsidR="00213651" w:rsidRPr="00625F1E" w:rsidRDefault="00213651" w:rsidP="00FE5132">
      <w:pPr>
        <w:rPr>
          <w:rFonts w:cs="Verdana"/>
          <w:sz w:val="20"/>
          <w:szCs w:val="20"/>
        </w:rPr>
      </w:pPr>
    </w:p>
    <w:p w14:paraId="0BB5CC09" w14:textId="113DEE4C" w:rsidR="00213651" w:rsidRPr="00625F1E" w:rsidRDefault="00FE5132" w:rsidP="00214A62">
      <w:pPr>
        <w:pStyle w:val="ListParagraph"/>
        <w:numPr>
          <w:ilvl w:val="0"/>
          <w:numId w:val="28"/>
        </w:numPr>
        <w:autoSpaceDE w:val="0"/>
        <w:autoSpaceDN w:val="0"/>
        <w:adjustRightInd w:val="0"/>
        <w:ind w:left="567" w:hanging="283"/>
        <w:jc w:val="both"/>
        <w:rPr>
          <w:rFonts w:cs="Verdana"/>
          <w:sz w:val="20"/>
          <w:szCs w:val="20"/>
        </w:rPr>
      </w:pPr>
      <w:r w:rsidRPr="00625F1E">
        <w:rPr>
          <w:rFonts w:cs="Verdana"/>
          <w:sz w:val="20"/>
          <w:szCs w:val="20"/>
        </w:rPr>
        <w:t>Carry out e</w:t>
      </w:r>
      <w:r w:rsidR="00213651" w:rsidRPr="00625F1E">
        <w:rPr>
          <w:rFonts w:cs="Verdana"/>
          <w:sz w:val="20"/>
          <w:szCs w:val="20"/>
        </w:rPr>
        <w:t xml:space="preserve">ffective, independent and impartial investigations </w:t>
      </w:r>
      <w:r w:rsidR="004061AD">
        <w:rPr>
          <w:rFonts w:cs="Verdana"/>
          <w:sz w:val="20"/>
          <w:szCs w:val="20"/>
        </w:rPr>
        <w:t xml:space="preserve">with a view </w:t>
      </w:r>
      <w:r w:rsidR="00213651" w:rsidRPr="00625F1E">
        <w:rPr>
          <w:rFonts w:cs="Verdana"/>
          <w:sz w:val="20"/>
          <w:szCs w:val="20"/>
        </w:rPr>
        <w:t>to identify</w:t>
      </w:r>
      <w:r w:rsidR="004061AD">
        <w:rPr>
          <w:rFonts w:cs="Verdana"/>
          <w:sz w:val="20"/>
          <w:szCs w:val="20"/>
        </w:rPr>
        <w:t>ing</w:t>
      </w:r>
      <w:r w:rsidR="00213651" w:rsidRPr="00625F1E">
        <w:rPr>
          <w:rFonts w:cs="Verdana"/>
          <w:sz w:val="20"/>
          <w:szCs w:val="20"/>
        </w:rPr>
        <w:t xml:space="preserve"> persons directly and indirectly responsible for rendition operations and abduction practices</w:t>
      </w:r>
      <w:r w:rsidR="004061AD">
        <w:rPr>
          <w:rFonts w:cs="Verdana"/>
          <w:sz w:val="20"/>
          <w:szCs w:val="20"/>
        </w:rPr>
        <w:t xml:space="preserve">, as they </w:t>
      </w:r>
      <w:r w:rsidR="00213651" w:rsidRPr="00625F1E">
        <w:rPr>
          <w:rFonts w:cs="Verdana"/>
          <w:sz w:val="20"/>
          <w:szCs w:val="20"/>
        </w:rPr>
        <w:t>violate human rights and involve crimes under international law. Those responsible should be prosecuted, tried and, if convicted, sentenced to punishment</w:t>
      </w:r>
      <w:r w:rsidR="004061AD">
        <w:rPr>
          <w:rFonts w:cs="Verdana"/>
          <w:sz w:val="20"/>
          <w:szCs w:val="20"/>
        </w:rPr>
        <w:t>s commensurate with the gravity of their crimes,</w:t>
      </w:r>
      <w:r w:rsidR="00213651" w:rsidRPr="00625F1E">
        <w:rPr>
          <w:rFonts w:cs="Verdana"/>
          <w:sz w:val="20"/>
          <w:szCs w:val="20"/>
        </w:rPr>
        <w:t xml:space="preserve"> and </w:t>
      </w:r>
      <w:r w:rsidR="004061AD">
        <w:rPr>
          <w:rFonts w:cs="Verdana"/>
          <w:sz w:val="20"/>
          <w:szCs w:val="20"/>
        </w:rPr>
        <w:t xml:space="preserve">to </w:t>
      </w:r>
      <w:r w:rsidR="00213651" w:rsidRPr="00625F1E">
        <w:rPr>
          <w:rFonts w:cs="Verdana"/>
          <w:sz w:val="20"/>
          <w:szCs w:val="20"/>
        </w:rPr>
        <w:t>appropriate administrative sanctions to ensure non-repetition.</w:t>
      </w:r>
    </w:p>
    <w:p w14:paraId="6A8BACCA" w14:textId="077A6973" w:rsidR="00E40054" w:rsidRPr="007C3F80" w:rsidRDefault="00E40054" w:rsidP="007C3F80">
      <w:pPr>
        <w:autoSpaceDE w:val="0"/>
        <w:autoSpaceDN w:val="0"/>
        <w:adjustRightInd w:val="0"/>
        <w:jc w:val="both"/>
        <w:rPr>
          <w:rStyle w:val="Strong"/>
          <w:rFonts w:cs="Verdana"/>
          <w:b w:val="0"/>
          <w:bCs w:val="0"/>
          <w:sz w:val="20"/>
          <w:szCs w:val="20"/>
        </w:rPr>
      </w:pPr>
    </w:p>
    <w:sectPr w:rsidR="00E40054" w:rsidRPr="007C3F80" w:rsidSect="005332BF">
      <w:footerReference w:type="even" r:id="rId11"/>
      <w:footerReference w:type="default" r:id="rId12"/>
      <w:pgSz w:w="11900" w:h="16840"/>
      <w:pgMar w:top="1440" w:right="1797" w:bottom="1440" w:left="1797" w:header="709" w:footer="709" w:gutter="0"/>
      <w:pgNumType w:start="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3AA8D9" w14:textId="77777777" w:rsidR="00C903CE" w:rsidRDefault="00C903CE" w:rsidP="001F22BC">
      <w:r>
        <w:separator/>
      </w:r>
    </w:p>
  </w:endnote>
  <w:endnote w:type="continuationSeparator" w:id="0">
    <w:p w14:paraId="00C0F5D3" w14:textId="77777777" w:rsidR="00C903CE" w:rsidRDefault="00C903CE" w:rsidP="001F2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Lucida Grande">
    <w:altName w:val="Segoe UI"/>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Verdana-Italic">
    <w:altName w:val="Verdana"/>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80C8ED" w14:textId="77777777" w:rsidR="00464E32" w:rsidRDefault="00464E32" w:rsidP="005332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A9070F" w14:textId="77777777" w:rsidR="00464E32" w:rsidRDefault="00464E32" w:rsidP="007F1D1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E44B3C" w14:textId="77777777" w:rsidR="00464E32" w:rsidRDefault="00464E32" w:rsidP="000E508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75B77">
      <w:rPr>
        <w:rStyle w:val="PageNumber"/>
        <w:noProof/>
      </w:rPr>
      <w:t>1</w:t>
    </w:r>
    <w:r>
      <w:rPr>
        <w:rStyle w:val="PageNumber"/>
      </w:rPr>
      <w:fldChar w:fldCharType="end"/>
    </w:r>
  </w:p>
  <w:p w14:paraId="1C668C55" w14:textId="77777777" w:rsidR="00464E32" w:rsidRDefault="00464E32" w:rsidP="007F1D1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516EF7" w14:textId="77777777" w:rsidR="00C903CE" w:rsidRDefault="00C903CE" w:rsidP="001F22BC">
      <w:r>
        <w:separator/>
      </w:r>
    </w:p>
  </w:footnote>
  <w:footnote w:type="continuationSeparator" w:id="0">
    <w:p w14:paraId="141106C7" w14:textId="77777777" w:rsidR="00C903CE" w:rsidRDefault="00C903CE" w:rsidP="001F22BC">
      <w:r>
        <w:continuationSeparator/>
      </w:r>
    </w:p>
  </w:footnote>
  <w:footnote w:id="1">
    <w:p w14:paraId="3D50E13B" w14:textId="3903D3A6" w:rsidR="00464E32" w:rsidRPr="00D03180" w:rsidRDefault="00464E32" w:rsidP="00D03180">
      <w:pPr>
        <w:pStyle w:val="FootnoteText"/>
        <w:rPr>
          <w:sz w:val="17"/>
          <w:szCs w:val="17"/>
        </w:rPr>
      </w:pPr>
      <w:r w:rsidRPr="00D03180">
        <w:rPr>
          <w:rStyle w:val="FootnoteReference"/>
          <w:sz w:val="17"/>
          <w:szCs w:val="17"/>
        </w:rPr>
        <w:footnoteRef/>
      </w:r>
      <w:r w:rsidRPr="00D03180">
        <w:rPr>
          <w:sz w:val="17"/>
          <w:szCs w:val="17"/>
        </w:rPr>
        <w:t xml:space="preserve"> The reforms were incapsulated into the five strategic areas of development of Uzbekistan from 2017 to 2012: </w:t>
      </w:r>
      <w:hyperlink r:id="rId1" w:history="1">
        <w:r w:rsidRPr="00D03180">
          <w:rPr>
            <w:rStyle w:val="Hyperlink"/>
            <w:sz w:val="17"/>
            <w:szCs w:val="17"/>
          </w:rPr>
          <w:t>https://strategy.uz/index.php?static=prioritetnye_napravleniya</w:t>
        </w:r>
      </w:hyperlink>
      <w:r w:rsidRPr="00D03180">
        <w:rPr>
          <w:sz w:val="17"/>
          <w:szCs w:val="17"/>
        </w:rPr>
        <w:t xml:space="preserve">.  </w:t>
      </w:r>
    </w:p>
  </w:footnote>
  <w:footnote w:id="2">
    <w:p w14:paraId="0A53760E" w14:textId="15149BB4" w:rsidR="00464E32" w:rsidRPr="00D03180" w:rsidRDefault="00464E32" w:rsidP="00D03180">
      <w:pPr>
        <w:pStyle w:val="FootnoteText"/>
        <w:rPr>
          <w:sz w:val="17"/>
          <w:szCs w:val="17"/>
        </w:rPr>
      </w:pPr>
      <w:r w:rsidRPr="00D03180">
        <w:rPr>
          <w:rStyle w:val="FootnoteReference"/>
          <w:sz w:val="17"/>
          <w:szCs w:val="17"/>
        </w:rPr>
        <w:footnoteRef/>
      </w:r>
      <w:r w:rsidRPr="00D03180">
        <w:rPr>
          <w:sz w:val="17"/>
          <w:szCs w:val="17"/>
        </w:rPr>
        <w:t xml:space="preserve"> ICJ, </w:t>
      </w:r>
      <w:r w:rsidRPr="00D03180">
        <w:rPr>
          <w:i/>
          <w:iCs/>
          <w:sz w:val="17"/>
          <w:szCs w:val="17"/>
        </w:rPr>
        <w:t>Uzbekistan: Ratification of the Chisinau Convention a welcome step to protect people subject to extradition,</w:t>
      </w:r>
      <w:r w:rsidRPr="00D03180">
        <w:rPr>
          <w:sz w:val="17"/>
          <w:szCs w:val="17"/>
        </w:rPr>
        <w:t xml:space="preserve"> 27 August 2019, available at https://www.icj.org/uzbekistan-ratification-of-the-chisinau-convention-a-welcome-step-to-protect-people-subject-to-extradition/.</w:t>
      </w:r>
    </w:p>
  </w:footnote>
  <w:footnote w:id="3">
    <w:p w14:paraId="7FD03ED4" w14:textId="5DC23AD3" w:rsidR="00464E32" w:rsidRPr="00D03180" w:rsidRDefault="00464E32" w:rsidP="00D03180">
      <w:pPr>
        <w:pStyle w:val="FootnoteText"/>
        <w:rPr>
          <w:sz w:val="17"/>
          <w:szCs w:val="17"/>
        </w:rPr>
      </w:pPr>
      <w:r w:rsidRPr="00D03180">
        <w:rPr>
          <w:rStyle w:val="FootnoteReference"/>
          <w:sz w:val="17"/>
          <w:szCs w:val="17"/>
        </w:rPr>
        <w:footnoteRef/>
      </w:r>
      <w:r w:rsidRPr="00D03180">
        <w:rPr>
          <w:sz w:val="17"/>
          <w:szCs w:val="17"/>
        </w:rPr>
        <w:t xml:space="preserve"> ICJ, </w:t>
      </w:r>
      <w:r w:rsidRPr="00D03180">
        <w:rPr>
          <w:rStyle w:val="Strong"/>
          <w:rFonts w:cs="Verdana"/>
          <w:b w:val="0"/>
          <w:bCs w:val="0"/>
          <w:i/>
          <w:iCs/>
          <w:sz w:val="17"/>
          <w:szCs w:val="17"/>
          <w:lang w:val="en-US"/>
        </w:rPr>
        <w:t>Transnational Injustices: National Security Transfers and International Law</w:t>
      </w:r>
      <w:r w:rsidRPr="00D03180">
        <w:rPr>
          <w:rStyle w:val="Strong"/>
          <w:rFonts w:cs="Verdana"/>
          <w:b w:val="0"/>
          <w:bCs w:val="0"/>
          <w:sz w:val="17"/>
          <w:szCs w:val="17"/>
          <w:lang w:val="en-US"/>
        </w:rPr>
        <w:t xml:space="preserve">, September 2017, available at </w:t>
      </w:r>
      <w:hyperlink r:id="rId2" w:history="1">
        <w:r w:rsidRPr="00D03180">
          <w:rPr>
            <w:rStyle w:val="Hyperlink"/>
            <w:sz w:val="17"/>
            <w:szCs w:val="17"/>
          </w:rPr>
          <w:t>https://www.icj.org/wp-content/uploads/2017/09/Europe-Transnational-Injustices-Publications-Reports-Thematic-reports-2017-ENG.pdf</w:t>
        </w:r>
      </w:hyperlink>
      <w:r w:rsidRPr="00D03180">
        <w:rPr>
          <w:sz w:val="17"/>
          <w:szCs w:val="17"/>
        </w:rPr>
        <w:t xml:space="preserve"> </w:t>
      </w:r>
      <w:r w:rsidRPr="00D03180">
        <w:rPr>
          <w:rStyle w:val="Strong"/>
          <w:rFonts w:cs="Verdana"/>
          <w:b w:val="0"/>
          <w:bCs w:val="0"/>
          <w:sz w:val="17"/>
          <w:szCs w:val="17"/>
          <w:lang w:val="en-US"/>
        </w:rPr>
        <w:t>.</w:t>
      </w:r>
    </w:p>
  </w:footnote>
  <w:footnote w:id="4">
    <w:p w14:paraId="1006E5A0" w14:textId="6EDC697F" w:rsidR="00464E32" w:rsidRPr="000E1C8D" w:rsidRDefault="00464E32" w:rsidP="00D03180">
      <w:pPr>
        <w:autoSpaceDE w:val="0"/>
        <w:autoSpaceDN w:val="0"/>
        <w:adjustRightInd w:val="0"/>
        <w:jc w:val="both"/>
        <w:rPr>
          <w:rFonts w:cs="Verdana"/>
          <w:sz w:val="17"/>
          <w:szCs w:val="17"/>
          <w:lang w:val="fr-CH"/>
        </w:rPr>
      </w:pPr>
      <w:r w:rsidRPr="00D03180">
        <w:rPr>
          <w:rStyle w:val="FootnoteReference"/>
          <w:sz w:val="17"/>
          <w:szCs w:val="17"/>
        </w:rPr>
        <w:footnoteRef/>
      </w:r>
      <w:r w:rsidRPr="000E1C8D">
        <w:rPr>
          <w:sz w:val="17"/>
          <w:szCs w:val="17"/>
          <w:lang w:val="fr-CH"/>
        </w:rPr>
        <w:t xml:space="preserve"> </w:t>
      </w:r>
      <w:r w:rsidRPr="000E1C8D">
        <w:rPr>
          <w:rFonts w:cs="Verdana-Italic"/>
          <w:sz w:val="17"/>
          <w:szCs w:val="17"/>
          <w:lang w:val="fr-CH"/>
        </w:rPr>
        <w:t>Minsk Convention</w:t>
      </w:r>
      <w:r w:rsidRPr="000E1C8D">
        <w:rPr>
          <w:rFonts w:cs="Verdana"/>
          <w:sz w:val="17"/>
          <w:szCs w:val="17"/>
          <w:lang w:val="fr-CH"/>
        </w:rPr>
        <w:t>, article 36.</w:t>
      </w:r>
    </w:p>
  </w:footnote>
  <w:footnote w:id="5">
    <w:p w14:paraId="54A7CC08" w14:textId="65832E5A" w:rsidR="00464E32" w:rsidRPr="000E1C8D" w:rsidRDefault="00464E32" w:rsidP="00D03180">
      <w:pPr>
        <w:pStyle w:val="FootnoteText"/>
        <w:rPr>
          <w:sz w:val="17"/>
          <w:szCs w:val="17"/>
          <w:lang w:val="fr-CH"/>
        </w:rPr>
      </w:pPr>
      <w:r w:rsidRPr="00D03180">
        <w:rPr>
          <w:rStyle w:val="FootnoteReference"/>
          <w:sz w:val="17"/>
          <w:szCs w:val="17"/>
        </w:rPr>
        <w:footnoteRef/>
      </w:r>
      <w:r w:rsidRPr="000E1C8D">
        <w:rPr>
          <w:sz w:val="17"/>
          <w:szCs w:val="17"/>
          <w:lang w:val="fr-CH"/>
        </w:rPr>
        <w:t xml:space="preserve"> </w:t>
      </w:r>
      <w:r w:rsidRPr="000E1C8D">
        <w:rPr>
          <w:rFonts w:cs="Verdana-Italic"/>
          <w:i/>
          <w:iCs/>
          <w:sz w:val="17"/>
          <w:szCs w:val="17"/>
          <w:lang w:val="fr-CH"/>
        </w:rPr>
        <w:t>Ibid</w:t>
      </w:r>
      <w:r w:rsidRPr="000E1C8D">
        <w:rPr>
          <w:sz w:val="17"/>
          <w:szCs w:val="17"/>
          <w:lang w:val="fr-CH"/>
        </w:rPr>
        <w:t>., article 58.</w:t>
      </w:r>
    </w:p>
  </w:footnote>
  <w:footnote w:id="6">
    <w:p w14:paraId="7BD81F82" w14:textId="6861E44F" w:rsidR="00464E32" w:rsidRPr="000E1C8D" w:rsidRDefault="00464E32" w:rsidP="00D03180">
      <w:pPr>
        <w:pStyle w:val="FootnoteText"/>
        <w:rPr>
          <w:sz w:val="17"/>
          <w:szCs w:val="17"/>
          <w:lang w:val="fr-CH"/>
        </w:rPr>
      </w:pPr>
      <w:r w:rsidRPr="00D03180">
        <w:rPr>
          <w:rStyle w:val="FootnoteReference"/>
          <w:sz w:val="17"/>
          <w:szCs w:val="17"/>
        </w:rPr>
        <w:footnoteRef/>
      </w:r>
      <w:r w:rsidRPr="000E1C8D">
        <w:rPr>
          <w:sz w:val="17"/>
          <w:szCs w:val="17"/>
          <w:lang w:val="fr-CH"/>
        </w:rPr>
        <w:t xml:space="preserve"> </w:t>
      </w:r>
      <w:r w:rsidRPr="000E1C8D">
        <w:rPr>
          <w:rFonts w:cs="Verdana-Italic"/>
          <w:i/>
          <w:iCs/>
          <w:sz w:val="17"/>
          <w:szCs w:val="17"/>
          <w:lang w:val="fr-CH"/>
        </w:rPr>
        <w:t>Ibid.</w:t>
      </w:r>
      <w:r w:rsidRPr="000E1C8D">
        <w:rPr>
          <w:sz w:val="17"/>
          <w:szCs w:val="17"/>
          <w:lang w:val="fr-CH"/>
        </w:rPr>
        <w:t>, article 70.</w:t>
      </w:r>
    </w:p>
  </w:footnote>
  <w:footnote w:id="7">
    <w:p w14:paraId="0EA99EF7" w14:textId="16D3F185" w:rsidR="00464E32" w:rsidRPr="00D03180" w:rsidRDefault="00464E32" w:rsidP="00D03180">
      <w:pPr>
        <w:autoSpaceDE w:val="0"/>
        <w:autoSpaceDN w:val="0"/>
        <w:adjustRightInd w:val="0"/>
        <w:jc w:val="both"/>
        <w:rPr>
          <w:rFonts w:cs="Verdana-Italic"/>
          <w:i/>
          <w:iCs/>
          <w:sz w:val="17"/>
          <w:szCs w:val="17"/>
          <w:lang w:val="fr-CH"/>
        </w:rPr>
      </w:pPr>
      <w:r w:rsidRPr="00D03180">
        <w:rPr>
          <w:rStyle w:val="FootnoteReference"/>
          <w:sz w:val="17"/>
          <w:szCs w:val="17"/>
        </w:rPr>
        <w:footnoteRef/>
      </w:r>
      <w:r w:rsidRPr="00D03180">
        <w:rPr>
          <w:sz w:val="17"/>
          <w:szCs w:val="17"/>
          <w:lang w:val="fr-CH"/>
        </w:rPr>
        <w:t xml:space="preserve"> </w:t>
      </w:r>
      <w:r w:rsidRPr="00D03180">
        <w:rPr>
          <w:rFonts w:cs="Verdana-Italic"/>
          <w:sz w:val="17"/>
          <w:szCs w:val="17"/>
          <w:lang w:val="fr-CH"/>
        </w:rPr>
        <w:t>Chisinau Convention</w:t>
      </w:r>
      <w:r w:rsidRPr="00D03180">
        <w:rPr>
          <w:rFonts w:cs="Verdana-Italic"/>
          <w:i/>
          <w:iCs/>
          <w:sz w:val="17"/>
          <w:szCs w:val="17"/>
          <w:lang w:val="fr-CH"/>
        </w:rPr>
        <w:t xml:space="preserve">, </w:t>
      </w:r>
      <w:r w:rsidRPr="00D03180">
        <w:rPr>
          <w:rFonts w:cs="Verdana"/>
          <w:sz w:val="17"/>
          <w:szCs w:val="17"/>
          <w:lang w:val="fr-CH"/>
        </w:rPr>
        <w:t>article 89.</w:t>
      </w:r>
    </w:p>
  </w:footnote>
  <w:footnote w:id="8">
    <w:p w14:paraId="5AB5997D" w14:textId="17D7A462" w:rsidR="00464E32" w:rsidRPr="00D03180" w:rsidRDefault="00464E32" w:rsidP="00D03180">
      <w:pPr>
        <w:pStyle w:val="FootnoteText"/>
        <w:rPr>
          <w:sz w:val="17"/>
          <w:szCs w:val="17"/>
          <w:lang w:val="fr-CH"/>
        </w:rPr>
      </w:pPr>
      <w:r w:rsidRPr="00D03180">
        <w:rPr>
          <w:rStyle w:val="FootnoteReference"/>
          <w:sz w:val="17"/>
          <w:szCs w:val="17"/>
        </w:rPr>
        <w:footnoteRef/>
      </w:r>
      <w:r w:rsidRPr="00D03180">
        <w:rPr>
          <w:sz w:val="17"/>
          <w:szCs w:val="17"/>
          <w:lang w:val="fr-CH"/>
        </w:rPr>
        <w:t xml:space="preserve"> CPC, article 600.</w:t>
      </w:r>
    </w:p>
  </w:footnote>
  <w:footnote w:id="9">
    <w:p w14:paraId="1C5BF9AE" w14:textId="46CA0191" w:rsidR="00464E32" w:rsidRPr="00D03180" w:rsidRDefault="00464E32" w:rsidP="00D03180">
      <w:pPr>
        <w:pStyle w:val="FootnoteText"/>
        <w:rPr>
          <w:sz w:val="17"/>
          <w:szCs w:val="17"/>
          <w:lang w:val="fr-CH"/>
        </w:rPr>
      </w:pPr>
      <w:r w:rsidRPr="00D03180">
        <w:rPr>
          <w:rStyle w:val="FootnoteReference"/>
          <w:sz w:val="17"/>
          <w:szCs w:val="17"/>
        </w:rPr>
        <w:footnoteRef/>
      </w:r>
      <w:r w:rsidRPr="00D03180">
        <w:rPr>
          <w:sz w:val="17"/>
          <w:szCs w:val="17"/>
          <w:lang w:val="fr-CH"/>
        </w:rPr>
        <w:t xml:space="preserve"> CPC, article 603.</w:t>
      </w:r>
    </w:p>
  </w:footnote>
  <w:footnote w:id="10">
    <w:p w14:paraId="10E7DE4D" w14:textId="7CF699E5" w:rsidR="00464E32" w:rsidRPr="00D03180" w:rsidRDefault="00464E32" w:rsidP="00D03180">
      <w:pPr>
        <w:pStyle w:val="FootnoteText"/>
        <w:rPr>
          <w:sz w:val="17"/>
          <w:szCs w:val="17"/>
          <w:lang w:val="fr-CH"/>
        </w:rPr>
      </w:pPr>
      <w:r w:rsidRPr="00D03180">
        <w:rPr>
          <w:rStyle w:val="FootnoteReference"/>
          <w:sz w:val="17"/>
          <w:szCs w:val="17"/>
        </w:rPr>
        <w:footnoteRef/>
      </w:r>
      <w:r w:rsidRPr="00D03180">
        <w:rPr>
          <w:sz w:val="17"/>
          <w:szCs w:val="17"/>
          <w:lang w:val="fr-CH"/>
        </w:rPr>
        <w:t xml:space="preserve"> Chisinau Convention</w:t>
      </w:r>
      <w:r w:rsidRPr="00D03180">
        <w:rPr>
          <w:rFonts w:cs="Verdana"/>
          <w:sz w:val="17"/>
          <w:szCs w:val="17"/>
          <w:lang w:val="fr-CH"/>
        </w:rPr>
        <w:t>, article 89.1.e.</w:t>
      </w:r>
    </w:p>
  </w:footnote>
  <w:footnote w:id="11">
    <w:p w14:paraId="6BC6CCC1" w14:textId="60568BB7" w:rsidR="00464E32" w:rsidRPr="00D03180" w:rsidRDefault="00464E32" w:rsidP="00D03180">
      <w:pPr>
        <w:pStyle w:val="FootnoteText"/>
        <w:rPr>
          <w:sz w:val="17"/>
          <w:szCs w:val="17"/>
          <w:lang w:val="fr-CH"/>
        </w:rPr>
      </w:pPr>
      <w:r w:rsidRPr="00D03180">
        <w:rPr>
          <w:rStyle w:val="FootnoteReference"/>
          <w:sz w:val="17"/>
          <w:szCs w:val="17"/>
        </w:rPr>
        <w:footnoteRef/>
      </w:r>
      <w:r w:rsidRPr="00D03180">
        <w:rPr>
          <w:sz w:val="17"/>
          <w:szCs w:val="17"/>
          <w:lang w:val="fr-CH"/>
        </w:rPr>
        <w:t xml:space="preserve"> Chisinau Convention</w:t>
      </w:r>
      <w:r w:rsidRPr="00D03180">
        <w:rPr>
          <w:rFonts w:cs="Verdana"/>
          <w:sz w:val="17"/>
          <w:szCs w:val="17"/>
          <w:lang w:val="fr-CH"/>
        </w:rPr>
        <w:t>, article 89.1.l.</w:t>
      </w:r>
    </w:p>
  </w:footnote>
  <w:footnote w:id="12">
    <w:p w14:paraId="1C5E488B" w14:textId="7D131E1F" w:rsidR="00464E32" w:rsidRPr="00D03180" w:rsidRDefault="00464E32" w:rsidP="00D03180">
      <w:pPr>
        <w:pStyle w:val="FootnoteText"/>
        <w:rPr>
          <w:sz w:val="17"/>
          <w:szCs w:val="17"/>
          <w:lang w:val="fr-CH"/>
        </w:rPr>
      </w:pPr>
      <w:r w:rsidRPr="00D03180">
        <w:rPr>
          <w:rStyle w:val="FootnoteReference"/>
          <w:sz w:val="17"/>
          <w:szCs w:val="17"/>
        </w:rPr>
        <w:footnoteRef/>
      </w:r>
      <w:r w:rsidRPr="00D03180">
        <w:rPr>
          <w:sz w:val="17"/>
          <w:szCs w:val="17"/>
          <w:lang w:val="fr-CH"/>
        </w:rPr>
        <w:t xml:space="preserve"> CPC, article 603.</w:t>
      </w:r>
    </w:p>
  </w:footnote>
  <w:footnote w:id="13">
    <w:p w14:paraId="3A625F10" w14:textId="046F16F3" w:rsidR="00464E32" w:rsidRPr="00D03180" w:rsidRDefault="00464E32" w:rsidP="00D03180">
      <w:pPr>
        <w:pStyle w:val="FootnoteText"/>
        <w:rPr>
          <w:sz w:val="17"/>
          <w:szCs w:val="17"/>
        </w:rPr>
      </w:pPr>
      <w:r w:rsidRPr="00D03180">
        <w:rPr>
          <w:rStyle w:val="FootnoteReference"/>
          <w:sz w:val="17"/>
          <w:szCs w:val="17"/>
        </w:rPr>
        <w:footnoteRef/>
      </w:r>
      <w:r w:rsidRPr="00D03180">
        <w:rPr>
          <w:sz w:val="17"/>
          <w:szCs w:val="17"/>
        </w:rPr>
        <w:t xml:space="preserve"> </w:t>
      </w:r>
      <w:r w:rsidRPr="00D03180">
        <w:rPr>
          <w:rFonts w:cs="Verdana-Italic"/>
          <w:sz w:val="17"/>
          <w:szCs w:val="17"/>
          <w:lang w:val="en-US"/>
        </w:rPr>
        <w:t>OSCE Charter for European Security</w:t>
      </w:r>
      <w:r w:rsidRPr="00D03180">
        <w:rPr>
          <w:sz w:val="17"/>
          <w:szCs w:val="17"/>
          <w:lang w:val="en-US"/>
        </w:rPr>
        <w:t>, Istanbul, November 1999, para. 2.</w:t>
      </w:r>
    </w:p>
  </w:footnote>
  <w:footnote w:id="14">
    <w:p w14:paraId="74A18852" w14:textId="43AED229" w:rsidR="00464E32" w:rsidRPr="00D03180" w:rsidRDefault="00464E32" w:rsidP="00D03180">
      <w:pPr>
        <w:pStyle w:val="FootnoteText"/>
        <w:rPr>
          <w:sz w:val="17"/>
          <w:szCs w:val="17"/>
          <w:lang w:val="en-US"/>
        </w:rPr>
      </w:pPr>
      <w:r w:rsidRPr="00D03180">
        <w:rPr>
          <w:rStyle w:val="FootnoteReference"/>
          <w:sz w:val="17"/>
          <w:szCs w:val="17"/>
        </w:rPr>
        <w:footnoteRef/>
      </w:r>
      <w:r w:rsidRPr="00D03180">
        <w:rPr>
          <w:sz w:val="17"/>
          <w:szCs w:val="17"/>
        </w:rPr>
        <w:t xml:space="preserve"> </w:t>
      </w:r>
      <w:r w:rsidRPr="00D03180">
        <w:rPr>
          <w:rFonts w:cs="Verdana-Italic"/>
          <w:sz w:val="17"/>
          <w:szCs w:val="17"/>
          <w:lang w:val="en-US"/>
        </w:rPr>
        <w:t>UN Model Treaty</w:t>
      </w:r>
      <w:r w:rsidRPr="00D03180">
        <w:rPr>
          <w:sz w:val="17"/>
          <w:szCs w:val="17"/>
          <w:lang w:val="en-US"/>
        </w:rPr>
        <w:t xml:space="preserve">, article 3; </w:t>
      </w:r>
      <w:r w:rsidRPr="00D03180">
        <w:rPr>
          <w:rFonts w:cs="Verdana-Italic"/>
          <w:sz w:val="17"/>
          <w:szCs w:val="17"/>
          <w:lang w:val="en-US"/>
        </w:rPr>
        <w:t>UN Model Law</w:t>
      </w:r>
      <w:r w:rsidRPr="00D03180">
        <w:rPr>
          <w:sz w:val="17"/>
          <w:szCs w:val="17"/>
          <w:lang w:val="en-US"/>
        </w:rPr>
        <w:t>, Section 8; Second Protocol to the ECE.</w:t>
      </w:r>
    </w:p>
  </w:footnote>
  <w:footnote w:id="15">
    <w:p w14:paraId="5DAF2A6A" w14:textId="53E7A6DA" w:rsidR="00464E32" w:rsidRPr="00D03180" w:rsidRDefault="00464E32" w:rsidP="00D03180">
      <w:pPr>
        <w:pStyle w:val="FootnoteText"/>
        <w:rPr>
          <w:sz w:val="17"/>
          <w:szCs w:val="17"/>
        </w:rPr>
      </w:pPr>
      <w:r w:rsidRPr="00D03180">
        <w:rPr>
          <w:rStyle w:val="FootnoteReference"/>
          <w:sz w:val="17"/>
          <w:szCs w:val="17"/>
        </w:rPr>
        <w:footnoteRef/>
      </w:r>
      <w:r w:rsidRPr="00D03180">
        <w:rPr>
          <w:sz w:val="17"/>
          <w:szCs w:val="17"/>
        </w:rPr>
        <w:t xml:space="preserve"> CAT, Concluding observations on the fourth periodic report of Uzbekistan, UN Doc. CAT/C/UZB/CO/4, 10 December 2013, para. 23.</w:t>
      </w:r>
    </w:p>
  </w:footnote>
  <w:footnote w:id="16">
    <w:p w14:paraId="33F8961F" w14:textId="454E20A4" w:rsidR="00464E32" w:rsidRPr="00D03180" w:rsidRDefault="00464E32" w:rsidP="00D03180">
      <w:pPr>
        <w:pStyle w:val="FootnoteText"/>
        <w:rPr>
          <w:sz w:val="17"/>
          <w:szCs w:val="17"/>
        </w:rPr>
      </w:pPr>
      <w:r w:rsidRPr="00D03180">
        <w:rPr>
          <w:rStyle w:val="FootnoteReference"/>
          <w:sz w:val="17"/>
          <w:szCs w:val="17"/>
        </w:rPr>
        <w:footnoteRef/>
      </w:r>
      <w:r w:rsidRPr="00D03180">
        <w:rPr>
          <w:sz w:val="17"/>
          <w:szCs w:val="17"/>
        </w:rPr>
        <w:t xml:space="preserve"> See, most recently, </w:t>
      </w:r>
      <w:r w:rsidRPr="00D03180">
        <w:rPr>
          <w:i/>
          <w:iCs/>
          <w:sz w:val="17"/>
          <w:szCs w:val="17"/>
        </w:rPr>
        <w:t>S.B. and S.Z. v. Russia</w:t>
      </w:r>
      <w:r w:rsidRPr="00D03180">
        <w:rPr>
          <w:sz w:val="17"/>
          <w:szCs w:val="17"/>
        </w:rPr>
        <w:t xml:space="preserve">, ECtHR, Applications nos. 65122/17 and 13280/18, 8 October 2019; </w:t>
      </w:r>
      <w:r w:rsidRPr="00D03180">
        <w:rPr>
          <w:i/>
          <w:iCs/>
          <w:sz w:val="17"/>
          <w:szCs w:val="17"/>
        </w:rPr>
        <w:t>R.R. and A.R. v. Russia</w:t>
      </w:r>
      <w:r w:rsidRPr="00D03180">
        <w:rPr>
          <w:sz w:val="17"/>
          <w:szCs w:val="17"/>
        </w:rPr>
        <w:t xml:space="preserve">, ECtHR, Applications nos. 67485/17 and 24014/18, 8 October 2019; </w:t>
      </w:r>
      <w:r w:rsidRPr="00D03180">
        <w:rPr>
          <w:i/>
          <w:iCs/>
          <w:sz w:val="17"/>
          <w:szCs w:val="17"/>
        </w:rPr>
        <w:t>A.N. and others v. Russia</w:t>
      </w:r>
      <w:r w:rsidRPr="00D03180">
        <w:rPr>
          <w:sz w:val="17"/>
          <w:szCs w:val="17"/>
        </w:rPr>
        <w:t>, ECtHR, Applications nos. 61689/16 and others, 23 October 2018.</w:t>
      </w:r>
    </w:p>
  </w:footnote>
  <w:footnote w:id="17">
    <w:p w14:paraId="101009DB" w14:textId="24F75C6E" w:rsidR="00464E32" w:rsidRPr="00F17E6A" w:rsidRDefault="00464E32" w:rsidP="00D03180">
      <w:pPr>
        <w:autoSpaceDE w:val="0"/>
        <w:autoSpaceDN w:val="0"/>
        <w:adjustRightInd w:val="0"/>
        <w:jc w:val="both"/>
        <w:rPr>
          <w:sz w:val="17"/>
          <w:szCs w:val="17"/>
          <w:lang w:val="en-US"/>
        </w:rPr>
      </w:pPr>
      <w:r w:rsidRPr="00D03180">
        <w:rPr>
          <w:rStyle w:val="FootnoteReference"/>
          <w:sz w:val="17"/>
          <w:szCs w:val="17"/>
        </w:rPr>
        <w:footnoteRef/>
      </w:r>
      <w:r w:rsidRPr="00D03180">
        <w:rPr>
          <w:sz w:val="17"/>
          <w:szCs w:val="17"/>
        </w:rPr>
        <w:t xml:space="preserve"> ICJ, </w:t>
      </w:r>
      <w:r w:rsidRPr="00F17E6A">
        <w:rPr>
          <w:i/>
          <w:iCs/>
          <w:sz w:val="17"/>
          <w:szCs w:val="17"/>
        </w:rPr>
        <w:t xml:space="preserve">Transnational Injustices, </w:t>
      </w:r>
      <w:proofErr w:type="spellStart"/>
      <w:r w:rsidRPr="00F17E6A">
        <w:rPr>
          <w:i/>
          <w:iCs/>
          <w:sz w:val="17"/>
          <w:szCs w:val="17"/>
        </w:rPr>
        <w:t>op.cit</w:t>
      </w:r>
      <w:proofErr w:type="spellEnd"/>
      <w:r w:rsidRPr="00F17E6A">
        <w:rPr>
          <w:i/>
          <w:iCs/>
          <w:sz w:val="17"/>
          <w:szCs w:val="17"/>
        </w:rPr>
        <w:t xml:space="preserve">.; </w:t>
      </w:r>
      <w:r w:rsidRPr="00F17E6A">
        <w:rPr>
          <w:rFonts w:cs="Verdana"/>
          <w:sz w:val="17"/>
          <w:szCs w:val="17"/>
          <w:lang w:val="en-US"/>
        </w:rPr>
        <w:t xml:space="preserve">Amnesty International, </w:t>
      </w:r>
      <w:r w:rsidRPr="00F17E6A">
        <w:rPr>
          <w:i/>
          <w:iCs/>
          <w:sz w:val="17"/>
          <w:szCs w:val="17"/>
          <w:lang w:val="en-US"/>
        </w:rPr>
        <w:t>Fast-track to torture — Abductions and forcible returns from Russia to Uzbekistan</w:t>
      </w:r>
      <w:r w:rsidRPr="00F17E6A">
        <w:rPr>
          <w:sz w:val="17"/>
          <w:szCs w:val="17"/>
          <w:lang w:val="en-US"/>
        </w:rPr>
        <w:t>, Index No. EUR 62/3740/2016, 21 April 2016, p. 6.</w:t>
      </w:r>
    </w:p>
  </w:footnote>
  <w:footnote w:id="18">
    <w:p w14:paraId="7E098FC0" w14:textId="77777777" w:rsidR="00464E32" w:rsidRPr="00F17E6A" w:rsidRDefault="00464E32" w:rsidP="00D03180">
      <w:pPr>
        <w:pStyle w:val="FootnoteText"/>
        <w:rPr>
          <w:sz w:val="17"/>
          <w:szCs w:val="17"/>
        </w:rPr>
      </w:pPr>
      <w:r w:rsidRPr="00F17E6A">
        <w:rPr>
          <w:rStyle w:val="FootnoteReference"/>
          <w:sz w:val="17"/>
          <w:szCs w:val="17"/>
        </w:rPr>
        <w:footnoteRef/>
      </w:r>
      <w:r w:rsidRPr="00F17E6A">
        <w:rPr>
          <w:sz w:val="17"/>
          <w:szCs w:val="17"/>
        </w:rPr>
        <w:t xml:space="preserve"> CAT, Fifth periodic report submitted by Uzbekistan under article 19 of the Convention, due in 2017, UN Doc. CAT/C/UZB/5, 9 November 2018, para. 121.</w:t>
      </w:r>
    </w:p>
  </w:footnote>
  <w:footnote w:id="19">
    <w:p w14:paraId="2D13EDC3" w14:textId="585A574B" w:rsidR="00DE4C45" w:rsidRPr="00475B77" w:rsidRDefault="00DE4C45">
      <w:pPr>
        <w:pStyle w:val="FootnoteText"/>
        <w:rPr>
          <w:sz w:val="17"/>
          <w:szCs w:val="17"/>
        </w:rPr>
      </w:pPr>
      <w:r w:rsidRPr="00475B77">
        <w:rPr>
          <w:rStyle w:val="FootnoteReference"/>
          <w:sz w:val="17"/>
          <w:szCs w:val="17"/>
        </w:rPr>
        <w:footnoteRef/>
      </w:r>
      <w:r w:rsidRPr="00475B77">
        <w:rPr>
          <w:sz w:val="17"/>
          <w:szCs w:val="17"/>
        </w:rPr>
        <w:t xml:space="preserve"> See footnotes nos. 16 and 17.</w:t>
      </w:r>
    </w:p>
  </w:footnote>
  <w:footnote w:id="20">
    <w:p w14:paraId="022A97B8" w14:textId="2569E641" w:rsidR="00464E32" w:rsidRPr="00F17E6A" w:rsidRDefault="00464E32" w:rsidP="00D03180">
      <w:pPr>
        <w:pStyle w:val="FootnoteText"/>
        <w:rPr>
          <w:sz w:val="17"/>
          <w:szCs w:val="17"/>
        </w:rPr>
      </w:pPr>
      <w:r w:rsidRPr="00F17E6A">
        <w:rPr>
          <w:rStyle w:val="FootnoteReference"/>
          <w:sz w:val="17"/>
          <w:szCs w:val="17"/>
        </w:rPr>
        <w:footnoteRef/>
      </w:r>
      <w:r w:rsidRPr="00F17E6A">
        <w:rPr>
          <w:sz w:val="17"/>
          <w:szCs w:val="17"/>
        </w:rPr>
        <w:t xml:space="preserve"> HRC, Concluding Observations on Uzbekistan, UN Doc. CCPR/C/UZB/CO/4, 17 August 2015, para. 11.</w:t>
      </w:r>
    </w:p>
  </w:footnote>
  <w:footnote w:id="21">
    <w:p w14:paraId="1144A69D" w14:textId="7A26FCFF" w:rsidR="00464E32" w:rsidRPr="00F17E6A" w:rsidRDefault="00464E32" w:rsidP="00D03180">
      <w:pPr>
        <w:pStyle w:val="FootnoteText"/>
        <w:rPr>
          <w:sz w:val="17"/>
          <w:szCs w:val="17"/>
        </w:rPr>
      </w:pPr>
      <w:r w:rsidRPr="00F17E6A">
        <w:rPr>
          <w:rStyle w:val="FootnoteReference"/>
          <w:sz w:val="17"/>
          <w:szCs w:val="17"/>
        </w:rPr>
        <w:footnoteRef/>
      </w:r>
      <w:r w:rsidRPr="00F17E6A">
        <w:rPr>
          <w:sz w:val="17"/>
          <w:szCs w:val="17"/>
        </w:rPr>
        <w:t xml:space="preserve"> See, recently, </w:t>
      </w:r>
      <w:r w:rsidRPr="00F17E6A">
        <w:rPr>
          <w:i/>
          <w:iCs/>
          <w:sz w:val="17"/>
          <w:szCs w:val="17"/>
        </w:rPr>
        <w:t>A.N. and others v. Russia</w:t>
      </w:r>
      <w:r w:rsidRPr="00F17E6A">
        <w:rPr>
          <w:sz w:val="17"/>
          <w:szCs w:val="17"/>
        </w:rPr>
        <w:t>, ECtHR, Applications nos. 61689/16 and others, 23 October 2018, para. 22.</w:t>
      </w:r>
    </w:p>
  </w:footnote>
  <w:footnote w:id="22">
    <w:p w14:paraId="6EF9E540" w14:textId="6BEFC4B4" w:rsidR="00464E32" w:rsidRPr="00D03180" w:rsidRDefault="00464E32" w:rsidP="00D03180">
      <w:pPr>
        <w:pStyle w:val="FootnoteText"/>
        <w:rPr>
          <w:sz w:val="17"/>
          <w:szCs w:val="17"/>
          <w:lang w:val="en-US"/>
        </w:rPr>
      </w:pPr>
      <w:r w:rsidRPr="00D03180">
        <w:rPr>
          <w:rStyle w:val="FootnoteReference"/>
          <w:sz w:val="17"/>
          <w:szCs w:val="17"/>
        </w:rPr>
        <w:footnoteRef/>
      </w:r>
      <w:r w:rsidRPr="00D03180">
        <w:rPr>
          <w:sz w:val="17"/>
          <w:szCs w:val="17"/>
        </w:rPr>
        <w:t xml:space="preserve"> HRC, </w:t>
      </w:r>
      <w:proofErr w:type="spellStart"/>
      <w:r w:rsidRPr="00D03180">
        <w:rPr>
          <w:i/>
          <w:iCs/>
          <w:sz w:val="17"/>
          <w:szCs w:val="17"/>
          <w:lang w:val="en-US"/>
        </w:rPr>
        <w:t>Zhakhongir</w:t>
      </w:r>
      <w:proofErr w:type="spellEnd"/>
      <w:r w:rsidRPr="00D03180">
        <w:rPr>
          <w:i/>
          <w:iCs/>
          <w:sz w:val="17"/>
          <w:szCs w:val="17"/>
          <w:lang w:val="en-US"/>
        </w:rPr>
        <w:t xml:space="preserve"> </w:t>
      </w:r>
      <w:proofErr w:type="spellStart"/>
      <w:r w:rsidRPr="00D03180">
        <w:rPr>
          <w:i/>
          <w:iCs/>
          <w:sz w:val="17"/>
          <w:szCs w:val="17"/>
          <w:lang w:val="en-US"/>
        </w:rPr>
        <w:t>Maksudov</w:t>
      </w:r>
      <w:proofErr w:type="spellEnd"/>
      <w:r w:rsidRPr="00D03180">
        <w:rPr>
          <w:i/>
          <w:iCs/>
          <w:sz w:val="17"/>
          <w:szCs w:val="17"/>
          <w:lang w:val="en-US"/>
        </w:rPr>
        <w:t xml:space="preserve"> and others v. Kyrgyzstan</w:t>
      </w:r>
      <w:r w:rsidRPr="00D03180">
        <w:rPr>
          <w:sz w:val="17"/>
          <w:szCs w:val="17"/>
          <w:lang w:val="en-US"/>
        </w:rPr>
        <w:t>, UN Doc. CCPR/C/93/D/1461, 1462, 1476 &amp; 1477/2006, paras. 8.7 and 12.5.</w:t>
      </w:r>
    </w:p>
  </w:footnote>
  <w:footnote w:id="23">
    <w:p w14:paraId="24AA4929" w14:textId="616731FC" w:rsidR="00464E32" w:rsidRPr="000E1C8D" w:rsidRDefault="00464E32" w:rsidP="00D03180">
      <w:pPr>
        <w:pStyle w:val="FootnoteText"/>
        <w:rPr>
          <w:sz w:val="17"/>
          <w:szCs w:val="17"/>
        </w:rPr>
      </w:pPr>
      <w:r w:rsidRPr="00D03180">
        <w:rPr>
          <w:rStyle w:val="FootnoteReference"/>
          <w:sz w:val="17"/>
          <w:szCs w:val="17"/>
        </w:rPr>
        <w:footnoteRef/>
      </w:r>
      <w:r w:rsidRPr="00D03180">
        <w:rPr>
          <w:sz w:val="17"/>
          <w:szCs w:val="17"/>
        </w:rPr>
        <w:t xml:space="preserve"> </w:t>
      </w:r>
      <w:r w:rsidRPr="00D03180">
        <w:rPr>
          <w:i/>
          <w:iCs/>
          <w:sz w:val="17"/>
          <w:szCs w:val="17"/>
        </w:rPr>
        <w:t>A.N. and others v. Russia</w:t>
      </w:r>
      <w:r w:rsidRPr="00D03180">
        <w:rPr>
          <w:sz w:val="17"/>
          <w:szCs w:val="17"/>
        </w:rPr>
        <w:t>, ECtHR, Applications nos. 61689/16 and others, 23 October 2018, para. 22.</w:t>
      </w:r>
    </w:p>
  </w:footnote>
  <w:footnote w:id="24">
    <w:p w14:paraId="4EF0CBFA" w14:textId="77777777" w:rsidR="00464E32" w:rsidRPr="00D03180" w:rsidRDefault="00464E32" w:rsidP="00D03180">
      <w:pPr>
        <w:pStyle w:val="FootnoteText"/>
        <w:rPr>
          <w:sz w:val="17"/>
          <w:szCs w:val="17"/>
        </w:rPr>
      </w:pPr>
      <w:r w:rsidRPr="00D03180">
        <w:rPr>
          <w:rStyle w:val="FootnoteReference"/>
          <w:sz w:val="17"/>
          <w:szCs w:val="17"/>
        </w:rPr>
        <w:footnoteRef/>
      </w:r>
      <w:r w:rsidRPr="00D03180">
        <w:rPr>
          <w:sz w:val="17"/>
          <w:szCs w:val="17"/>
        </w:rPr>
        <w:t xml:space="preserve"> </w:t>
      </w:r>
      <w:r w:rsidRPr="00D03180">
        <w:rPr>
          <w:sz w:val="17"/>
          <w:szCs w:val="17"/>
          <w:lang w:val="en-US"/>
        </w:rPr>
        <w:t>GA Resolution 62/159, Preamble.</w:t>
      </w:r>
    </w:p>
  </w:footnote>
  <w:footnote w:id="25">
    <w:p w14:paraId="06CE21B9" w14:textId="77777777" w:rsidR="00464E32" w:rsidRPr="00D03180" w:rsidRDefault="00464E32" w:rsidP="00D03180">
      <w:pPr>
        <w:autoSpaceDE w:val="0"/>
        <w:autoSpaceDN w:val="0"/>
        <w:adjustRightInd w:val="0"/>
        <w:jc w:val="both"/>
        <w:rPr>
          <w:rFonts w:cs="Verdana"/>
          <w:sz w:val="17"/>
          <w:szCs w:val="17"/>
          <w:lang w:val="en-US"/>
        </w:rPr>
      </w:pPr>
      <w:r w:rsidRPr="00D03180">
        <w:rPr>
          <w:rStyle w:val="FootnoteReference"/>
          <w:sz w:val="17"/>
          <w:szCs w:val="17"/>
        </w:rPr>
        <w:footnoteRef/>
      </w:r>
      <w:r w:rsidRPr="00D03180">
        <w:rPr>
          <w:rFonts w:cs="Verdana"/>
          <w:sz w:val="17"/>
          <w:szCs w:val="17"/>
        </w:rPr>
        <w:t>Human Rights Committee,</w:t>
      </w:r>
      <w:r w:rsidRPr="00D03180">
        <w:rPr>
          <w:rFonts w:cs="Verdana-Italic"/>
          <w:i/>
          <w:iCs/>
          <w:sz w:val="17"/>
          <w:szCs w:val="17"/>
        </w:rPr>
        <w:t xml:space="preserve"> Concluding Observations on France</w:t>
      </w:r>
      <w:r w:rsidRPr="00D03180">
        <w:rPr>
          <w:rFonts w:cs="Verdana"/>
          <w:sz w:val="17"/>
          <w:szCs w:val="17"/>
        </w:rPr>
        <w:t xml:space="preserve">, UN Doc. CCPR/C/FRA/CO/4, 31 July 2008, para. 20; Human Rights Committee, </w:t>
      </w:r>
      <w:r w:rsidRPr="00D03180">
        <w:rPr>
          <w:rFonts w:cs="Verdana-Italic"/>
          <w:i/>
          <w:iCs/>
          <w:sz w:val="17"/>
          <w:szCs w:val="17"/>
        </w:rPr>
        <w:t>Concluding Observations on Russia</w:t>
      </w:r>
      <w:r w:rsidRPr="00D03180">
        <w:rPr>
          <w:rFonts w:cs="Verdana"/>
          <w:sz w:val="17"/>
          <w:szCs w:val="17"/>
        </w:rPr>
        <w:t xml:space="preserve">, UN Doc. </w:t>
      </w:r>
      <w:r w:rsidRPr="00D03180">
        <w:rPr>
          <w:rFonts w:cs="Verdana"/>
          <w:sz w:val="17"/>
          <w:szCs w:val="17"/>
          <w:lang w:val="en-US"/>
        </w:rPr>
        <w:t>CCPR/C/RUS/CO/6, 24 November</w:t>
      </w:r>
      <w:r w:rsidRPr="00D03180">
        <w:rPr>
          <w:rFonts w:cs="Verdana"/>
          <w:sz w:val="17"/>
          <w:szCs w:val="17"/>
        </w:rPr>
        <w:t xml:space="preserve"> </w:t>
      </w:r>
      <w:r w:rsidRPr="00D03180">
        <w:rPr>
          <w:rFonts w:cs="Verdana"/>
          <w:sz w:val="17"/>
          <w:szCs w:val="17"/>
          <w:lang w:val="en-US"/>
        </w:rPr>
        <w:t>2009, para. 17.</w:t>
      </w:r>
    </w:p>
  </w:footnote>
  <w:footnote w:id="26">
    <w:p w14:paraId="1B8F4D38" w14:textId="77777777" w:rsidR="00464E32" w:rsidRPr="00D03180" w:rsidRDefault="00464E32" w:rsidP="00D03180">
      <w:pPr>
        <w:pStyle w:val="FootnoteText"/>
        <w:rPr>
          <w:sz w:val="17"/>
          <w:szCs w:val="17"/>
        </w:rPr>
      </w:pPr>
      <w:r w:rsidRPr="00D03180">
        <w:rPr>
          <w:rStyle w:val="FootnoteReference"/>
          <w:sz w:val="17"/>
          <w:szCs w:val="17"/>
        </w:rPr>
        <w:footnoteRef/>
      </w:r>
      <w:r w:rsidRPr="00D03180">
        <w:rPr>
          <w:sz w:val="17"/>
          <w:szCs w:val="17"/>
        </w:rPr>
        <w:t xml:space="preserve"> Committee against Torture, </w:t>
      </w:r>
      <w:r w:rsidRPr="00D03180">
        <w:rPr>
          <w:rFonts w:cs="Verdana-Italic"/>
          <w:i/>
          <w:iCs/>
          <w:sz w:val="17"/>
          <w:szCs w:val="17"/>
          <w:lang w:val="en-US"/>
        </w:rPr>
        <w:t>Concluding Observations on Spain</w:t>
      </w:r>
      <w:r w:rsidRPr="00D03180">
        <w:rPr>
          <w:sz w:val="17"/>
          <w:szCs w:val="17"/>
          <w:lang w:val="en-US"/>
        </w:rPr>
        <w:t>, UN Doc. CAT/C/ESP/CO/5,</w:t>
      </w:r>
      <w:r w:rsidRPr="00D03180">
        <w:rPr>
          <w:sz w:val="17"/>
          <w:szCs w:val="17"/>
        </w:rPr>
        <w:t xml:space="preserve"> </w:t>
      </w:r>
      <w:r w:rsidRPr="00D03180">
        <w:rPr>
          <w:sz w:val="17"/>
          <w:szCs w:val="17"/>
          <w:lang w:val="en-US"/>
        </w:rPr>
        <w:t>9 December 2009, para. 13.</w:t>
      </w:r>
    </w:p>
  </w:footnote>
  <w:footnote w:id="27">
    <w:p w14:paraId="639212C4" w14:textId="77777777" w:rsidR="00464E32" w:rsidRPr="00D03180" w:rsidRDefault="00464E32" w:rsidP="00D03180">
      <w:pPr>
        <w:pStyle w:val="FootnoteText"/>
        <w:rPr>
          <w:sz w:val="17"/>
          <w:szCs w:val="17"/>
        </w:rPr>
      </w:pPr>
      <w:r w:rsidRPr="00D03180">
        <w:rPr>
          <w:rStyle w:val="FootnoteReference"/>
          <w:sz w:val="17"/>
          <w:szCs w:val="17"/>
        </w:rPr>
        <w:footnoteRef/>
      </w:r>
      <w:r w:rsidRPr="00D03180">
        <w:rPr>
          <w:sz w:val="17"/>
          <w:szCs w:val="17"/>
        </w:rPr>
        <w:t xml:space="preserve"> See </w:t>
      </w:r>
      <w:proofErr w:type="spellStart"/>
      <w:r w:rsidRPr="00D03180">
        <w:rPr>
          <w:i/>
          <w:iCs/>
          <w:sz w:val="17"/>
          <w:szCs w:val="17"/>
        </w:rPr>
        <w:t>Agiza</w:t>
      </w:r>
      <w:proofErr w:type="spellEnd"/>
      <w:r w:rsidRPr="00D03180">
        <w:rPr>
          <w:i/>
          <w:iCs/>
          <w:sz w:val="17"/>
          <w:szCs w:val="17"/>
        </w:rPr>
        <w:t xml:space="preserve"> v. Sweden</w:t>
      </w:r>
      <w:r w:rsidRPr="00D03180">
        <w:rPr>
          <w:sz w:val="17"/>
          <w:szCs w:val="17"/>
        </w:rPr>
        <w:t xml:space="preserve"> (CAT/C/34/D/233/2003), para. 13.4; </w:t>
      </w:r>
      <w:proofErr w:type="spellStart"/>
      <w:r w:rsidRPr="00D03180">
        <w:rPr>
          <w:i/>
          <w:iCs/>
          <w:sz w:val="17"/>
          <w:szCs w:val="17"/>
        </w:rPr>
        <w:t>Tursunov</w:t>
      </w:r>
      <w:proofErr w:type="spellEnd"/>
      <w:r w:rsidRPr="00D03180">
        <w:rPr>
          <w:i/>
          <w:iCs/>
          <w:sz w:val="17"/>
          <w:szCs w:val="17"/>
        </w:rPr>
        <w:t xml:space="preserve"> v. Kazakhstan</w:t>
      </w:r>
      <w:r w:rsidRPr="00D03180">
        <w:rPr>
          <w:sz w:val="17"/>
          <w:szCs w:val="17"/>
        </w:rPr>
        <w:t xml:space="preserve"> (CAT/C/54/D/538/2013), para. 9.10; and </w:t>
      </w:r>
      <w:r w:rsidRPr="00D03180">
        <w:rPr>
          <w:i/>
          <w:iCs/>
          <w:sz w:val="17"/>
          <w:szCs w:val="17"/>
        </w:rPr>
        <w:t>H.Y. v. Switzerland</w:t>
      </w:r>
      <w:r w:rsidRPr="00D03180">
        <w:rPr>
          <w:sz w:val="17"/>
          <w:szCs w:val="17"/>
        </w:rPr>
        <w:t xml:space="preserve"> (CAT/C/61/D/747/2016), para. 10.7.</w:t>
      </w:r>
    </w:p>
  </w:footnote>
  <w:footnote w:id="28">
    <w:p w14:paraId="71BD6305" w14:textId="5AF2C888" w:rsidR="00464E32" w:rsidRPr="00D03180" w:rsidRDefault="00464E32" w:rsidP="00D03180">
      <w:pPr>
        <w:pStyle w:val="FootnoteText"/>
        <w:rPr>
          <w:sz w:val="17"/>
          <w:szCs w:val="17"/>
        </w:rPr>
      </w:pPr>
      <w:r w:rsidRPr="00D03180">
        <w:rPr>
          <w:rStyle w:val="FootnoteReference"/>
          <w:sz w:val="17"/>
          <w:szCs w:val="17"/>
        </w:rPr>
        <w:footnoteRef/>
      </w:r>
      <w:r w:rsidRPr="00D03180">
        <w:rPr>
          <w:sz w:val="17"/>
          <w:szCs w:val="17"/>
        </w:rPr>
        <w:t xml:space="preserve"> CAT, General Comment n° 4 (2017) on the implementation of article 3 of the Convention in the context of article 22, UN Doc. CAT/C/GC/4, para. 8.</w:t>
      </w:r>
    </w:p>
  </w:footnote>
  <w:footnote w:id="29">
    <w:p w14:paraId="49648FDB" w14:textId="159488A9" w:rsidR="00464E32" w:rsidRPr="00D03180" w:rsidRDefault="00464E32" w:rsidP="00D03180">
      <w:pPr>
        <w:pStyle w:val="FootnoteText"/>
        <w:rPr>
          <w:sz w:val="17"/>
          <w:szCs w:val="17"/>
        </w:rPr>
      </w:pPr>
      <w:r w:rsidRPr="00D03180">
        <w:rPr>
          <w:rStyle w:val="FootnoteReference"/>
          <w:sz w:val="17"/>
          <w:szCs w:val="17"/>
        </w:rPr>
        <w:footnoteRef/>
      </w:r>
      <w:r w:rsidRPr="00D03180">
        <w:rPr>
          <w:sz w:val="17"/>
          <w:szCs w:val="17"/>
        </w:rPr>
        <w:t xml:space="preserve"> CAT, Article 2(2).</w:t>
      </w:r>
    </w:p>
  </w:footnote>
  <w:footnote w:id="30">
    <w:p w14:paraId="2CD83D2F" w14:textId="79FA5760" w:rsidR="00464E32" w:rsidRPr="00D03180" w:rsidRDefault="00464E32" w:rsidP="00D03180">
      <w:pPr>
        <w:pStyle w:val="FootnoteText"/>
        <w:rPr>
          <w:sz w:val="17"/>
          <w:szCs w:val="17"/>
          <w:lang w:val="en-US"/>
        </w:rPr>
      </w:pPr>
      <w:r w:rsidRPr="00D03180">
        <w:rPr>
          <w:rStyle w:val="FootnoteReference"/>
          <w:sz w:val="17"/>
          <w:szCs w:val="17"/>
        </w:rPr>
        <w:footnoteRef/>
      </w:r>
      <w:r w:rsidRPr="00D03180">
        <w:rPr>
          <w:sz w:val="17"/>
          <w:szCs w:val="17"/>
        </w:rPr>
        <w:t xml:space="preserve"> See CAT, </w:t>
      </w:r>
      <w:r w:rsidRPr="00D03180">
        <w:rPr>
          <w:i/>
          <w:iCs/>
          <w:sz w:val="17"/>
          <w:szCs w:val="17"/>
        </w:rPr>
        <w:t>General Comment n° 2 (2007) on the implementation of article 2</w:t>
      </w:r>
      <w:r w:rsidRPr="00D03180">
        <w:rPr>
          <w:sz w:val="17"/>
          <w:szCs w:val="17"/>
        </w:rPr>
        <w:t>, UN Doc. CAT/C/GC/2, 24 January 2008, paras. 3, 6, 19 and 25.</w:t>
      </w:r>
    </w:p>
  </w:footnote>
  <w:footnote w:id="31">
    <w:p w14:paraId="599ECE2F" w14:textId="4CA1735D" w:rsidR="00464E32" w:rsidRPr="00D03180" w:rsidRDefault="00464E32" w:rsidP="00D03180">
      <w:pPr>
        <w:pStyle w:val="FootnoteText"/>
        <w:rPr>
          <w:sz w:val="17"/>
          <w:szCs w:val="17"/>
          <w:lang w:val="en-US"/>
        </w:rPr>
      </w:pPr>
      <w:r w:rsidRPr="00D03180">
        <w:rPr>
          <w:rStyle w:val="FootnoteReference"/>
          <w:sz w:val="17"/>
          <w:szCs w:val="17"/>
        </w:rPr>
        <w:footnoteRef/>
      </w:r>
      <w:r w:rsidRPr="00D03180">
        <w:rPr>
          <w:sz w:val="17"/>
          <w:szCs w:val="17"/>
        </w:rPr>
        <w:t xml:space="preserve"> See </w:t>
      </w:r>
      <w:r w:rsidRPr="00D03180">
        <w:rPr>
          <w:i/>
          <w:iCs/>
          <w:sz w:val="17"/>
          <w:szCs w:val="17"/>
        </w:rPr>
        <w:t xml:space="preserve">Tapia </w:t>
      </w:r>
      <w:proofErr w:type="spellStart"/>
      <w:r w:rsidRPr="00D03180">
        <w:rPr>
          <w:i/>
          <w:iCs/>
          <w:sz w:val="17"/>
          <w:szCs w:val="17"/>
        </w:rPr>
        <w:t>Páez</w:t>
      </w:r>
      <w:proofErr w:type="spellEnd"/>
      <w:r w:rsidRPr="00D03180">
        <w:rPr>
          <w:i/>
          <w:iCs/>
          <w:sz w:val="17"/>
          <w:szCs w:val="17"/>
        </w:rPr>
        <w:t xml:space="preserve"> v. Sweden</w:t>
      </w:r>
      <w:r w:rsidRPr="00D03180">
        <w:rPr>
          <w:sz w:val="17"/>
          <w:szCs w:val="17"/>
        </w:rPr>
        <w:t xml:space="preserve"> (CAT/C/18/D/39/1996), para. </w:t>
      </w:r>
      <w:r w:rsidRPr="00D03180">
        <w:rPr>
          <w:sz w:val="17"/>
          <w:szCs w:val="17"/>
          <w:lang w:val="it-IT"/>
        </w:rPr>
        <w:t xml:space="preserve">14.5; </w:t>
      </w:r>
      <w:proofErr w:type="spellStart"/>
      <w:r w:rsidRPr="00D03180">
        <w:rPr>
          <w:i/>
          <w:iCs/>
          <w:sz w:val="17"/>
          <w:szCs w:val="17"/>
          <w:lang w:val="it-IT"/>
        </w:rPr>
        <w:t>Núñez</w:t>
      </w:r>
      <w:proofErr w:type="spellEnd"/>
      <w:r w:rsidRPr="00D03180">
        <w:rPr>
          <w:i/>
          <w:iCs/>
          <w:sz w:val="17"/>
          <w:szCs w:val="17"/>
          <w:lang w:val="it-IT"/>
        </w:rPr>
        <w:t xml:space="preserve"> </w:t>
      </w:r>
      <w:proofErr w:type="spellStart"/>
      <w:r w:rsidRPr="00D03180">
        <w:rPr>
          <w:i/>
          <w:iCs/>
          <w:sz w:val="17"/>
          <w:szCs w:val="17"/>
          <w:lang w:val="it-IT"/>
        </w:rPr>
        <w:t>Chipana</w:t>
      </w:r>
      <w:proofErr w:type="spellEnd"/>
      <w:r w:rsidRPr="00D03180">
        <w:rPr>
          <w:i/>
          <w:iCs/>
          <w:sz w:val="17"/>
          <w:szCs w:val="17"/>
          <w:lang w:val="it-IT"/>
        </w:rPr>
        <w:t xml:space="preserve"> v. Venezuela</w:t>
      </w:r>
      <w:r w:rsidRPr="00D03180">
        <w:rPr>
          <w:sz w:val="17"/>
          <w:szCs w:val="17"/>
          <w:lang w:val="it-IT"/>
        </w:rPr>
        <w:t xml:space="preserve"> (CAT/C/21/D/110/1998), para. 5.6; </w:t>
      </w:r>
      <w:proofErr w:type="spellStart"/>
      <w:r w:rsidRPr="00D03180">
        <w:rPr>
          <w:i/>
          <w:iCs/>
          <w:sz w:val="17"/>
          <w:szCs w:val="17"/>
          <w:lang w:val="it-IT"/>
        </w:rPr>
        <w:t>Agiza</w:t>
      </w:r>
      <w:proofErr w:type="spellEnd"/>
      <w:r w:rsidRPr="00D03180">
        <w:rPr>
          <w:i/>
          <w:iCs/>
          <w:sz w:val="17"/>
          <w:szCs w:val="17"/>
          <w:lang w:val="it-IT"/>
        </w:rPr>
        <w:t xml:space="preserve"> v. </w:t>
      </w:r>
      <w:proofErr w:type="spellStart"/>
      <w:r w:rsidRPr="00D03180">
        <w:rPr>
          <w:i/>
          <w:iCs/>
          <w:sz w:val="17"/>
          <w:szCs w:val="17"/>
          <w:lang w:val="it-IT"/>
        </w:rPr>
        <w:t>Sweden</w:t>
      </w:r>
      <w:proofErr w:type="spellEnd"/>
      <w:r w:rsidRPr="00D03180">
        <w:rPr>
          <w:sz w:val="17"/>
          <w:szCs w:val="17"/>
          <w:lang w:val="it-IT"/>
        </w:rPr>
        <w:t xml:space="preserve"> (CAT/C/34/D/233/2003), para. 13.8; </w:t>
      </w:r>
      <w:r w:rsidRPr="00D03180">
        <w:rPr>
          <w:i/>
          <w:iCs/>
          <w:sz w:val="17"/>
          <w:szCs w:val="17"/>
          <w:lang w:val="it-IT"/>
        </w:rPr>
        <w:t xml:space="preserve">Singh </w:t>
      </w:r>
      <w:proofErr w:type="spellStart"/>
      <w:r w:rsidRPr="00D03180">
        <w:rPr>
          <w:i/>
          <w:iCs/>
          <w:sz w:val="17"/>
          <w:szCs w:val="17"/>
          <w:lang w:val="it-IT"/>
        </w:rPr>
        <w:t>Sogi</w:t>
      </w:r>
      <w:proofErr w:type="spellEnd"/>
      <w:r w:rsidRPr="00D03180">
        <w:rPr>
          <w:i/>
          <w:iCs/>
          <w:sz w:val="17"/>
          <w:szCs w:val="17"/>
          <w:lang w:val="it-IT"/>
        </w:rPr>
        <w:t xml:space="preserve"> v. Canada</w:t>
      </w:r>
      <w:r w:rsidRPr="00D03180">
        <w:rPr>
          <w:sz w:val="17"/>
          <w:szCs w:val="17"/>
          <w:lang w:val="it-IT"/>
        </w:rPr>
        <w:t xml:space="preserve"> (CAT/C/39/D/297/2006), para. </w:t>
      </w:r>
      <w:r w:rsidRPr="00D03180">
        <w:rPr>
          <w:sz w:val="17"/>
          <w:szCs w:val="17"/>
        </w:rPr>
        <w:t xml:space="preserve">10.2; </w:t>
      </w:r>
      <w:proofErr w:type="spellStart"/>
      <w:r w:rsidRPr="00D03180">
        <w:rPr>
          <w:i/>
          <w:iCs/>
          <w:sz w:val="17"/>
          <w:szCs w:val="17"/>
        </w:rPr>
        <w:t>Abdussamatov</w:t>
      </w:r>
      <w:proofErr w:type="spellEnd"/>
      <w:r w:rsidRPr="00D03180">
        <w:rPr>
          <w:i/>
          <w:iCs/>
          <w:sz w:val="17"/>
          <w:szCs w:val="17"/>
        </w:rPr>
        <w:t xml:space="preserve"> and others v. Kazakhstan</w:t>
      </w:r>
      <w:r w:rsidRPr="00D03180">
        <w:rPr>
          <w:sz w:val="17"/>
          <w:szCs w:val="17"/>
          <w:lang w:val="en-US"/>
        </w:rPr>
        <w:t xml:space="preserve"> </w:t>
      </w:r>
      <w:r w:rsidRPr="00D03180">
        <w:rPr>
          <w:sz w:val="17"/>
          <w:szCs w:val="17"/>
        </w:rPr>
        <w:t xml:space="preserve">(CAT/C/48/D/444/2010), para. 13.7; and </w:t>
      </w:r>
      <w:proofErr w:type="spellStart"/>
      <w:r w:rsidRPr="00D03180">
        <w:rPr>
          <w:i/>
          <w:iCs/>
          <w:sz w:val="17"/>
          <w:szCs w:val="17"/>
        </w:rPr>
        <w:t>Nasirov</w:t>
      </w:r>
      <w:proofErr w:type="spellEnd"/>
      <w:r w:rsidRPr="00D03180">
        <w:rPr>
          <w:i/>
          <w:iCs/>
          <w:sz w:val="17"/>
          <w:szCs w:val="17"/>
        </w:rPr>
        <w:t xml:space="preserve"> v. Kazakhstan</w:t>
      </w:r>
      <w:r w:rsidRPr="00D03180">
        <w:rPr>
          <w:sz w:val="17"/>
          <w:szCs w:val="17"/>
        </w:rPr>
        <w:t xml:space="preserve"> (CAT/C/52/D/475/2011), para. 11.6.</w:t>
      </w:r>
    </w:p>
  </w:footnote>
  <w:footnote w:id="32">
    <w:p w14:paraId="17829464" w14:textId="4947F5E7" w:rsidR="00464E32" w:rsidRPr="00D03180" w:rsidRDefault="00464E32" w:rsidP="00D03180">
      <w:pPr>
        <w:pStyle w:val="FootnoteText"/>
        <w:rPr>
          <w:sz w:val="17"/>
          <w:szCs w:val="17"/>
          <w:lang w:val="en-US"/>
        </w:rPr>
      </w:pPr>
      <w:r w:rsidRPr="00D03180">
        <w:rPr>
          <w:rStyle w:val="FootnoteReference"/>
          <w:sz w:val="17"/>
          <w:szCs w:val="17"/>
        </w:rPr>
        <w:footnoteRef/>
      </w:r>
      <w:r w:rsidRPr="00D03180">
        <w:rPr>
          <w:sz w:val="17"/>
          <w:szCs w:val="17"/>
        </w:rPr>
        <w:t xml:space="preserve"> See </w:t>
      </w:r>
      <w:r w:rsidRPr="00D03180">
        <w:rPr>
          <w:i/>
          <w:iCs/>
          <w:sz w:val="17"/>
          <w:szCs w:val="17"/>
        </w:rPr>
        <w:t xml:space="preserve">Tapia </w:t>
      </w:r>
      <w:proofErr w:type="spellStart"/>
      <w:r w:rsidRPr="00D03180">
        <w:rPr>
          <w:i/>
          <w:iCs/>
          <w:sz w:val="17"/>
          <w:szCs w:val="17"/>
        </w:rPr>
        <w:t>Páez</w:t>
      </w:r>
      <w:proofErr w:type="spellEnd"/>
      <w:r w:rsidRPr="00D03180">
        <w:rPr>
          <w:i/>
          <w:iCs/>
          <w:sz w:val="17"/>
          <w:szCs w:val="17"/>
        </w:rPr>
        <w:t xml:space="preserve"> v. Sweden </w:t>
      </w:r>
      <w:r w:rsidRPr="00D03180">
        <w:rPr>
          <w:sz w:val="17"/>
          <w:szCs w:val="17"/>
        </w:rPr>
        <w:t xml:space="preserve">(CAT/C/18/D/39/1996), para. 14.5.  </w:t>
      </w:r>
    </w:p>
  </w:footnote>
  <w:footnote w:id="33">
    <w:p w14:paraId="2BE0A868" w14:textId="68B16AE5" w:rsidR="00464E32" w:rsidRPr="00D03180" w:rsidRDefault="00464E32" w:rsidP="00D03180">
      <w:pPr>
        <w:pStyle w:val="FootnoteText"/>
        <w:rPr>
          <w:sz w:val="17"/>
          <w:szCs w:val="17"/>
        </w:rPr>
      </w:pPr>
      <w:r w:rsidRPr="00D03180">
        <w:rPr>
          <w:rStyle w:val="FootnoteReference"/>
          <w:sz w:val="17"/>
          <w:szCs w:val="17"/>
        </w:rPr>
        <w:footnoteRef/>
      </w:r>
      <w:r w:rsidRPr="00D03180">
        <w:rPr>
          <w:sz w:val="17"/>
          <w:szCs w:val="17"/>
        </w:rPr>
        <w:t xml:space="preserve"> See </w:t>
      </w:r>
      <w:r w:rsidRPr="00D03180">
        <w:rPr>
          <w:i/>
          <w:iCs/>
          <w:sz w:val="17"/>
          <w:szCs w:val="17"/>
        </w:rPr>
        <w:t xml:space="preserve">Dadar v. Canada </w:t>
      </w:r>
      <w:r w:rsidRPr="00D03180">
        <w:rPr>
          <w:sz w:val="17"/>
          <w:szCs w:val="17"/>
        </w:rPr>
        <w:t xml:space="preserve">(CAT/C/35/D/258/2004), para. 8.4; </w:t>
      </w:r>
      <w:r w:rsidRPr="00D03180">
        <w:rPr>
          <w:i/>
          <w:iCs/>
          <w:sz w:val="17"/>
          <w:szCs w:val="17"/>
        </w:rPr>
        <w:t xml:space="preserve">T.A. v. Sweden </w:t>
      </w:r>
      <w:r w:rsidRPr="00D03180">
        <w:rPr>
          <w:sz w:val="17"/>
          <w:szCs w:val="17"/>
        </w:rPr>
        <w:t xml:space="preserve">(CAT/C/34/D/226/2003), para. 7.2; </w:t>
      </w:r>
      <w:r w:rsidRPr="00D03180">
        <w:rPr>
          <w:i/>
          <w:iCs/>
          <w:sz w:val="17"/>
          <w:szCs w:val="17"/>
        </w:rPr>
        <w:t xml:space="preserve">N.S. v. Switzerland </w:t>
      </w:r>
      <w:r w:rsidRPr="00D03180">
        <w:rPr>
          <w:sz w:val="17"/>
          <w:szCs w:val="17"/>
        </w:rPr>
        <w:t xml:space="preserve">(CAT/C/44/D/356/2008), para. 7.3; and </w:t>
      </w:r>
      <w:proofErr w:type="spellStart"/>
      <w:r w:rsidRPr="00D03180">
        <w:rPr>
          <w:i/>
          <w:iCs/>
          <w:sz w:val="17"/>
          <w:szCs w:val="17"/>
        </w:rPr>
        <w:t>Subakaran</w:t>
      </w:r>
      <w:proofErr w:type="spellEnd"/>
      <w:r w:rsidRPr="00D03180">
        <w:rPr>
          <w:i/>
          <w:iCs/>
          <w:sz w:val="17"/>
          <w:szCs w:val="17"/>
        </w:rPr>
        <w:t xml:space="preserve"> R. </w:t>
      </w:r>
      <w:proofErr w:type="spellStart"/>
      <w:r w:rsidRPr="00D03180">
        <w:rPr>
          <w:i/>
          <w:iCs/>
          <w:sz w:val="17"/>
          <w:szCs w:val="17"/>
        </w:rPr>
        <w:t>Thirugnanasampanthar</w:t>
      </w:r>
      <w:proofErr w:type="spellEnd"/>
      <w:r w:rsidRPr="00D03180">
        <w:rPr>
          <w:i/>
          <w:iCs/>
          <w:sz w:val="17"/>
          <w:szCs w:val="17"/>
        </w:rPr>
        <w:t xml:space="preserve"> v. Australia </w:t>
      </w:r>
      <w:r w:rsidRPr="00D03180">
        <w:rPr>
          <w:sz w:val="17"/>
          <w:szCs w:val="17"/>
        </w:rPr>
        <w:t xml:space="preserve">(CAT/C/61/D/614/2014), para. 8.3. </w:t>
      </w:r>
    </w:p>
  </w:footnote>
  <w:footnote w:id="34">
    <w:p w14:paraId="4D4EE857" w14:textId="0F409DA3" w:rsidR="00464E32" w:rsidRPr="00D03180" w:rsidRDefault="00464E32" w:rsidP="00D03180">
      <w:pPr>
        <w:pStyle w:val="FootnoteText"/>
        <w:rPr>
          <w:sz w:val="17"/>
          <w:szCs w:val="17"/>
        </w:rPr>
      </w:pPr>
      <w:r w:rsidRPr="00D03180">
        <w:rPr>
          <w:rStyle w:val="FootnoteReference"/>
          <w:sz w:val="17"/>
          <w:szCs w:val="17"/>
        </w:rPr>
        <w:footnoteRef/>
      </w:r>
      <w:r w:rsidRPr="00D03180">
        <w:rPr>
          <w:sz w:val="17"/>
          <w:szCs w:val="17"/>
        </w:rPr>
        <w:t xml:space="preserve"> CAT, General Comment n° 4 (2017) on the implementation of article 3 of the Convention in the context of article 22, UN Doc. CAT/C/GC/4, para. 18.</w:t>
      </w:r>
    </w:p>
  </w:footnote>
  <w:footnote w:id="35">
    <w:p w14:paraId="74DE7638" w14:textId="318EB272" w:rsidR="00464E32" w:rsidRPr="00D03180" w:rsidRDefault="00464E32" w:rsidP="00D03180">
      <w:pPr>
        <w:pStyle w:val="FootnoteText"/>
        <w:rPr>
          <w:sz w:val="17"/>
          <w:szCs w:val="17"/>
        </w:rPr>
      </w:pPr>
      <w:r w:rsidRPr="00D03180">
        <w:rPr>
          <w:rStyle w:val="FootnoteReference"/>
          <w:sz w:val="17"/>
          <w:szCs w:val="17"/>
        </w:rPr>
        <w:footnoteRef/>
      </w:r>
      <w:r w:rsidRPr="00D03180">
        <w:rPr>
          <w:sz w:val="17"/>
          <w:szCs w:val="17"/>
        </w:rPr>
        <w:t xml:space="preserve"> CAT, </w:t>
      </w:r>
      <w:r w:rsidRPr="00D03180">
        <w:rPr>
          <w:i/>
          <w:iCs/>
          <w:sz w:val="17"/>
          <w:szCs w:val="17"/>
        </w:rPr>
        <w:t>General Comment No. 2 (2007) on the implementation of article 2</w:t>
      </w:r>
      <w:r w:rsidRPr="00D03180">
        <w:rPr>
          <w:sz w:val="17"/>
          <w:szCs w:val="17"/>
        </w:rPr>
        <w:t xml:space="preserve">, UN Doc. CAT/C/GC/2, 24 January 2008, paras. 3 and 6.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50"/>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741B47"/>
    <w:multiLevelType w:val="hybridMultilevel"/>
    <w:tmpl w:val="504E40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7A31BA7"/>
    <w:multiLevelType w:val="multilevel"/>
    <w:tmpl w:val="32F68F02"/>
    <w:lvl w:ilvl="0">
      <w:start w:val="2"/>
      <w:numFmt w:val="upperLetter"/>
      <w:lvlText w:val="%1."/>
      <w:lvlJc w:val="left"/>
      <w:pPr>
        <w:ind w:left="720" w:hanging="360"/>
      </w:pPr>
      <w:rPr>
        <w:rFonts w:ascii="Verdana" w:hAnsi="Verdana" w:hint="default"/>
        <w:b/>
        <w:bCs/>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3">
    <w:nsid w:val="089B4CF2"/>
    <w:multiLevelType w:val="hybridMultilevel"/>
    <w:tmpl w:val="6DD4C9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46333B"/>
    <w:multiLevelType w:val="hybridMultilevel"/>
    <w:tmpl w:val="3D96F3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DC07C6"/>
    <w:multiLevelType w:val="hybridMultilevel"/>
    <w:tmpl w:val="BB16B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F45C9"/>
    <w:multiLevelType w:val="hybridMultilevel"/>
    <w:tmpl w:val="230AAA82"/>
    <w:lvl w:ilvl="0" w:tplc="100C0015">
      <w:start w:val="1"/>
      <w:numFmt w:val="upp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7">
    <w:nsid w:val="15AA4ED5"/>
    <w:multiLevelType w:val="hybridMultilevel"/>
    <w:tmpl w:val="30B4D47C"/>
    <w:lvl w:ilvl="0" w:tplc="0409000F">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5E335A"/>
    <w:multiLevelType w:val="hybridMultilevel"/>
    <w:tmpl w:val="6EAAF336"/>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F3D6A31"/>
    <w:multiLevelType w:val="hybridMultilevel"/>
    <w:tmpl w:val="A7F4B258"/>
    <w:lvl w:ilvl="0" w:tplc="100C0017">
      <w:start w:val="1"/>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nsid w:val="30E171A9"/>
    <w:multiLevelType w:val="hybridMultilevel"/>
    <w:tmpl w:val="4CB2B5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1E54AD5"/>
    <w:multiLevelType w:val="hybridMultilevel"/>
    <w:tmpl w:val="34365F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6896F90"/>
    <w:multiLevelType w:val="hybridMultilevel"/>
    <w:tmpl w:val="CDA85644"/>
    <w:lvl w:ilvl="0" w:tplc="C192A5BE">
      <w:start w:val="1"/>
      <w:numFmt w:val="decimal"/>
      <w:lvlText w:val="%1."/>
      <w:lvlJc w:val="left"/>
      <w:pPr>
        <w:ind w:left="36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8107BD"/>
    <w:multiLevelType w:val="hybridMultilevel"/>
    <w:tmpl w:val="010094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87363AE"/>
    <w:multiLevelType w:val="hybridMultilevel"/>
    <w:tmpl w:val="A09E39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5559B8"/>
    <w:multiLevelType w:val="hybridMultilevel"/>
    <w:tmpl w:val="D69A56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7C4667"/>
    <w:multiLevelType w:val="hybridMultilevel"/>
    <w:tmpl w:val="33F21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AF6632"/>
    <w:multiLevelType w:val="hybridMultilevel"/>
    <w:tmpl w:val="ACAE1F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434453A7"/>
    <w:multiLevelType w:val="hybridMultilevel"/>
    <w:tmpl w:val="E7622A76"/>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E7320E"/>
    <w:multiLevelType w:val="hybridMultilevel"/>
    <w:tmpl w:val="05DC3C3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A1404C"/>
    <w:multiLevelType w:val="hybridMultilevel"/>
    <w:tmpl w:val="CFDCCF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88261DF"/>
    <w:multiLevelType w:val="hybridMultilevel"/>
    <w:tmpl w:val="FFEED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FB5161B"/>
    <w:multiLevelType w:val="hybridMultilevel"/>
    <w:tmpl w:val="6D920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4B600D1"/>
    <w:multiLevelType w:val="hybridMultilevel"/>
    <w:tmpl w:val="DD8CC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8A20302"/>
    <w:multiLevelType w:val="hybridMultilevel"/>
    <w:tmpl w:val="029C6BA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5">
    <w:nsid w:val="59513048"/>
    <w:multiLevelType w:val="hybridMultilevel"/>
    <w:tmpl w:val="2DA812FC"/>
    <w:lvl w:ilvl="0" w:tplc="100C0017">
      <w:start w:val="1"/>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6">
    <w:nsid w:val="5B4D5E4A"/>
    <w:multiLevelType w:val="multilevel"/>
    <w:tmpl w:val="ACBE8E8E"/>
    <w:lvl w:ilvl="0">
      <w:start w:val="2"/>
      <w:numFmt w:val="upperLetter"/>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27">
    <w:nsid w:val="60002EED"/>
    <w:multiLevelType w:val="hybridMultilevel"/>
    <w:tmpl w:val="228A578C"/>
    <w:lvl w:ilvl="0" w:tplc="A4524C00">
      <w:numFmt w:val="bullet"/>
      <w:lvlText w:val="•"/>
      <w:lvlJc w:val="left"/>
      <w:pPr>
        <w:ind w:left="720" w:hanging="360"/>
      </w:pPr>
      <w:rPr>
        <w:rFonts w:ascii="Verdana" w:eastAsiaTheme="minorEastAsia" w:hAnsi="Verdana"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60D21E59"/>
    <w:multiLevelType w:val="hybridMultilevel"/>
    <w:tmpl w:val="0D027800"/>
    <w:lvl w:ilvl="0" w:tplc="A4524C00">
      <w:numFmt w:val="bullet"/>
      <w:lvlText w:val="•"/>
      <w:lvlJc w:val="left"/>
      <w:pPr>
        <w:ind w:left="720" w:hanging="360"/>
      </w:pPr>
      <w:rPr>
        <w:rFonts w:ascii="Verdana" w:eastAsiaTheme="minorEastAsia" w:hAnsi="Verdana"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60D934F9"/>
    <w:multiLevelType w:val="hybridMultilevel"/>
    <w:tmpl w:val="3536DE60"/>
    <w:lvl w:ilvl="0" w:tplc="ED22D1A4">
      <w:start w:val="1"/>
      <w:numFmt w:val="lowerLetter"/>
      <w:lvlText w:val="%1)"/>
      <w:lvlJc w:val="left"/>
      <w:pPr>
        <w:ind w:left="1080" w:hanging="360"/>
      </w:pPr>
      <w:rPr>
        <w:rFonts w:hint="default"/>
      </w:rPr>
    </w:lvl>
    <w:lvl w:ilvl="1" w:tplc="100C0019" w:tentative="1">
      <w:start w:val="1"/>
      <w:numFmt w:val="lowerLetter"/>
      <w:lvlText w:val="%2."/>
      <w:lvlJc w:val="left"/>
      <w:pPr>
        <w:ind w:left="1800" w:hanging="360"/>
      </w:pPr>
    </w:lvl>
    <w:lvl w:ilvl="2" w:tplc="100C001B" w:tentative="1">
      <w:start w:val="1"/>
      <w:numFmt w:val="lowerRoman"/>
      <w:lvlText w:val="%3."/>
      <w:lvlJc w:val="right"/>
      <w:pPr>
        <w:ind w:left="2520" w:hanging="180"/>
      </w:pPr>
    </w:lvl>
    <w:lvl w:ilvl="3" w:tplc="100C000F" w:tentative="1">
      <w:start w:val="1"/>
      <w:numFmt w:val="decimal"/>
      <w:lvlText w:val="%4."/>
      <w:lvlJc w:val="left"/>
      <w:pPr>
        <w:ind w:left="3240" w:hanging="360"/>
      </w:pPr>
    </w:lvl>
    <w:lvl w:ilvl="4" w:tplc="100C0019" w:tentative="1">
      <w:start w:val="1"/>
      <w:numFmt w:val="lowerLetter"/>
      <w:lvlText w:val="%5."/>
      <w:lvlJc w:val="left"/>
      <w:pPr>
        <w:ind w:left="3960" w:hanging="360"/>
      </w:pPr>
    </w:lvl>
    <w:lvl w:ilvl="5" w:tplc="100C001B" w:tentative="1">
      <w:start w:val="1"/>
      <w:numFmt w:val="lowerRoman"/>
      <w:lvlText w:val="%6."/>
      <w:lvlJc w:val="right"/>
      <w:pPr>
        <w:ind w:left="4680" w:hanging="180"/>
      </w:pPr>
    </w:lvl>
    <w:lvl w:ilvl="6" w:tplc="100C000F" w:tentative="1">
      <w:start w:val="1"/>
      <w:numFmt w:val="decimal"/>
      <w:lvlText w:val="%7."/>
      <w:lvlJc w:val="left"/>
      <w:pPr>
        <w:ind w:left="5400" w:hanging="360"/>
      </w:pPr>
    </w:lvl>
    <w:lvl w:ilvl="7" w:tplc="100C0019" w:tentative="1">
      <w:start w:val="1"/>
      <w:numFmt w:val="lowerLetter"/>
      <w:lvlText w:val="%8."/>
      <w:lvlJc w:val="left"/>
      <w:pPr>
        <w:ind w:left="6120" w:hanging="360"/>
      </w:pPr>
    </w:lvl>
    <w:lvl w:ilvl="8" w:tplc="100C001B" w:tentative="1">
      <w:start w:val="1"/>
      <w:numFmt w:val="lowerRoman"/>
      <w:lvlText w:val="%9."/>
      <w:lvlJc w:val="right"/>
      <w:pPr>
        <w:ind w:left="6840" w:hanging="180"/>
      </w:pPr>
    </w:lvl>
  </w:abstractNum>
  <w:abstractNum w:abstractNumId="30">
    <w:nsid w:val="6E700C09"/>
    <w:multiLevelType w:val="hybridMultilevel"/>
    <w:tmpl w:val="4DA2CB94"/>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1">
    <w:nsid w:val="75C605ED"/>
    <w:multiLevelType w:val="hybridMultilevel"/>
    <w:tmpl w:val="FDB6E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6166C8C"/>
    <w:multiLevelType w:val="hybridMultilevel"/>
    <w:tmpl w:val="89AAAC6E"/>
    <w:lvl w:ilvl="0" w:tplc="AE048520">
      <w:start w:val="1"/>
      <w:numFmt w:val="upperRoman"/>
      <w:lvlText w:val="%1."/>
      <w:lvlJc w:val="left"/>
      <w:pPr>
        <w:ind w:left="1080" w:hanging="72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3">
    <w:nsid w:val="7C564E9A"/>
    <w:multiLevelType w:val="hybridMultilevel"/>
    <w:tmpl w:val="61F2F194"/>
    <w:lvl w:ilvl="0" w:tplc="CACA4AB4">
      <w:start w:val="1"/>
      <w:numFmt w:val="upperRoman"/>
      <w:lvlText w:val="%1."/>
      <w:lvlJc w:val="left"/>
      <w:pPr>
        <w:ind w:left="1287" w:hanging="720"/>
      </w:pPr>
      <w:rPr>
        <w:rFonts w:hint="default"/>
      </w:rPr>
    </w:lvl>
    <w:lvl w:ilvl="1" w:tplc="100C0019" w:tentative="1">
      <w:start w:val="1"/>
      <w:numFmt w:val="lowerLetter"/>
      <w:lvlText w:val="%2."/>
      <w:lvlJc w:val="left"/>
      <w:pPr>
        <w:ind w:left="1647" w:hanging="360"/>
      </w:pPr>
    </w:lvl>
    <w:lvl w:ilvl="2" w:tplc="100C001B" w:tentative="1">
      <w:start w:val="1"/>
      <w:numFmt w:val="lowerRoman"/>
      <w:lvlText w:val="%3."/>
      <w:lvlJc w:val="right"/>
      <w:pPr>
        <w:ind w:left="2367" w:hanging="180"/>
      </w:pPr>
    </w:lvl>
    <w:lvl w:ilvl="3" w:tplc="100C000F" w:tentative="1">
      <w:start w:val="1"/>
      <w:numFmt w:val="decimal"/>
      <w:lvlText w:val="%4."/>
      <w:lvlJc w:val="left"/>
      <w:pPr>
        <w:ind w:left="3087" w:hanging="360"/>
      </w:pPr>
    </w:lvl>
    <w:lvl w:ilvl="4" w:tplc="100C0019" w:tentative="1">
      <w:start w:val="1"/>
      <w:numFmt w:val="lowerLetter"/>
      <w:lvlText w:val="%5."/>
      <w:lvlJc w:val="left"/>
      <w:pPr>
        <w:ind w:left="3807" w:hanging="360"/>
      </w:pPr>
    </w:lvl>
    <w:lvl w:ilvl="5" w:tplc="100C001B" w:tentative="1">
      <w:start w:val="1"/>
      <w:numFmt w:val="lowerRoman"/>
      <w:lvlText w:val="%6."/>
      <w:lvlJc w:val="right"/>
      <w:pPr>
        <w:ind w:left="4527" w:hanging="180"/>
      </w:pPr>
    </w:lvl>
    <w:lvl w:ilvl="6" w:tplc="100C000F" w:tentative="1">
      <w:start w:val="1"/>
      <w:numFmt w:val="decimal"/>
      <w:lvlText w:val="%7."/>
      <w:lvlJc w:val="left"/>
      <w:pPr>
        <w:ind w:left="5247" w:hanging="360"/>
      </w:pPr>
    </w:lvl>
    <w:lvl w:ilvl="7" w:tplc="100C0019" w:tentative="1">
      <w:start w:val="1"/>
      <w:numFmt w:val="lowerLetter"/>
      <w:lvlText w:val="%8."/>
      <w:lvlJc w:val="left"/>
      <w:pPr>
        <w:ind w:left="5967" w:hanging="360"/>
      </w:pPr>
    </w:lvl>
    <w:lvl w:ilvl="8" w:tplc="100C001B" w:tentative="1">
      <w:start w:val="1"/>
      <w:numFmt w:val="lowerRoman"/>
      <w:lvlText w:val="%9."/>
      <w:lvlJc w:val="right"/>
      <w:pPr>
        <w:ind w:left="6687" w:hanging="180"/>
      </w:pPr>
    </w:lvl>
  </w:abstractNum>
  <w:num w:numId="1">
    <w:abstractNumId w:val="17"/>
  </w:num>
  <w:num w:numId="2">
    <w:abstractNumId w:val="27"/>
  </w:num>
  <w:num w:numId="3">
    <w:abstractNumId w:val="28"/>
  </w:num>
  <w:num w:numId="4">
    <w:abstractNumId w:val="0"/>
  </w:num>
  <w:num w:numId="5">
    <w:abstractNumId w:val="20"/>
  </w:num>
  <w:num w:numId="6">
    <w:abstractNumId w:val="11"/>
  </w:num>
  <w:num w:numId="7">
    <w:abstractNumId w:val="3"/>
  </w:num>
  <w:num w:numId="8">
    <w:abstractNumId w:val="5"/>
  </w:num>
  <w:num w:numId="9">
    <w:abstractNumId w:val="21"/>
  </w:num>
  <w:num w:numId="10">
    <w:abstractNumId w:val="1"/>
  </w:num>
  <w:num w:numId="11">
    <w:abstractNumId w:val="31"/>
  </w:num>
  <w:num w:numId="12">
    <w:abstractNumId w:val="23"/>
  </w:num>
  <w:num w:numId="13">
    <w:abstractNumId w:val="16"/>
  </w:num>
  <w:num w:numId="14">
    <w:abstractNumId w:val="15"/>
  </w:num>
  <w:num w:numId="15">
    <w:abstractNumId w:val="12"/>
  </w:num>
  <w:num w:numId="16">
    <w:abstractNumId w:val="2"/>
  </w:num>
  <w:num w:numId="17">
    <w:abstractNumId w:val="7"/>
  </w:num>
  <w:num w:numId="18">
    <w:abstractNumId w:val="18"/>
  </w:num>
  <w:num w:numId="19">
    <w:abstractNumId w:val="13"/>
  </w:num>
  <w:num w:numId="20">
    <w:abstractNumId w:val="22"/>
  </w:num>
  <w:num w:numId="21">
    <w:abstractNumId w:val="4"/>
  </w:num>
  <w:num w:numId="22">
    <w:abstractNumId w:val="10"/>
  </w:num>
  <w:num w:numId="23">
    <w:abstractNumId w:val="8"/>
  </w:num>
  <w:num w:numId="24">
    <w:abstractNumId w:val="14"/>
  </w:num>
  <w:num w:numId="25">
    <w:abstractNumId w:val="19"/>
  </w:num>
  <w:num w:numId="26">
    <w:abstractNumId w:val="6"/>
  </w:num>
  <w:num w:numId="27">
    <w:abstractNumId w:val="26"/>
  </w:num>
  <w:num w:numId="28">
    <w:abstractNumId w:val="24"/>
  </w:num>
  <w:num w:numId="29">
    <w:abstractNumId w:val="30"/>
  </w:num>
  <w:num w:numId="30">
    <w:abstractNumId w:val="32"/>
  </w:num>
  <w:num w:numId="31">
    <w:abstractNumId w:val="33"/>
  </w:num>
  <w:num w:numId="32">
    <w:abstractNumId w:val="25"/>
  </w:num>
  <w:num w:numId="33">
    <w:abstractNumId w:val="29"/>
  </w:num>
  <w:num w:numId="34">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emur Shakirov">
    <w15:presenceInfo w15:providerId="None" w15:userId="Temur Shakirov"/>
  </w15:person>
  <w15:person w15:author="Massimo Frigo">
    <w15:presenceInfo w15:providerId="None" w15:userId="Massimo Frig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10D"/>
    <w:rsid w:val="00001472"/>
    <w:rsid w:val="00002957"/>
    <w:rsid w:val="0000383A"/>
    <w:rsid w:val="00007421"/>
    <w:rsid w:val="00011463"/>
    <w:rsid w:val="0001642C"/>
    <w:rsid w:val="000165D2"/>
    <w:rsid w:val="000202EE"/>
    <w:rsid w:val="00027A14"/>
    <w:rsid w:val="000328EB"/>
    <w:rsid w:val="0003631D"/>
    <w:rsid w:val="00043A4E"/>
    <w:rsid w:val="000507FB"/>
    <w:rsid w:val="00054D6E"/>
    <w:rsid w:val="00055C24"/>
    <w:rsid w:val="00062615"/>
    <w:rsid w:val="00066004"/>
    <w:rsid w:val="00075E2A"/>
    <w:rsid w:val="000853B5"/>
    <w:rsid w:val="00094E03"/>
    <w:rsid w:val="000953B8"/>
    <w:rsid w:val="000954A6"/>
    <w:rsid w:val="000971C7"/>
    <w:rsid w:val="000A0995"/>
    <w:rsid w:val="000A4330"/>
    <w:rsid w:val="000A683E"/>
    <w:rsid w:val="000A6B00"/>
    <w:rsid w:val="000B3B3C"/>
    <w:rsid w:val="000C0217"/>
    <w:rsid w:val="000C31CC"/>
    <w:rsid w:val="000C3A67"/>
    <w:rsid w:val="000C71A0"/>
    <w:rsid w:val="000C73EC"/>
    <w:rsid w:val="000C7A67"/>
    <w:rsid w:val="000D2637"/>
    <w:rsid w:val="000D53B6"/>
    <w:rsid w:val="000D7CAD"/>
    <w:rsid w:val="000E176B"/>
    <w:rsid w:val="000E1A96"/>
    <w:rsid w:val="000E1C8D"/>
    <w:rsid w:val="000E508C"/>
    <w:rsid w:val="000E5754"/>
    <w:rsid w:val="000E7429"/>
    <w:rsid w:val="000F4967"/>
    <w:rsid w:val="000F5EBB"/>
    <w:rsid w:val="000F7C1E"/>
    <w:rsid w:val="00103349"/>
    <w:rsid w:val="00105975"/>
    <w:rsid w:val="001065C6"/>
    <w:rsid w:val="00106946"/>
    <w:rsid w:val="001121D8"/>
    <w:rsid w:val="00112261"/>
    <w:rsid w:val="001132F8"/>
    <w:rsid w:val="00120F78"/>
    <w:rsid w:val="0012215A"/>
    <w:rsid w:val="001221B8"/>
    <w:rsid w:val="00122C7C"/>
    <w:rsid w:val="00123D22"/>
    <w:rsid w:val="00125B45"/>
    <w:rsid w:val="001266B5"/>
    <w:rsid w:val="001268C5"/>
    <w:rsid w:val="0013458B"/>
    <w:rsid w:val="00141223"/>
    <w:rsid w:val="00142676"/>
    <w:rsid w:val="00153CCF"/>
    <w:rsid w:val="00156631"/>
    <w:rsid w:val="00156786"/>
    <w:rsid w:val="00157B4E"/>
    <w:rsid w:val="0016201F"/>
    <w:rsid w:val="00170F4B"/>
    <w:rsid w:val="0017298E"/>
    <w:rsid w:val="001767EB"/>
    <w:rsid w:val="001778F7"/>
    <w:rsid w:val="00180AA7"/>
    <w:rsid w:val="00183C48"/>
    <w:rsid w:val="0019363C"/>
    <w:rsid w:val="00194A31"/>
    <w:rsid w:val="001A01D8"/>
    <w:rsid w:val="001A38EE"/>
    <w:rsid w:val="001A3AAF"/>
    <w:rsid w:val="001A4398"/>
    <w:rsid w:val="001B1EAB"/>
    <w:rsid w:val="001B2D0C"/>
    <w:rsid w:val="001C02E0"/>
    <w:rsid w:val="001C1DA4"/>
    <w:rsid w:val="001D41D2"/>
    <w:rsid w:val="001D5299"/>
    <w:rsid w:val="001D7818"/>
    <w:rsid w:val="001D7848"/>
    <w:rsid w:val="001E01AF"/>
    <w:rsid w:val="001E22F3"/>
    <w:rsid w:val="001E3FD6"/>
    <w:rsid w:val="001E7D47"/>
    <w:rsid w:val="001F007F"/>
    <w:rsid w:val="001F22BC"/>
    <w:rsid w:val="001F334D"/>
    <w:rsid w:val="001F432B"/>
    <w:rsid w:val="001F639D"/>
    <w:rsid w:val="00202043"/>
    <w:rsid w:val="00205975"/>
    <w:rsid w:val="00212FAC"/>
    <w:rsid w:val="00213651"/>
    <w:rsid w:val="00214793"/>
    <w:rsid w:val="00214A62"/>
    <w:rsid w:val="00215BB8"/>
    <w:rsid w:val="00216A4A"/>
    <w:rsid w:val="002260A9"/>
    <w:rsid w:val="0022614D"/>
    <w:rsid w:val="00231010"/>
    <w:rsid w:val="002335F4"/>
    <w:rsid w:val="00235A3B"/>
    <w:rsid w:val="0023613D"/>
    <w:rsid w:val="0023669C"/>
    <w:rsid w:val="00242364"/>
    <w:rsid w:val="00243CF6"/>
    <w:rsid w:val="00245E72"/>
    <w:rsid w:val="002477E9"/>
    <w:rsid w:val="00262F9F"/>
    <w:rsid w:val="00263043"/>
    <w:rsid w:val="00266517"/>
    <w:rsid w:val="00267154"/>
    <w:rsid w:val="00274B41"/>
    <w:rsid w:val="0027713F"/>
    <w:rsid w:val="0028303B"/>
    <w:rsid w:val="00285721"/>
    <w:rsid w:val="00286F46"/>
    <w:rsid w:val="002904AD"/>
    <w:rsid w:val="002909F5"/>
    <w:rsid w:val="00294BAE"/>
    <w:rsid w:val="00294CFC"/>
    <w:rsid w:val="00295D96"/>
    <w:rsid w:val="002A0535"/>
    <w:rsid w:val="002A15B4"/>
    <w:rsid w:val="002A3F91"/>
    <w:rsid w:val="002A7CBA"/>
    <w:rsid w:val="002B4E3F"/>
    <w:rsid w:val="002B51E8"/>
    <w:rsid w:val="002B6726"/>
    <w:rsid w:val="002B68E1"/>
    <w:rsid w:val="002B736D"/>
    <w:rsid w:val="002C00A2"/>
    <w:rsid w:val="002D110D"/>
    <w:rsid w:val="002D20E9"/>
    <w:rsid w:val="002D72E4"/>
    <w:rsid w:val="002D7AB4"/>
    <w:rsid w:val="002E19BD"/>
    <w:rsid w:val="002E2F28"/>
    <w:rsid w:val="002E35FC"/>
    <w:rsid w:val="002E6287"/>
    <w:rsid w:val="002F1CF3"/>
    <w:rsid w:val="002F28B5"/>
    <w:rsid w:val="002F517E"/>
    <w:rsid w:val="002F6C66"/>
    <w:rsid w:val="002F7590"/>
    <w:rsid w:val="00300192"/>
    <w:rsid w:val="003014C6"/>
    <w:rsid w:val="003051FA"/>
    <w:rsid w:val="0031425F"/>
    <w:rsid w:val="00321D21"/>
    <w:rsid w:val="00322058"/>
    <w:rsid w:val="00335573"/>
    <w:rsid w:val="00336250"/>
    <w:rsid w:val="003426E4"/>
    <w:rsid w:val="00345EA2"/>
    <w:rsid w:val="003469E9"/>
    <w:rsid w:val="00346EE3"/>
    <w:rsid w:val="003472C8"/>
    <w:rsid w:val="00351199"/>
    <w:rsid w:val="003515D5"/>
    <w:rsid w:val="0035399B"/>
    <w:rsid w:val="003566D7"/>
    <w:rsid w:val="0035775A"/>
    <w:rsid w:val="0036035C"/>
    <w:rsid w:val="00364E8A"/>
    <w:rsid w:val="00365420"/>
    <w:rsid w:val="00365A5A"/>
    <w:rsid w:val="00372A2A"/>
    <w:rsid w:val="00375038"/>
    <w:rsid w:val="00375CD5"/>
    <w:rsid w:val="003852CE"/>
    <w:rsid w:val="00385A7B"/>
    <w:rsid w:val="00385D00"/>
    <w:rsid w:val="003873E3"/>
    <w:rsid w:val="0039233B"/>
    <w:rsid w:val="00393C76"/>
    <w:rsid w:val="003963CD"/>
    <w:rsid w:val="003A0E18"/>
    <w:rsid w:val="003A1009"/>
    <w:rsid w:val="003A4A0C"/>
    <w:rsid w:val="003A7526"/>
    <w:rsid w:val="003A7924"/>
    <w:rsid w:val="003B1219"/>
    <w:rsid w:val="003B205A"/>
    <w:rsid w:val="003B2706"/>
    <w:rsid w:val="003B397D"/>
    <w:rsid w:val="003B6C38"/>
    <w:rsid w:val="003C1F88"/>
    <w:rsid w:val="003C5CA1"/>
    <w:rsid w:val="003C6978"/>
    <w:rsid w:val="003C7F9C"/>
    <w:rsid w:val="003D31C7"/>
    <w:rsid w:val="003D431F"/>
    <w:rsid w:val="003D5A35"/>
    <w:rsid w:val="003E328A"/>
    <w:rsid w:val="003E35BC"/>
    <w:rsid w:val="003E3964"/>
    <w:rsid w:val="003E4232"/>
    <w:rsid w:val="003E45DC"/>
    <w:rsid w:val="003E48B3"/>
    <w:rsid w:val="003E6551"/>
    <w:rsid w:val="003E709B"/>
    <w:rsid w:val="003F0432"/>
    <w:rsid w:val="003F4583"/>
    <w:rsid w:val="003F7F39"/>
    <w:rsid w:val="004001E9"/>
    <w:rsid w:val="0040129F"/>
    <w:rsid w:val="00402977"/>
    <w:rsid w:val="0040540D"/>
    <w:rsid w:val="004061AD"/>
    <w:rsid w:val="00406F6D"/>
    <w:rsid w:val="00407313"/>
    <w:rsid w:val="00412E31"/>
    <w:rsid w:val="0041589E"/>
    <w:rsid w:val="00421B19"/>
    <w:rsid w:val="00423322"/>
    <w:rsid w:val="00433207"/>
    <w:rsid w:val="00433CAA"/>
    <w:rsid w:val="00434D29"/>
    <w:rsid w:val="00440267"/>
    <w:rsid w:val="004452F8"/>
    <w:rsid w:val="00450F90"/>
    <w:rsid w:val="0045210B"/>
    <w:rsid w:val="00457BE7"/>
    <w:rsid w:val="00462602"/>
    <w:rsid w:val="0046351C"/>
    <w:rsid w:val="00464E32"/>
    <w:rsid w:val="00465272"/>
    <w:rsid w:val="00471C48"/>
    <w:rsid w:val="0047309A"/>
    <w:rsid w:val="00475AD5"/>
    <w:rsid w:val="00475B77"/>
    <w:rsid w:val="004800E7"/>
    <w:rsid w:val="004801F5"/>
    <w:rsid w:val="004876F2"/>
    <w:rsid w:val="004915A7"/>
    <w:rsid w:val="00494610"/>
    <w:rsid w:val="00495549"/>
    <w:rsid w:val="004A0EE8"/>
    <w:rsid w:val="004A232D"/>
    <w:rsid w:val="004A30A5"/>
    <w:rsid w:val="004A42D9"/>
    <w:rsid w:val="004A562E"/>
    <w:rsid w:val="004A6760"/>
    <w:rsid w:val="004A7CB8"/>
    <w:rsid w:val="004C1C09"/>
    <w:rsid w:val="004C2BB7"/>
    <w:rsid w:val="004D1683"/>
    <w:rsid w:val="004D3DE9"/>
    <w:rsid w:val="004D4109"/>
    <w:rsid w:val="004E02E4"/>
    <w:rsid w:val="004E089C"/>
    <w:rsid w:val="004E1B03"/>
    <w:rsid w:val="004E2B64"/>
    <w:rsid w:val="004E4DA0"/>
    <w:rsid w:val="004E4F80"/>
    <w:rsid w:val="004E5683"/>
    <w:rsid w:val="004F09D2"/>
    <w:rsid w:val="004F14ED"/>
    <w:rsid w:val="004F3E84"/>
    <w:rsid w:val="004F54ED"/>
    <w:rsid w:val="004F6C4A"/>
    <w:rsid w:val="004F7433"/>
    <w:rsid w:val="005045B5"/>
    <w:rsid w:val="00513264"/>
    <w:rsid w:val="00514667"/>
    <w:rsid w:val="00515DFC"/>
    <w:rsid w:val="00521CF8"/>
    <w:rsid w:val="00523521"/>
    <w:rsid w:val="00523988"/>
    <w:rsid w:val="00524130"/>
    <w:rsid w:val="0052458E"/>
    <w:rsid w:val="00532B59"/>
    <w:rsid w:val="005332BF"/>
    <w:rsid w:val="00537DD2"/>
    <w:rsid w:val="00540ABC"/>
    <w:rsid w:val="00543060"/>
    <w:rsid w:val="005448F5"/>
    <w:rsid w:val="0055491B"/>
    <w:rsid w:val="00555623"/>
    <w:rsid w:val="005578D5"/>
    <w:rsid w:val="00567CA7"/>
    <w:rsid w:val="00573549"/>
    <w:rsid w:val="005768C5"/>
    <w:rsid w:val="00582F8F"/>
    <w:rsid w:val="00583B16"/>
    <w:rsid w:val="00586C4D"/>
    <w:rsid w:val="00592501"/>
    <w:rsid w:val="00592513"/>
    <w:rsid w:val="005970D4"/>
    <w:rsid w:val="005A2D05"/>
    <w:rsid w:val="005A4C1D"/>
    <w:rsid w:val="005B6C6C"/>
    <w:rsid w:val="005B7FC0"/>
    <w:rsid w:val="005C0DEF"/>
    <w:rsid w:val="005C22CC"/>
    <w:rsid w:val="005C2CAC"/>
    <w:rsid w:val="005D2002"/>
    <w:rsid w:val="005D63F3"/>
    <w:rsid w:val="005D69B7"/>
    <w:rsid w:val="005E0230"/>
    <w:rsid w:val="005E3160"/>
    <w:rsid w:val="005E50B6"/>
    <w:rsid w:val="005F2883"/>
    <w:rsid w:val="005F3A14"/>
    <w:rsid w:val="005F5CDB"/>
    <w:rsid w:val="005F7EF6"/>
    <w:rsid w:val="006161CB"/>
    <w:rsid w:val="006175C5"/>
    <w:rsid w:val="00625D64"/>
    <w:rsid w:val="00625F1E"/>
    <w:rsid w:val="00634680"/>
    <w:rsid w:val="00637865"/>
    <w:rsid w:val="006545E8"/>
    <w:rsid w:val="0065476C"/>
    <w:rsid w:val="00654AEB"/>
    <w:rsid w:val="006605C4"/>
    <w:rsid w:val="00665324"/>
    <w:rsid w:val="0066720F"/>
    <w:rsid w:val="00673A00"/>
    <w:rsid w:val="006747A1"/>
    <w:rsid w:val="006775BC"/>
    <w:rsid w:val="006836D8"/>
    <w:rsid w:val="006864D2"/>
    <w:rsid w:val="006921ED"/>
    <w:rsid w:val="006930A5"/>
    <w:rsid w:val="00693ABA"/>
    <w:rsid w:val="00697BDC"/>
    <w:rsid w:val="006A1873"/>
    <w:rsid w:val="006A4CB4"/>
    <w:rsid w:val="006A5737"/>
    <w:rsid w:val="006B1075"/>
    <w:rsid w:val="006B3AB5"/>
    <w:rsid w:val="006B6846"/>
    <w:rsid w:val="006C5562"/>
    <w:rsid w:val="006D3EE0"/>
    <w:rsid w:val="006D567A"/>
    <w:rsid w:val="006D65A4"/>
    <w:rsid w:val="006E306A"/>
    <w:rsid w:val="006F14D2"/>
    <w:rsid w:val="006F1E09"/>
    <w:rsid w:val="006F22BC"/>
    <w:rsid w:val="006F2F7F"/>
    <w:rsid w:val="007003F0"/>
    <w:rsid w:val="00700F68"/>
    <w:rsid w:val="007011D4"/>
    <w:rsid w:val="00703088"/>
    <w:rsid w:val="00703ECE"/>
    <w:rsid w:val="00705FC3"/>
    <w:rsid w:val="00707FB1"/>
    <w:rsid w:val="00710022"/>
    <w:rsid w:val="00710352"/>
    <w:rsid w:val="007154D6"/>
    <w:rsid w:val="00730AC1"/>
    <w:rsid w:val="00731080"/>
    <w:rsid w:val="007325CE"/>
    <w:rsid w:val="00732F87"/>
    <w:rsid w:val="0073312B"/>
    <w:rsid w:val="007335AE"/>
    <w:rsid w:val="00733D1E"/>
    <w:rsid w:val="007414FA"/>
    <w:rsid w:val="00745C88"/>
    <w:rsid w:val="00745DE6"/>
    <w:rsid w:val="00751BCA"/>
    <w:rsid w:val="00755B3D"/>
    <w:rsid w:val="00757997"/>
    <w:rsid w:val="00760D1B"/>
    <w:rsid w:val="00766F1A"/>
    <w:rsid w:val="00772340"/>
    <w:rsid w:val="00772867"/>
    <w:rsid w:val="00772D0A"/>
    <w:rsid w:val="00774D65"/>
    <w:rsid w:val="00775C67"/>
    <w:rsid w:val="0077723C"/>
    <w:rsid w:val="00781FD8"/>
    <w:rsid w:val="00783B18"/>
    <w:rsid w:val="00784407"/>
    <w:rsid w:val="00787F23"/>
    <w:rsid w:val="0079019D"/>
    <w:rsid w:val="007A1C49"/>
    <w:rsid w:val="007A43BB"/>
    <w:rsid w:val="007A5AF6"/>
    <w:rsid w:val="007B2291"/>
    <w:rsid w:val="007C108A"/>
    <w:rsid w:val="007C36A4"/>
    <w:rsid w:val="007C3F80"/>
    <w:rsid w:val="007C698A"/>
    <w:rsid w:val="007D0F62"/>
    <w:rsid w:val="007D2520"/>
    <w:rsid w:val="007D3DAD"/>
    <w:rsid w:val="007D45C6"/>
    <w:rsid w:val="007D5982"/>
    <w:rsid w:val="007D69B6"/>
    <w:rsid w:val="007D77CF"/>
    <w:rsid w:val="007E7587"/>
    <w:rsid w:val="007E7909"/>
    <w:rsid w:val="007F1D1F"/>
    <w:rsid w:val="007F3C1C"/>
    <w:rsid w:val="007F72CF"/>
    <w:rsid w:val="007F732E"/>
    <w:rsid w:val="007F77FE"/>
    <w:rsid w:val="00800F99"/>
    <w:rsid w:val="00802933"/>
    <w:rsid w:val="00804EA8"/>
    <w:rsid w:val="008050CB"/>
    <w:rsid w:val="00810749"/>
    <w:rsid w:val="00812BAE"/>
    <w:rsid w:val="00815828"/>
    <w:rsid w:val="00815BC1"/>
    <w:rsid w:val="00816E12"/>
    <w:rsid w:val="0082085F"/>
    <w:rsid w:val="008261D4"/>
    <w:rsid w:val="008271E9"/>
    <w:rsid w:val="0083456C"/>
    <w:rsid w:val="008361EC"/>
    <w:rsid w:val="008375E5"/>
    <w:rsid w:val="00844FC8"/>
    <w:rsid w:val="00846365"/>
    <w:rsid w:val="00852104"/>
    <w:rsid w:val="00856308"/>
    <w:rsid w:val="00864092"/>
    <w:rsid w:val="00865424"/>
    <w:rsid w:val="008658A1"/>
    <w:rsid w:val="00867BEA"/>
    <w:rsid w:val="00873934"/>
    <w:rsid w:val="008777BE"/>
    <w:rsid w:val="008847CF"/>
    <w:rsid w:val="0089565F"/>
    <w:rsid w:val="008A5E7B"/>
    <w:rsid w:val="008A6BDC"/>
    <w:rsid w:val="008A73AD"/>
    <w:rsid w:val="008B2616"/>
    <w:rsid w:val="008B28C1"/>
    <w:rsid w:val="008B585C"/>
    <w:rsid w:val="008B67AF"/>
    <w:rsid w:val="008B67D2"/>
    <w:rsid w:val="008B724E"/>
    <w:rsid w:val="008C07EF"/>
    <w:rsid w:val="008C0B63"/>
    <w:rsid w:val="008D07CE"/>
    <w:rsid w:val="008D136F"/>
    <w:rsid w:val="008D2DF4"/>
    <w:rsid w:val="008D3C47"/>
    <w:rsid w:val="008D5031"/>
    <w:rsid w:val="008D5902"/>
    <w:rsid w:val="008D7444"/>
    <w:rsid w:val="008F094A"/>
    <w:rsid w:val="008F189E"/>
    <w:rsid w:val="008F5B2A"/>
    <w:rsid w:val="008F73B0"/>
    <w:rsid w:val="009047C2"/>
    <w:rsid w:val="009151A2"/>
    <w:rsid w:val="00926B4E"/>
    <w:rsid w:val="00927E80"/>
    <w:rsid w:val="00930288"/>
    <w:rsid w:val="00931D4B"/>
    <w:rsid w:val="00934584"/>
    <w:rsid w:val="009433E8"/>
    <w:rsid w:val="00947169"/>
    <w:rsid w:val="00951316"/>
    <w:rsid w:val="00952132"/>
    <w:rsid w:val="00957BEE"/>
    <w:rsid w:val="00957D6D"/>
    <w:rsid w:val="00960300"/>
    <w:rsid w:val="00962ABB"/>
    <w:rsid w:val="00963384"/>
    <w:rsid w:val="009667F3"/>
    <w:rsid w:val="00966FFA"/>
    <w:rsid w:val="009737BE"/>
    <w:rsid w:val="00973D19"/>
    <w:rsid w:val="0097627D"/>
    <w:rsid w:val="0098145C"/>
    <w:rsid w:val="00986707"/>
    <w:rsid w:val="00991E9E"/>
    <w:rsid w:val="009933B7"/>
    <w:rsid w:val="00993FBC"/>
    <w:rsid w:val="00994637"/>
    <w:rsid w:val="009A209A"/>
    <w:rsid w:val="009A3778"/>
    <w:rsid w:val="009A60CB"/>
    <w:rsid w:val="009B58DA"/>
    <w:rsid w:val="009C22F0"/>
    <w:rsid w:val="009C555D"/>
    <w:rsid w:val="009C58A4"/>
    <w:rsid w:val="009C5BD7"/>
    <w:rsid w:val="009C7D8E"/>
    <w:rsid w:val="009D188E"/>
    <w:rsid w:val="009D5B46"/>
    <w:rsid w:val="009D6981"/>
    <w:rsid w:val="009D766F"/>
    <w:rsid w:val="009E265E"/>
    <w:rsid w:val="009E2D8A"/>
    <w:rsid w:val="009E6EE5"/>
    <w:rsid w:val="009F2F02"/>
    <w:rsid w:val="00A0312D"/>
    <w:rsid w:val="00A03B0E"/>
    <w:rsid w:val="00A04784"/>
    <w:rsid w:val="00A2515E"/>
    <w:rsid w:val="00A25554"/>
    <w:rsid w:val="00A26924"/>
    <w:rsid w:val="00A306EA"/>
    <w:rsid w:val="00A3395B"/>
    <w:rsid w:val="00A340A2"/>
    <w:rsid w:val="00A46315"/>
    <w:rsid w:val="00A535C0"/>
    <w:rsid w:val="00A54C83"/>
    <w:rsid w:val="00A55228"/>
    <w:rsid w:val="00A57CB7"/>
    <w:rsid w:val="00A6006F"/>
    <w:rsid w:val="00A60116"/>
    <w:rsid w:val="00A65223"/>
    <w:rsid w:val="00A6754C"/>
    <w:rsid w:val="00A76935"/>
    <w:rsid w:val="00A76CAB"/>
    <w:rsid w:val="00A85037"/>
    <w:rsid w:val="00A8565B"/>
    <w:rsid w:val="00A87A11"/>
    <w:rsid w:val="00A900BF"/>
    <w:rsid w:val="00A9113B"/>
    <w:rsid w:val="00A9681A"/>
    <w:rsid w:val="00AA3A85"/>
    <w:rsid w:val="00AA458E"/>
    <w:rsid w:val="00AA62F0"/>
    <w:rsid w:val="00AB5980"/>
    <w:rsid w:val="00AC0483"/>
    <w:rsid w:val="00AC06FE"/>
    <w:rsid w:val="00AC3A6E"/>
    <w:rsid w:val="00AC5156"/>
    <w:rsid w:val="00AC530B"/>
    <w:rsid w:val="00AD033E"/>
    <w:rsid w:val="00AD158A"/>
    <w:rsid w:val="00AD207B"/>
    <w:rsid w:val="00AD49E6"/>
    <w:rsid w:val="00AD53E3"/>
    <w:rsid w:val="00AE21D3"/>
    <w:rsid w:val="00AE428F"/>
    <w:rsid w:val="00AF1F05"/>
    <w:rsid w:val="00AF20CC"/>
    <w:rsid w:val="00B00D6B"/>
    <w:rsid w:val="00B01A55"/>
    <w:rsid w:val="00B07ACC"/>
    <w:rsid w:val="00B117AC"/>
    <w:rsid w:val="00B13167"/>
    <w:rsid w:val="00B175C2"/>
    <w:rsid w:val="00B2159E"/>
    <w:rsid w:val="00B2253E"/>
    <w:rsid w:val="00B26ED7"/>
    <w:rsid w:val="00B306F3"/>
    <w:rsid w:val="00B31094"/>
    <w:rsid w:val="00B42A86"/>
    <w:rsid w:val="00B451B4"/>
    <w:rsid w:val="00B4625F"/>
    <w:rsid w:val="00B47ACC"/>
    <w:rsid w:val="00B51684"/>
    <w:rsid w:val="00B5573F"/>
    <w:rsid w:val="00B62993"/>
    <w:rsid w:val="00B64EB7"/>
    <w:rsid w:val="00B668A0"/>
    <w:rsid w:val="00B67685"/>
    <w:rsid w:val="00B678DD"/>
    <w:rsid w:val="00B71DC7"/>
    <w:rsid w:val="00B73CFB"/>
    <w:rsid w:val="00B73E4C"/>
    <w:rsid w:val="00B77F6E"/>
    <w:rsid w:val="00B8069A"/>
    <w:rsid w:val="00B83084"/>
    <w:rsid w:val="00B841BD"/>
    <w:rsid w:val="00B8441A"/>
    <w:rsid w:val="00B87610"/>
    <w:rsid w:val="00B87D4B"/>
    <w:rsid w:val="00B904A7"/>
    <w:rsid w:val="00BA16DC"/>
    <w:rsid w:val="00BA52D1"/>
    <w:rsid w:val="00BA777F"/>
    <w:rsid w:val="00BB020A"/>
    <w:rsid w:val="00BB56D1"/>
    <w:rsid w:val="00BB5E2F"/>
    <w:rsid w:val="00BB6288"/>
    <w:rsid w:val="00BB63D0"/>
    <w:rsid w:val="00BB6632"/>
    <w:rsid w:val="00BB714C"/>
    <w:rsid w:val="00BD0A2C"/>
    <w:rsid w:val="00BD3A44"/>
    <w:rsid w:val="00BF1013"/>
    <w:rsid w:val="00BF2CFE"/>
    <w:rsid w:val="00C0057C"/>
    <w:rsid w:val="00C00F83"/>
    <w:rsid w:val="00C01C09"/>
    <w:rsid w:val="00C03511"/>
    <w:rsid w:val="00C07A22"/>
    <w:rsid w:val="00C17F85"/>
    <w:rsid w:val="00C212CE"/>
    <w:rsid w:val="00C2246C"/>
    <w:rsid w:val="00C2637F"/>
    <w:rsid w:val="00C30931"/>
    <w:rsid w:val="00C319A9"/>
    <w:rsid w:val="00C33CD9"/>
    <w:rsid w:val="00C36C48"/>
    <w:rsid w:val="00C413EF"/>
    <w:rsid w:val="00C42842"/>
    <w:rsid w:val="00C43255"/>
    <w:rsid w:val="00C442CF"/>
    <w:rsid w:val="00C50A1A"/>
    <w:rsid w:val="00C5151E"/>
    <w:rsid w:val="00C55852"/>
    <w:rsid w:val="00C612A6"/>
    <w:rsid w:val="00C620A0"/>
    <w:rsid w:val="00C64A59"/>
    <w:rsid w:val="00C65BE2"/>
    <w:rsid w:val="00C67AED"/>
    <w:rsid w:val="00C72E3D"/>
    <w:rsid w:val="00C73E96"/>
    <w:rsid w:val="00C74FF6"/>
    <w:rsid w:val="00C871A4"/>
    <w:rsid w:val="00C903CE"/>
    <w:rsid w:val="00C961BE"/>
    <w:rsid w:val="00C97B96"/>
    <w:rsid w:val="00CA1931"/>
    <w:rsid w:val="00CA1F51"/>
    <w:rsid w:val="00CA25FA"/>
    <w:rsid w:val="00CA479A"/>
    <w:rsid w:val="00CA5DBB"/>
    <w:rsid w:val="00CB14CB"/>
    <w:rsid w:val="00CB38DB"/>
    <w:rsid w:val="00CB56EE"/>
    <w:rsid w:val="00CB5CAC"/>
    <w:rsid w:val="00CB718F"/>
    <w:rsid w:val="00CB7334"/>
    <w:rsid w:val="00CC045C"/>
    <w:rsid w:val="00CC1044"/>
    <w:rsid w:val="00CC5CA8"/>
    <w:rsid w:val="00CC5D9C"/>
    <w:rsid w:val="00CC5E96"/>
    <w:rsid w:val="00CD1BF9"/>
    <w:rsid w:val="00CD21D9"/>
    <w:rsid w:val="00CD2696"/>
    <w:rsid w:val="00CD3CB5"/>
    <w:rsid w:val="00CD65A7"/>
    <w:rsid w:val="00CE0225"/>
    <w:rsid w:val="00CE26B4"/>
    <w:rsid w:val="00CF3F2C"/>
    <w:rsid w:val="00CF3F4D"/>
    <w:rsid w:val="00D02A8C"/>
    <w:rsid w:val="00D02D6F"/>
    <w:rsid w:val="00D03180"/>
    <w:rsid w:val="00D172FB"/>
    <w:rsid w:val="00D2439C"/>
    <w:rsid w:val="00D24CE0"/>
    <w:rsid w:val="00D310A0"/>
    <w:rsid w:val="00D32633"/>
    <w:rsid w:val="00D33889"/>
    <w:rsid w:val="00D37583"/>
    <w:rsid w:val="00D43A4B"/>
    <w:rsid w:val="00D51B64"/>
    <w:rsid w:val="00D5501C"/>
    <w:rsid w:val="00D608FA"/>
    <w:rsid w:val="00D66522"/>
    <w:rsid w:val="00D71963"/>
    <w:rsid w:val="00D752F9"/>
    <w:rsid w:val="00D769CB"/>
    <w:rsid w:val="00D84707"/>
    <w:rsid w:val="00D87389"/>
    <w:rsid w:val="00D905EB"/>
    <w:rsid w:val="00D90FAB"/>
    <w:rsid w:val="00DA196C"/>
    <w:rsid w:val="00DA35BE"/>
    <w:rsid w:val="00DA3B50"/>
    <w:rsid w:val="00DA6209"/>
    <w:rsid w:val="00DA6BA6"/>
    <w:rsid w:val="00DB019B"/>
    <w:rsid w:val="00DB180F"/>
    <w:rsid w:val="00DB5A5C"/>
    <w:rsid w:val="00DB7A6E"/>
    <w:rsid w:val="00DC5D2A"/>
    <w:rsid w:val="00DC649F"/>
    <w:rsid w:val="00DD0A8B"/>
    <w:rsid w:val="00DD1E9F"/>
    <w:rsid w:val="00DD4749"/>
    <w:rsid w:val="00DE14C9"/>
    <w:rsid w:val="00DE199E"/>
    <w:rsid w:val="00DE2347"/>
    <w:rsid w:val="00DE4C45"/>
    <w:rsid w:val="00DE6844"/>
    <w:rsid w:val="00DF2CF2"/>
    <w:rsid w:val="00E0066C"/>
    <w:rsid w:val="00E02C63"/>
    <w:rsid w:val="00E03A13"/>
    <w:rsid w:val="00E10458"/>
    <w:rsid w:val="00E130CD"/>
    <w:rsid w:val="00E2244C"/>
    <w:rsid w:val="00E229D9"/>
    <w:rsid w:val="00E24659"/>
    <w:rsid w:val="00E25368"/>
    <w:rsid w:val="00E270FA"/>
    <w:rsid w:val="00E32AD2"/>
    <w:rsid w:val="00E35518"/>
    <w:rsid w:val="00E37EA7"/>
    <w:rsid w:val="00E40054"/>
    <w:rsid w:val="00E439D7"/>
    <w:rsid w:val="00E51235"/>
    <w:rsid w:val="00E53C57"/>
    <w:rsid w:val="00E55B09"/>
    <w:rsid w:val="00E6069C"/>
    <w:rsid w:val="00E611C8"/>
    <w:rsid w:val="00E671C9"/>
    <w:rsid w:val="00E725FB"/>
    <w:rsid w:val="00E768BB"/>
    <w:rsid w:val="00E81915"/>
    <w:rsid w:val="00E840D0"/>
    <w:rsid w:val="00E86199"/>
    <w:rsid w:val="00E87DE7"/>
    <w:rsid w:val="00E9342A"/>
    <w:rsid w:val="00E967A7"/>
    <w:rsid w:val="00E97B5C"/>
    <w:rsid w:val="00E97B8B"/>
    <w:rsid w:val="00EA2BF0"/>
    <w:rsid w:val="00EA40D5"/>
    <w:rsid w:val="00EA40F4"/>
    <w:rsid w:val="00EA648E"/>
    <w:rsid w:val="00EB3090"/>
    <w:rsid w:val="00EB705C"/>
    <w:rsid w:val="00EC3EB4"/>
    <w:rsid w:val="00ED491B"/>
    <w:rsid w:val="00ED55B4"/>
    <w:rsid w:val="00ED6FFF"/>
    <w:rsid w:val="00ED7FA1"/>
    <w:rsid w:val="00EE1A50"/>
    <w:rsid w:val="00EE48AF"/>
    <w:rsid w:val="00EE6319"/>
    <w:rsid w:val="00EF07DE"/>
    <w:rsid w:val="00EF2481"/>
    <w:rsid w:val="00EF25E8"/>
    <w:rsid w:val="00EF4227"/>
    <w:rsid w:val="00F00B65"/>
    <w:rsid w:val="00F04493"/>
    <w:rsid w:val="00F061EE"/>
    <w:rsid w:val="00F133D7"/>
    <w:rsid w:val="00F173E2"/>
    <w:rsid w:val="00F17E6A"/>
    <w:rsid w:val="00F21DF6"/>
    <w:rsid w:val="00F249A7"/>
    <w:rsid w:val="00F26927"/>
    <w:rsid w:val="00F33C5D"/>
    <w:rsid w:val="00F5258A"/>
    <w:rsid w:val="00F543CD"/>
    <w:rsid w:val="00F56EB5"/>
    <w:rsid w:val="00F603DA"/>
    <w:rsid w:val="00F62A1B"/>
    <w:rsid w:val="00F640CF"/>
    <w:rsid w:val="00F65C7C"/>
    <w:rsid w:val="00F727A0"/>
    <w:rsid w:val="00F72CC9"/>
    <w:rsid w:val="00F72FF0"/>
    <w:rsid w:val="00F753DB"/>
    <w:rsid w:val="00F75EA9"/>
    <w:rsid w:val="00F76C69"/>
    <w:rsid w:val="00F76FE3"/>
    <w:rsid w:val="00F8148E"/>
    <w:rsid w:val="00F87709"/>
    <w:rsid w:val="00F87A58"/>
    <w:rsid w:val="00F93395"/>
    <w:rsid w:val="00FA298A"/>
    <w:rsid w:val="00FA4990"/>
    <w:rsid w:val="00FA55A6"/>
    <w:rsid w:val="00FA6859"/>
    <w:rsid w:val="00FB270C"/>
    <w:rsid w:val="00FB304B"/>
    <w:rsid w:val="00FB44F9"/>
    <w:rsid w:val="00FC383E"/>
    <w:rsid w:val="00FC5474"/>
    <w:rsid w:val="00FD619D"/>
    <w:rsid w:val="00FD6BB5"/>
    <w:rsid w:val="00FD72C8"/>
    <w:rsid w:val="00FE4993"/>
    <w:rsid w:val="00FE4C5B"/>
    <w:rsid w:val="00FE5132"/>
    <w:rsid w:val="00FF1E63"/>
    <w:rsid w:val="00FF4CD3"/>
    <w:rsid w:val="00FF647C"/>
    <w:rsid w:val="00FF68E1"/>
    <w:rsid w:val="00FF6C8B"/>
    <w:rsid w:val="00FF6F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5F7B3E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98A"/>
    <w:rPr>
      <w:rFonts w:ascii="Verdana" w:hAnsi="Verdana"/>
      <w:sz w:val="19"/>
      <w:lang w:val="en-GB"/>
    </w:rPr>
  </w:style>
  <w:style w:type="paragraph" w:styleId="Heading1">
    <w:name w:val="heading 1"/>
    <w:basedOn w:val="Normal"/>
    <w:next w:val="Normal"/>
    <w:link w:val="Heading1Char"/>
    <w:autoRedefine/>
    <w:uiPriority w:val="9"/>
    <w:qFormat/>
    <w:rsid w:val="00802933"/>
    <w:pPr>
      <w:keepNext/>
      <w:keepLines/>
      <w:spacing w:before="480"/>
      <w:outlineLvl w:val="0"/>
    </w:pPr>
    <w:rPr>
      <w:rFonts w:eastAsiaTheme="majorEastAsia" w:cstheme="majorBidi"/>
      <w:b/>
      <w:bCs/>
      <w:sz w:val="28"/>
      <w:szCs w:val="32"/>
    </w:rPr>
  </w:style>
  <w:style w:type="paragraph" w:styleId="Heading2">
    <w:name w:val="heading 2"/>
    <w:basedOn w:val="Normal"/>
    <w:next w:val="Normal"/>
    <w:link w:val="Heading2Char"/>
    <w:autoRedefine/>
    <w:uiPriority w:val="9"/>
    <w:semiHidden/>
    <w:unhideWhenUsed/>
    <w:qFormat/>
    <w:rsid w:val="00802933"/>
    <w:pPr>
      <w:keepNext/>
      <w:keepLines/>
      <w:spacing w:before="200"/>
      <w:outlineLvl w:val="1"/>
    </w:pPr>
    <w:rPr>
      <w:rFonts w:eastAsiaTheme="majorEastAsia" w:cstheme="majorBidi"/>
      <w:bCs/>
      <w:i/>
      <w:sz w:val="22"/>
      <w:szCs w:val="26"/>
    </w:rPr>
  </w:style>
  <w:style w:type="paragraph" w:styleId="Heading3">
    <w:name w:val="heading 3"/>
    <w:basedOn w:val="Normal"/>
    <w:next w:val="Normal"/>
    <w:link w:val="Heading3Char"/>
    <w:autoRedefine/>
    <w:uiPriority w:val="9"/>
    <w:unhideWhenUsed/>
    <w:qFormat/>
    <w:rsid w:val="00802933"/>
    <w:pPr>
      <w:keepNext/>
      <w:keepLines/>
      <w:spacing w:before="200"/>
      <w:outlineLvl w:val="2"/>
    </w:pPr>
    <w:rPr>
      <w:rFonts w:eastAsiaTheme="majorEastAsia" w:cstheme="majorBidi"/>
      <w:bCs/>
      <w:u w:val="single"/>
    </w:rPr>
  </w:style>
  <w:style w:type="paragraph" w:styleId="Heading4">
    <w:name w:val="heading 4"/>
    <w:basedOn w:val="Normal"/>
    <w:next w:val="Normal"/>
    <w:link w:val="Heading4Char"/>
    <w:autoRedefine/>
    <w:uiPriority w:val="9"/>
    <w:semiHidden/>
    <w:unhideWhenUsed/>
    <w:qFormat/>
    <w:rsid w:val="00AA3A85"/>
    <w:pPr>
      <w:keepNext/>
      <w:keepLines/>
      <w:spacing w:before="200"/>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Текст сноски Знак Знак,????? ?????? ????,Текст сноски Знак,Текст сноски Знак Знак Знак Знак Знак,Текст сноски Знак Знак Знак Знак1 Знак,Текст сноски Знак1,Текст сноски Знак Знак1,Текст сноски Знак Знак Знак Знак Знак Знак"/>
    <w:basedOn w:val="Normal"/>
    <w:link w:val="FootnoteTextChar"/>
    <w:autoRedefine/>
    <w:uiPriority w:val="99"/>
    <w:qFormat/>
    <w:rsid w:val="005F2883"/>
    <w:pPr>
      <w:widowControl w:val="0"/>
      <w:suppressAutoHyphens/>
      <w:jc w:val="both"/>
    </w:pPr>
    <w:rPr>
      <w:rFonts w:eastAsia="Cambria" w:cs="Cambria"/>
      <w:sz w:val="18"/>
      <w:szCs w:val="18"/>
      <w:lang w:eastAsia="ar-SA"/>
    </w:rPr>
  </w:style>
  <w:style w:type="character" w:customStyle="1" w:styleId="FootnoteTextChar">
    <w:name w:val="Footnote Text Char"/>
    <w:aliases w:val="Текст сноски Знак Знак Char,????? ?????? ???? Char,Текст сноски Знак Char,Текст сноски Знак Знак Знак Знак Знак Char,Текст сноски Знак Знак Знак Знак1 Знак Char,Текст сноски Знак1 Char,Текст сноски Знак Знак1 Char"/>
    <w:link w:val="FootnoteText"/>
    <w:uiPriority w:val="99"/>
    <w:rsid w:val="005F2883"/>
    <w:rPr>
      <w:rFonts w:ascii="Verdana" w:eastAsia="Cambria" w:hAnsi="Verdana" w:cs="Cambria"/>
      <w:sz w:val="18"/>
      <w:szCs w:val="18"/>
      <w:lang w:val="en-GB" w:eastAsia="ar-SA"/>
    </w:rPr>
  </w:style>
  <w:style w:type="character" w:customStyle="1" w:styleId="Heading1Char">
    <w:name w:val="Heading 1 Char"/>
    <w:basedOn w:val="DefaultParagraphFont"/>
    <w:link w:val="Heading1"/>
    <w:uiPriority w:val="9"/>
    <w:rsid w:val="00802933"/>
    <w:rPr>
      <w:rFonts w:ascii="Verdana" w:eastAsiaTheme="majorEastAsia" w:hAnsi="Verdana" w:cstheme="majorBidi"/>
      <w:b/>
      <w:bCs/>
      <w:sz w:val="28"/>
      <w:szCs w:val="32"/>
      <w:lang w:val="en-GB"/>
    </w:rPr>
  </w:style>
  <w:style w:type="character" w:customStyle="1" w:styleId="Heading2Char">
    <w:name w:val="Heading 2 Char"/>
    <w:basedOn w:val="DefaultParagraphFont"/>
    <w:link w:val="Heading2"/>
    <w:uiPriority w:val="9"/>
    <w:semiHidden/>
    <w:rsid w:val="00802933"/>
    <w:rPr>
      <w:rFonts w:ascii="Verdana" w:eastAsiaTheme="majorEastAsia" w:hAnsi="Verdana" w:cstheme="majorBidi"/>
      <w:bCs/>
      <w:i/>
      <w:sz w:val="22"/>
      <w:szCs w:val="26"/>
      <w:lang w:val="en-GB"/>
    </w:rPr>
  </w:style>
  <w:style w:type="character" w:customStyle="1" w:styleId="Heading3Char">
    <w:name w:val="Heading 3 Char"/>
    <w:basedOn w:val="DefaultParagraphFont"/>
    <w:link w:val="Heading3"/>
    <w:uiPriority w:val="9"/>
    <w:rsid w:val="00802933"/>
    <w:rPr>
      <w:rFonts w:ascii="Verdana" w:eastAsiaTheme="majorEastAsia" w:hAnsi="Verdana" w:cstheme="majorBidi"/>
      <w:bCs/>
      <w:sz w:val="21"/>
      <w:u w:val="single"/>
      <w:lang w:val="en-GB"/>
    </w:rPr>
  </w:style>
  <w:style w:type="character" w:styleId="FootnoteReference">
    <w:name w:val="footnote reference"/>
    <w:aliases w:val="Ref,de nota al pie,Texto de nota al pie,Footnote number,Footnote Reference Char3,Footnote Reference Char1 Char,Char Char Car Char Car Char Car Char Car Char Car Char Char Char1 Char,Footnote Reference Char Char Char"/>
    <w:basedOn w:val="DefaultParagraphFont"/>
    <w:unhideWhenUsed/>
    <w:qFormat/>
    <w:rsid w:val="00802933"/>
    <w:rPr>
      <w:rFonts w:ascii="Verdana" w:hAnsi="Verdana"/>
      <w:sz w:val="13"/>
      <w:vertAlign w:val="superscript"/>
    </w:rPr>
  </w:style>
  <w:style w:type="character" w:customStyle="1" w:styleId="Heading4Char">
    <w:name w:val="Heading 4 Char"/>
    <w:basedOn w:val="DefaultParagraphFont"/>
    <w:link w:val="Heading4"/>
    <w:uiPriority w:val="9"/>
    <w:semiHidden/>
    <w:rsid w:val="00AA3A85"/>
    <w:rPr>
      <w:rFonts w:ascii="Verdana" w:eastAsiaTheme="majorEastAsia" w:hAnsi="Verdana" w:cstheme="majorBidi"/>
      <w:b/>
      <w:bCs/>
      <w:iCs/>
      <w:sz w:val="19"/>
      <w:lang w:val="en-GB"/>
    </w:rPr>
  </w:style>
  <w:style w:type="paragraph" w:styleId="BalloonText">
    <w:name w:val="Balloon Text"/>
    <w:basedOn w:val="Normal"/>
    <w:link w:val="BalloonTextChar"/>
    <w:uiPriority w:val="99"/>
    <w:semiHidden/>
    <w:unhideWhenUsed/>
    <w:rsid w:val="00AA3A8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A3A85"/>
    <w:rPr>
      <w:rFonts w:ascii="Lucida Grande" w:hAnsi="Lucida Grande" w:cs="Lucida Grande"/>
      <w:sz w:val="18"/>
      <w:szCs w:val="18"/>
      <w:lang w:val="en-GB"/>
    </w:rPr>
  </w:style>
  <w:style w:type="paragraph" w:styleId="NormalWeb">
    <w:name w:val="Normal (Web)"/>
    <w:basedOn w:val="Normal"/>
    <w:uiPriority w:val="99"/>
    <w:unhideWhenUsed/>
    <w:rsid w:val="002D110D"/>
    <w:pPr>
      <w:spacing w:before="100" w:beforeAutospacing="1" w:after="100" w:afterAutospacing="1"/>
    </w:pPr>
    <w:rPr>
      <w:rFonts w:ascii="Times" w:hAnsi="Times" w:cs="Times New Roman"/>
      <w:sz w:val="20"/>
      <w:szCs w:val="20"/>
      <w:lang w:val="en-US"/>
    </w:rPr>
  </w:style>
  <w:style w:type="character" w:styleId="Strong">
    <w:name w:val="Strong"/>
    <w:basedOn w:val="DefaultParagraphFont"/>
    <w:uiPriority w:val="22"/>
    <w:qFormat/>
    <w:rsid w:val="002D110D"/>
    <w:rPr>
      <w:b/>
      <w:bCs/>
    </w:rPr>
  </w:style>
  <w:style w:type="character" w:styleId="CommentReference">
    <w:name w:val="annotation reference"/>
    <w:basedOn w:val="DefaultParagraphFont"/>
    <w:uiPriority w:val="99"/>
    <w:semiHidden/>
    <w:unhideWhenUsed/>
    <w:rsid w:val="00966FFA"/>
    <w:rPr>
      <w:sz w:val="18"/>
      <w:szCs w:val="18"/>
    </w:rPr>
  </w:style>
  <w:style w:type="paragraph" w:styleId="CommentText">
    <w:name w:val="annotation text"/>
    <w:basedOn w:val="Normal"/>
    <w:link w:val="CommentTextChar"/>
    <w:uiPriority w:val="99"/>
    <w:unhideWhenUsed/>
    <w:rsid w:val="00966FFA"/>
    <w:rPr>
      <w:sz w:val="24"/>
    </w:rPr>
  </w:style>
  <w:style w:type="character" w:customStyle="1" w:styleId="CommentTextChar">
    <w:name w:val="Comment Text Char"/>
    <w:basedOn w:val="DefaultParagraphFont"/>
    <w:link w:val="CommentText"/>
    <w:uiPriority w:val="99"/>
    <w:rsid w:val="00966FFA"/>
    <w:rPr>
      <w:rFonts w:ascii="Verdana" w:hAnsi="Verdana"/>
      <w:lang w:val="en-GB"/>
    </w:rPr>
  </w:style>
  <w:style w:type="paragraph" w:styleId="CommentSubject">
    <w:name w:val="annotation subject"/>
    <w:basedOn w:val="CommentText"/>
    <w:next w:val="CommentText"/>
    <w:link w:val="CommentSubjectChar"/>
    <w:uiPriority w:val="99"/>
    <w:semiHidden/>
    <w:unhideWhenUsed/>
    <w:rsid w:val="00966FFA"/>
    <w:rPr>
      <w:b/>
      <w:bCs/>
      <w:sz w:val="20"/>
      <w:szCs w:val="20"/>
    </w:rPr>
  </w:style>
  <w:style w:type="character" w:customStyle="1" w:styleId="CommentSubjectChar">
    <w:name w:val="Comment Subject Char"/>
    <w:basedOn w:val="CommentTextChar"/>
    <w:link w:val="CommentSubject"/>
    <w:uiPriority w:val="99"/>
    <w:semiHidden/>
    <w:rsid w:val="00966FFA"/>
    <w:rPr>
      <w:rFonts w:ascii="Verdana" w:hAnsi="Verdana"/>
      <w:b/>
      <w:bCs/>
      <w:sz w:val="20"/>
      <w:szCs w:val="20"/>
      <w:lang w:val="en-GB"/>
    </w:rPr>
  </w:style>
  <w:style w:type="character" w:customStyle="1" w:styleId="grame">
    <w:name w:val="grame"/>
    <w:basedOn w:val="DefaultParagraphFont"/>
    <w:rsid w:val="00FD619D"/>
  </w:style>
  <w:style w:type="character" w:customStyle="1" w:styleId="spelle">
    <w:name w:val="spelle"/>
    <w:basedOn w:val="DefaultParagraphFont"/>
    <w:rsid w:val="00FD619D"/>
  </w:style>
  <w:style w:type="paragraph" w:styleId="ListParagraph">
    <w:name w:val="List Paragraph"/>
    <w:basedOn w:val="Normal"/>
    <w:uiPriority w:val="34"/>
    <w:qFormat/>
    <w:rsid w:val="00947169"/>
    <w:pPr>
      <w:ind w:left="720"/>
      <w:contextualSpacing/>
    </w:pPr>
  </w:style>
  <w:style w:type="character" w:styleId="Hyperlink">
    <w:name w:val="Hyperlink"/>
    <w:basedOn w:val="DefaultParagraphFont"/>
    <w:uiPriority w:val="99"/>
    <w:unhideWhenUsed/>
    <w:rsid w:val="003B6C38"/>
    <w:rPr>
      <w:color w:val="0000FF" w:themeColor="hyperlink"/>
      <w:u w:val="single"/>
    </w:rPr>
  </w:style>
  <w:style w:type="character" w:customStyle="1" w:styleId="zmlenmeyenBahsetme1">
    <w:name w:val="Çözümlenmeyen Bahsetme1"/>
    <w:basedOn w:val="DefaultParagraphFont"/>
    <w:uiPriority w:val="99"/>
    <w:semiHidden/>
    <w:unhideWhenUsed/>
    <w:rsid w:val="003B6C38"/>
    <w:rPr>
      <w:color w:val="808080"/>
      <w:shd w:val="clear" w:color="auto" w:fill="E6E6E6"/>
    </w:rPr>
  </w:style>
  <w:style w:type="character" w:customStyle="1" w:styleId="size">
    <w:name w:val="size"/>
    <w:basedOn w:val="DefaultParagraphFont"/>
    <w:rsid w:val="00BB5E2F"/>
  </w:style>
  <w:style w:type="paragraph" w:styleId="NoSpacing">
    <w:name w:val="No Spacing"/>
    <w:basedOn w:val="Normal"/>
    <w:uiPriority w:val="1"/>
    <w:qFormat/>
    <w:rsid w:val="00BB5E2F"/>
    <w:pPr>
      <w:spacing w:before="100" w:beforeAutospacing="1" w:after="100" w:afterAutospacing="1"/>
    </w:pPr>
    <w:rPr>
      <w:rFonts w:ascii="Times" w:hAnsi="Times"/>
      <w:sz w:val="20"/>
      <w:szCs w:val="20"/>
      <w:lang w:val="en-US"/>
    </w:rPr>
  </w:style>
  <w:style w:type="character" w:styleId="FollowedHyperlink">
    <w:name w:val="FollowedHyperlink"/>
    <w:basedOn w:val="DefaultParagraphFont"/>
    <w:uiPriority w:val="99"/>
    <w:semiHidden/>
    <w:unhideWhenUsed/>
    <w:rsid w:val="00B8441A"/>
    <w:rPr>
      <w:color w:val="800080" w:themeColor="followedHyperlink"/>
      <w:u w:val="single"/>
    </w:rPr>
  </w:style>
  <w:style w:type="paragraph" w:styleId="EndnoteText">
    <w:name w:val="endnote text"/>
    <w:basedOn w:val="Normal"/>
    <w:link w:val="EndnoteTextChar"/>
    <w:uiPriority w:val="99"/>
    <w:unhideWhenUsed/>
    <w:rsid w:val="00B8441A"/>
    <w:rPr>
      <w:sz w:val="24"/>
    </w:rPr>
  </w:style>
  <w:style w:type="character" w:customStyle="1" w:styleId="EndnoteTextChar">
    <w:name w:val="Endnote Text Char"/>
    <w:basedOn w:val="DefaultParagraphFont"/>
    <w:link w:val="EndnoteText"/>
    <w:uiPriority w:val="99"/>
    <w:rsid w:val="00B8441A"/>
    <w:rPr>
      <w:rFonts w:ascii="Verdana" w:hAnsi="Verdana"/>
      <w:lang w:val="en-GB"/>
    </w:rPr>
  </w:style>
  <w:style w:type="character" w:styleId="EndnoteReference">
    <w:name w:val="endnote reference"/>
    <w:basedOn w:val="DefaultParagraphFont"/>
    <w:uiPriority w:val="99"/>
    <w:unhideWhenUsed/>
    <w:rsid w:val="00B8441A"/>
    <w:rPr>
      <w:vertAlign w:val="superscript"/>
    </w:rPr>
  </w:style>
  <w:style w:type="paragraph" w:styleId="Footer">
    <w:name w:val="footer"/>
    <w:basedOn w:val="Normal"/>
    <w:link w:val="FooterChar"/>
    <w:uiPriority w:val="99"/>
    <w:unhideWhenUsed/>
    <w:rsid w:val="007F1D1F"/>
    <w:pPr>
      <w:tabs>
        <w:tab w:val="center" w:pos="4320"/>
        <w:tab w:val="right" w:pos="8640"/>
      </w:tabs>
    </w:pPr>
  </w:style>
  <w:style w:type="character" w:customStyle="1" w:styleId="FooterChar">
    <w:name w:val="Footer Char"/>
    <w:basedOn w:val="DefaultParagraphFont"/>
    <w:link w:val="Footer"/>
    <w:uiPriority w:val="99"/>
    <w:rsid w:val="007F1D1F"/>
    <w:rPr>
      <w:rFonts w:ascii="Verdana" w:hAnsi="Verdana"/>
      <w:sz w:val="19"/>
      <w:lang w:val="en-GB"/>
    </w:rPr>
  </w:style>
  <w:style w:type="character" w:styleId="PageNumber">
    <w:name w:val="page number"/>
    <w:basedOn w:val="DefaultParagraphFont"/>
    <w:uiPriority w:val="99"/>
    <w:semiHidden/>
    <w:unhideWhenUsed/>
    <w:rsid w:val="007F1D1F"/>
  </w:style>
  <w:style w:type="character" w:customStyle="1" w:styleId="sb8d990e2">
    <w:name w:val="sb8d990e2"/>
    <w:basedOn w:val="DefaultParagraphFont"/>
    <w:rsid w:val="005578D5"/>
  </w:style>
  <w:style w:type="paragraph" w:customStyle="1" w:styleId="s30eec3f8">
    <w:name w:val="s30eec3f8"/>
    <w:basedOn w:val="Normal"/>
    <w:rsid w:val="00BB020A"/>
    <w:pPr>
      <w:spacing w:before="100" w:beforeAutospacing="1" w:after="100" w:afterAutospacing="1"/>
    </w:pPr>
    <w:rPr>
      <w:rFonts w:ascii="Times" w:hAnsi="Times"/>
      <w:sz w:val="20"/>
      <w:szCs w:val="20"/>
      <w:lang w:val="en-US"/>
    </w:rPr>
  </w:style>
  <w:style w:type="character" w:customStyle="1" w:styleId="s6b621b36">
    <w:name w:val="s6b621b36"/>
    <w:basedOn w:val="DefaultParagraphFont"/>
    <w:rsid w:val="00BB020A"/>
  </w:style>
  <w:style w:type="paragraph" w:customStyle="1" w:styleId="Default">
    <w:name w:val="Default"/>
    <w:rsid w:val="00462602"/>
    <w:pPr>
      <w:autoSpaceDE w:val="0"/>
      <w:autoSpaceDN w:val="0"/>
      <w:adjustRightInd w:val="0"/>
    </w:pPr>
    <w:rPr>
      <w:rFonts w:ascii="Cambria" w:hAnsi="Cambria" w:cs="Cambria"/>
      <w:color w:val="000000"/>
      <w:lang w:val="tr-TR"/>
    </w:rPr>
  </w:style>
  <w:style w:type="paragraph" w:styleId="Header">
    <w:name w:val="header"/>
    <w:basedOn w:val="Normal"/>
    <w:link w:val="HeaderChar"/>
    <w:uiPriority w:val="99"/>
    <w:unhideWhenUsed/>
    <w:rsid w:val="000328EB"/>
    <w:pPr>
      <w:tabs>
        <w:tab w:val="center" w:pos="4320"/>
        <w:tab w:val="right" w:pos="8640"/>
      </w:tabs>
    </w:pPr>
  </w:style>
  <w:style w:type="character" w:customStyle="1" w:styleId="HeaderChar">
    <w:name w:val="Header Char"/>
    <w:basedOn w:val="DefaultParagraphFont"/>
    <w:link w:val="Header"/>
    <w:uiPriority w:val="99"/>
    <w:rsid w:val="000328EB"/>
    <w:rPr>
      <w:rFonts w:ascii="Verdana" w:hAnsi="Verdana"/>
      <w:sz w:val="19"/>
      <w:lang w:val="en-GB"/>
    </w:rPr>
  </w:style>
  <w:style w:type="paragraph" w:styleId="Revision">
    <w:name w:val="Revision"/>
    <w:hidden/>
    <w:uiPriority w:val="99"/>
    <w:semiHidden/>
    <w:rsid w:val="002E19BD"/>
    <w:rPr>
      <w:rFonts w:ascii="Verdana" w:hAnsi="Verdana"/>
      <w:sz w:val="19"/>
      <w:lang w:val="en-GB"/>
    </w:rPr>
  </w:style>
  <w:style w:type="character" w:customStyle="1" w:styleId="Mentionnonrsolue1">
    <w:name w:val="Mention non résolue1"/>
    <w:basedOn w:val="DefaultParagraphFont"/>
    <w:uiPriority w:val="99"/>
    <w:semiHidden/>
    <w:unhideWhenUsed/>
    <w:rsid w:val="0028303B"/>
    <w:rPr>
      <w:color w:val="605E5C"/>
      <w:shd w:val="clear" w:color="auto" w:fill="E1DFDD"/>
    </w:rPr>
  </w:style>
  <w:style w:type="character" w:customStyle="1" w:styleId="tlid-translation">
    <w:name w:val="tlid-translation"/>
    <w:basedOn w:val="DefaultParagraphFont"/>
    <w:rsid w:val="0023101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98A"/>
    <w:rPr>
      <w:rFonts w:ascii="Verdana" w:hAnsi="Verdana"/>
      <w:sz w:val="19"/>
      <w:lang w:val="en-GB"/>
    </w:rPr>
  </w:style>
  <w:style w:type="paragraph" w:styleId="Heading1">
    <w:name w:val="heading 1"/>
    <w:basedOn w:val="Normal"/>
    <w:next w:val="Normal"/>
    <w:link w:val="Heading1Char"/>
    <w:autoRedefine/>
    <w:uiPriority w:val="9"/>
    <w:qFormat/>
    <w:rsid w:val="00802933"/>
    <w:pPr>
      <w:keepNext/>
      <w:keepLines/>
      <w:spacing w:before="480"/>
      <w:outlineLvl w:val="0"/>
    </w:pPr>
    <w:rPr>
      <w:rFonts w:eastAsiaTheme="majorEastAsia" w:cstheme="majorBidi"/>
      <w:b/>
      <w:bCs/>
      <w:sz w:val="28"/>
      <w:szCs w:val="32"/>
    </w:rPr>
  </w:style>
  <w:style w:type="paragraph" w:styleId="Heading2">
    <w:name w:val="heading 2"/>
    <w:basedOn w:val="Normal"/>
    <w:next w:val="Normal"/>
    <w:link w:val="Heading2Char"/>
    <w:autoRedefine/>
    <w:uiPriority w:val="9"/>
    <w:semiHidden/>
    <w:unhideWhenUsed/>
    <w:qFormat/>
    <w:rsid w:val="00802933"/>
    <w:pPr>
      <w:keepNext/>
      <w:keepLines/>
      <w:spacing w:before="200"/>
      <w:outlineLvl w:val="1"/>
    </w:pPr>
    <w:rPr>
      <w:rFonts w:eastAsiaTheme="majorEastAsia" w:cstheme="majorBidi"/>
      <w:bCs/>
      <w:i/>
      <w:sz w:val="22"/>
      <w:szCs w:val="26"/>
    </w:rPr>
  </w:style>
  <w:style w:type="paragraph" w:styleId="Heading3">
    <w:name w:val="heading 3"/>
    <w:basedOn w:val="Normal"/>
    <w:next w:val="Normal"/>
    <w:link w:val="Heading3Char"/>
    <w:autoRedefine/>
    <w:uiPriority w:val="9"/>
    <w:unhideWhenUsed/>
    <w:qFormat/>
    <w:rsid w:val="00802933"/>
    <w:pPr>
      <w:keepNext/>
      <w:keepLines/>
      <w:spacing w:before="200"/>
      <w:outlineLvl w:val="2"/>
    </w:pPr>
    <w:rPr>
      <w:rFonts w:eastAsiaTheme="majorEastAsia" w:cstheme="majorBidi"/>
      <w:bCs/>
      <w:u w:val="single"/>
    </w:rPr>
  </w:style>
  <w:style w:type="paragraph" w:styleId="Heading4">
    <w:name w:val="heading 4"/>
    <w:basedOn w:val="Normal"/>
    <w:next w:val="Normal"/>
    <w:link w:val="Heading4Char"/>
    <w:autoRedefine/>
    <w:uiPriority w:val="9"/>
    <w:semiHidden/>
    <w:unhideWhenUsed/>
    <w:qFormat/>
    <w:rsid w:val="00AA3A85"/>
    <w:pPr>
      <w:keepNext/>
      <w:keepLines/>
      <w:spacing w:before="200"/>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Текст сноски Знак Знак,????? ?????? ????,Текст сноски Знак,Текст сноски Знак Знак Знак Знак Знак,Текст сноски Знак Знак Знак Знак1 Знак,Текст сноски Знак1,Текст сноски Знак Знак1,Текст сноски Знак Знак Знак Знак Знак Знак"/>
    <w:basedOn w:val="Normal"/>
    <w:link w:val="FootnoteTextChar"/>
    <w:autoRedefine/>
    <w:uiPriority w:val="99"/>
    <w:qFormat/>
    <w:rsid w:val="005F2883"/>
    <w:pPr>
      <w:widowControl w:val="0"/>
      <w:suppressAutoHyphens/>
      <w:jc w:val="both"/>
    </w:pPr>
    <w:rPr>
      <w:rFonts w:eastAsia="Cambria" w:cs="Cambria"/>
      <w:sz w:val="18"/>
      <w:szCs w:val="18"/>
      <w:lang w:eastAsia="ar-SA"/>
    </w:rPr>
  </w:style>
  <w:style w:type="character" w:customStyle="1" w:styleId="FootnoteTextChar">
    <w:name w:val="Footnote Text Char"/>
    <w:aliases w:val="Текст сноски Знак Знак Char,????? ?????? ???? Char,Текст сноски Знак Char,Текст сноски Знак Знак Знак Знак Знак Char,Текст сноски Знак Знак Знак Знак1 Знак Char,Текст сноски Знак1 Char,Текст сноски Знак Знак1 Char"/>
    <w:link w:val="FootnoteText"/>
    <w:uiPriority w:val="99"/>
    <w:rsid w:val="005F2883"/>
    <w:rPr>
      <w:rFonts w:ascii="Verdana" w:eastAsia="Cambria" w:hAnsi="Verdana" w:cs="Cambria"/>
      <w:sz w:val="18"/>
      <w:szCs w:val="18"/>
      <w:lang w:val="en-GB" w:eastAsia="ar-SA"/>
    </w:rPr>
  </w:style>
  <w:style w:type="character" w:customStyle="1" w:styleId="Heading1Char">
    <w:name w:val="Heading 1 Char"/>
    <w:basedOn w:val="DefaultParagraphFont"/>
    <w:link w:val="Heading1"/>
    <w:uiPriority w:val="9"/>
    <w:rsid w:val="00802933"/>
    <w:rPr>
      <w:rFonts w:ascii="Verdana" w:eastAsiaTheme="majorEastAsia" w:hAnsi="Verdana" w:cstheme="majorBidi"/>
      <w:b/>
      <w:bCs/>
      <w:sz w:val="28"/>
      <w:szCs w:val="32"/>
      <w:lang w:val="en-GB"/>
    </w:rPr>
  </w:style>
  <w:style w:type="character" w:customStyle="1" w:styleId="Heading2Char">
    <w:name w:val="Heading 2 Char"/>
    <w:basedOn w:val="DefaultParagraphFont"/>
    <w:link w:val="Heading2"/>
    <w:uiPriority w:val="9"/>
    <w:semiHidden/>
    <w:rsid w:val="00802933"/>
    <w:rPr>
      <w:rFonts w:ascii="Verdana" w:eastAsiaTheme="majorEastAsia" w:hAnsi="Verdana" w:cstheme="majorBidi"/>
      <w:bCs/>
      <w:i/>
      <w:sz w:val="22"/>
      <w:szCs w:val="26"/>
      <w:lang w:val="en-GB"/>
    </w:rPr>
  </w:style>
  <w:style w:type="character" w:customStyle="1" w:styleId="Heading3Char">
    <w:name w:val="Heading 3 Char"/>
    <w:basedOn w:val="DefaultParagraphFont"/>
    <w:link w:val="Heading3"/>
    <w:uiPriority w:val="9"/>
    <w:rsid w:val="00802933"/>
    <w:rPr>
      <w:rFonts w:ascii="Verdana" w:eastAsiaTheme="majorEastAsia" w:hAnsi="Verdana" w:cstheme="majorBidi"/>
      <w:bCs/>
      <w:sz w:val="21"/>
      <w:u w:val="single"/>
      <w:lang w:val="en-GB"/>
    </w:rPr>
  </w:style>
  <w:style w:type="character" w:styleId="FootnoteReference">
    <w:name w:val="footnote reference"/>
    <w:aliases w:val="Ref,de nota al pie,Texto de nota al pie,Footnote number,Footnote Reference Char3,Footnote Reference Char1 Char,Char Char Car Char Car Char Car Char Car Char Car Char Char Char1 Char,Footnote Reference Char Char Char"/>
    <w:basedOn w:val="DefaultParagraphFont"/>
    <w:unhideWhenUsed/>
    <w:qFormat/>
    <w:rsid w:val="00802933"/>
    <w:rPr>
      <w:rFonts w:ascii="Verdana" w:hAnsi="Verdana"/>
      <w:sz w:val="13"/>
      <w:vertAlign w:val="superscript"/>
    </w:rPr>
  </w:style>
  <w:style w:type="character" w:customStyle="1" w:styleId="Heading4Char">
    <w:name w:val="Heading 4 Char"/>
    <w:basedOn w:val="DefaultParagraphFont"/>
    <w:link w:val="Heading4"/>
    <w:uiPriority w:val="9"/>
    <w:semiHidden/>
    <w:rsid w:val="00AA3A85"/>
    <w:rPr>
      <w:rFonts w:ascii="Verdana" w:eastAsiaTheme="majorEastAsia" w:hAnsi="Verdana" w:cstheme="majorBidi"/>
      <w:b/>
      <w:bCs/>
      <w:iCs/>
      <w:sz w:val="19"/>
      <w:lang w:val="en-GB"/>
    </w:rPr>
  </w:style>
  <w:style w:type="paragraph" w:styleId="BalloonText">
    <w:name w:val="Balloon Text"/>
    <w:basedOn w:val="Normal"/>
    <w:link w:val="BalloonTextChar"/>
    <w:uiPriority w:val="99"/>
    <w:semiHidden/>
    <w:unhideWhenUsed/>
    <w:rsid w:val="00AA3A8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A3A85"/>
    <w:rPr>
      <w:rFonts w:ascii="Lucida Grande" w:hAnsi="Lucida Grande" w:cs="Lucida Grande"/>
      <w:sz w:val="18"/>
      <w:szCs w:val="18"/>
      <w:lang w:val="en-GB"/>
    </w:rPr>
  </w:style>
  <w:style w:type="paragraph" w:styleId="NormalWeb">
    <w:name w:val="Normal (Web)"/>
    <w:basedOn w:val="Normal"/>
    <w:uiPriority w:val="99"/>
    <w:unhideWhenUsed/>
    <w:rsid w:val="002D110D"/>
    <w:pPr>
      <w:spacing w:before="100" w:beforeAutospacing="1" w:after="100" w:afterAutospacing="1"/>
    </w:pPr>
    <w:rPr>
      <w:rFonts w:ascii="Times" w:hAnsi="Times" w:cs="Times New Roman"/>
      <w:sz w:val="20"/>
      <w:szCs w:val="20"/>
      <w:lang w:val="en-US"/>
    </w:rPr>
  </w:style>
  <w:style w:type="character" w:styleId="Strong">
    <w:name w:val="Strong"/>
    <w:basedOn w:val="DefaultParagraphFont"/>
    <w:uiPriority w:val="22"/>
    <w:qFormat/>
    <w:rsid w:val="002D110D"/>
    <w:rPr>
      <w:b/>
      <w:bCs/>
    </w:rPr>
  </w:style>
  <w:style w:type="character" w:styleId="CommentReference">
    <w:name w:val="annotation reference"/>
    <w:basedOn w:val="DefaultParagraphFont"/>
    <w:uiPriority w:val="99"/>
    <w:semiHidden/>
    <w:unhideWhenUsed/>
    <w:rsid w:val="00966FFA"/>
    <w:rPr>
      <w:sz w:val="18"/>
      <w:szCs w:val="18"/>
    </w:rPr>
  </w:style>
  <w:style w:type="paragraph" w:styleId="CommentText">
    <w:name w:val="annotation text"/>
    <w:basedOn w:val="Normal"/>
    <w:link w:val="CommentTextChar"/>
    <w:uiPriority w:val="99"/>
    <w:unhideWhenUsed/>
    <w:rsid w:val="00966FFA"/>
    <w:rPr>
      <w:sz w:val="24"/>
    </w:rPr>
  </w:style>
  <w:style w:type="character" w:customStyle="1" w:styleId="CommentTextChar">
    <w:name w:val="Comment Text Char"/>
    <w:basedOn w:val="DefaultParagraphFont"/>
    <w:link w:val="CommentText"/>
    <w:uiPriority w:val="99"/>
    <w:rsid w:val="00966FFA"/>
    <w:rPr>
      <w:rFonts w:ascii="Verdana" w:hAnsi="Verdana"/>
      <w:lang w:val="en-GB"/>
    </w:rPr>
  </w:style>
  <w:style w:type="paragraph" w:styleId="CommentSubject">
    <w:name w:val="annotation subject"/>
    <w:basedOn w:val="CommentText"/>
    <w:next w:val="CommentText"/>
    <w:link w:val="CommentSubjectChar"/>
    <w:uiPriority w:val="99"/>
    <w:semiHidden/>
    <w:unhideWhenUsed/>
    <w:rsid w:val="00966FFA"/>
    <w:rPr>
      <w:b/>
      <w:bCs/>
      <w:sz w:val="20"/>
      <w:szCs w:val="20"/>
    </w:rPr>
  </w:style>
  <w:style w:type="character" w:customStyle="1" w:styleId="CommentSubjectChar">
    <w:name w:val="Comment Subject Char"/>
    <w:basedOn w:val="CommentTextChar"/>
    <w:link w:val="CommentSubject"/>
    <w:uiPriority w:val="99"/>
    <w:semiHidden/>
    <w:rsid w:val="00966FFA"/>
    <w:rPr>
      <w:rFonts w:ascii="Verdana" w:hAnsi="Verdana"/>
      <w:b/>
      <w:bCs/>
      <w:sz w:val="20"/>
      <w:szCs w:val="20"/>
      <w:lang w:val="en-GB"/>
    </w:rPr>
  </w:style>
  <w:style w:type="character" w:customStyle="1" w:styleId="grame">
    <w:name w:val="grame"/>
    <w:basedOn w:val="DefaultParagraphFont"/>
    <w:rsid w:val="00FD619D"/>
  </w:style>
  <w:style w:type="character" w:customStyle="1" w:styleId="spelle">
    <w:name w:val="spelle"/>
    <w:basedOn w:val="DefaultParagraphFont"/>
    <w:rsid w:val="00FD619D"/>
  </w:style>
  <w:style w:type="paragraph" w:styleId="ListParagraph">
    <w:name w:val="List Paragraph"/>
    <w:basedOn w:val="Normal"/>
    <w:uiPriority w:val="34"/>
    <w:qFormat/>
    <w:rsid w:val="00947169"/>
    <w:pPr>
      <w:ind w:left="720"/>
      <w:contextualSpacing/>
    </w:pPr>
  </w:style>
  <w:style w:type="character" w:styleId="Hyperlink">
    <w:name w:val="Hyperlink"/>
    <w:basedOn w:val="DefaultParagraphFont"/>
    <w:uiPriority w:val="99"/>
    <w:unhideWhenUsed/>
    <w:rsid w:val="003B6C38"/>
    <w:rPr>
      <w:color w:val="0000FF" w:themeColor="hyperlink"/>
      <w:u w:val="single"/>
    </w:rPr>
  </w:style>
  <w:style w:type="character" w:customStyle="1" w:styleId="zmlenmeyenBahsetme1">
    <w:name w:val="Çözümlenmeyen Bahsetme1"/>
    <w:basedOn w:val="DefaultParagraphFont"/>
    <w:uiPriority w:val="99"/>
    <w:semiHidden/>
    <w:unhideWhenUsed/>
    <w:rsid w:val="003B6C38"/>
    <w:rPr>
      <w:color w:val="808080"/>
      <w:shd w:val="clear" w:color="auto" w:fill="E6E6E6"/>
    </w:rPr>
  </w:style>
  <w:style w:type="character" w:customStyle="1" w:styleId="size">
    <w:name w:val="size"/>
    <w:basedOn w:val="DefaultParagraphFont"/>
    <w:rsid w:val="00BB5E2F"/>
  </w:style>
  <w:style w:type="paragraph" w:styleId="NoSpacing">
    <w:name w:val="No Spacing"/>
    <w:basedOn w:val="Normal"/>
    <w:uiPriority w:val="1"/>
    <w:qFormat/>
    <w:rsid w:val="00BB5E2F"/>
    <w:pPr>
      <w:spacing w:before="100" w:beforeAutospacing="1" w:after="100" w:afterAutospacing="1"/>
    </w:pPr>
    <w:rPr>
      <w:rFonts w:ascii="Times" w:hAnsi="Times"/>
      <w:sz w:val="20"/>
      <w:szCs w:val="20"/>
      <w:lang w:val="en-US"/>
    </w:rPr>
  </w:style>
  <w:style w:type="character" w:styleId="FollowedHyperlink">
    <w:name w:val="FollowedHyperlink"/>
    <w:basedOn w:val="DefaultParagraphFont"/>
    <w:uiPriority w:val="99"/>
    <w:semiHidden/>
    <w:unhideWhenUsed/>
    <w:rsid w:val="00B8441A"/>
    <w:rPr>
      <w:color w:val="800080" w:themeColor="followedHyperlink"/>
      <w:u w:val="single"/>
    </w:rPr>
  </w:style>
  <w:style w:type="paragraph" w:styleId="EndnoteText">
    <w:name w:val="endnote text"/>
    <w:basedOn w:val="Normal"/>
    <w:link w:val="EndnoteTextChar"/>
    <w:uiPriority w:val="99"/>
    <w:unhideWhenUsed/>
    <w:rsid w:val="00B8441A"/>
    <w:rPr>
      <w:sz w:val="24"/>
    </w:rPr>
  </w:style>
  <w:style w:type="character" w:customStyle="1" w:styleId="EndnoteTextChar">
    <w:name w:val="Endnote Text Char"/>
    <w:basedOn w:val="DefaultParagraphFont"/>
    <w:link w:val="EndnoteText"/>
    <w:uiPriority w:val="99"/>
    <w:rsid w:val="00B8441A"/>
    <w:rPr>
      <w:rFonts w:ascii="Verdana" w:hAnsi="Verdana"/>
      <w:lang w:val="en-GB"/>
    </w:rPr>
  </w:style>
  <w:style w:type="character" w:styleId="EndnoteReference">
    <w:name w:val="endnote reference"/>
    <w:basedOn w:val="DefaultParagraphFont"/>
    <w:uiPriority w:val="99"/>
    <w:unhideWhenUsed/>
    <w:rsid w:val="00B8441A"/>
    <w:rPr>
      <w:vertAlign w:val="superscript"/>
    </w:rPr>
  </w:style>
  <w:style w:type="paragraph" w:styleId="Footer">
    <w:name w:val="footer"/>
    <w:basedOn w:val="Normal"/>
    <w:link w:val="FooterChar"/>
    <w:uiPriority w:val="99"/>
    <w:unhideWhenUsed/>
    <w:rsid w:val="007F1D1F"/>
    <w:pPr>
      <w:tabs>
        <w:tab w:val="center" w:pos="4320"/>
        <w:tab w:val="right" w:pos="8640"/>
      </w:tabs>
    </w:pPr>
  </w:style>
  <w:style w:type="character" w:customStyle="1" w:styleId="FooterChar">
    <w:name w:val="Footer Char"/>
    <w:basedOn w:val="DefaultParagraphFont"/>
    <w:link w:val="Footer"/>
    <w:uiPriority w:val="99"/>
    <w:rsid w:val="007F1D1F"/>
    <w:rPr>
      <w:rFonts w:ascii="Verdana" w:hAnsi="Verdana"/>
      <w:sz w:val="19"/>
      <w:lang w:val="en-GB"/>
    </w:rPr>
  </w:style>
  <w:style w:type="character" w:styleId="PageNumber">
    <w:name w:val="page number"/>
    <w:basedOn w:val="DefaultParagraphFont"/>
    <w:uiPriority w:val="99"/>
    <w:semiHidden/>
    <w:unhideWhenUsed/>
    <w:rsid w:val="007F1D1F"/>
  </w:style>
  <w:style w:type="character" w:customStyle="1" w:styleId="sb8d990e2">
    <w:name w:val="sb8d990e2"/>
    <w:basedOn w:val="DefaultParagraphFont"/>
    <w:rsid w:val="005578D5"/>
  </w:style>
  <w:style w:type="paragraph" w:customStyle="1" w:styleId="s30eec3f8">
    <w:name w:val="s30eec3f8"/>
    <w:basedOn w:val="Normal"/>
    <w:rsid w:val="00BB020A"/>
    <w:pPr>
      <w:spacing w:before="100" w:beforeAutospacing="1" w:after="100" w:afterAutospacing="1"/>
    </w:pPr>
    <w:rPr>
      <w:rFonts w:ascii="Times" w:hAnsi="Times"/>
      <w:sz w:val="20"/>
      <w:szCs w:val="20"/>
      <w:lang w:val="en-US"/>
    </w:rPr>
  </w:style>
  <w:style w:type="character" w:customStyle="1" w:styleId="s6b621b36">
    <w:name w:val="s6b621b36"/>
    <w:basedOn w:val="DefaultParagraphFont"/>
    <w:rsid w:val="00BB020A"/>
  </w:style>
  <w:style w:type="paragraph" w:customStyle="1" w:styleId="Default">
    <w:name w:val="Default"/>
    <w:rsid w:val="00462602"/>
    <w:pPr>
      <w:autoSpaceDE w:val="0"/>
      <w:autoSpaceDN w:val="0"/>
      <w:adjustRightInd w:val="0"/>
    </w:pPr>
    <w:rPr>
      <w:rFonts w:ascii="Cambria" w:hAnsi="Cambria" w:cs="Cambria"/>
      <w:color w:val="000000"/>
      <w:lang w:val="tr-TR"/>
    </w:rPr>
  </w:style>
  <w:style w:type="paragraph" w:styleId="Header">
    <w:name w:val="header"/>
    <w:basedOn w:val="Normal"/>
    <w:link w:val="HeaderChar"/>
    <w:uiPriority w:val="99"/>
    <w:unhideWhenUsed/>
    <w:rsid w:val="000328EB"/>
    <w:pPr>
      <w:tabs>
        <w:tab w:val="center" w:pos="4320"/>
        <w:tab w:val="right" w:pos="8640"/>
      </w:tabs>
    </w:pPr>
  </w:style>
  <w:style w:type="character" w:customStyle="1" w:styleId="HeaderChar">
    <w:name w:val="Header Char"/>
    <w:basedOn w:val="DefaultParagraphFont"/>
    <w:link w:val="Header"/>
    <w:uiPriority w:val="99"/>
    <w:rsid w:val="000328EB"/>
    <w:rPr>
      <w:rFonts w:ascii="Verdana" w:hAnsi="Verdana"/>
      <w:sz w:val="19"/>
      <w:lang w:val="en-GB"/>
    </w:rPr>
  </w:style>
  <w:style w:type="paragraph" w:styleId="Revision">
    <w:name w:val="Revision"/>
    <w:hidden/>
    <w:uiPriority w:val="99"/>
    <w:semiHidden/>
    <w:rsid w:val="002E19BD"/>
    <w:rPr>
      <w:rFonts w:ascii="Verdana" w:hAnsi="Verdana"/>
      <w:sz w:val="19"/>
      <w:lang w:val="en-GB"/>
    </w:rPr>
  </w:style>
  <w:style w:type="character" w:customStyle="1" w:styleId="Mentionnonrsolue1">
    <w:name w:val="Mention non résolue1"/>
    <w:basedOn w:val="DefaultParagraphFont"/>
    <w:uiPriority w:val="99"/>
    <w:semiHidden/>
    <w:unhideWhenUsed/>
    <w:rsid w:val="0028303B"/>
    <w:rPr>
      <w:color w:val="605E5C"/>
      <w:shd w:val="clear" w:color="auto" w:fill="E1DFDD"/>
    </w:rPr>
  </w:style>
  <w:style w:type="character" w:customStyle="1" w:styleId="tlid-translation">
    <w:name w:val="tlid-translation"/>
    <w:basedOn w:val="DefaultParagraphFont"/>
    <w:rsid w:val="002310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21286">
      <w:bodyDiv w:val="1"/>
      <w:marLeft w:val="0"/>
      <w:marRight w:val="0"/>
      <w:marTop w:val="0"/>
      <w:marBottom w:val="0"/>
      <w:divBdr>
        <w:top w:val="none" w:sz="0" w:space="0" w:color="auto"/>
        <w:left w:val="none" w:sz="0" w:space="0" w:color="auto"/>
        <w:bottom w:val="none" w:sz="0" w:space="0" w:color="auto"/>
        <w:right w:val="none" w:sz="0" w:space="0" w:color="auto"/>
      </w:divBdr>
    </w:div>
    <w:div w:id="187254306">
      <w:bodyDiv w:val="1"/>
      <w:marLeft w:val="0"/>
      <w:marRight w:val="0"/>
      <w:marTop w:val="0"/>
      <w:marBottom w:val="0"/>
      <w:divBdr>
        <w:top w:val="none" w:sz="0" w:space="0" w:color="auto"/>
        <w:left w:val="none" w:sz="0" w:space="0" w:color="auto"/>
        <w:bottom w:val="none" w:sz="0" w:space="0" w:color="auto"/>
        <w:right w:val="none" w:sz="0" w:space="0" w:color="auto"/>
      </w:divBdr>
      <w:divsChild>
        <w:div w:id="614212179">
          <w:marLeft w:val="0"/>
          <w:marRight w:val="0"/>
          <w:marTop w:val="0"/>
          <w:marBottom w:val="0"/>
          <w:divBdr>
            <w:top w:val="none" w:sz="0" w:space="0" w:color="auto"/>
            <w:left w:val="none" w:sz="0" w:space="0" w:color="auto"/>
            <w:bottom w:val="none" w:sz="0" w:space="0" w:color="auto"/>
            <w:right w:val="none" w:sz="0" w:space="0" w:color="auto"/>
          </w:divBdr>
        </w:div>
        <w:div w:id="1480418408">
          <w:marLeft w:val="0"/>
          <w:marRight w:val="0"/>
          <w:marTop w:val="0"/>
          <w:marBottom w:val="0"/>
          <w:divBdr>
            <w:top w:val="none" w:sz="0" w:space="0" w:color="auto"/>
            <w:left w:val="none" w:sz="0" w:space="0" w:color="auto"/>
            <w:bottom w:val="none" w:sz="0" w:space="0" w:color="auto"/>
            <w:right w:val="none" w:sz="0" w:space="0" w:color="auto"/>
          </w:divBdr>
        </w:div>
        <w:div w:id="1507861197">
          <w:marLeft w:val="0"/>
          <w:marRight w:val="0"/>
          <w:marTop w:val="0"/>
          <w:marBottom w:val="0"/>
          <w:divBdr>
            <w:top w:val="none" w:sz="0" w:space="0" w:color="auto"/>
            <w:left w:val="none" w:sz="0" w:space="0" w:color="auto"/>
            <w:bottom w:val="none" w:sz="0" w:space="0" w:color="auto"/>
            <w:right w:val="none" w:sz="0" w:space="0" w:color="auto"/>
          </w:divBdr>
        </w:div>
        <w:div w:id="1696079960">
          <w:marLeft w:val="0"/>
          <w:marRight w:val="0"/>
          <w:marTop w:val="0"/>
          <w:marBottom w:val="0"/>
          <w:divBdr>
            <w:top w:val="none" w:sz="0" w:space="0" w:color="auto"/>
            <w:left w:val="none" w:sz="0" w:space="0" w:color="auto"/>
            <w:bottom w:val="none" w:sz="0" w:space="0" w:color="auto"/>
            <w:right w:val="none" w:sz="0" w:space="0" w:color="auto"/>
          </w:divBdr>
        </w:div>
      </w:divsChild>
    </w:div>
    <w:div w:id="238906912">
      <w:bodyDiv w:val="1"/>
      <w:marLeft w:val="0"/>
      <w:marRight w:val="0"/>
      <w:marTop w:val="0"/>
      <w:marBottom w:val="0"/>
      <w:divBdr>
        <w:top w:val="none" w:sz="0" w:space="0" w:color="auto"/>
        <w:left w:val="none" w:sz="0" w:space="0" w:color="auto"/>
        <w:bottom w:val="none" w:sz="0" w:space="0" w:color="auto"/>
        <w:right w:val="none" w:sz="0" w:space="0" w:color="auto"/>
      </w:divBdr>
    </w:div>
    <w:div w:id="259022621">
      <w:bodyDiv w:val="1"/>
      <w:marLeft w:val="0"/>
      <w:marRight w:val="0"/>
      <w:marTop w:val="0"/>
      <w:marBottom w:val="0"/>
      <w:divBdr>
        <w:top w:val="none" w:sz="0" w:space="0" w:color="auto"/>
        <w:left w:val="none" w:sz="0" w:space="0" w:color="auto"/>
        <w:bottom w:val="none" w:sz="0" w:space="0" w:color="auto"/>
        <w:right w:val="none" w:sz="0" w:space="0" w:color="auto"/>
      </w:divBdr>
    </w:div>
    <w:div w:id="259263503">
      <w:bodyDiv w:val="1"/>
      <w:marLeft w:val="0"/>
      <w:marRight w:val="0"/>
      <w:marTop w:val="0"/>
      <w:marBottom w:val="0"/>
      <w:divBdr>
        <w:top w:val="none" w:sz="0" w:space="0" w:color="auto"/>
        <w:left w:val="none" w:sz="0" w:space="0" w:color="auto"/>
        <w:bottom w:val="none" w:sz="0" w:space="0" w:color="auto"/>
        <w:right w:val="none" w:sz="0" w:space="0" w:color="auto"/>
      </w:divBdr>
      <w:divsChild>
        <w:div w:id="518199868">
          <w:marLeft w:val="0"/>
          <w:marRight w:val="0"/>
          <w:marTop w:val="0"/>
          <w:marBottom w:val="0"/>
          <w:divBdr>
            <w:top w:val="none" w:sz="0" w:space="0" w:color="auto"/>
            <w:left w:val="none" w:sz="0" w:space="0" w:color="auto"/>
            <w:bottom w:val="none" w:sz="0" w:space="0" w:color="auto"/>
            <w:right w:val="none" w:sz="0" w:space="0" w:color="auto"/>
          </w:divBdr>
        </w:div>
      </w:divsChild>
    </w:div>
    <w:div w:id="284234751">
      <w:bodyDiv w:val="1"/>
      <w:marLeft w:val="0"/>
      <w:marRight w:val="0"/>
      <w:marTop w:val="0"/>
      <w:marBottom w:val="0"/>
      <w:divBdr>
        <w:top w:val="none" w:sz="0" w:space="0" w:color="auto"/>
        <w:left w:val="none" w:sz="0" w:space="0" w:color="auto"/>
        <w:bottom w:val="none" w:sz="0" w:space="0" w:color="auto"/>
        <w:right w:val="none" w:sz="0" w:space="0" w:color="auto"/>
      </w:divBdr>
    </w:div>
    <w:div w:id="286280332">
      <w:bodyDiv w:val="1"/>
      <w:marLeft w:val="0"/>
      <w:marRight w:val="0"/>
      <w:marTop w:val="0"/>
      <w:marBottom w:val="0"/>
      <w:divBdr>
        <w:top w:val="none" w:sz="0" w:space="0" w:color="auto"/>
        <w:left w:val="none" w:sz="0" w:space="0" w:color="auto"/>
        <w:bottom w:val="none" w:sz="0" w:space="0" w:color="auto"/>
        <w:right w:val="none" w:sz="0" w:space="0" w:color="auto"/>
      </w:divBdr>
    </w:div>
    <w:div w:id="367337731">
      <w:bodyDiv w:val="1"/>
      <w:marLeft w:val="0"/>
      <w:marRight w:val="0"/>
      <w:marTop w:val="0"/>
      <w:marBottom w:val="0"/>
      <w:divBdr>
        <w:top w:val="none" w:sz="0" w:space="0" w:color="auto"/>
        <w:left w:val="none" w:sz="0" w:space="0" w:color="auto"/>
        <w:bottom w:val="none" w:sz="0" w:space="0" w:color="auto"/>
        <w:right w:val="none" w:sz="0" w:space="0" w:color="auto"/>
      </w:divBdr>
    </w:div>
    <w:div w:id="466976382">
      <w:bodyDiv w:val="1"/>
      <w:marLeft w:val="0"/>
      <w:marRight w:val="0"/>
      <w:marTop w:val="0"/>
      <w:marBottom w:val="0"/>
      <w:divBdr>
        <w:top w:val="none" w:sz="0" w:space="0" w:color="auto"/>
        <w:left w:val="none" w:sz="0" w:space="0" w:color="auto"/>
        <w:bottom w:val="none" w:sz="0" w:space="0" w:color="auto"/>
        <w:right w:val="none" w:sz="0" w:space="0" w:color="auto"/>
      </w:divBdr>
      <w:divsChild>
        <w:div w:id="1030256866">
          <w:marLeft w:val="0"/>
          <w:marRight w:val="0"/>
          <w:marTop w:val="0"/>
          <w:marBottom w:val="0"/>
          <w:divBdr>
            <w:top w:val="none" w:sz="0" w:space="0" w:color="auto"/>
            <w:left w:val="none" w:sz="0" w:space="0" w:color="auto"/>
            <w:bottom w:val="none" w:sz="0" w:space="0" w:color="auto"/>
            <w:right w:val="none" w:sz="0" w:space="0" w:color="auto"/>
          </w:divBdr>
          <w:divsChild>
            <w:div w:id="1242567262">
              <w:marLeft w:val="0"/>
              <w:marRight w:val="0"/>
              <w:marTop w:val="0"/>
              <w:marBottom w:val="0"/>
              <w:divBdr>
                <w:top w:val="none" w:sz="0" w:space="0" w:color="auto"/>
                <w:left w:val="none" w:sz="0" w:space="0" w:color="auto"/>
                <w:bottom w:val="none" w:sz="0" w:space="0" w:color="auto"/>
                <w:right w:val="none" w:sz="0" w:space="0" w:color="auto"/>
              </w:divBdr>
              <w:divsChild>
                <w:div w:id="183271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296251">
      <w:bodyDiv w:val="1"/>
      <w:marLeft w:val="0"/>
      <w:marRight w:val="0"/>
      <w:marTop w:val="0"/>
      <w:marBottom w:val="0"/>
      <w:divBdr>
        <w:top w:val="none" w:sz="0" w:space="0" w:color="auto"/>
        <w:left w:val="none" w:sz="0" w:space="0" w:color="auto"/>
        <w:bottom w:val="none" w:sz="0" w:space="0" w:color="auto"/>
        <w:right w:val="none" w:sz="0" w:space="0" w:color="auto"/>
      </w:divBdr>
    </w:div>
    <w:div w:id="761950963">
      <w:bodyDiv w:val="1"/>
      <w:marLeft w:val="0"/>
      <w:marRight w:val="0"/>
      <w:marTop w:val="0"/>
      <w:marBottom w:val="0"/>
      <w:divBdr>
        <w:top w:val="none" w:sz="0" w:space="0" w:color="auto"/>
        <w:left w:val="none" w:sz="0" w:space="0" w:color="auto"/>
        <w:bottom w:val="none" w:sz="0" w:space="0" w:color="auto"/>
        <w:right w:val="none" w:sz="0" w:space="0" w:color="auto"/>
      </w:divBdr>
    </w:div>
    <w:div w:id="770782460">
      <w:bodyDiv w:val="1"/>
      <w:marLeft w:val="0"/>
      <w:marRight w:val="0"/>
      <w:marTop w:val="0"/>
      <w:marBottom w:val="0"/>
      <w:divBdr>
        <w:top w:val="none" w:sz="0" w:space="0" w:color="auto"/>
        <w:left w:val="none" w:sz="0" w:space="0" w:color="auto"/>
        <w:bottom w:val="none" w:sz="0" w:space="0" w:color="auto"/>
        <w:right w:val="none" w:sz="0" w:space="0" w:color="auto"/>
      </w:divBdr>
    </w:div>
    <w:div w:id="817965480">
      <w:bodyDiv w:val="1"/>
      <w:marLeft w:val="0"/>
      <w:marRight w:val="0"/>
      <w:marTop w:val="0"/>
      <w:marBottom w:val="0"/>
      <w:divBdr>
        <w:top w:val="none" w:sz="0" w:space="0" w:color="auto"/>
        <w:left w:val="none" w:sz="0" w:space="0" w:color="auto"/>
        <w:bottom w:val="none" w:sz="0" w:space="0" w:color="auto"/>
        <w:right w:val="none" w:sz="0" w:space="0" w:color="auto"/>
      </w:divBdr>
    </w:div>
    <w:div w:id="878585214">
      <w:bodyDiv w:val="1"/>
      <w:marLeft w:val="0"/>
      <w:marRight w:val="0"/>
      <w:marTop w:val="0"/>
      <w:marBottom w:val="0"/>
      <w:divBdr>
        <w:top w:val="none" w:sz="0" w:space="0" w:color="auto"/>
        <w:left w:val="none" w:sz="0" w:space="0" w:color="auto"/>
        <w:bottom w:val="none" w:sz="0" w:space="0" w:color="auto"/>
        <w:right w:val="none" w:sz="0" w:space="0" w:color="auto"/>
      </w:divBdr>
      <w:divsChild>
        <w:div w:id="149492936">
          <w:marLeft w:val="0"/>
          <w:marRight w:val="0"/>
          <w:marTop w:val="0"/>
          <w:marBottom w:val="0"/>
          <w:divBdr>
            <w:top w:val="none" w:sz="0" w:space="0" w:color="auto"/>
            <w:left w:val="none" w:sz="0" w:space="0" w:color="auto"/>
            <w:bottom w:val="none" w:sz="0" w:space="0" w:color="auto"/>
            <w:right w:val="none" w:sz="0" w:space="0" w:color="auto"/>
          </w:divBdr>
        </w:div>
        <w:div w:id="1268663195">
          <w:marLeft w:val="0"/>
          <w:marRight w:val="0"/>
          <w:marTop w:val="0"/>
          <w:marBottom w:val="0"/>
          <w:divBdr>
            <w:top w:val="none" w:sz="0" w:space="0" w:color="auto"/>
            <w:left w:val="none" w:sz="0" w:space="0" w:color="auto"/>
            <w:bottom w:val="none" w:sz="0" w:space="0" w:color="auto"/>
            <w:right w:val="none" w:sz="0" w:space="0" w:color="auto"/>
          </w:divBdr>
        </w:div>
        <w:div w:id="1488668986">
          <w:marLeft w:val="0"/>
          <w:marRight w:val="0"/>
          <w:marTop w:val="0"/>
          <w:marBottom w:val="0"/>
          <w:divBdr>
            <w:top w:val="none" w:sz="0" w:space="0" w:color="auto"/>
            <w:left w:val="none" w:sz="0" w:space="0" w:color="auto"/>
            <w:bottom w:val="none" w:sz="0" w:space="0" w:color="auto"/>
            <w:right w:val="none" w:sz="0" w:space="0" w:color="auto"/>
          </w:divBdr>
        </w:div>
      </w:divsChild>
    </w:div>
    <w:div w:id="984579224">
      <w:bodyDiv w:val="1"/>
      <w:marLeft w:val="0"/>
      <w:marRight w:val="0"/>
      <w:marTop w:val="0"/>
      <w:marBottom w:val="0"/>
      <w:divBdr>
        <w:top w:val="none" w:sz="0" w:space="0" w:color="auto"/>
        <w:left w:val="none" w:sz="0" w:space="0" w:color="auto"/>
        <w:bottom w:val="none" w:sz="0" w:space="0" w:color="auto"/>
        <w:right w:val="none" w:sz="0" w:space="0" w:color="auto"/>
      </w:divBdr>
    </w:div>
    <w:div w:id="995035784">
      <w:bodyDiv w:val="1"/>
      <w:marLeft w:val="0"/>
      <w:marRight w:val="0"/>
      <w:marTop w:val="0"/>
      <w:marBottom w:val="0"/>
      <w:divBdr>
        <w:top w:val="none" w:sz="0" w:space="0" w:color="auto"/>
        <w:left w:val="none" w:sz="0" w:space="0" w:color="auto"/>
        <w:bottom w:val="none" w:sz="0" w:space="0" w:color="auto"/>
        <w:right w:val="none" w:sz="0" w:space="0" w:color="auto"/>
      </w:divBdr>
    </w:div>
    <w:div w:id="1008480518">
      <w:bodyDiv w:val="1"/>
      <w:marLeft w:val="0"/>
      <w:marRight w:val="0"/>
      <w:marTop w:val="0"/>
      <w:marBottom w:val="0"/>
      <w:divBdr>
        <w:top w:val="none" w:sz="0" w:space="0" w:color="auto"/>
        <w:left w:val="none" w:sz="0" w:space="0" w:color="auto"/>
        <w:bottom w:val="none" w:sz="0" w:space="0" w:color="auto"/>
        <w:right w:val="none" w:sz="0" w:space="0" w:color="auto"/>
      </w:divBdr>
    </w:div>
    <w:div w:id="1165511088">
      <w:bodyDiv w:val="1"/>
      <w:marLeft w:val="0"/>
      <w:marRight w:val="0"/>
      <w:marTop w:val="0"/>
      <w:marBottom w:val="0"/>
      <w:divBdr>
        <w:top w:val="none" w:sz="0" w:space="0" w:color="auto"/>
        <w:left w:val="none" w:sz="0" w:space="0" w:color="auto"/>
        <w:bottom w:val="none" w:sz="0" w:space="0" w:color="auto"/>
        <w:right w:val="none" w:sz="0" w:space="0" w:color="auto"/>
      </w:divBdr>
    </w:div>
    <w:div w:id="1260723143">
      <w:bodyDiv w:val="1"/>
      <w:marLeft w:val="0"/>
      <w:marRight w:val="0"/>
      <w:marTop w:val="0"/>
      <w:marBottom w:val="0"/>
      <w:divBdr>
        <w:top w:val="none" w:sz="0" w:space="0" w:color="auto"/>
        <w:left w:val="none" w:sz="0" w:space="0" w:color="auto"/>
        <w:bottom w:val="none" w:sz="0" w:space="0" w:color="auto"/>
        <w:right w:val="none" w:sz="0" w:space="0" w:color="auto"/>
      </w:divBdr>
    </w:div>
    <w:div w:id="1369140338">
      <w:bodyDiv w:val="1"/>
      <w:marLeft w:val="0"/>
      <w:marRight w:val="0"/>
      <w:marTop w:val="0"/>
      <w:marBottom w:val="0"/>
      <w:divBdr>
        <w:top w:val="none" w:sz="0" w:space="0" w:color="auto"/>
        <w:left w:val="none" w:sz="0" w:space="0" w:color="auto"/>
        <w:bottom w:val="none" w:sz="0" w:space="0" w:color="auto"/>
        <w:right w:val="none" w:sz="0" w:space="0" w:color="auto"/>
      </w:divBdr>
    </w:div>
    <w:div w:id="1468009616">
      <w:bodyDiv w:val="1"/>
      <w:marLeft w:val="0"/>
      <w:marRight w:val="0"/>
      <w:marTop w:val="0"/>
      <w:marBottom w:val="0"/>
      <w:divBdr>
        <w:top w:val="none" w:sz="0" w:space="0" w:color="auto"/>
        <w:left w:val="none" w:sz="0" w:space="0" w:color="auto"/>
        <w:bottom w:val="none" w:sz="0" w:space="0" w:color="auto"/>
        <w:right w:val="none" w:sz="0" w:space="0" w:color="auto"/>
      </w:divBdr>
    </w:div>
    <w:div w:id="1563826434">
      <w:bodyDiv w:val="1"/>
      <w:marLeft w:val="0"/>
      <w:marRight w:val="0"/>
      <w:marTop w:val="0"/>
      <w:marBottom w:val="0"/>
      <w:divBdr>
        <w:top w:val="none" w:sz="0" w:space="0" w:color="auto"/>
        <w:left w:val="none" w:sz="0" w:space="0" w:color="auto"/>
        <w:bottom w:val="none" w:sz="0" w:space="0" w:color="auto"/>
        <w:right w:val="none" w:sz="0" w:space="0" w:color="auto"/>
      </w:divBdr>
    </w:div>
    <w:div w:id="1640308321">
      <w:bodyDiv w:val="1"/>
      <w:marLeft w:val="0"/>
      <w:marRight w:val="0"/>
      <w:marTop w:val="0"/>
      <w:marBottom w:val="0"/>
      <w:divBdr>
        <w:top w:val="none" w:sz="0" w:space="0" w:color="auto"/>
        <w:left w:val="none" w:sz="0" w:space="0" w:color="auto"/>
        <w:bottom w:val="none" w:sz="0" w:space="0" w:color="auto"/>
        <w:right w:val="none" w:sz="0" w:space="0" w:color="auto"/>
      </w:divBdr>
    </w:div>
    <w:div w:id="1648823613">
      <w:bodyDiv w:val="1"/>
      <w:marLeft w:val="0"/>
      <w:marRight w:val="0"/>
      <w:marTop w:val="0"/>
      <w:marBottom w:val="0"/>
      <w:divBdr>
        <w:top w:val="none" w:sz="0" w:space="0" w:color="auto"/>
        <w:left w:val="none" w:sz="0" w:space="0" w:color="auto"/>
        <w:bottom w:val="none" w:sz="0" w:space="0" w:color="auto"/>
        <w:right w:val="none" w:sz="0" w:space="0" w:color="auto"/>
      </w:divBdr>
    </w:div>
    <w:div w:id="1747802375">
      <w:bodyDiv w:val="1"/>
      <w:marLeft w:val="0"/>
      <w:marRight w:val="0"/>
      <w:marTop w:val="0"/>
      <w:marBottom w:val="0"/>
      <w:divBdr>
        <w:top w:val="none" w:sz="0" w:space="0" w:color="auto"/>
        <w:left w:val="none" w:sz="0" w:space="0" w:color="auto"/>
        <w:bottom w:val="none" w:sz="0" w:space="0" w:color="auto"/>
        <w:right w:val="none" w:sz="0" w:space="0" w:color="auto"/>
      </w:divBdr>
    </w:div>
    <w:div w:id="1757939625">
      <w:bodyDiv w:val="1"/>
      <w:marLeft w:val="0"/>
      <w:marRight w:val="0"/>
      <w:marTop w:val="0"/>
      <w:marBottom w:val="0"/>
      <w:divBdr>
        <w:top w:val="none" w:sz="0" w:space="0" w:color="auto"/>
        <w:left w:val="none" w:sz="0" w:space="0" w:color="auto"/>
        <w:bottom w:val="none" w:sz="0" w:space="0" w:color="auto"/>
        <w:right w:val="none" w:sz="0" w:space="0" w:color="auto"/>
      </w:divBdr>
    </w:div>
    <w:div w:id="1815944832">
      <w:bodyDiv w:val="1"/>
      <w:marLeft w:val="0"/>
      <w:marRight w:val="0"/>
      <w:marTop w:val="0"/>
      <w:marBottom w:val="0"/>
      <w:divBdr>
        <w:top w:val="none" w:sz="0" w:space="0" w:color="auto"/>
        <w:left w:val="none" w:sz="0" w:space="0" w:color="auto"/>
        <w:bottom w:val="none" w:sz="0" w:space="0" w:color="auto"/>
        <w:right w:val="none" w:sz="0" w:space="0" w:color="auto"/>
      </w:divBdr>
    </w:div>
    <w:div w:id="1882664512">
      <w:bodyDiv w:val="1"/>
      <w:marLeft w:val="0"/>
      <w:marRight w:val="0"/>
      <w:marTop w:val="0"/>
      <w:marBottom w:val="0"/>
      <w:divBdr>
        <w:top w:val="none" w:sz="0" w:space="0" w:color="auto"/>
        <w:left w:val="none" w:sz="0" w:space="0" w:color="auto"/>
        <w:bottom w:val="none" w:sz="0" w:space="0" w:color="auto"/>
        <w:right w:val="none" w:sz="0" w:space="0" w:color="auto"/>
      </w:divBdr>
    </w:div>
    <w:div w:id="1927573737">
      <w:bodyDiv w:val="1"/>
      <w:marLeft w:val="0"/>
      <w:marRight w:val="0"/>
      <w:marTop w:val="0"/>
      <w:marBottom w:val="0"/>
      <w:divBdr>
        <w:top w:val="none" w:sz="0" w:space="0" w:color="auto"/>
        <w:left w:val="none" w:sz="0" w:space="0" w:color="auto"/>
        <w:bottom w:val="none" w:sz="0" w:space="0" w:color="auto"/>
        <w:right w:val="none" w:sz="0" w:space="0" w:color="auto"/>
      </w:divBdr>
    </w:div>
    <w:div w:id="1963683103">
      <w:bodyDiv w:val="1"/>
      <w:marLeft w:val="0"/>
      <w:marRight w:val="0"/>
      <w:marTop w:val="0"/>
      <w:marBottom w:val="0"/>
      <w:divBdr>
        <w:top w:val="none" w:sz="0" w:space="0" w:color="auto"/>
        <w:left w:val="none" w:sz="0" w:space="0" w:color="auto"/>
        <w:bottom w:val="none" w:sz="0" w:space="0" w:color="auto"/>
        <w:right w:val="none" w:sz="0" w:space="0" w:color="auto"/>
      </w:divBdr>
    </w:div>
    <w:div w:id="2025478893">
      <w:bodyDiv w:val="1"/>
      <w:marLeft w:val="0"/>
      <w:marRight w:val="0"/>
      <w:marTop w:val="0"/>
      <w:marBottom w:val="0"/>
      <w:divBdr>
        <w:top w:val="none" w:sz="0" w:space="0" w:color="auto"/>
        <w:left w:val="none" w:sz="0" w:space="0" w:color="auto"/>
        <w:bottom w:val="none" w:sz="0" w:space="0" w:color="auto"/>
        <w:right w:val="none" w:sz="0" w:space="0" w:color="auto"/>
      </w:divBdr>
    </w:div>
    <w:div w:id="2116829237">
      <w:bodyDiv w:val="1"/>
      <w:marLeft w:val="0"/>
      <w:marRight w:val="0"/>
      <w:marTop w:val="0"/>
      <w:marBottom w:val="0"/>
      <w:divBdr>
        <w:top w:val="none" w:sz="0" w:space="0" w:color="auto"/>
        <w:left w:val="none" w:sz="0" w:space="0" w:color="auto"/>
        <w:bottom w:val="none" w:sz="0" w:space="0" w:color="auto"/>
        <w:right w:val="none" w:sz="0" w:space="0" w:color="auto"/>
      </w:divBdr>
    </w:div>
    <w:div w:id="212287452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fontTable" Target="fontTable.xml"/><Relationship Id="rId8" Type="http://schemas.openxmlformats.org/officeDocument/2006/relationships/endnotes" Target="endnotes.xml"/><Relationship Id="rId18" Type="http://schemas.openxmlformats.org/officeDocument/2006/relationships/customXml" Target="../customXml/item4.xml"/><Relationship Id="rId3" Type="http://schemas.openxmlformats.org/officeDocument/2006/relationships/styles" Target="styles.xml"/><Relationship Id="rId12" Type="http://schemas.openxmlformats.org/officeDocument/2006/relationships/footer" Target="footer2.xml"/><Relationship Id="rId7" Type="http://schemas.openxmlformats.org/officeDocument/2006/relationships/footnotes" Target="footnotes.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5" Type="http://schemas.microsoft.com/office/2011/relationships/people" Target="people.xml"/><Relationship Id="rId5" Type="http://schemas.openxmlformats.org/officeDocument/2006/relationships/settings" Target="settings.xml"/><Relationship Id="rId10" Type="http://schemas.openxmlformats.org/officeDocument/2006/relationships/hyperlink" Target="mailto:info@icj.org" TargetMode="External"/><Relationship Id="rId1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s>
</file>

<file path=word/_rels/footnotes.xml.rels><?xml version="1.0" encoding="UTF-8" standalone="yes"?>
<Relationships xmlns="http://schemas.openxmlformats.org/package/2006/relationships"><Relationship Id="rId1" Type="http://schemas.openxmlformats.org/officeDocument/2006/relationships/hyperlink" Target="https://strategy.uz/index.php?static=prioritetnye_napravleniya" TargetMode="External"/><Relationship Id="rId2" Type="http://schemas.openxmlformats.org/officeDocument/2006/relationships/hyperlink" Target="https://www.icj.org/wp-content/uploads/2017/09/Europe-Transnational-Injustices-Publications-Reports-Thematic-reports-2017-EN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A928848-CED2-7D4D-951F-58F93A7662E1}">
  <ds:schemaRefs>
    <ds:schemaRef ds:uri="http://schemas.openxmlformats.org/officeDocument/2006/bibliography"/>
  </ds:schemaRefs>
</ds:datastoreItem>
</file>

<file path=customXml/itemProps2.xml><?xml version="1.0" encoding="utf-8"?>
<ds:datastoreItem xmlns:ds="http://schemas.openxmlformats.org/officeDocument/2006/customXml" ds:itemID="{265A02BA-071A-4674-8837-6941B6D60A44}"/>
</file>

<file path=customXml/itemProps3.xml><?xml version="1.0" encoding="utf-8"?>
<ds:datastoreItem xmlns:ds="http://schemas.openxmlformats.org/officeDocument/2006/customXml" ds:itemID="{DE8EE82F-3639-4C85-B131-C338857C2054}"/>
</file>

<file path=customXml/itemProps4.xml><?xml version="1.0" encoding="utf-8"?>
<ds:datastoreItem xmlns:ds="http://schemas.openxmlformats.org/officeDocument/2006/customXml" ds:itemID="{A59E9B9F-C62D-4754-9D53-6072BDAB85D1}"/>
</file>

<file path=docProps/app.xml><?xml version="1.0" encoding="utf-8"?>
<Properties xmlns="http://schemas.openxmlformats.org/officeDocument/2006/extended-properties" xmlns:vt="http://schemas.openxmlformats.org/officeDocument/2006/docPropsVTypes">
  <Template>Normal.dotm</Template>
  <TotalTime>3</TotalTime>
  <Pages>7</Pages>
  <Words>2223</Words>
  <Characters>12675</Characters>
  <Application>Microsoft Macintosh Word</Application>
  <DocSecurity>0</DocSecurity>
  <Lines>105</Lines>
  <Paragraphs>29</Paragraphs>
  <ScaleCrop>false</ScaleCrop>
  <HeadingPairs>
    <vt:vector size="6" baseType="variant">
      <vt:variant>
        <vt:lpstr>Titre</vt:lpstr>
      </vt:variant>
      <vt:variant>
        <vt:i4>1</vt:i4>
      </vt:variant>
      <vt:variant>
        <vt:lpstr>Title</vt:lpstr>
      </vt:variant>
      <vt:variant>
        <vt:i4>1</vt:i4>
      </vt:variant>
      <vt:variant>
        <vt:lpstr>Konu Başlığı</vt:lpstr>
      </vt:variant>
      <vt:variant>
        <vt:i4>1</vt:i4>
      </vt:variant>
    </vt:vector>
  </HeadingPairs>
  <TitlesOfParts>
    <vt:vector size="3" baseType="lpstr">
      <vt:lpstr/>
      <vt:lpstr/>
      <vt:lpstr/>
    </vt:vector>
  </TitlesOfParts>
  <Company>International Commission of Jurists</Company>
  <LinksUpToDate>false</LinksUpToDate>
  <CharactersWithSpaces>14869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Massimo Frigo</dc:creator>
  <cp:keywords/>
  <dc:description/>
  <cp:lastModifiedBy>Livio Zilli</cp:lastModifiedBy>
  <cp:revision>3</cp:revision>
  <cp:lastPrinted>2019-10-10T09:32:00Z</cp:lastPrinted>
  <dcterms:created xsi:type="dcterms:W3CDTF">2019-10-14T09:55:00Z</dcterms:created>
  <dcterms:modified xsi:type="dcterms:W3CDTF">2019-10-14T09:57:00Z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