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977F07" w14:textId="77777777" w:rsidR="00E44D1D" w:rsidRPr="00BC1614" w:rsidRDefault="00E44D1D" w:rsidP="00E44D1D">
      <w:pPr>
        <w:spacing w:after="0" w:line="360" w:lineRule="auto"/>
        <w:jc w:val="center"/>
        <w:rPr>
          <w:rFonts w:ascii="Times New Roman" w:hAnsi="Times New Roman" w:cs="Times New Roman"/>
          <w:b/>
          <w:bCs/>
          <w:sz w:val="24"/>
          <w:szCs w:val="24"/>
        </w:rPr>
      </w:pPr>
    </w:p>
    <w:p w14:paraId="2AF0E38B" w14:textId="77777777" w:rsidR="00E44D1D" w:rsidRPr="00BC1614" w:rsidRDefault="00E44D1D" w:rsidP="00E44D1D">
      <w:pPr>
        <w:spacing w:after="0" w:line="360" w:lineRule="auto"/>
        <w:jc w:val="center"/>
        <w:rPr>
          <w:rFonts w:ascii="Times New Roman" w:hAnsi="Times New Roman" w:cs="Times New Roman"/>
          <w:b/>
          <w:bCs/>
          <w:sz w:val="24"/>
          <w:szCs w:val="24"/>
        </w:rPr>
      </w:pPr>
    </w:p>
    <w:p w14:paraId="76562794" w14:textId="77777777" w:rsidR="00E44D1D" w:rsidRPr="00BC1614" w:rsidRDefault="00E44D1D" w:rsidP="00E44D1D">
      <w:pPr>
        <w:spacing w:after="0" w:line="360" w:lineRule="auto"/>
        <w:jc w:val="center"/>
        <w:rPr>
          <w:rFonts w:ascii="Times New Roman" w:hAnsi="Times New Roman" w:cs="Times New Roman"/>
          <w:b/>
          <w:bCs/>
          <w:sz w:val="24"/>
          <w:szCs w:val="24"/>
        </w:rPr>
      </w:pPr>
    </w:p>
    <w:p w14:paraId="62396208" w14:textId="77777777" w:rsidR="00E44D1D" w:rsidRPr="00BC1614" w:rsidRDefault="00E44D1D" w:rsidP="00E44D1D">
      <w:pPr>
        <w:spacing w:after="0" w:line="360" w:lineRule="auto"/>
        <w:jc w:val="center"/>
        <w:rPr>
          <w:rFonts w:ascii="Times New Roman" w:hAnsi="Times New Roman" w:cs="Times New Roman"/>
          <w:b/>
          <w:bCs/>
          <w:sz w:val="24"/>
          <w:szCs w:val="24"/>
        </w:rPr>
      </w:pPr>
    </w:p>
    <w:p w14:paraId="4E72C41E" w14:textId="77777777" w:rsidR="00E44D1D" w:rsidRPr="00BC1614" w:rsidRDefault="00E44D1D" w:rsidP="00E44D1D">
      <w:pPr>
        <w:spacing w:after="0" w:line="360" w:lineRule="auto"/>
        <w:jc w:val="center"/>
        <w:rPr>
          <w:rFonts w:ascii="Times New Roman" w:hAnsi="Times New Roman" w:cs="Times New Roman"/>
          <w:b/>
          <w:bCs/>
          <w:sz w:val="24"/>
          <w:szCs w:val="24"/>
        </w:rPr>
      </w:pPr>
    </w:p>
    <w:p w14:paraId="23DA8C5D" w14:textId="327FE758" w:rsidR="00E44D1D" w:rsidRPr="00BC1614" w:rsidRDefault="00E44D1D" w:rsidP="00E44D1D">
      <w:pPr>
        <w:spacing w:after="0" w:line="360" w:lineRule="auto"/>
        <w:jc w:val="center"/>
        <w:rPr>
          <w:rFonts w:ascii="Times New Roman" w:hAnsi="Times New Roman" w:cs="Times New Roman"/>
          <w:b/>
          <w:bCs/>
          <w:sz w:val="28"/>
          <w:szCs w:val="28"/>
        </w:rPr>
      </w:pPr>
      <w:r w:rsidRPr="00BC1614">
        <w:rPr>
          <w:rFonts w:ascii="Times New Roman" w:hAnsi="Times New Roman" w:cs="Times New Roman"/>
          <w:b/>
          <w:bCs/>
          <w:sz w:val="28"/>
          <w:szCs w:val="28"/>
        </w:rPr>
        <w:t xml:space="preserve">Alternative report on the sixth periodic report of the Republic of Latvia on the fulfilment of the Convention against Torture and Other Cruel, Inhuman or Degrading Treatment or Punishment of 1984 of the United Nations for the </w:t>
      </w:r>
      <w:r w:rsidR="00285577" w:rsidRPr="00BC1614">
        <w:rPr>
          <w:rFonts w:ascii="Times New Roman" w:hAnsi="Times New Roman" w:cs="Times New Roman"/>
          <w:b/>
          <w:bCs/>
          <w:sz w:val="28"/>
          <w:szCs w:val="28"/>
        </w:rPr>
        <w:t>period</w:t>
      </w:r>
      <w:r w:rsidRPr="00BC1614">
        <w:rPr>
          <w:rFonts w:ascii="Times New Roman" w:hAnsi="Times New Roman" w:cs="Times New Roman"/>
          <w:b/>
          <w:bCs/>
          <w:sz w:val="28"/>
          <w:szCs w:val="28"/>
        </w:rPr>
        <w:t xml:space="preserve"> from 1 January 2014 to 31 December 2016</w:t>
      </w:r>
    </w:p>
    <w:p w14:paraId="1247A0FB" w14:textId="77777777" w:rsidR="00E44D1D" w:rsidRPr="00BC1614" w:rsidRDefault="00E44D1D" w:rsidP="00E44D1D">
      <w:pPr>
        <w:rPr>
          <w:rFonts w:ascii="Times New Roman" w:hAnsi="Times New Roman" w:cs="Times New Roman"/>
          <w:sz w:val="24"/>
          <w:szCs w:val="24"/>
        </w:rPr>
      </w:pPr>
      <w:r w:rsidRPr="00BC1614">
        <w:rPr>
          <w:rFonts w:ascii="Times New Roman" w:hAnsi="Times New Roman" w:cs="Times New Roman"/>
          <w:sz w:val="24"/>
          <w:szCs w:val="24"/>
        </w:rPr>
        <w:br w:type="page"/>
      </w:r>
    </w:p>
    <w:p w14:paraId="60F784D0" w14:textId="77777777" w:rsidR="00E44D1D" w:rsidRPr="00BC1614" w:rsidRDefault="00E44D1D" w:rsidP="00E44D1D">
      <w:pPr>
        <w:spacing w:after="0" w:line="360" w:lineRule="auto"/>
        <w:jc w:val="both"/>
        <w:rPr>
          <w:rFonts w:ascii="Times New Roman" w:hAnsi="Times New Roman" w:cs="Times New Roman"/>
          <w:sz w:val="24"/>
          <w:szCs w:val="24"/>
        </w:rPr>
      </w:pPr>
    </w:p>
    <w:p w14:paraId="12AF1248"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The Ombudsman of the Republic of Latvia (hereinafter referred to as the Ombudsman) provides an alternative report on the sixth periodic report submitted by the Republic of Latvia for the </w:t>
      </w:r>
      <w:proofErr w:type="gramStart"/>
      <w:r w:rsidRPr="00BC1614">
        <w:rPr>
          <w:rFonts w:ascii="Times New Roman" w:hAnsi="Times New Roman" w:cs="Times New Roman"/>
          <w:sz w:val="24"/>
          <w:szCs w:val="24"/>
        </w:rPr>
        <w:t>period of time</w:t>
      </w:r>
      <w:proofErr w:type="gramEnd"/>
      <w:r w:rsidRPr="00BC1614">
        <w:rPr>
          <w:rFonts w:ascii="Times New Roman" w:hAnsi="Times New Roman" w:cs="Times New Roman"/>
          <w:sz w:val="24"/>
          <w:szCs w:val="24"/>
        </w:rPr>
        <w:t xml:space="preserve"> from 1 January 2014 to 31 December 2016. </w:t>
      </w:r>
    </w:p>
    <w:p w14:paraId="615D0B27"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The alternative report also contains references to the findings of the Ombudsman’s Office as a national human rights institution in 2017, 2018 and 2019, because the Ombudsman believes that findings of a later </w:t>
      </w:r>
      <w:proofErr w:type="gramStart"/>
      <w:r w:rsidRPr="00BC1614">
        <w:rPr>
          <w:rFonts w:ascii="Times New Roman" w:hAnsi="Times New Roman" w:cs="Times New Roman"/>
          <w:sz w:val="24"/>
          <w:szCs w:val="24"/>
        </w:rPr>
        <w:t>period</w:t>
      </w:r>
      <w:bookmarkStart w:id="0" w:name="_GoBack"/>
      <w:bookmarkEnd w:id="0"/>
      <w:r w:rsidRPr="00BC1614">
        <w:rPr>
          <w:rFonts w:ascii="Times New Roman" w:hAnsi="Times New Roman" w:cs="Times New Roman"/>
          <w:sz w:val="24"/>
          <w:szCs w:val="24"/>
        </w:rPr>
        <w:t xml:space="preserve"> of time</w:t>
      </w:r>
      <w:proofErr w:type="gramEnd"/>
      <w:r w:rsidRPr="00BC1614">
        <w:rPr>
          <w:rFonts w:ascii="Times New Roman" w:hAnsi="Times New Roman" w:cs="Times New Roman"/>
          <w:sz w:val="24"/>
          <w:szCs w:val="24"/>
        </w:rPr>
        <w:t xml:space="preserve"> were topical at the time of examination of the report. Moreover, none of responsible state authorities denied that these identified problems had existed for a long time.</w:t>
      </w:r>
    </w:p>
    <w:p w14:paraId="4981BD72" w14:textId="77777777" w:rsidR="00E44D1D" w:rsidRPr="00BC1614" w:rsidRDefault="00E44D1D" w:rsidP="00E44D1D">
      <w:pPr>
        <w:rPr>
          <w:rFonts w:ascii="Times New Roman" w:hAnsi="Times New Roman" w:cs="Times New Roman"/>
          <w:sz w:val="24"/>
          <w:szCs w:val="24"/>
        </w:rPr>
      </w:pPr>
      <w:r w:rsidRPr="00BC1614">
        <w:rPr>
          <w:rFonts w:ascii="Times New Roman" w:hAnsi="Times New Roman" w:cs="Times New Roman"/>
          <w:sz w:val="24"/>
          <w:szCs w:val="24"/>
        </w:rPr>
        <w:br w:type="page"/>
      </w:r>
    </w:p>
    <w:p w14:paraId="114D95EF" w14:textId="77777777" w:rsidR="00E44D1D" w:rsidRPr="00BC1614" w:rsidRDefault="00E44D1D" w:rsidP="00E44D1D">
      <w:pPr>
        <w:spacing w:after="0" w:line="360" w:lineRule="auto"/>
        <w:jc w:val="center"/>
        <w:rPr>
          <w:rFonts w:ascii="Times New Roman" w:hAnsi="Times New Roman" w:cs="Times New Roman"/>
          <w:b/>
          <w:sz w:val="24"/>
          <w:szCs w:val="24"/>
        </w:rPr>
      </w:pPr>
      <w:r w:rsidRPr="00BC1614">
        <w:rPr>
          <w:rFonts w:ascii="Times New Roman" w:hAnsi="Times New Roman" w:cs="Times New Roman"/>
          <w:b/>
          <w:sz w:val="24"/>
          <w:szCs w:val="24"/>
        </w:rPr>
        <w:lastRenderedPageBreak/>
        <w:t>Summary of the alternative report</w:t>
      </w:r>
    </w:p>
    <w:p w14:paraId="687DAB4B" w14:textId="77777777" w:rsidR="00E44D1D" w:rsidRPr="00BC1614" w:rsidRDefault="00E44D1D" w:rsidP="00E44D1D">
      <w:pPr>
        <w:spacing w:after="0" w:line="360" w:lineRule="auto"/>
        <w:jc w:val="center"/>
        <w:rPr>
          <w:rFonts w:ascii="Times New Roman" w:hAnsi="Times New Roman" w:cs="Times New Roman"/>
          <w:sz w:val="24"/>
          <w:szCs w:val="24"/>
        </w:rPr>
      </w:pPr>
    </w:p>
    <w:p w14:paraId="3821424D" w14:textId="77777777" w:rsidR="00E44D1D" w:rsidRPr="00BC1614" w:rsidRDefault="00E44D1D" w:rsidP="00E44D1D">
      <w:pPr>
        <w:spacing w:after="0" w:line="360" w:lineRule="auto"/>
        <w:jc w:val="both"/>
        <w:rPr>
          <w:rFonts w:ascii="Times New Roman" w:hAnsi="Times New Roman" w:cs="Times New Roman"/>
          <w:b/>
          <w:sz w:val="24"/>
          <w:szCs w:val="24"/>
        </w:rPr>
      </w:pPr>
      <w:r w:rsidRPr="00BC1614">
        <w:rPr>
          <w:rFonts w:ascii="Times New Roman" w:hAnsi="Times New Roman" w:cs="Times New Roman"/>
          <w:b/>
          <w:sz w:val="24"/>
          <w:szCs w:val="24"/>
        </w:rPr>
        <w:t>Legal protection:</w:t>
      </w:r>
    </w:p>
    <w:p w14:paraId="6EF94695" w14:textId="77777777" w:rsidR="00E44D1D" w:rsidRPr="00BC1614" w:rsidRDefault="00E44D1D" w:rsidP="00E44D1D">
      <w:pPr>
        <w:numPr>
          <w:ilvl w:val="0"/>
          <w:numId w:val="11"/>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sz w:val="24"/>
          <w:szCs w:val="24"/>
        </w:rPr>
        <w:t>The defenders designated by the state have not guaranteed the right of persons, including persons with disabilities, to real and effective defence. (paragraph [1])</w:t>
      </w:r>
    </w:p>
    <w:p w14:paraId="6C15AE53" w14:textId="77777777" w:rsidR="00E44D1D" w:rsidRPr="00BC1614" w:rsidRDefault="00E44D1D" w:rsidP="00E44D1D">
      <w:pPr>
        <w:numPr>
          <w:ilvl w:val="0"/>
          <w:numId w:val="11"/>
        </w:numPr>
        <w:spacing w:after="0" w:line="360" w:lineRule="auto"/>
        <w:contextualSpacing/>
        <w:jc w:val="both"/>
        <w:rPr>
          <w:rFonts w:ascii="Times New Roman" w:eastAsia="Times New Roman" w:hAnsi="Times New Roman" w:cs="Times New Roman"/>
          <w:sz w:val="24"/>
          <w:szCs w:val="24"/>
        </w:rPr>
      </w:pPr>
      <w:r w:rsidRPr="00BC1614">
        <w:rPr>
          <w:rFonts w:ascii="Times New Roman" w:hAnsi="Times New Roman" w:cs="Times New Roman"/>
          <w:sz w:val="24"/>
          <w:szCs w:val="24"/>
        </w:rPr>
        <w:t>Persons in regions have limited choice of legal aid providers. (paragraph [1])</w:t>
      </w:r>
    </w:p>
    <w:p w14:paraId="16CD8B15" w14:textId="77777777" w:rsidR="00E44D1D" w:rsidRPr="00BC1614" w:rsidRDefault="00E44D1D" w:rsidP="00E44D1D">
      <w:pPr>
        <w:spacing w:after="0" w:line="360" w:lineRule="auto"/>
        <w:jc w:val="both"/>
        <w:rPr>
          <w:rFonts w:ascii="Times New Roman" w:hAnsi="Times New Roman" w:cs="Times New Roman"/>
          <w:b/>
          <w:bCs/>
          <w:sz w:val="24"/>
          <w:szCs w:val="24"/>
        </w:rPr>
      </w:pPr>
    </w:p>
    <w:p w14:paraId="665D71E1"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Pretrial detention:</w:t>
      </w:r>
    </w:p>
    <w:p w14:paraId="29E6A8FE" w14:textId="275A3262" w:rsidR="00E44D1D" w:rsidRPr="00BC1614" w:rsidRDefault="00E44D1D" w:rsidP="00E44D1D">
      <w:pPr>
        <w:spacing w:after="0" w:line="360" w:lineRule="auto"/>
        <w:jc w:val="both"/>
        <w:rPr>
          <w:rFonts w:ascii="Times New Roman" w:hAnsi="Times New Roman" w:cs="Times New Roman"/>
          <w:bCs/>
          <w:sz w:val="24"/>
          <w:szCs w:val="24"/>
        </w:rPr>
      </w:pPr>
      <w:r w:rsidRPr="00BC1614">
        <w:rPr>
          <w:rFonts w:ascii="Times New Roman" w:hAnsi="Times New Roman" w:cs="Times New Roman"/>
          <w:bCs/>
          <w:sz w:val="24"/>
          <w:szCs w:val="24"/>
        </w:rPr>
        <w:t xml:space="preserve">The Law on the Procedures for Holding the Detained Persons does not specify the duration of holding of detainees and sentenced persons in </w:t>
      </w:r>
      <w:r w:rsidR="00BC1614" w:rsidRPr="00BC1614">
        <w:rPr>
          <w:rFonts w:ascii="Times New Roman" w:hAnsi="Times New Roman" w:cs="Times New Roman"/>
          <w:bCs/>
          <w:sz w:val="24"/>
          <w:szCs w:val="24"/>
        </w:rPr>
        <w:t xml:space="preserve">short-term </w:t>
      </w:r>
      <w:r w:rsidRPr="00BC1614">
        <w:rPr>
          <w:rFonts w:ascii="Times New Roman" w:hAnsi="Times New Roman" w:cs="Times New Roman"/>
          <w:bCs/>
          <w:sz w:val="24"/>
          <w:szCs w:val="24"/>
        </w:rPr>
        <w:t>detention facilities of the State Police for the performance of procedural activities. (paragraph [2])</w:t>
      </w:r>
    </w:p>
    <w:p w14:paraId="10EDF377" w14:textId="77777777" w:rsidR="00E44D1D" w:rsidRPr="00BC1614" w:rsidRDefault="00E44D1D" w:rsidP="00E44D1D">
      <w:pPr>
        <w:spacing w:after="0" w:line="360" w:lineRule="auto"/>
        <w:jc w:val="both"/>
        <w:rPr>
          <w:rFonts w:ascii="Times New Roman" w:hAnsi="Times New Roman" w:cs="Times New Roman"/>
          <w:b/>
          <w:bCs/>
          <w:sz w:val="24"/>
          <w:szCs w:val="24"/>
        </w:rPr>
      </w:pPr>
    </w:p>
    <w:p w14:paraId="13A1D1E2"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National human rights institution:</w:t>
      </w:r>
    </w:p>
    <w:p w14:paraId="41FD80AD" w14:textId="77777777" w:rsidR="00E44D1D" w:rsidRPr="00BC1614" w:rsidRDefault="00E44D1D" w:rsidP="00E44D1D">
      <w:pPr>
        <w:spacing w:after="0" w:line="360" w:lineRule="auto"/>
        <w:jc w:val="both"/>
        <w:rPr>
          <w:rFonts w:ascii="Times New Roman" w:hAnsi="Times New Roman" w:cs="Times New Roman"/>
          <w:bCs/>
          <w:sz w:val="24"/>
          <w:szCs w:val="24"/>
        </w:rPr>
      </w:pPr>
      <w:r w:rsidRPr="00BC1614">
        <w:rPr>
          <w:rFonts w:ascii="Times New Roman" w:hAnsi="Times New Roman" w:cs="Times New Roman"/>
          <w:bCs/>
          <w:sz w:val="24"/>
          <w:szCs w:val="24"/>
        </w:rPr>
        <w:t>It is necessary to strengthen the guarantees of the Ombudsman’s entity as an autonomous constitutional entity in the Constitution of the Republic of Latvia. (paragraph [3])</w:t>
      </w:r>
    </w:p>
    <w:p w14:paraId="353E41D1" w14:textId="77777777" w:rsidR="00E44D1D" w:rsidRPr="00BC1614" w:rsidRDefault="00E44D1D" w:rsidP="00E44D1D">
      <w:pPr>
        <w:spacing w:after="0" w:line="360" w:lineRule="auto"/>
        <w:jc w:val="both"/>
        <w:rPr>
          <w:rFonts w:ascii="Times New Roman" w:hAnsi="Times New Roman" w:cs="Times New Roman"/>
          <w:b/>
          <w:sz w:val="24"/>
          <w:szCs w:val="24"/>
        </w:rPr>
      </w:pPr>
    </w:p>
    <w:p w14:paraId="306FC804" w14:textId="77777777" w:rsidR="00E44D1D" w:rsidRPr="00BC1614" w:rsidRDefault="00E44D1D" w:rsidP="00E44D1D">
      <w:pPr>
        <w:spacing w:after="0" w:line="360" w:lineRule="auto"/>
        <w:jc w:val="both"/>
        <w:rPr>
          <w:rFonts w:ascii="Times New Roman" w:hAnsi="Times New Roman" w:cs="Times New Roman"/>
          <w:b/>
          <w:sz w:val="24"/>
          <w:szCs w:val="24"/>
        </w:rPr>
      </w:pPr>
      <w:r w:rsidRPr="00BC1614">
        <w:rPr>
          <w:rFonts w:ascii="Times New Roman" w:hAnsi="Times New Roman" w:cs="Times New Roman"/>
          <w:b/>
          <w:sz w:val="24"/>
          <w:szCs w:val="24"/>
        </w:rPr>
        <w:t xml:space="preserve">Domestic violence: </w:t>
      </w:r>
    </w:p>
    <w:p w14:paraId="4B591A2B" w14:textId="241ED208" w:rsidR="00E44D1D" w:rsidRPr="00BC1614" w:rsidRDefault="00E44D1D" w:rsidP="00E44D1D">
      <w:pPr>
        <w:spacing w:after="0" w:line="360" w:lineRule="auto"/>
        <w:jc w:val="both"/>
        <w:rPr>
          <w:rFonts w:ascii="Times New Roman" w:hAnsi="Times New Roman" w:cs="Times New Roman"/>
          <w:bCs/>
          <w:sz w:val="24"/>
          <w:szCs w:val="24"/>
        </w:rPr>
      </w:pPr>
      <w:r w:rsidRPr="00BC1614">
        <w:rPr>
          <w:rFonts w:ascii="Times New Roman" w:hAnsi="Times New Roman" w:cs="Times New Roman"/>
          <w:sz w:val="24"/>
          <w:szCs w:val="24"/>
        </w:rPr>
        <w:t xml:space="preserve">Crisis centres do not provide medical services, because they are not medical care facilities. In order to provide meaningful assistance to children, it is necessary to review the content of social rehabilitation providing that children get psychosocial rehabilitation </w:t>
      </w:r>
      <w:proofErr w:type="gramStart"/>
      <w:r w:rsidRPr="00BC1614">
        <w:rPr>
          <w:rFonts w:ascii="Times New Roman" w:hAnsi="Times New Roman" w:cs="Times New Roman"/>
          <w:sz w:val="24"/>
          <w:szCs w:val="24"/>
        </w:rPr>
        <w:t>taking into account</w:t>
      </w:r>
      <w:proofErr w:type="gramEnd"/>
      <w:r w:rsidRPr="00BC1614">
        <w:rPr>
          <w:rFonts w:ascii="Times New Roman" w:hAnsi="Times New Roman" w:cs="Times New Roman"/>
          <w:sz w:val="24"/>
          <w:szCs w:val="24"/>
        </w:rPr>
        <w:t xml:space="preserve"> the needs of each child. The justification for the provision of each programme (up to 30 days and up to 60 days) should be assessed when assessing the needs of the child rather than the initiation of criminal proceedings on the existence of criminal offences</w:t>
      </w:r>
      <w:r w:rsidR="00FB3CD5">
        <w:rPr>
          <w:rFonts w:ascii="Times New Roman" w:hAnsi="Times New Roman" w:cs="Times New Roman"/>
          <w:sz w:val="24"/>
          <w:szCs w:val="24"/>
        </w:rPr>
        <w:t xml:space="preserve"> towards the child</w:t>
      </w:r>
      <w:r w:rsidRPr="00BC1614">
        <w:rPr>
          <w:rFonts w:ascii="Times New Roman" w:hAnsi="Times New Roman" w:cs="Times New Roman"/>
          <w:sz w:val="24"/>
          <w:szCs w:val="24"/>
        </w:rPr>
        <w:t xml:space="preserve">. </w:t>
      </w:r>
      <w:r w:rsidRPr="00BC1614">
        <w:rPr>
          <w:rFonts w:ascii="Times New Roman" w:hAnsi="Times New Roman" w:cs="Times New Roman"/>
          <w:bCs/>
          <w:sz w:val="24"/>
          <w:szCs w:val="24"/>
        </w:rPr>
        <w:t>(paragraph [4])</w:t>
      </w:r>
    </w:p>
    <w:p w14:paraId="344DBFDC" w14:textId="77777777" w:rsidR="00E44D1D" w:rsidRPr="00BC1614" w:rsidRDefault="00E44D1D" w:rsidP="00E44D1D">
      <w:pPr>
        <w:spacing w:after="0" w:line="360" w:lineRule="auto"/>
        <w:jc w:val="both"/>
        <w:rPr>
          <w:rFonts w:ascii="Times New Roman" w:hAnsi="Times New Roman" w:cs="Times New Roman"/>
          <w:b/>
          <w:sz w:val="24"/>
          <w:szCs w:val="24"/>
        </w:rPr>
      </w:pPr>
    </w:p>
    <w:p w14:paraId="25C62567" w14:textId="77777777" w:rsidR="00E44D1D" w:rsidRPr="00BC1614" w:rsidRDefault="00E44D1D" w:rsidP="00E44D1D">
      <w:pPr>
        <w:spacing w:after="0" w:line="360" w:lineRule="auto"/>
        <w:jc w:val="both"/>
        <w:rPr>
          <w:rFonts w:ascii="Times New Roman" w:hAnsi="Times New Roman" w:cs="Times New Roman"/>
          <w:sz w:val="24"/>
          <w:szCs w:val="24"/>
        </w:rPr>
      </w:pPr>
      <w:r w:rsidRPr="00BC1614">
        <w:rPr>
          <w:rFonts w:ascii="Times New Roman" w:hAnsi="Times New Roman" w:cs="Times New Roman"/>
          <w:b/>
          <w:sz w:val="24"/>
          <w:szCs w:val="24"/>
        </w:rPr>
        <w:t>Prevention of violence in educational establishments</w:t>
      </w:r>
      <w:r w:rsidRPr="00BC1614">
        <w:rPr>
          <w:rFonts w:ascii="Times New Roman" w:hAnsi="Times New Roman" w:cs="Times New Roman"/>
          <w:sz w:val="24"/>
          <w:szCs w:val="24"/>
        </w:rPr>
        <w:t>:</w:t>
      </w:r>
    </w:p>
    <w:p w14:paraId="3D95A906" w14:textId="77777777" w:rsidR="00E44D1D" w:rsidRPr="00BC1614" w:rsidRDefault="00E44D1D" w:rsidP="00E44D1D">
      <w:pPr>
        <w:spacing w:after="0" w:line="360" w:lineRule="auto"/>
        <w:jc w:val="both"/>
        <w:rPr>
          <w:rFonts w:ascii="Times New Roman" w:hAnsi="Times New Roman" w:cs="Times New Roman"/>
          <w:bCs/>
          <w:sz w:val="24"/>
          <w:szCs w:val="24"/>
        </w:rPr>
      </w:pPr>
      <w:r w:rsidRPr="00BC1614">
        <w:rPr>
          <w:rFonts w:ascii="Times New Roman" w:hAnsi="Times New Roman" w:cs="Times New Roman"/>
          <w:sz w:val="24"/>
          <w:szCs w:val="24"/>
        </w:rPr>
        <w:t xml:space="preserve">Practice shows that social behavioural correction programmes are not properly developed in all municipalities or are not developed at all. The lack of preventive work initiated in a timely manner leads to more serious cases of violence. Educational establishments also do not contact the local government in a timely manner to get assistance in case of child’s antisocial behaviour, where school resources have not proved </w:t>
      </w:r>
      <w:proofErr w:type="gramStart"/>
      <w:r w:rsidRPr="00BC1614">
        <w:rPr>
          <w:rFonts w:ascii="Times New Roman" w:hAnsi="Times New Roman" w:cs="Times New Roman"/>
          <w:sz w:val="24"/>
          <w:szCs w:val="24"/>
        </w:rPr>
        <w:t>sufficient</w:t>
      </w:r>
      <w:proofErr w:type="gramEnd"/>
      <w:r w:rsidRPr="00BC1614">
        <w:rPr>
          <w:rFonts w:ascii="Times New Roman" w:hAnsi="Times New Roman" w:cs="Times New Roman"/>
          <w:sz w:val="24"/>
          <w:szCs w:val="24"/>
        </w:rPr>
        <w:t xml:space="preserve"> and have proved fruitless. </w:t>
      </w:r>
      <w:r w:rsidRPr="00BC1614">
        <w:rPr>
          <w:rFonts w:ascii="Times New Roman" w:hAnsi="Times New Roman" w:cs="Times New Roman"/>
          <w:bCs/>
          <w:sz w:val="24"/>
          <w:szCs w:val="24"/>
        </w:rPr>
        <w:t>(paragraph [5])</w:t>
      </w:r>
    </w:p>
    <w:p w14:paraId="31822565" w14:textId="77777777" w:rsidR="00E44D1D" w:rsidRPr="00BC1614" w:rsidRDefault="00E44D1D" w:rsidP="00E44D1D">
      <w:pPr>
        <w:spacing w:after="0" w:line="360" w:lineRule="auto"/>
        <w:jc w:val="both"/>
        <w:rPr>
          <w:rFonts w:ascii="Times New Roman" w:hAnsi="Times New Roman" w:cs="Times New Roman"/>
          <w:b/>
          <w:bCs/>
          <w:sz w:val="24"/>
          <w:szCs w:val="24"/>
        </w:rPr>
      </w:pPr>
    </w:p>
    <w:p w14:paraId="68E161D7"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Trafficking in human beings:</w:t>
      </w:r>
    </w:p>
    <w:p w14:paraId="29736041" w14:textId="77777777" w:rsidR="00E44D1D" w:rsidRPr="00BC1614" w:rsidRDefault="00E44D1D" w:rsidP="00E44D1D">
      <w:pPr>
        <w:spacing w:after="0" w:line="360" w:lineRule="auto"/>
        <w:jc w:val="both"/>
        <w:rPr>
          <w:rFonts w:ascii="Times New Roman" w:hAnsi="Times New Roman" w:cs="Times New Roman"/>
          <w:bCs/>
          <w:sz w:val="24"/>
          <w:szCs w:val="24"/>
        </w:rPr>
      </w:pPr>
      <w:r w:rsidRPr="00BC1614">
        <w:rPr>
          <w:rFonts w:ascii="Times New Roman" w:hAnsi="Times New Roman" w:cs="Times New Roman"/>
          <w:bCs/>
          <w:sz w:val="24"/>
          <w:szCs w:val="24"/>
        </w:rPr>
        <w:t>The models of interinstitutional cooperation within the local government need to be improved.</w:t>
      </w:r>
      <w:r w:rsidRPr="00BC1614">
        <w:rPr>
          <w:rFonts w:ascii="Times New Roman" w:hAnsi="Times New Roman" w:cs="Times New Roman"/>
          <w:b/>
          <w:bCs/>
          <w:sz w:val="24"/>
          <w:szCs w:val="24"/>
        </w:rPr>
        <w:t xml:space="preserve"> </w:t>
      </w:r>
      <w:r w:rsidRPr="00BC1614">
        <w:rPr>
          <w:rFonts w:ascii="Times New Roman" w:hAnsi="Times New Roman" w:cs="Times New Roman"/>
          <w:bCs/>
          <w:sz w:val="24"/>
          <w:szCs w:val="24"/>
        </w:rPr>
        <w:t>(paragraph [6])</w:t>
      </w:r>
    </w:p>
    <w:p w14:paraId="4A406DB6" w14:textId="77777777" w:rsidR="00E44D1D" w:rsidRPr="00BC1614" w:rsidRDefault="00E44D1D" w:rsidP="00E44D1D">
      <w:pPr>
        <w:spacing w:after="0" w:line="360" w:lineRule="auto"/>
        <w:jc w:val="both"/>
        <w:rPr>
          <w:rFonts w:ascii="Times New Roman" w:hAnsi="Times New Roman" w:cs="Times New Roman"/>
          <w:b/>
          <w:bCs/>
          <w:sz w:val="24"/>
          <w:szCs w:val="24"/>
        </w:rPr>
      </w:pPr>
    </w:p>
    <w:p w14:paraId="24BDBFA0" w14:textId="77777777" w:rsidR="00E44D1D" w:rsidRPr="00BC1614" w:rsidRDefault="00E44D1D" w:rsidP="00E44D1D">
      <w:pPr>
        <w:spacing w:after="0" w:line="360" w:lineRule="auto"/>
        <w:jc w:val="both"/>
        <w:rPr>
          <w:rFonts w:ascii="Times New Roman" w:hAnsi="Times New Roman" w:cs="Times New Roman"/>
          <w:b/>
          <w:bCs/>
          <w:sz w:val="24"/>
          <w:szCs w:val="24"/>
        </w:rPr>
      </w:pPr>
    </w:p>
    <w:p w14:paraId="1E6D352B" w14:textId="4A4B9552"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Non-citizen</w:t>
      </w:r>
      <w:r w:rsidR="00AC40EF" w:rsidRPr="00BC1614">
        <w:rPr>
          <w:rFonts w:ascii="Times New Roman" w:hAnsi="Times New Roman" w:cs="Times New Roman"/>
          <w:b/>
          <w:bCs/>
          <w:sz w:val="24"/>
          <w:szCs w:val="24"/>
        </w:rPr>
        <w:t>s</w:t>
      </w:r>
      <w:r w:rsidRPr="00BC1614">
        <w:rPr>
          <w:rFonts w:ascii="Times New Roman" w:hAnsi="Times New Roman" w:cs="Times New Roman"/>
          <w:b/>
          <w:bCs/>
          <w:sz w:val="24"/>
          <w:szCs w:val="24"/>
        </w:rPr>
        <w:t>:</w:t>
      </w:r>
    </w:p>
    <w:p w14:paraId="5E9D7681" w14:textId="77777777" w:rsidR="00E44D1D" w:rsidRPr="00BC1614" w:rsidRDefault="00E44D1D" w:rsidP="00E44D1D">
      <w:pPr>
        <w:spacing w:after="0" w:line="360" w:lineRule="auto"/>
        <w:jc w:val="both"/>
        <w:rPr>
          <w:rFonts w:ascii="Times New Roman" w:hAnsi="Times New Roman" w:cs="Times New Roman"/>
          <w:bCs/>
          <w:sz w:val="24"/>
          <w:szCs w:val="24"/>
        </w:rPr>
      </w:pPr>
      <w:r w:rsidRPr="00BC1614">
        <w:rPr>
          <w:rFonts w:ascii="Times New Roman" w:hAnsi="Times New Roman" w:cs="Times New Roman"/>
          <w:bCs/>
          <w:sz w:val="24"/>
          <w:szCs w:val="24"/>
        </w:rPr>
        <w:t>The legal framework needs to be improved in order to automatically grant Latvian citizenship to every child born (unless the child’s parents refuse it). (paragraph [7])</w:t>
      </w:r>
    </w:p>
    <w:p w14:paraId="59D8226E" w14:textId="77777777" w:rsidR="00E44D1D" w:rsidRPr="00BC1614" w:rsidRDefault="00E44D1D" w:rsidP="00E44D1D">
      <w:pPr>
        <w:spacing w:after="0" w:line="360" w:lineRule="auto"/>
        <w:jc w:val="both"/>
        <w:rPr>
          <w:rFonts w:ascii="Times New Roman" w:hAnsi="Times New Roman" w:cs="Times New Roman"/>
          <w:b/>
          <w:bCs/>
          <w:sz w:val="24"/>
          <w:szCs w:val="24"/>
        </w:rPr>
      </w:pPr>
    </w:p>
    <w:p w14:paraId="53ADC18F"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Conditions of detention:</w:t>
      </w:r>
    </w:p>
    <w:p w14:paraId="4BE75E7E" w14:textId="77777777" w:rsidR="00E44D1D" w:rsidRPr="00BC1614" w:rsidRDefault="00E44D1D" w:rsidP="00E44D1D">
      <w:pPr>
        <w:numPr>
          <w:ilvl w:val="0"/>
          <w:numId w:val="12"/>
        </w:numPr>
        <w:spacing w:after="0" w:line="360" w:lineRule="auto"/>
        <w:contextualSpacing/>
        <w:jc w:val="both"/>
        <w:rPr>
          <w:rFonts w:ascii="Times New Roman" w:eastAsia="Times New Roman" w:hAnsi="Times New Roman" w:cs="Times New Roman"/>
          <w:sz w:val="24"/>
          <w:szCs w:val="24"/>
        </w:rPr>
      </w:pPr>
      <w:r w:rsidRPr="00BC1614">
        <w:rPr>
          <w:rFonts w:ascii="Times New Roman" w:hAnsi="Times New Roman" w:cs="Times New Roman"/>
          <w:bCs/>
          <w:sz w:val="24"/>
          <w:szCs w:val="24"/>
        </w:rPr>
        <w:t xml:space="preserve">The Latvian prison infrastructure is outdated, and the introduction of human rights standards there is impossible </w:t>
      </w:r>
      <w:proofErr w:type="gramStart"/>
      <w:r w:rsidRPr="00BC1614">
        <w:rPr>
          <w:rFonts w:ascii="Times New Roman" w:hAnsi="Times New Roman" w:cs="Times New Roman"/>
          <w:bCs/>
          <w:sz w:val="24"/>
          <w:szCs w:val="24"/>
        </w:rPr>
        <w:t>in essence and/or</w:t>
      </w:r>
      <w:proofErr w:type="gramEnd"/>
      <w:r w:rsidRPr="00BC1614">
        <w:rPr>
          <w:rFonts w:ascii="Times New Roman" w:hAnsi="Times New Roman" w:cs="Times New Roman"/>
          <w:bCs/>
          <w:sz w:val="24"/>
          <w:szCs w:val="24"/>
        </w:rPr>
        <w:t xml:space="preserve"> would require investment of disproportionately large financial resources. </w:t>
      </w:r>
      <w:r w:rsidRPr="00BC1614">
        <w:rPr>
          <w:rFonts w:ascii="Times New Roman" w:hAnsi="Times New Roman" w:cs="Times New Roman"/>
          <w:sz w:val="24"/>
          <w:szCs w:val="24"/>
        </w:rPr>
        <w:t>(paragraph [8])</w:t>
      </w:r>
    </w:p>
    <w:p w14:paraId="0620F5EC" w14:textId="799F0BD6" w:rsidR="00E44D1D" w:rsidRPr="00BC1614" w:rsidRDefault="00E44D1D" w:rsidP="00E44D1D">
      <w:pPr>
        <w:numPr>
          <w:ilvl w:val="0"/>
          <w:numId w:val="12"/>
        </w:numPr>
        <w:spacing w:after="0" w:line="360" w:lineRule="auto"/>
        <w:contextualSpacing/>
        <w:jc w:val="both"/>
        <w:rPr>
          <w:rFonts w:ascii="Times New Roman" w:eastAsia="Times New Roman" w:hAnsi="Times New Roman" w:cs="Times New Roman"/>
          <w:sz w:val="24"/>
          <w:szCs w:val="24"/>
        </w:rPr>
      </w:pPr>
      <w:r w:rsidRPr="00BC1614">
        <w:rPr>
          <w:rFonts w:ascii="Times New Roman" w:hAnsi="Times New Roman" w:cs="Times New Roman"/>
          <w:sz w:val="24"/>
          <w:szCs w:val="24"/>
        </w:rPr>
        <w:t xml:space="preserve">Multiple visits to prisons have shown that prisoners with </w:t>
      </w:r>
      <w:r w:rsidR="00DD196F">
        <w:rPr>
          <w:rFonts w:ascii="Times New Roman" w:hAnsi="Times New Roman" w:cs="Times New Roman"/>
          <w:sz w:val="24"/>
          <w:szCs w:val="24"/>
        </w:rPr>
        <w:t>reduced mobility</w:t>
      </w:r>
      <w:r w:rsidRPr="00BC1614">
        <w:rPr>
          <w:rFonts w:ascii="Times New Roman" w:hAnsi="Times New Roman" w:cs="Times New Roman"/>
          <w:sz w:val="24"/>
          <w:szCs w:val="24"/>
        </w:rPr>
        <w:t xml:space="preserve"> do not have adequate detention conditions. (paragraph [9])</w:t>
      </w:r>
    </w:p>
    <w:p w14:paraId="398712A9" w14:textId="0A9343D1" w:rsidR="00E44D1D" w:rsidRPr="00BC1614" w:rsidRDefault="00E44D1D" w:rsidP="00E44D1D">
      <w:pPr>
        <w:numPr>
          <w:ilvl w:val="0"/>
          <w:numId w:val="12"/>
        </w:numPr>
        <w:spacing w:after="0" w:line="360" w:lineRule="auto"/>
        <w:contextualSpacing/>
        <w:jc w:val="both"/>
        <w:rPr>
          <w:rFonts w:ascii="Times New Roman" w:eastAsia="Times New Roman" w:hAnsi="Times New Roman" w:cs="Times New Roman"/>
          <w:sz w:val="24"/>
          <w:szCs w:val="24"/>
        </w:rPr>
      </w:pPr>
      <w:r w:rsidRPr="00BC1614">
        <w:rPr>
          <w:rFonts w:ascii="Times New Roman" w:hAnsi="Times New Roman" w:cs="Times New Roman"/>
          <w:sz w:val="24"/>
          <w:szCs w:val="24"/>
        </w:rPr>
        <w:t>The legislator had expressed the unambiguous political wish to restrict the right to release</w:t>
      </w:r>
      <w:r w:rsidR="00BC1614" w:rsidRPr="00BC1614">
        <w:rPr>
          <w:rFonts w:ascii="Times New Roman" w:hAnsi="Times New Roman" w:cs="Times New Roman"/>
          <w:sz w:val="24"/>
          <w:szCs w:val="24"/>
        </w:rPr>
        <w:t xml:space="preserve"> prior to completion of punishment</w:t>
      </w:r>
      <w:r w:rsidRPr="00BC1614">
        <w:rPr>
          <w:rFonts w:ascii="Times New Roman" w:hAnsi="Times New Roman" w:cs="Times New Roman"/>
          <w:sz w:val="24"/>
          <w:szCs w:val="24"/>
        </w:rPr>
        <w:t xml:space="preserve"> for adult sex criminals for committing a particularly serious crime committed against a person who had not attained the age of sixteen, including to restrict the right to </w:t>
      </w:r>
      <w:r w:rsidR="00C71255" w:rsidRPr="00BC1614">
        <w:rPr>
          <w:rFonts w:ascii="Times New Roman" w:hAnsi="Times New Roman" w:cs="Times New Roman"/>
          <w:sz w:val="24"/>
          <w:szCs w:val="24"/>
        </w:rPr>
        <w:t>release prior to completion of punishment</w:t>
      </w:r>
      <w:r w:rsidRPr="00BC1614">
        <w:rPr>
          <w:rFonts w:ascii="Times New Roman" w:hAnsi="Times New Roman" w:cs="Times New Roman"/>
          <w:sz w:val="24"/>
          <w:szCs w:val="24"/>
        </w:rPr>
        <w:t xml:space="preserve"> for these sex criminals who are sentenced to life imprisonment. (paragraph [10])</w:t>
      </w:r>
    </w:p>
    <w:p w14:paraId="0DE3B284" w14:textId="090AE945" w:rsidR="00E44D1D" w:rsidRPr="00BC1614" w:rsidRDefault="00E44D1D" w:rsidP="00E44D1D">
      <w:pPr>
        <w:numPr>
          <w:ilvl w:val="0"/>
          <w:numId w:val="12"/>
        </w:numPr>
        <w:spacing w:after="0" w:line="360" w:lineRule="auto"/>
        <w:contextualSpacing/>
        <w:jc w:val="both"/>
        <w:rPr>
          <w:rFonts w:ascii="Times New Roman" w:eastAsia="Times New Roman" w:hAnsi="Times New Roman" w:cs="Times New Roman"/>
          <w:sz w:val="24"/>
          <w:szCs w:val="24"/>
        </w:rPr>
      </w:pPr>
      <w:r w:rsidRPr="00BC1614">
        <w:rPr>
          <w:rFonts w:ascii="Times New Roman" w:hAnsi="Times New Roman" w:cs="Times New Roman"/>
          <w:sz w:val="24"/>
          <w:szCs w:val="24"/>
        </w:rPr>
        <w:t>The specifics of execution of life sentences that existed so far has been focusing on excessive security measures, isolation, while the gradual preparation of these categories of prisoners for life in society is particularly important, enabling this group of convicts to serve their sentence not only in closed prisons but also in part</w:t>
      </w:r>
      <w:r w:rsidR="00BC1614" w:rsidRPr="00BC1614">
        <w:rPr>
          <w:rFonts w:ascii="Times New Roman" w:hAnsi="Times New Roman" w:cs="Times New Roman"/>
          <w:sz w:val="24"/>
          <w:szCs w:val="24"/>
        </w:rPr>
        <w:t>ly</w:t>
      </w:r>
      <w:r w:rsidRPr="00BC1614">
        <w:rPr>
          <w:rFonts w:ascii="Times New Roman" w:hAnsi="Times New Roman" w:cs="Times New Roman"/>
          <w:sz w:val="24"/>
          <w:szCs w:val="24"/>
        </w:rPr>
        <w:t>-closed and open prison regimes. (paragraph [11])</w:t>
      </w:r>
    </w:p>
    <w:p w14:paraId="7344329D" w14:textId="02A3B876" w:rsidR="00E44D1D" w:rsidRPr="00BC1614" w:rsidRDefault="00C71255" w:rsidP="00E44D1D">
      <w:pPr>
        <w:numPr>
          <w:ilvl w:val="0"/>
          <w:numId w:val="12"/>
        </w:numPr>
        <w:spacing w:after="0" w:line="360" w:lineRule="auto"/>
        <w:contextualSpacing/>
        <w:jc w:val="both"/>
        <w:rPr>
          <w:rFonts w:ascii="Times New Roman" w:eastAsia="Times New Roman" w:hAnsi="Times New Roman" w:cs="Times New Roman"/>
          <w:sz w:val="24"/>
          <w:szCs w:val="24"/>
        </w:rPr>
      </w:pPr>
      <w:r w:rsidRPr="00BC1614">
        <w:rPr>
          <w:rFonts w:ascii="Times New Roman" w:hAnsi="Times New Roman" w:cs="Times New Roman"/>
          <w:sz w:val="24"/>
          <w:szCs w:val="24"/>
        </w:rPr>
        <w:t xml:space="preserve">Short-term </w:t>
      </w:r>
      <w:r w:rsidR="00E44D1D" w:rsidRPr="00BC1614">
        <w:rPr>
          <w:rFonts w:ascii="Times New Roman" w:hAnsi="Times New Roman" w:cs="Times New Roman"/>
          <w:sz w:val="24"/>
          <w:szCs w:val="24"/>
        </w:rPr>
        <w:t>detention facilities do not ensure accessibility for persons with disabilities. (paragraph [12])</w:t>
      </w:r>
    </w:p>
    <w:p w14:paraId="1A56A7E0" w14:textId="77777777" w:rsidR="00E44D1D" w:rsidRPr="00BC1614" w:rsidRDefault="00E44D1D" w:rsidP="00E44D1D">
      <w:pPr>
        <w:spacing w:after="0" w:line="360" w:lineRule="auto"/>
        <w:ind w:left="360"/>
        <w:jc w:val="both"/>
        <w:rPr>
          <w:rFonts w:ascii="Times New Roman" w:hAnsi="Times New Roman" w:cs="Times New Roman"/>
          <w:b/>
          <w:bCs/>
          <w:sz w:val="24"/>
          <w:szCs w:val="24"/>
        </w:rPr>
      </w:pPr>
    </w:p>
    <w:p w14:paraId="0972F327" w14:textId="77777777" w:rsidR="00E44D1D" w:rsidRPr="00BC1614" w:rsidRDefault="00E44D1D" w:rsidP="00E44D1D">
      <w:pPr>
        <w:spacing w:after="0" w:line="360" w:lineRule="auto"/>
        <w:ind w:left="360"/>
        <w:jc w:val="both"/>
        <w:rPr>
          <w:rFonts w:ascii="Times New Roman" w:hAnsi="Times New Roman" w:cs="Times New Roman"/>
          <w:b/>
          <w:bCs/>
          <w:sz w:val="24"/>
          <w:szCs w:val="24"/>
        </w:rPr>
      </w:pPr>
      <w:r w:rsidRPr="00BC1614">
        <w:rPr>
          <w:rFonts w:ascii="Times New Roman" w:hAnsi="Times New Roman" w:cs="Times New Roman"/>
          <w:b/>
          <w:bCs/>
          <w:sz w:val="24"/>
          <w:szCs w:val="24"/>
        </w:rPr>
        <w:t>Inter-prisoner violence:</w:t>
      </w:r>
    </w:p>
    <w:p w14:paraId="19E6CA2E" w14:textId="77777777" w:rsidR="00E44D1D" w:rsidRPr="00BC1614" w:rsidRDefault="00E44D1D" w:rsidP="00E44D1D">
      <w:pPr>
        <w:spacing w:after="0" w:line="360" w:lineRule="auto"/>
        <w:ind w:left="360"/>
        <w:jc w:val="both"/>
        <w:rPr>
          <w:rFonts w:ascii="Times New Roman" w:hAnsi="Times New Roman" w:cs="Times New Roman"/>
          <w:bCs/>
          <w:sz w:val="24"/>
          <w:szCs w:val="24"/>
        </w:rPr>
      </w:pPr>
      <w:r w:rsidRPr="00BC1614">
        <w:rPr>
          <w:rFonts w:ascii="Times New Roman" w:hAnsi="Times New Roman" w:cs="Times New Roman"/>
          <w:sz w:val="24"/>
          <w:szCs w:val="24"/>
        </w:rPr>
        <w:t xml:space="preserve">The issue of self-governance or hierarchy of prisoners in their mutual relations remains topical and unresolved in Latvian prisons. </w:t>
      </w:r>
      <w:r w:rsidRPr="00BC1614">
        <w:rPr>
          <w:rFonts w:ascii="Times New Roman" w:hAnsi="Times New Roman" w:cs="Times New Roman"/>
          <w:bCs/>
          <w:sz w:val="24"/>
          <w:szCs w:val="24"/>
        </w:rPr>
        <w:t>(paragraph [13])</w:t>
      </w:r>
    </w:p>
    <w:p w14:paraId="45E7043A" w14:textId="77777777" w:rsidR="00E44D1D" w:rsidRPr="00BC1614" w:rsidRDefault="00E44D1D" w:rsidP="00E44D1D">
      <w:pPr>
        <w:spacing w:after="0" w:line="360" w:lineRule="auto"/>
        <w:ind w:left="360"/>
        <w:jc w:val="both"/>
        <w:rPr>
          <w:rFonts w:ascii="Times New Roman" w:hAnsi="Times New Roman" w:cs="Times New Roman"/>
          <w:b/>
          <w:bCs/>
          <w:sz w:val="24"/>
          <w:szCs w:val="24"/>
        </w:rPr>
      </w:pPr>
    </w:p>
    <w:p w14:paraId="4A9A03C8" w14:textId="77777777" w:rsidR="00E44D1D" w:rsidRPr="00BC1614" w:rsidRDefault="00E44D1D" w:rsidP="00E44D1D">
      <w:pPr>
        <w:spacing w:after="0" w:line="360" w:lineRule="auto"/>
        <w:ind w:left="360"/>
        <w:jc w:val="both"/>
        <w:rPr>
          <w:rFonts w:ascii="Times New Roman" w:hAnsi="Times New Roman" w:cs="Times New Roman"/>
          <w:b/>
          <w:bCs/>
          <w:sz w:val="24"/>
          <w:szCs w:val="24"/>
        </w:rPr>
      </w:pPr>
      <w:r w:rsidRPr="00BC1614">
        <w:rPr>
          <w:rFonts w:ascii="Times New Roman" w:hAnsi="Times New Roman" w:cs="Times New Roman"/>
          <w:b/>
          <w:bCs/>
          <w:sz w:val="24"/>
          <w:szCs w:val="24"/>
        </w:rPr>
        <w:t>Persons with disabilities:</w:t>
      </w:r>
    </w:p>
    <w:p w14:paraId="118FD9EA" w14:textId="77777777" w:rsidR="00E44D1D" w:rsidRPr="00BC1614" w:rsidRDefault="009A6950" w:rsidP="00E44D1D">
      <w:pPr>
        <w:numPr>
          <w:ilvl w:val="0"/>
          <w:numId w:val="13"/>
        </w:numPr>
        <w:spacing w:after="0" w:line="360" w:lineRule="auto"/>
        <w:contextualSpacing/>
        <w:jc w:val="both"/>
        <w:rPr>
          <w:rFonts w:ascii="Times New Roman" w:eastAsia="Times New Roman" w:hAnsi="Times New Roman" w:cs="Times New Roman"/>
          <w:sz w:val="24"/>
          <w:szCs w:val="24"/>
        </w:rPr>
      </w:pPr>
      <w:r w:rsidRPr="00BC1614">
        <w:rPr>
          <w:rFonts w:ascii="Times New Roman" w:hAnsi="Times New Roman" w:cs="Times New Roman"/>
          <w:sz w:val="24"/>
          <w:szCs w:val="24"/>
        </w:rPr>
        <w:t>In psychiatric hospitals, the patient’s consent should be sought for both hospitalisation and medical treatment and should also be reflected in the patient’s medical records. (paragraph [14])</w:t>
      </w:r>
    </w:p>
    <w:p w14:paraId="56A799B5" w14:textId="5DE849C7" w:rsidR="00E44D1D" w:rsidRPr="00BC1614" w:rsidRDefault="00E44D1D" w:rsidP="00E44D1D">
      <w:pPr>
        <w:numPr>
          <w:ilvl w:val="0"/>
          <w:numId w:val="13"/>
        </w:numPr>
        <w:spacing w:after="0" w:line="360" w:lineRule="auto"/>
        <w:contextualSpacing/>
        <w:jc w:val="both"/>
        <w:rPr>
          <w:rFonts w:ascii="Times New Roman" w:eastAsia="Times New Roman" w:hAnsi="Times New Roman" w:cs="Times New Roman"/>
          <w:sz w:val="24"/>
          <w:szCs w:val="24"/>
        </w:rPr>
      </w:pPr>
      <w:r w:rsidRPr="00BC1614">
        <w:rPr>
          <w:rFonts w:ascii="Times New Roman" w:hAnsi="Times New Roman" w:cs="Times New Roman"/>
          <w:sz w:val="24"/>
          <w:szCs w:val="24"/>
          <w:shd w:val="clear" w:color="auto" w:fill="FFFFFF"/>
        </w:rPr>
        <w:t xml:space="preserve">In practice, it has been established that psychiatric </w:t>
      </w:r>
      <w:r w:rsidR="00AC40EF" w:rsidRPr="00BC1614">
        <w:rPr>
          <w:rFonts w:ascii="Times New Roman" w:hAnsi="Times New Roman" w:cs="Times New Roman"/>
          <w:sz w:val="24"/>
          <w:szCs w:val="24"/>
          <w:shd w:val="clear" w:color="auto" w:fill="FFFFFF"/>
        </w:rPr>
        <w:t>hospitals</w:t>
      </w:r>
      <w:r w:rsidRPr="00BC1614">
        <w:rPr>
          <w:rFonts w:ascii="Times New Roman" w:hAnsi="Times New Roman" w:cs="Times New Roman"/>
          <w:sz w:val="24"/>
          <w:szCs w:val="24"/>
          <w:shd w:val="clear" w:color="auto" w:fill="FFFFFF"/>
        </w:rPr>
        <w:t xml:space="preserve"> do not adequately record of cases of chemical restraint. </w:t>
      </w:r>
      <w:r w:rsidRPr="00BC1614">
        <w:rPr>
          <w:rFonts w:ascii="Times New Roman" w:hAnsi="Times New Roman" w:cs="Times New Roman"/>
          <w:sz w:val="24"/>
          <w:szCs w:val="24"/>
        </w:rPr>
        <w:t>(paragraph [15])</w:t>
      </w:r>
    </w:p>
    <w:p w14:paraId="76C09B54" w14:textId="1CC3EAE5" w:rsidR="00E44D1D" w:rsidRPr="00BC1614" w:rsidRDefault="00E44D1D" w:rsidP="00E44D1D">
      <w:pPr>
        <w:numPr>
          <w:ilvl w:val="0"/>
          <w:numId w:val="13"/>
        </w:numPr>
        <w:spacing w:after="0" w:line="360" w:lineRule="auto"/>
        <w:contextualSpacing/>
        <w:jc w:val="both"/>
        <w:rPr>
          <w:rFonts w:ascii="Times New Roman" w:eastAsia="Times New Roman" w:hAnsi="Times New Roman" w:cs="Times New Roman"/>
          <w:sz w:val="24"/>
          <w:szCs w:val="24"/>
        </w:rPr>
      </w:pPr>
      <w:r w:rsidRPr="00BC1614">
        <w:rPr>
          <w:rFonts w:ascii="Times New Roman" w:hAnsi="Times New Roman" w:cs="Times New Roman"/>
          <w:bCs/>
          <w:sz w:val="24"/>
          <w:szCs w:val="24"/>
        </w:rPr>
        <w:lastRenderedPageBreak/>
        <w:t xml:space="preserve">Children living in childcare facilities are hospitalised at psychiatric hospitals dozens of times more frequently than children living in family or </w:t>
      </w:r>
      <w:r w:rsidR="00BC1614" w:rsidRPr="00BC1614">
        <w:rPr>
          <w:rFonts w:ascii="Times New Roman" w:hAnsi="Times New Roman" w:cs="Times New Roman"/>
          <w:bCs/>
          <w:sz w:val="24"/>
          <w:szCs w:val="24"/>
        </w:rPr>
        <w:t>out-of-family</w:t>
      </w:r>
      <w:r w:rsidRPr="00BC1614">
        <w:rPr>
          <w:rFonts w:ascii="Times New Roman" w:hAnsi="Times New Roman" w:cs="Times New Roman"/>
          <w:bCs/>
          <w:sz w:val="24"/>
          <w:szCs w:val="24"/>
        </w:rPr>
        <w:t xml:space="preserve"> care with family environment. </w:t>
      </w:r>
      <w:r w:rsidRPr="00BC1614">
        <w:rPr>
          <w:rFonts w:ascii="Times New Roman" w:hAnsi="Times New Roman" w:cs="Times New Roman"/>
          <w:sz w:val="24"/>
          <w:szCs w:val="24"/>
        </w:rPr>
        <w:t>(paragraph [16])</w:t>
      </w:r>
    </w:p>
    <w:p w14:paraId="5613D8E7" w14:textId="23171282" w:rsidR="00E44D1D" w:rsidRPr="00BC1614" w:rsidRDefault="00E44D1D" w:rsidP="00E44D1D">
      <w:pPr>
        <w:numPr>
          <w:ilvl w:val="0"/>
          <w:numId w:val="13"/>
        </w:numPr>
        <w:spacing w:after="0" w:line="360" w:lineRule="auto"/>
        <w:contextualSpacing/>
        <w:jc w:val="both"/>
        <w:rPr>
          <w:rFonts w:ascii="Times New Roman" w:eastAsia="Times New Roman" w:hAnsi="Times New Roman" w:cs="Times New Roman"/>
          <w:sz w:val="24"/>
          <w:szCs w:val="24"/>
        </w:rPr>
      </w:pPr>
      <w:r w:rsidRPr="00BC1614">
        <w:rPr>
          <w:rFonts w:ascii="Times New Roman" w:hAnsi="Times New Roman" w:cs="Times New Roman"/>
          <w:sz w:val="24"/>
          <w:szCs w:val="24"/>
        </w:rPr>
        <w:t xml:space="preserve">In 2018, </w:t>
      </w:r>
      <w:proofErr w:type="gramStart"/>
      <w:r w:rsidRPr="00BC1614">
        <w:rPr>
          <w:rFonts w:ascii="Times New Roman" w:hAnsi="Times New Roman" w:cs="Times New Roman"/>
          <w:sz w:val="24"/>
          <w:szCs w:val="24"/>
        </w:rPr>
        <w:t>a number of</w:t>
      </w:r>
      <w:proofErr w:type="gramEnd"/>
      <w:r w:rsidRPr="00BC1614">
        <w:rPr>
          <w:rFonts w:ascii="Times New Roman" w:hAnsi="Times New Roman" w:cs="Times New Roman"/>
          <w:sz w:val="24"/>
          <w:szCs w:val="24"/>
        </w:rPr>
        <w:t xml:space="preserve"> violations of the rights of children were detected in psychiatric </w:t>
      </w:r>
      <w:r w:rsidR="00423414" w:rsidRPr="00BC1614">
        <w:rPr>
          <w:rFonts w:ascii="Times New Roman" w:hAnsi="Times New Roman" w:cs="Times New Roman"/>
          <w:sz w:val="24"/>
          <w:szCs w:val="24"/>
        </w:rPr>
        <w:t>hospitals</w:t>
      </w:r>
      <w:r w:rsidRPr="00BC1614">
        <w:rPr>
          <w:rFonts w:ascii="Times New Roman" w:hAnsi="Times New Roman" w:cs="Times New Roman"/>
          <w:sz w:val="24"/>
          <w:szCs w:val="24"/>
        </w:rPr>
        <w:t>. (paragraph [17])</w:t>
      </w:r>
    </w:p>
    <w:p w14:paraId="52750BA1" w14:textId="77777777" w:rsidR="00E44D1D" w:rsidRPr="00BC1614" w:rsidRDefault="00E44D1D" w:rsidP="00E44D1D">
      <w:pPr>
        <w:spacing w:after="0" w:line="360" w:lineRule="auto"/>
        <w:ind w:left="720"/>
        <w:jc w:val="both"/>
        <w:rPr>
          <w:rFonts w:ascii="Times New Roman" w:hAnsi="Times New Roman" w:cs="Times New Roman"/>
          <w:bCs/>
          <w:sz w:val="24"/>
          <w:szCs w:val="24"/>
        </w:rPr>
      </w:pPr>
    </w:p>
    <w:p w14:paraId="6F4C0709" w14:textId="77777777" w:rsidR="00E44D1D" w:rsidRPr="00BC1614" w:rsidRDefault="00E44D1D" w:rsidP="00E44D1D">
      <w:pPr>
        <w:rPr>
          <w:rFonts w:ascii="Times New Roman" w:hAnsi="Times New Roman" w:cs="Times New Roman"/>
          <w:sz w:val="24"/>
          <w:szCs w:val="24"/>
        </w:rPr>
      </w:pPr>
      <w:r w:rsidRPr="00BC1614">
        <w:rPr>
          <w:rFonts w:ascii="Times New Roman" w:hAnsi="Times New Roman" w:cs="Times New Roman"/>
          <w:sz w:val="24"/>
          <w:szCs w:val="24"/>
        </w:rPr>
        <w:br w:type="page"/>
      </w:r>
    </w:p>
    <w:p w14:paraId="52B6E585"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lastRenderedPageBreak/>
        <w:t>III. ARTICLE 2 OF THE CONVENTION</w:t>
      </w:r>
    </w:p>
    <w:p w14:paraId="4D9005E5"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Legal protection – reply to question 2 of the Committee</w:t>
      </w:r>
    </w:p>
    <w:p w14:paraId="293EEF38" w14:textId="77777777" w:rsidR="00E44D1D" w:rsidRPr="00BC1614" w:rsidRDefault="00E44D1D" w:rsidP="00E44D1D">
      <w:pPr>
        <w:spacing w:after="0" w:line="360" w:lineRule="auto"/>
        <w:ind w:firstLine="720"/>
        <w:jc w:val="both"/>
        <w:rPr>
          <w:rFonts w:ascii="Times New Roman" w:hAnsi="Times New Roman" w:cs="Times New Roman"/>
          <w:sz w:val="24"/>
          <w:szCs w:val="24"/>
        </w:rPr>
      </w:pPr>
    </w:p>
    <w:p w14:paraId="6E6C06B1" w14:textId="472DCB5C"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[1] In view of the fact that ensuring the right to fair trial also includes the right of a person to a qualitative and effective defence, the Ombudsman has, in some cases, established that </w:t>
      </w:r>
      <w:r w:rsidRPr="00BC1614">
        <w:rPr>
          <w:rFonts w:ascii="Times New Roman" w:hAnsi="Times New Roman" w:cs="Times New Roman"/>
          <w:b/>
          <w:bCs/>
          <w:sz w:val="24"/>
          <w:szCs w:val="24"/>
        </w:rPr>
        <w:t>the defenders designated by the state have not guaranteed the right of persons, including persons with disabilities, to real and effective defence.</w:t>
      </w:r>
      <w:r w:rsidRPr="00BC1614">
        <w:rPr>
          <w:rFonts w:ascii="Times New Roman" w:hAnsi="Times New Roman" w:cs="Times New Roman"/>
          <w:sz w:val="24"/>
          <w:szCs w:val="24"/>
        </w:rPr>
        <w:t xml:space="preserve"> The Ombudsman has informed the Latvian Council of Sworn Advocates, as well as has provided information to the Latvian representative in international human rights institutions, because the person filed a complaint against the state also to the European Court of Human Rights and the complaint was accepted for consideration.</w:t>
      </w:r>
    </w:p>
    <w:p w14:paraId="41499BDA" w14:textId="77777777" w:rsidR="00E44D1D" w:rsidRPr="00BC1614" w:rsidRDefault="00E44D1D" w:rsidP="00E44D1D">
      <w:pPr>
        <w:spacing w:after="0" w:line="360" w:lineRule="auto"/>
        <w:ind w:firstLine="720"/>
        <w:jc w:val="both"/>
        <w:rPr>
          <w:rFonts w:ascii="Times New Roman" w:hAnsi="Times New Roman" w:cs="Times New Roman"/>
          <w:b/>
          <w:bCs/>
          <w:sz w:val="24"/>
          <w:szCs w:val="24"/>
        </w:rPr>
      </w:pPr>
      <w:r w:rsidRPr="00BC1614">
        <w:rPr>
          <w:rFonts w:ascii="Times New Roman" w:hAnsi="Times New Roman" w:cs="Times New Roman"/>
          <w:sz w:val="24"/>
          <w:szCs w:val="24"/>
        </w:rPr>
        <w:t xml:space="preserve">The Ombudsman has also focused on the problem of </w:t>
      </w:r>
      <w:r w:rsidRPr="00BC1614">
        <w:rPr>
          <w:rFonts w:ascii="Times New Roman" w:hAnsi="Times New Roman" w:cs="Times New Roman"/>
          <w:b/>
          <w:sz w:val="24"/>
          <w:szCs w:val="24"/>
        </w:rPr>
        <w:t>accessibility of lawyers in regions, highlighting the limited opportunities of persons to choose legal aid providers</w:t>
      </w:r>
      <w:r w:rsidRPr="00BC1614">
        <w:rPr>
          <w:rFonts w:ascii="Times New Roman" w:hAnsi="Times New Roman" w:cs="Times New Roman"/>
          <w:sz w:val="24"/>
          <w:szCs w:val="24"/>
        </w:rPr>
        <w:t>.</w:t>
      </w:r>
    </w:p>
    <w:p w14:paraId="3FECD53C" w14:textId="77777777" w:rsidR="00E44D1D" w:rsidRPr="00BC1614" w:rsidRDefault="00E44D1D" w:rsidP="00E44D1D">
      <w:pPr>
        <w:spacing w:after="0" w:line="360" w:lineRule="auto"/>
        <w:jc w:val="both"/>
        <w:rPr>
          <w:rFonts w:ascii="Times New Roman" w:hAnsi="Times New Roman" w:cs="Times New Roman"/>
          <w:b/>
          <w:bCs/>
          <w:sz w:val="24"/>
          <w:szCs w:val="24"/>
        </w:rPr>
      </w:pPr>
    </w:p>
    <w:p w14:paraId="7BBD2CDE"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Pretrial detention – reply to question 4 of the Committee</w:t>
      </w:r>
    </w:p>
    <w:p w14:paraId="236F4B31" w14:textId="77777777" w:rsidR="00E44D1D" w:rsidRPr="00BC1614" w:rsidRDefault="00E44D1D" w:rsidP="00E44D1D">
      <w:pPr>
        <w:spacing w:after="0" w:line="360" w:lineRule="auto"/>
        <w:jc w:val="both"/>
        <w:rPr>
          <w:rFonts w:ascii="Times New Roman" w:hAnsi="Times New Roman" w:cs="Times New Roman"/>
          <w:sz w:val="24"/>
          <w:szCs w:val="24"/>
        </w:rPr>
      </w:pPr>
    </w:p>
    <w:p w14:paraId="7FA46B17" w14:textId="77777777" w:rsidR="00E44D1D" w:rsidRPr="00BC1614" w:rsidRDefault="00E44D1D" w:rsidP="00E44D1D">
      <w:pPr>
        <w:tabs>
          <w:tab w:val="center" w:pos="709"/>
          <w:tab w:val="right" w:pos="8306"/>
        </w:tabs>
        <w:spacing w:after="0" w:line="360" w:lineRule="auto"/>
        <w:jc w:val="both"/>
        <w:rPr>
          <w:rFonts w:ascii="Times New Roman" w:eastAsia="Times New Roman" w:hAnsi="Times New Roman" w:cs="Times New Roman"/>
          <w:b/>
          <w:bCs/>
          <w:sz w:val="24"/>
          <w:szCs w:val="24"/>
        </w:rPr>
      </w:pPr>
      <w:r w:rsidRPr="00BC1614">
        <w:rPr>
          <w:rFonts w:ascii="Times New Roman" w:hAnsi="Times New Roman" w:cs="Times New Roman"/>
          <w:b/>
          <w:bCs/>
          <w:sz w:val="24"/>
          <w:szCs w:val="24"/>
        </w:rPr>
        <w:tab/>
      </w:r>
      <w:r w:rsidRPr="00BC1614">
        <w:rPr>
          <w:rFonts w:ascii="Times New Roman" w:hAnsi="Times New Roman" w:cs="Times New Roman"/>
          <w:bCs/>
          <w:sz w:val="24"/>
          <w:szCs w:val="24"/>
        </w:rPr>
        <w:t>[2]</w:t>
      </w:r>
      <w:r w:rsidRPr="00BC1614">
        <w:rPr>
          <w:rFonts w:ascii="Times New Roman" w:hAnsi="Times New Roman" w:cs="Times New Roman"/>
          <w:b/>
          <w:bCs/>
          <w:sz w:val="24"/>
          <w:szCs w:val="24"/>
        </w:rPr>
        <w:t> </w:t>
      </w:r>
      <w:r w:rsidRPr="00BC1614">
        <w:rPr>
          <w:rFonts w:ascii="Times New Roman" w:hAnsi="Times New Roman" w:cs="Times New Roman"/>
          <w:b/>
          <w:bCs/>
          <w:sz w:val="24"/>
          <w:szCs w:val="24"/>
        </w:rPr>
        <w:tab/>
        <w:t>Paragraph 28 of the sixth period report of the Republic of Latvia:</w:t>
      </w:r>
      <w:r w:rsidRPr="00BC1614">
        <w:rPr>
          <w:rFonts w:ascii="Times New Roman" w:hAnsi="Times New Roman" w:cs="Times New Roman"/>
          <w:sz w:val="24"/>
          <w:szCs w:val="24"/>
        </w:rPr>
        <w:t xml:space="preserve"> </w:t>
      </w:r>
      <w:r w:rsidRPr="00BC1614">
        <w:rPr>
          <w:rFonts w:ascii="Times New Roman" w:hAnsi="Times New Roman" w:cs="Times New Roman"/>
          <w:b/>
          <w:bCs/>
          <w:sz w:val="24"/>
          <w:szCs w:val="24"/>
        </w:rPr>
        <w:t>The Law on the Procedures for Holding the Detained Persons does not specify the duration of holding of detainees and sentenced persons in short-term detention facilities of the State Police (hereinafter referred to as short-term detention facilities) for the performance of procedural activities.</w:t>
      </w:r>
    </w:p>
    <w:p w14:paraId="61AD5ED1" w14:textId="77777777" w:rsidR="00E44D1D" w:rsidRPr="00BC1614" w:rsidRDefault="00E44D1D" w:rsidP="00E44D1D">
      <w:pPr>
        <w:tabs>
          <w:tab w:val="center" w:pos="709"/>
          <w:tab w:val="right" w:pos="8306"/>
        </w:tabs>
        <w:spacing w:after="0" w:line="360" w:lineRule="auto"/>
        <w:jc w:val="both"/>
        <w:rPr>
          <w:rFonts w:ascii="Times New Roman" w:eastAsia="Times New Roman" w:hAnsi="Times New Roman" w:cs="Times New Roman"/>
          <w:sz w:val="24"/>
          <w:szCs w:val="24"/>
        </w:rPr>
      </w:pPr>
      <w:r w:rsidRPr="00BC1614">
        <w:rPr>
          <w:rFonts w:ascii="Times New Roman" w:hAnsi="Times New Roman" w:cs="Times New Roman"/>
          <w:sz w:val="24"/>
          <w:szCs w:val="24"/>
        </w:rPr>
        <w:tab/>
      </w:r>
      <w:r w:rsidRPr="00BC1614">
        <w:rPr>
          <w:rFonts w:ascii="Times New Roman" w:hAnsi="Times New Roman" w:cs="Times New Roman"/>
          <w:sz w:val="24"/>
          <w:szCs w:val="24"/>
        </w:rPr>
        <w:tab/>
        <w:t xml:space="preserve">The current version of Section 1(2) of the Law on the Procedures for Holding the Detained Persons provides that the period of seven days is applicable only to those persons who have been detained after being put on the wanted list or sentenced, i.e. the time limit for their transfer to an investigating prison or detention facility. However, the regulatory framework does not specify how long detainees and convicts can be held in short-term detention facilities for the performance of procedural activities. </w:t>
      </w:r>
    </w:p>
    <w:p w14:paraId="531B75BB" w14:textId="77777777" w:rsidR="00E44D1D" w:rsidRPr="00BC1614" w:rsidRDefault="00E44D1D" w:rsidP="00E44D1D">
      <w:pPr>
        <w:tabs>
          <w:tab w:val="center" w:pos="709"/>
          <w:tab w:val="right" w:pos="8306"/>
        </w:tabs>
        <w:spacing w:after="0" w:line="360" w:lineRule="auto"/>
        <w:jc w:val="both"/>
        <w:rPr>
          <w:rFonts w:ascii="Times New Roman" w:eastAsia="Times New Roman" w:hAnsi="Times New Roman" w:cs="Times New Roman"/>
          <w:sz w:val="24"/>
          <w:szCs w:val="24"/>
        </w:rPr>
      </w:pPr>
      <w:r w:rsidRPr="00BC1614">
        <w:rPr>
          <w:rFonts w:ascii="Times New Roman" w:hAnsi="Times New Roman" w:cs="Times New Roman"/>
          <w:sz w:val="24"/>
          <w:szCs w:val="24"/>
        </w:rPr>
        <w:tab/>
      </w:r>
      <w:r w:rsidRPr="00BC1614">
        <w:rPr>
          <w:rFonts w:ascii="Times New Roman" w:hAnsi="Times New Roman" w:cs="Times New Roman"/>
          <w:sz w:val="24"/>
          <w:szCs w:val="24"/>
        </w:rPr>
        <w:tab/>
        <w:t xml:space="preserve">In 2016, the Ombudsman submitted a proposal to the </w:t>
      </w:r>
      <w:proofErr w:type="spellStart"/>
      <w:r w:rsidRPr="00BC1614">
        <w:rPr>
          <w:rFonts w:ascii="Times New Roman" w:hAnsi="Times New Roman" w:cs="Times New Roman"/>
          <w:sz w:val="24"/>
          <w:szCs w:val="24"/>
        </w:rPr>
        <w:t>Saeima</w:t>
      </w:r>
      <w:proofErr w:type="spellEnd"/>
      <w:r w:rsidRPr="00BC1614">
        <w:rPr>
          <w:rFonts w:ascii="Times New Roman" w:hAnsi="Times New Roman" w:cs="Times New Roman"/>
          <w:sz w:val="24"/>
          <w:szCs w:val="24"/>
        </w:rPr>
        <w:t xml:space="preserve"> asking to supplement Section 1(2) of the Law on the Procedures for Holding the Detained Persons with a condition that the length of the stay of detainees and convicts, who have been placed in short-term detention facilities for the time necessary for the performance of procedural activities, as well as the duration of the stay of foreigners detained in short-term detention facilities in accordance with the procedures specified by the Immigration Law, cannot be longer than seven working days. The proposal was not supported by a majority of </w:t>
      </w:r>
      <w:proofErr w:type="spellStart"/>
      <w:r w:rsidRPr="00BC1614">
        <w:rPr>
          <w:rFonts w:ascii="Times New Roman" w:hAnsi="Times New Roman" w:cs="Times New Roman"/>
          <w:sz w:val="24"/>
          <w:szCs w:val="24"/>
        </w:rPr>
        <w:t>Saeima</w:t>
      </w:r>
      <w:proofErr w:type="spellEnd"/>
      <w:r w:rsidRPr="00BC1614">
        <w:rPr>
          <w:rFonts w:ascii="Times New Roman" w:hAnsi="Times New Roman" w:cs="Times New Roman"/>
          <w:sz w:val="24"/>
          <w:szCs w:val="24"/>
        </w:rPr>
        <w:t xml:space="preserve"> votes.</w:t>
      </w:r>
    </w:p>
    <w:p w14:paraId="5F805FCC" w14:textId="77777777" w:rsidR="00E44D1D" w:rsidRPr="00BC1614" w:rsidRDefault="00E44D1D" w:rsidP="00E44D1D">
      <w:pPr>
        <w:tabs>
          <w:tab w:val="center" w:pos="709"/>
          <w:tab w:val="right" w:pos="8306"/>
        </w:tabs>
        <w:spacing w:after="0" w:line="360" w:lineRule="auto"/>
        <w:jc w:val="both"/>
        <w:rPr>
          <w:rFonts w:ascii="Times New Roman" w:eastAsia="Times New Roman" w:hAnsi="Times New Roman" w:cs="Times New Roman"/>
          <w:sz w:val="24"/>
          <w:szCs w:val="24"/>
        </w:rPr>
      </w:pPr>
      <w:r w:rsidRPr="00BC1614">
        <w:rPr>
          <w:rFonts w:ascii="Times New Roman" w:hAnsi="Times New Roman" w:cs="Times New Roman"/>
          <w:sz w:val="24"/>
          <w:szCs w:val="24"/>
        </w:rPr>
        <w:tab/>
      </w:r>
      <w:r w:rsidRPr="00BC1614">
        <w:rPr>
          <w:rFonts w:ascii="Times New Roman" w:hAnsi="Times New Roman" w:cs="Times New Roman"/>
          <w:sz w:val="24"/>
          <w:szCs w:val="24"/>
        </w:rPr>
        <w:tab/>
        <w:t xml:space="preserve">The proposal was basically created due to the situation that convicted and arrested persons are often staying in short-term detention facilities for the purposes of procedural actions for a </w:t>
      </w:r>
      <w:r w:rsidRPr="00BC1614">
        <w:rPr>
          <w:rFonts w:ascii="Times New Roman" w:hAnsi="Times New Roman" w:cs="Times New Roman"/>
          <w:sz w:val="24"/>
          <w:szCs w:val="24"/>
        </w:rPr>
        <w:lastRenderedPageBreak/>
        <w:t>month or even longer, where they are subject to the rules of the internal arrangements of the short-term detention facility. The problem is still pressing and was confirmed by the employees of the Ombudsman’s Office in 2019 when they visited short-time detention facilities where, in individual cases, the arrested person was found to be staying in a short-term detention facility for more than two weeks for the purposes of procedural actions.</w:t>
      </w:r>
    </w:p>
    <w:p w14:paraId="5AE7FF48" w14:textId="77777777" w:rsidR="00E44D1D" w:rsidRPr="00BC1614" w:rsidRDefault="00E44D1D" w:rsidP="00E44D1D">
      <w:pPr>
        <w:spacing w:after="0" w:line="360" w:lineRule="auto"/>
        <w:jc w:val="both"/>
        <w:rPr>
          <w:rFonts w:ascii="Times New Roman" w:hAnsi="Times New Roman" w:cs="Times New Roman"/>
          <w:sz w:val="24"/>
          <w:szCs w:val="24"/>
        </w:rPr>
      </w:pPr>
    </w:p>
    <w:p w14:paraId="113955C2"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National human rights institution – reply to question 7 of the Committee</w:t>
      </w:r>
    </w:p>
    <w:p w14:paraId="5F9BBCD4" w14:textId="77777777" w:rsidR="00E44D1D" w:rsidRPr="00BC1614" w:rsidRDefault="00E44D1D" w:rsidP="00E44D1D">
      <w:pPr>
        <w:spacing w:after="0" w:line="360" w:lineRule="auto"/>
        <w:jc w:val="both"/>
        <w:rPr>
          <w:rFonts w:ascii="Times New Roman" w:hAnsi="Times New Roman" w:cs="Times New Roman"/>
          <w:sz w:val="24"/>
          <w:szCs w:val="24"/>
        </w:rPr>
      </w:pPr>
    </w:p>
    <w:p w14:paraId="74A80A8C" w14:textId="77777777" w:rsidR="00E44D1D" w:rsidRPr="00BC1614" w:rsidRDefault="00E44D1D" w:rsidP="00E44D1D">
      <w:pPr>
        <w:spacing w:after="0" w:line="360" w:lineRule="auto"/>
        <w:ind w:firstLine="720"/>
        <w:jc w:val="both"/>
        <w:rPr>
          <w:rFonts w:ascii="Times New Roman" w:hAnsi="Times New Roman" w:cs="Times New Roman"/>
          <w:b/>
          <w:bCs/>
          <w:sz w:val="24"/>
          <w:szCs w:val="24"/>
        </w:rPr>
      </w:pPr>
      <w:r w:rsidRPr="00BC1614">
        <w:rPr>
          <w:rFonts w:ascii="Times New Roman" w:hAnsi="Times New Roman" w:cs="Times New Roman"/>
          <w:bCs/>
          <w:sz w:val="24"/>
          <w:szCs w:val="24"/>
        </w:rPr>
        <w:t>[3]</w:t>
      </w:r>
      <w:r w:rsidRPr="00BC1614">
        <w:rPr>
          <w:rFonts w:ascii="Times New Roman" w:hAnsi="Times New Roman" w:cs="Times New Roman"/>
          <w:b/>
          <w:bCs/>
          <w:sz w:val="24"/>
          <w:szCs w:val="24"/>
        </w:rPr>
        <w:t> Paragraph 50 of the sixth period report of the Republic of Latvia: It is necessary to strengthen the guarantees of the Ombudsman’s entity as an autonomous constitutional entity in the Constitution of the Republic of Latvia.</w:t>
      </w:r>
    </w:p>
    <w:p w14:paraId="6DA98E86"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In order to strengthen the guarantee of the Ombudsman as an autonomous constitutional entity, in May 2015 the Ombudsman urged the </w:t>
      </w:r>
      <w:proofErr w:type="spellStart"/>
      <w:r w:rsidRPr="00BC1614">
        <w:rPr>
          <w:rFonts w:ascii="Times New Roman" w:hAnsi="Times New Roman" w:cs="Times New Roman"/>
          <w:sz w:val="24"/>
          <w:szCs w:val="24"/>
        </w:rPr>
        <w:t>Saeima</w:t>
      </w:r>
      <w:proofErr w:type="spellEnd"/>
      <w:r w:rsidRPr="00BC1614">
        <w:rPr>
          <w:rFonts w:ascii="Times New Roman" w:hAnsi="Times New Roman" w:cs="Times New Roman"/>
          <w:sz w:val="24"/>
          <w:szCs w:val="24"/>
        </w:rPr>
        <w:t xml:space="preserve"> to consider a proposal to supplement the Constitution of the Republic of Latvia with a new chapter named “Ombudsman”. </w:t>
      </w:r>
    </w:p>
    <w:p w14:paraId="1CCD99A7"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Strengthening the Ombudsman’s entity in the Constitution of the Republic of Latvia would:</w:t>
      </w:r>
    </w:p>
    <w:p w14:paraId="168C4F99" w14:textId="77777777" w:rsidR="00E44D1D" w:rsidRPr="00BC1614" w:rsidRDefault="00E44D1D" w:rsidP="00E44D1D">
      <w:pPr>
        <w:numPr>
          <w:ilvl w:val="0"/>
          <w:numId w:val="3"/>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protect against undesirable political manipulation;</w:t>
      </w:r>
    </w:p>
    <w:p w14:paraId="1FD64F57" w14:textId="77777777" w:rsidR="00E44D1D" w:rsidRPr="00BC1614" w:rsidRDefault="00E44D1D" w:rsidP="00E44D1D">
      <w:pPr>
        <w:numPr>
          <w:ilvl w:val="0"/>
          <w:numId w:val="3"/>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promote the compliance of the national human rights authority with the so-called Paris Principles;</w:t>
      </w:r>
    </w:p>
    <w:p w14:paraId="7BAE7D44" w14:textId="77777777" w:rsidR="00E44D1D" w:rsidRPr="00BC1614" w:rsidRDefault="00E44D1D" w:rsidP="00E44D1D">
      <w:pPr>
        <w:numPr>
          <w:ilvl w:val="0"/>
          <w:numId w:val="3"/>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strengthen the principle of power-sharing enshrined in the Constitution of the Republic of Latvia;</w:t>
      </w:r>
    </w:p>
    <w:p w14:paraId="70089089" w14:textId="77777777" w:rsidR="00E44D1D" w:rsidRPr="00BC1614" w:rsidRDefault="00E44D1D" w:rsidP="00E44D1D">
      <w:pPr>
        <w:numPr>
          <w:ilvl w:val="0"/>
          <w:numId w:val="3"/>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exclude any doubts that the Ombudsman belongs to any state powers.</w:t>
      </w:r>
    </w:p>
    <w:p w14:paraId="139DDB46"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The Chairman of the </w:t>
      </w:r>
      <w:proofErr w:type="spellStart"/>
      <w:r w:rsidRPr="00BC1614">
        <w:rPr>
          <w:rFonts w:ascii="Times New Roman" w:hAnsi="Times New Roman" w:cs="Times New Roman"/>
          <w:sz w:val="24"/>
          <w:szCs w:val="24"/>
        </w:rPr>
        <w:t>Saeima</w:t>
      </w:r>
      <w:proofErr w:type="spellEnd"/>
      <w:r w:rsidRPr="00BC1614">
        <w:rPr>
          <w:rFonts w:ascii="Times New Roman" w:hAnsi="Times New Roman" w:cs="Times New Roman"/>
          <w:sz w:val="24"/>
          <w:szCs w:val="24"/>
        </w:rPr>
        <w:t xml:space="preserve"> Legal Affairs Committee transferred the submitted proposal for evaluation to the working group “for possible extension of the powers of the State President and evaluation of the presidential election procedures”. On 12 May 2015, having listened to the experts’ opinions, the working group concluded that nobody was categorically “against” the inclusion of the Ombudsman’s entity in the Constitution of the Republic of Latvia, majority of the participants present agreed to this addition, and discussions were related to details only. The proposal has not progressed any further yet.</w:t>
      </w:r>
    </w:p>
    <w:p w14:paraId="29F1B784" w14:textId="77777777" w:rsidR="00E44D1D" w:rsidRPr="00BC1614" w:rsidRDefault="00E44D1D" w:rsidP="00E44D1D">
      <w:pPr>
        <w:spacing w:after="0" w:line="360" w:lineRule="auto"/>
        <w:jc w:val="both"/>
        <w:rPr>
          <w:rFonts w:ascii="Times New Roman" w:hAnsi="Times New Roman" w:cs="Times New Roman"/>
          <w:sz w:val="24"/>
          <w:szCs w:val="24"/>
        </w:rPr>
      </w:pPr>
    </w:p>
    <w:p w14:paraId="391A0770" w14:textId="77777777" w:rsidR="00E44D1D" w:rsidRPr="00BC1614" w:rsidRDefault="00E44D1D" w:rsidP="00E44D1D">
      <w:pPr>
        <w:spacing w:after="0" w:line="240" w:lineRule="auto"/>
        <w:jc w:val="both"/>
        <w:rPr>
          <w:rFonts w:ascii="Times New Roman" w:hAnsi="Times New Roman" w:cs="Times New Roman"/>
          <w:b/>
          <w:sz w:val="24"/>
          <w:szCs w:val="24"/>
        </w:rPr>
      </w:pPr>
      <w:r w:rsidRPr="00BC1614">
        <w:rPr>
          <w:rFonts w:ascii="Times New Roman" w:hAnsi="Times New Roman" w:cs="Times New Roman"/>
          <w:b/>
          <w:sz w:val="24"/>
          <w:szCs w:val="24"/>
        </w:rPr>
        <w:t>Domestic violence – reply to question 8 of the Committee</w:t>
      </w:r>
    </w:p>
    <w:p w14:paraId="369C2E47" w14:textId="77777777" w:rsidR="00E44D1D" w:rsidRPr="00BC1614" w:rsidRDefault="00E44D1D" w:rsidP="00E44D1D">
      <w:pPr>
        <w:spacing w:after="0" w:line="360" w:lineRule="auto"/>
        <w:jc w:val="both"/>
        <w:rPr>
          <w:rFonts w:ascii="Times New Roman" w:hAnsi="Times New Roman" w:cs="Times New Roman"/>
          <w:b/>
          <w:bCs/>
          <w:sz w:val="24"/>
          <w:szCs w:val="24"/>
        </w:rPr>
      </w:pPr>
    </w:p>
    <w:p w14:paraId="20A8246C"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bCs/>
          <w:sz w:val="24"/>
          <w:szCs w:val="24"/>
        </w:rPr>
        <w:t>[4]</w:t>
      </w:r>
      <w:r w:rsidRPr="00BC1614">
        <w:rPr>
          <w:rFonts w:ascii="Times New Roman" w:hAnsi="Times New Roman" w:cs="Times New Roman"/>
          <w:b/>
          <w:bCs/>
          <w:sz w:val="24"/>
          <w:szCs w:val="24"/>
        </w:rPr>
        <w:t> Paragraphs 67 and 68 of the sixth period report of the Republic of Latvia:</w:t>
      </w:r>
    </w:p>
    <w:p w14:paraId="6D8A19C6" w14:textId="5B7B99EB" w:rsidR="00E44D1D" w:rsidRPr="00BC1614" w:rsidRDefault="00E44D1D" w:rsidP="00E44D1D">
      <w:pPr>
        <w:suppressAutoHyphens/>
        <w:autoSpaceDE w:val="0"/>
        <w:autoSpaceDN w:val="0"/>
        <w:spacing w:after="0" w:line="360" w:lineRule="auto"/>
        <w:ind w:firstLine="720"/>
        <w:jc w:val="both"/>
        <w:textAlignment w:val="baseline"/>
        <w:rPr>
          <w:rFonts w:ascii="Times New Roman" w:eastAsia="Calibri" w:hAnsi="Times New Roman" w:cs="Times New Roman"/>
          <w:sz w:val="24"/>
          <w:szCs w:val="24"/>
        </w:rPr>
      </w:pPr>
      <w:r w:rsidRPr="00BC1614">
        <w:rPr>
          <w:rFonts w:ascii="Times New Roman" w:hAnsi="Times New Roman" w:cs="Times New Roman"/>
          <w:sz w:val="24"/>
          <w:szCs w:val="24"/>
        </w:rPr>
        <w:t>(Criminal offence, exploitation, sexual exploitation or any other illegal, cruel or degrading treatment) social rehabilitation must be provided to child victims</w:t>
      </w:r>
      <w:r w:rsidR="00057283">
        <w:rPr>
          <w:rFonts w:ascii="Times New Roman" w:hAnsi="Times New Roman" w:cs="Times New Roman"/>
          <w:sz w:val="24"/>
          <w:szCs w:val="24"/>
        </w:rPr>
        <w:t xml:space="preserve"> mandatory</w:t>
      </w:r>
      <w:r w:rsidRPr="00BC1614">
        <w:rPr>
          <w:rFonts w:ascii="Times New Roman" w:hAnsi="Times New Roman" w:cs="Times New Roman"/>
          <w:sz w:val="24"/>
          <w:szCs w:val="24"/>
        </w:rPr>
        <w:t xml:space="preserve">. The provision of the service is organised by the Latvia Children’s Fund, which has been working since 2000 to create </w:t>
      </w:r>
      <w:r w:rsidRPr="00BC1614">
        <w:rPr>
          <w:rFonts w:ascii="Times New Roman" w:hAnsi="Times New Roman" w:cs="Times New Roman"/>
          <w:sz w:val="24"/>
          <w:szCs w:val="24"/>
        </w:rPr>
        <w:lastRenderedPageBreak/>
        <w:t xml:space="preserve">a unified rehabilitation system for the rehabilitation of children who have suffered from violence in Riga and regions. Established centres provide children and their families who have suffered from violence with timely and high-quality rehabilitation and medical services, providing support and practical assistance. In addition, workshops, lectures, trainings and other informative educational activities on violence issues are organised for professionals and </w:t>
      </w:r>
      <w:proofErr w:type="gramStart"/>
      <w:r w:rsidRPr="00BC1614">
        <w:rPr>
          <w:rFonts w:ascii="Times New Roman" w:hAnsi="Times New Roman" w:cs="Times New Roman"/>
          <w:sz w:val="24"/>
          <w:szCs w:val="24"/>
        </w:rPr>
        <w:t>society as a whole</w:t>
      </w:r>
      <w:proofErr w:type="gramEnd"/>
      <w:r w:rsidRPr="00BC1614">
        <w:rPr>
          <w:rFonts w:ascii="Times New Roman" w:hAnsi="Times New Roman" w:cs="Times New Roman"/>
          <w:sz w:val="24"/>
          <w:szCs w:val="24"/>
        </w:rPr>
        <w:t xml:space="preserve">. </w:t>
      </w:r>
    </w:p>
    <w:p w14:paraId="660BB943" w14:textId="4C211EE9" w:rsidR="00866ECB" w:rsidRPr="00BC1614" w:rsidRDefault="00866ECB" w:rsidP="00866ECB">
      <w:pPr>
        <w:spacing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The Latvia Children’s Fund provides the social rehabilitation service in the institution in seven crisis centres in all planning regions. However, their arrangement in the territory of the state is uneven, the service is not available in Riga. The state-funded social rehabilitation service in the institutions is not complete, because rehabilitation is not provided in accordance with individual needs of each child. Rehabilitation does not always use science-based and evidence-based methods. The centres lack specialists, for example, psychologists are available 1-2 times a week.  </w:t>
      </w:r>
      <w:r w:rsidRPr="00BC1614">
        <w:rPr>
          <w:rFonts w:ascii="Times New Roman" w:hAnsi="Times New Roman" w:cs="Times New Roman"/>
          <w:b/>
          <w:bCs/>
          <w:sz w:val="24"/>
          <w:szCs w:val="24"/>
        </w:rPr>
        <w:t xml:space="preserve">The centres do not provide medical services, because they are not medical care institutions. In order to provide meaningful assistance to children, it is necessary to review the content of social rehabilitation providing that children get psychosocial rehabilitation </w:t>
      </w:r>
      <w:proofErr w:type="gramStart"/>
      <w:r w:rsidRPr="00BC1614">
        <w:rPr>
          <w:rFonts w:ascii="Times New Roman" w:hAnsi="Times New Roman" w:cs="Times New Roman"/>
          <w:b/>
          <w:bCs/>
          <w:sz w:val="24"/>
          <w:szCs w:val="24"/>
        </w:rPr>
        <w:t>taking into account</w:t>
      </w:r>
      <w:proofErr w:type="gramEnd"/>
      <w:r w:rsidRPr="00BC1614">
        <w:rPr>
          <w:rFonts w:ascii="Times New Roman" w:hAnsi="Times New Roman" w:cs="Times New Roman"/>
          <w:b/>
          <w:bCs/>
          <w:sz w:val="24"/>
          <w:szCs w:val="24"/>
        </w:rPr>
        <w:t xml:space="preserve"> the needs of each child. The justification for the provision of each programme (up to 30 days and up to 60 days) should be assessed when assessing the needs of the child rather than the initiation of criminal proceedings on the existence </w:t>
      </w:r>
      <w:proofErr w:type="gramStart"/>
      <w:r w:rsidRPr="00BC1614">
        <w:rPr>
          <w:rFonts w:ascii="Times New Roman" w:hAnsi="Times New Roman" w:cs="Times New Roman"/>
          <w:b/>
          <w:bCs/>
          <w:sz w:val="24"/>
          <w:szCs w:val="24"/>
        </w:rPr>
        <w:t>of  criminal</w:t>
      </w:r>
      <w:proofErr w:type="gramEnd"/>
      <w:r w:rsidRPr="00BC1614">
        <w:rPr>
          <w:rFonts w:ascii="Times New Roman" w:hAnsi="Times New Roman" w:cs="Times New Roman"/>
          <w:b/>
          <w:bCs/>
          <w:sz w:val="24"/>
          <w:szCs w:val="24"/>
        </w:rPr>
        <w:t xml:space="preserve"> offences</w:t>
      </w:r>
      <w:r w:rsidR="00057283">
        <w:rPr>
          <w:rFonts w:ascii="Times New Roman" w:hAnsi="Times New Roman" w:cs="Times New Roman"/>
          <w:b/>
          <w:bCs/>
          <w:sz w:val="24"/>
          <w:szCs w:val="24"/>
        </w:rPr>
        <w:t xml:space="preserve"> towards the </w:t>
      </w:r>
      <w:r w:rsidR="000E6B29">
        <w:rPr>
          <w:rFonts w:ascii="Times New Roman" w:hAnsi="Times New Roman" w:cs="Times New Roman"/>
          <w:b/>
          <w:bCs/>
          <w:sz w:val="24"/>
          <w:szCs w:val="24"/>
        </w:rPr>
        <w:t>child.</w:t>
      </w:r>
      <w:r w:rsidRPr="00BC1614">
        <w:rPr>
          <w:rFonts w:ascii="Times New Roman" w:hAnsi="Times New Roman" w:cs="Times New Roman"/>
          <w:sz w:val="24"/>
          <w:szCs w:val="24"/>
        </w:rPr>
        <w:t xml:space="preserve"> </w:t>
      </w:r>
    </w:p>
    <w:p w14:paraId="6ACF34C0" w14:textId="77777777" w:rsidR="00E44D1D" w:rsidRPr="00BC1614" w:rsidRDefault="00E44D1D" w:rsidP="00E44D1D">
      <w:pPr>
        <w:spacing w:after="0" w:line="360" w:lineRule="auto"/>
        <w:jc w:val="both"/>
        <w:rPr>
          <w:rFonts w:ascii="Times New Roman" w:hAnsi="Times New Roman" w:cs="Times New Roman"/>
          <w:sz w:val="24"/>
          <w:szCs w:val="24"/>
        </w:rPr>
      </w:pPr>
    </w:p>
    <w:p w14:paraId="2A279BCB" w14:textId="2DABA04B" w:rsidR="00E44D1D" w:rsidRPr="00BC1614" w:rsidRDefault="00E44D1D" w:rsidP="00E44D1D">
      <w:pPr>
        <w:spacing w:after="0" w:line="360" w:lineRule="auto"/>
        <w:ind w:firstLine="720"/>
        <w:jc w:val="both"/>
        <w:rPr>
          <w:rFonts w:ascii="Times New Roman" w:eastAsia="Times New Roman" w:hAnsi="Times New Roman" w:cs="Times New Roman"/>
          <w:sz w:val="24"/>
          <w:szCs w:val="24"/>
        </w:rPr>
      </w:pPr>
      <w:r w:rsidRPr="00BC1614">
        <w:rPr>
          <w:rFonts w:ascii="Times New Roman" w:hAnsi="Times New Roman" w:cs="Times New Roman"/>
          <w:sz w:val="24"/>
          <w:szCs w:val="24"/>
        </w:rPr>
        <w:t>[5]</w:t>
      </w:r>
      <w:r w:rsidRPr="00BC1614">
        <w:rPr>
          <w:rFonts w:ascii="Times New Roman" w:hAnsi="Times New Roman" w:cs="Times New Roman"/>
          <w:b/>
          <w:sz w:val="24"/>
          <w:szCs w:val="24"/>
        </w:rPr>
        <w:t> Prevention of violence in educational establishments</w:t>
      </w:r>
      <w:r w:rsidRPr="00BC1614">
        <w:rPr>
          <w:rFonts w:ascii="Times New Roman" w:hAnsi="Times New Roman" w:cs="Times New Roman"/>
          <w:sz w:val="24"/>
          <w:szCs w:val="24"/>
        </w:rPr>
        <w:t>: One of the fundamental principles of the rights of the child, which is the foundation for the rest of the rights of the child, is the right of the child to development</w:t>
      </w:r>
      <w:r w:rsidRPr="00BC1614">
        <w:rPr>
          <w:rFonts w:ascii="Times New Roman" w:eastAsiaTheme="minorEastAsia" w:hAnsi="Times New Roman" w:cs="Times New Roman"/>
          <w:sz w:val="24"/>
          <w:szCs w:val="24"/>
          <w:vertAlign w:val="superscript"/>
        </w:rPr>
        <w:footnoteReference w:id="1"/>
      </w:r>
      <w:r w:rsidRPr="00BC1614">
        <w:rPr>
          <w:rFonts w:ascii="Times New Roman" w:hAnsi="Times New Roman" w:cs="Times New Roman"/>
          <w:sz w:val="24"/>
          <w:szCs w:val="24"/>
        </w:rPr>
        <w:t xml:space="preserve">. The right of the child to development is threatened both when the child suffers from violence and when the child behaves violently, and therefore the eradication of violence is an important issue in ensuring the rights of the child. In accordance with international and national legal framework, a child has the right to be protected from all forms of violence irrespective of where the child is: at school, at home, in a social care institution or elsewhere. In order to enforce these rights, a law enforcement mechanism has been developed in the country, where each </w:t>
      </w:r>
      <w:r w:rsidR="00735241">
        <w:rPr>
          <w:rFonts w:ascii="Times New Roman" w:hAnsi="Times New Roman" w:cs="Times New Roman"/>
          <w:sz w:val="24"/>
          <w:szCs w:val="24"/>
        </w:rPr>
        <w:t>stakeholder</w:t>
      </w:r>
      <w:r w:rsidR="00735241" w:rsidRPr="00BC1614">
        <w:rPr>
          <w:rFonts w:ascii="Times New Roman" w:hAnsi="Times New Roman" w:cs="Times New Roman"/>
          <w:sz w:val="24"/>
          <w:szCs w:val="24"/>
        </w:rPr>
        <w:t xml:space="preserve"> </w:t>
      </w:r>
      <w:r w:rsidRPr="00BC1614">
        <w:rPr>
          <w:rFonts w:ascii="Times New Roman" w:hAnsi="Times New Roman" w:cs="Times New Roman"/>
          <w:sz w:val="24"/>
          <w:szCs w:val="24"/>
        </w:rPr>
        <w:t xml:space="preserve">involved: the local government, the school, the parents and the child himself/herself has statutory duties and responsibility for failing to comply with them. </w:t>
      </w:r>
    </w:p>
    <w:p w14:paraId="4C907FE8" w14:textId="77777777" w:rsidR="00E44D1D" w:rsidRPr="00BC1614" w:rsidRDefault="00E44D1D" w:rsidP="00E44D1D">
      <w:pPr>
        <w:spacing w:after="0" w:line="360" w:lineRule="auto"/>
        <w:jc w:val="both"/>
        <w:textAlignment w:val="baseline"/>
        <w:rPr>
          <w:rFonts w:ascii="Times New Roman" w:eastAsia="Calibri" w:hAnsi="Times New Roman" w:cs="Times New Roman"/>
          <w:sz w:val="24"/>
          <w:szCs w:val="24"/>
        </w:rPr>
      </w:pPr>
      <w:r w:rsidRPr="00BC1614">
        <w:rPr>
          <w:rFonts w:ascii="Times New Roman" w:hAnsi="Times New Roman" w:cs="Times New Roman"/>
          <w:sz w:val="24"/>
          <w:szCs w:val="24"/>
        </w:rPr>
        <w:tab/>
        <w:t xml:space="preserve">Special regulation regarding safe environment in educational establishments is specified in the regulatory enactments regulating the field of education. Educational establishments have </w:t>
      </w:r>
      <w:r w:rsidRPr="00BC1614">
        <w:rPr>
          <w:rFonts w:ascii="Times New Roman" w:hAnsi="Times New Roman" w:cs="Times New Roman"/>
          <w:sz w:val="24"/>
          <w:szCs w:val="24"/>
        </w:rPr>
        <w:lastRenderedPageBreak/>
        <w:t xml:space="preserve">specific responsibilities in matters of safety of students and responsibility for their failure to fulfil them. Although the regulatory framework for preventing violence in school is </w:t>
      </w:r>
      <w:proofErr w:type="gramStart"/>
      <w:r w:rsidRPr="00BC1614">
        <w:rPr>
          <w:rFonts w:ascii="Times New Roman" w:hAnsi="Times New Roman" w:cs="Times New Roman"/>
          <w:sz w:val="24"/>
          <w:szCs w:val="24"/>
        </w:rPr>
        <w:t>sufficient</w:t>
      </w:r>
      <w:proofErr w:type="gramEnd"/>
      <w:r w:rsidRPr="00BC1614">
        <w:rPr>
          <w:rFonts w:ascii="Times New Roman" w:hAnsi="Times New Roman" w:cs="Times New Roman"/>
          <w:sz w:val="24"/>
          <w:szCs w:val="24"/>
        </w:rPr>
        <w:t>, it is not sufficiently used to prevent cases of violence in a timely manner.</w:t>
      </w:r>
    </w:p>
    <w:p w14:paraId="5E87B3DB" w14:textId="77777777" w:rsidR="00E44D1D" w:rsidRPr="00BC1614" w:rsidRDefault="00E44D1D" w:rsidP="00E44D1D">
      <w:pPr>
        <w:autoSpaceDE w:val="0"/>
        <w:autoSpaceDN w:val="0"/>
        <w:adjustRightInd w:val="0"/>
        <w:spacing w:after="0" w:line="360" w:lineRule="auto"/>
        <w:ind w:firstLine="720"/>
        <w:jc w:val="both"/>
        <w:rPr>
          <w:rFonts w:ascii="Times New Roman" w:eastAsia="Times New Roman" w:hAnsi="Times New Roman" w:cs="Times New Roman"/>
          <w:sz w:val="24"/>
          <w:szCs w:val="24"/>
        </w:rPr>
      </w:pPr>
      <w:r w:rsidRPr="00BC1614">
        <w:rPr>
          <w:rFonts w:ascii="Times New Roman" w:hAnsi="Times New Roman" w:cs="Times New Roman"/>
          <w:sz w:val="24"/>
          <w:szCs w:val="24"/>
        </w:rPr>
        <w:t xml:space="preserve">The Ombudsman has concluded that violence in schools is also largely linked to the attitudes of local governments towards the fulfilment of their function – prevention work with children. </w:t>
      </w:r>
      <w:r w:rsidRPr="00BC1614">
        <w:rPr>
          <w:rFonts w:ascii="Times New Roman" w:hAnsi="Times New Roman" w:cs="Times New Roman"/>
          <w:b/>
          <w:sz w:val="24"/>
          <w:szCs w:val="24"/>
        </w:rPr>
        <w:t xml:space="preserve">Practice shows that social behavioural correction programmes are not properly developed in all municipalities or are not developed at all. The lack of preventive work initiated in a timely manner leads to more serious cases of violence. Educational establishments also do not contact the local government in a timely manner to get assistance in case of child’s antisocial behaviour, where school resources have not proved </w:t>
      </w:r>
      <w:proofErr w:type="gramStart"/>
      <w:r w:rsidRPr="00BC1614">
        <w:rPr>
          <w:rFonts w:ascii="Times New Roman" w:hAnsi="Times New Roman" w:cs="Times New Roman"/>
          <w:b/>
          <w:sz w:val="24"/>
          <w:szCs w:val="24"/>
        </w:rPr>
        <w:t>sufficient</w:t>
      </w:r>
      <w:proofErr w:type="gramEnd"/>
      <w:r w:rsidRPr="00BC1614">
        <w:rPr>
          <w:rFonts w:ascii="Times New Roman" w:hAnsi="Times New Roman" w:cs="Times New Roman"/>
          <w:b/>
          <w:sz w:val="24"/>
          <w:szCs w:val="24"/>
        </w:rPr>
        <w:t xml:space="preserve"> and have proved fruitless.</w:t>
      </w:r>
    </w:p>
    <w:p w14:paraId="170BCAD4" w14:textId="77777777" w:rsidR="00E44D1D" w:rsidRPr="00BC1614" w:rsidRDefault="00E44D1D" w:rsidP="00E44D1D">
      <w:pPr>
        <w:autoSpaceDE w:val="0"/>
        <w:autoSpaceDN w:val="0"/>
        <w:adjustRightInd w:val="0"/>
        <w:spacing w:after="0" w:line="360" w:lineRule="auto"/>
        <w:ind w:firstLine="720"/>
        <w:jc w:val="both"/>
        <w:rPr>
          <w:rFonts w:ascii="Times New Roman" w:eastAsia="Calibri" w:hAnsi="Times New Roman" w:cs="Times New Roman"/>
          <w:sz w:val="24"/>
          <w:szCs w:val="24"/>
        </w:rPr>
      </w:pPr>
      <w:r w:rsidRPr="00BC1614">
        <w:rPr>
          <w:rFonts w:ascii="Times New Roman" w:hAnsi="Times New Roman" w:cs="Times New Roman"/>
          <w:sz w:val="24"/>
          <w:szCs w:val="24"/>
        </w:rPr>
        <w:t xml:space="preserve">The correction of behaviour of a child is a statutory duty of a local government (not an educational establishment) – the local government has a duty to include every child in the risk group on the preventive register of the local government and to develop a programme corresponding to his or her needs. The programme developed by the local government may, depending on the circumstances of the case, foresee or exclude the involvement of the police, since the development of the programme and therefore the selection of the cooperation partners falls within the competence of the local government. It is concluded from international recommendations that community-based preventive work should be </w:t>
      </w:r>
      <w:proofErr w:type="gramStart"/>
      <w:r w:rsidRPr="00BC1614">
        <w:rPr>
          <w:rFonts w:ascii="Times New Roman" w:hAnsi="Times New Roman" w:cs="Times New Roman"/>
          <w:sz w:val="24"/>
          <w:szCs w:val="24"/>
        </w:rPr>
        <w:t>used</w:t>
      </w:r>
      <w:proofErr w:type="gramEnd"/>
      <w:r w:rsidRPr="00BC1614">
        <w:rPr>
          <w:rFonts w:ascii="Times New Roman" w:hAnsi="Times New Roman" w:cs="Times New Roman"/>
          <w:sz w:val="24"/>
          <w:szCs w:val="24"/>
        </w:rPr>
        <w:t xml:space="preserve"> and that young people should be prevented from being exposed to the law enforcement system as much as possible.</w:t>
      </w:r>
    </w:p>
    <w:p w14:paraId="3A70DA91" w14:textId="77777777" w:rsidR="00E44D1D" w:rsidRPr="00BC1614" w:rsidRDefault="00E44D1D" w:rsidP="00E44D1D">
      <w:pPr>
        <w:spacing w:after="0" w:line="360" w:lineRule="auto"/>
        <w:jc w:val="both"/>
        <w:textAlignment w:val="baseline"/>
        <w:rPr>
          <w:rFonts w:ascii="Times New Roman" w:eastAsia="Calibri" w:hAnsi="Times New Roman" w:cs="Times New Roman"/>
          <w:sz w:val="24"/>
          <w:szCs w:val="24"/>
        </w:rPr>
      </w:pPr>
      <w:r w:rsidRPr="00BC1614">
        <w:rPr>
          <w:rFonts w:ascii="Times New Roman" w:hAnsi="Times New Roman" w:cs="Times New Roman"/>
          <w:sz w:val="24"/>
          <w:szCs w:val="24"/>
        </w:rPr>
        <w:tab/>
        <w:t>The child’s antisocial behaviour evidences of an earlier violation of his or her right to full development, and it is also considered in the context of responsibility of the adults responsible for raising the child (parents and teachers).</w:t>
      </w:r>
    </w:p>
    <w:p w14:paraId="167DC552" w14:textId="2C313A4F" w:rsidR="00E44D1D" w:rsidRPr="00BC1614" w:rsidRDefault="00E44D1D" w:rsidP="00E44D1D">
      <w:pPr>
        <w:spacing w:after="0" w:line="360" w:lineRule="auto"/>
        <w:jc w:val="both"/>
        <w:rPr>
          <w:rFonts w:ascii="Times New Roman" w:hAnsi="Times New Roman" w:cs="Times New Roman"/>
          <w:sz w:val="24"/>
          <w:szCs w:val="24"/>
        </w:rPr>
      </w:pPr>
      <w:r w:rsidRPr="00BC1614">
        <w:rPr>
          <w:rFonts w:ascii="Times New Roman" w:hAnsi="Times New Roman" w:cs="Times New Roman"/>
          <w:sz w:val="24"/>
          <w:szCs w:val="24"/>
        </w:rPr>
        <w:tab/>
        <w:t xml:space="preserve">In 2014, increased attention was devoted to informing children and persons involved in ensuring the rights of a child (social pedagogues, teachers, parents) about children’s rights to be safe in an educational establishment: seminars were organised and two “School without Violence” booklets were </w:t>
      </w:r>
      <w:r w:rsidR="00D30DBC">
        <w:rPr>
          <w:rFonts w:ascii="Times New Roman" w:hAnsi="Times New Roman" w:cs="Times New Roman"/>
          <w:sz w:val="24"/>
          <w:szCs w:val="24"/>
        </w:rPr>
        <w:t>published</w:t>
      </w:r>
      <w:r w:rsidR="00D30DBC" w:rsidRPr="00BC1614">
        <w:rPr>
          <w:rFonts w:ascii="Times New Roman" w:hAnsi="Times New Roman" w:cs="Times New Roman"/>
          <w:sz w:val="24"/>
          <w:szCs w:val="24"/>
        </w:rPr>
        <w:t xml:space="preserve"> </w:t>
      </w:r>
      <w:r w:rsidRPr="00BC1614">
        <w:rPr>
          <w:rFonts w:ascii="Times New Roman" w:hAnsi="Times New Roman" w:cs="Times New Roman"/>
          <w:sz w:val="24"/>
          <w:szCs w:val="24"/>
        </w:rPr>
        <w:t>in cooperation with the Estonian Chancellor of Justice – recommendations for pupils and parents and recommendations for teachers. They contain information on how to recognise mobbing, recommendations on how to deal with violence when a child has been hurt, witnessed violence or hurt someone himself/herself, and information on the legal framework. The electronic version of the booklet is available on the website of the Ombudsman’s Office.</w:t>
      </w:r>
      <w:r w:rsidRPr="00BC1614">
        <w:rPr>
          <w:rFonts w:ascii="Times New Roman" w:eastAsia="Calibri" w:hAnsi="Times New Roman" w:cs="Times New Roman"/>
          <w:sz w:val="24"/>
          <w:szCs w:val="24"/>
          <w:vertAlign w:val="superscript"/>
        </w:rPr>
        <w:footnoteReference w:id="2"/>
      </w:r>
    </w:p>
    <w:p w14:paraId="720789B1" w14:textId="78CD4D02" w:rsidR="00E44D1D" w:rsidRPr="00BC1614" w:rsidRDefault="00E44D1D" w:rsidP="00E44D1D">
      <w:pPr>
        <w:spacing w:after="0" w:line="360" w:lineRule="auto"/>
        <w:jc w:val="both"/>
        <w:rPr>
          <w:rFonts w:ascii="Times New Roman" w:hAnsi="Times New Roman" w:cs="Times New Roman"/>
          <w:sz w:val="24"/>
          <w:szCs w:val="24"/>
        </w:rPr>
      </w:pPr>
    </w:p>
    <w:p w14:paraId="771039A3" w14:textId="77777777" w:rsidR="00BC1614" w:rsidRPr="00BC1614" w:rsidRDefault="00BC1614" w:rsidP="00E44D1D">
      <w:pPr>
        <w:spacing w:after="0" w:line="360" w:lineRule="auto"/>
        <w:jc w:val="both"/>
        <w:rPr>
          <w:rFonts w:ascii="Times New Roman" w:hAnsi="Times New Roman" w:cs="Times New Roman"/>
          <w:sz w:val="24"/>
          <w:szCs w:val="24"/>
        </w:rPr>
      </w:pPr>
    </w:p>
    <w:p w14:paraId="263A4044"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Trafficking in human beings – reply to question 9 of the Committee</w:t>
      </w:r>
    </w:p>
    <w:p w14:paraId="23C03903" w14:textId="77777777" w:rsidR="00E44D1D" w:rsidRPr="00BC1614" w:rsidRDefault="00E44D1D" w:rsidP="00E44D1D">
      <w:pPr>
        <w:spacing w:after="0" w:line="360" w:lineRule="auto"/>
        <w:jc w:val="both"/>
        <w:rPr>
          <w:rFonts w:ascii="Times New Roman" w:hAnsi="Times New Roman" w:cs="Times New Roman"/>
          <w:sz w:val="24"/>
          <w:szCs w:val="24"/>
        </w:rPr>
      </w:pPr>
    </w:p>
    <w:p w14:paraId="2057E66F" w14:textId="77777777" w:rsidR="00E44D1D" w:rsidRPr="00BC1614" w:rsidRDefault="00E44D1D" w:rsidP="00E44D1D">
      <w:pPr>
        <w:spacing w:after="0" w:line="360" w:lineRule="auto"/>
        <w:ind w:firstLine="720"/>
        <w:jc w:val="both"/>
        <w:rPr>
          <w:rFonts w:ascii="Times New Roman" w:hAnsi="Times New Roman" w:cs="Times New Roman"/>
          <w:b/>
          <w:bCs/>
          <w:sz w:val="24"/>
          <w:szCs w:val="24"/>
        </w:rPr>
      </w:pPr>
      <w:r w:rsidRPr="00BC1614">
        <w:rPr>
          <w:rFonts w:ascii="Times New Roman" w:hAnsi="Times New Roman" w:cs="Times New Roman"/>
          <w:bCs/>
          <w:sz w:val="24"/>
          <w:szCs w:val="24"/>
        </w:rPr>
        <w:t>[6]</w:t>
      </w:r>
      <w:r w:rsidRPr="00BC1614">
        <w:rPr>
          <w:rFonts w:ascii="Times New Roman" w:hAnsi="Times New Roman" w:cs="Times New Roman"/>
          <w:b/>
          <w:bCs/>
          <w:sz w:val="24"/>
          <w:szCs w:val="24"/>
        </w:rPr>
        <w:t> Paragraph 105 of the sixth period report of the Republic of Latvia: The models of interinstitutional cooperation within the local government need to be improved.</w:t>
      </w:r>
    </w:p>
    <w:p w14:paraId="672FE898" w14:textId="0EE074FB"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The data of the study “</w:t>
      </w:r>
      <w:r w:rsidR="00AC40EF" w:rsidRPr="00BC1614">
        <w:rPr>
          <w:rFonts w:ascii="Times New Roman" w:hAnsi="Times New Roman" w:cs="Times New Roman"/>
          <w:sz w:val="24"/>
          <w:szCs w:val="24"/>
        </w:rPr>
        <w:t>The Role of Local Governments’ Social Services, Orphan’s and Custody Courts and Branch Offices of the State Employment Agency of Latvia in the Process of Identification of Victims of Trafficking in Human Beings</w:t>
      </w:r>
      <w:r w:rsidRPr="00BC1614">
        <w:rPr>
          <w:rFonts w:ascii="Times New Roman" w:hAnsi="Times New Roman" w:cs="Times New Roman"/>
          <w:sz w:val="24"/>
          <w:szCs w:val="24"/>
        </w:rPr>
        <w:t>” that was conducted by the Ombudsman, certify that:</w:t>
      </w:r>
    </w:p>
    <w:p w14:paraId="33FAF8DE" w14:textId="798480ED" w:rsidR="00E44D1D" w:rsidRPr="00BC1614" w:rsidRDefault="00E44D1D" w:rsidP="00E44D1D">
      <w:pPr>
        <w:numPr>
          <w:ilvl w:val="0"/>
          <w:numId w:val="4"/>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 xml:space="preserve">Not all institutions are equally successful in recognising the institutions included in the system supporting the victims of trafficking in human beings, and the low awareness of non-governmental organisations among staff of local government services is alarming. When summarising the answers to the survey, it can be concluded that </w:t>
      </w:r>
      <w:proofErr w:type="gramStart"/>
      <w:r w:rsidRPr="00BC1614">
        <w:rPr>
          <w:rFonts w:ascii="Times New Roman" w:hAnsi="Times New Roman" w:cs="Times New Roman"/>
          <w:bCs/>
          <w:sz w:val="24"/>
          <w:szCs w:val="24"/>
        </w:rPr>
        <w:t>a large number of</w:t>
      </w:r>
      <w:proofErr w:type="gramEnd"/>
      <w:r w:rsidRPr="00BC1614">
        <w:rPr>
          <w:rFonts w:ascii="Times New Roman" w:hAnsi="Times New Roman" w:cs="Times New Roman"/>
          <w:bCs/>
          <w:sz w:val="24"/>
          <w:szCs w:val="24"/>
        </w:rPr>
        <w:t xml:space="preserve"> institutions see their role only as a transferor of information to the police for investigating a criminal offence. When they perceive their role in this way, the aspect of social assistance is forgotten, which, according to the competence of the interviewed institutions, would have the most pressing role. This circumstance, together with the information provided on the institutional behaviour models, confirms that not all institutions understand the system of allocation of the social rehabilitation service to victims of trafficking in human beings in Latvia.</w:t>
      </w:r>
    </w:p>
    <w:p w14:paraId="6B52EAD2" w14:textId="0023375A" w:rsidR="003836D8" w:rsidRPr="00BC1614" w:rsidRDefault="003836D8" w:rsidP="00E44D1D">
      <w:pPr>
        <w:numPr>
          <w:ilvl w:val="0"/>
          <w:numId w:val="4"/>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 xml:space="preserve">The training of institutions </w:t>
      </w:r>
      <w:proofErr w:type="gramStart"/>
      <w:r w:rsidRPr="00BC1614">
        <w:rPr>
          <w:rFonts w:ascii="Times New Roman" w:hAnsi="Times New Roman" w:cs="Times New Roman"/>
          <w:bCs/>
          <w:sz w:val="24"/>
          <w:szCs w:val="24"/>
        </w:rPr>
        <w:t>is considered to be</w:t>
      </w:r>
      <w:proofErr w:type="gramEnd"/>
      <w:r w:rsidRPr="00BC1614">
        <w:rPr>
          <w:rFonts w:ascii="Times New Roman" w:hAnsi="Times New Roman" w:cs="Times New Roman"/>
          <w:bCs/>
          <w:sz w:val="24"/>
          <w:szCs w:val="24"/>
        </w:rPr>
        <w:t xml:space="preserve"> fragmented and is provided only within individual projects and initiatives. On the other hand, attendance of existing trainings depends on their geographic availability, the financial capacity of the institution, the availability of information on the training and the awareness of heads of the institutions of the pressing nature of subject. </w:t>
      </w:r>
      <w:r w:rsidRPr="00BC1614">
        <w:rPr>
          <w:rFonts w:ascii="Times New Roman" w:hAnsi="Times New Roman" w:cs="Times New Roman"/>
          <w:sz w:val="24"/>
          <w:szCs w:val="24"/>
        </w:rPr>
        <w:t xml:space="preserve">Besides, </w:t>
      </w:r>
      <w:proofErr w:type="gramStart"/>
      <w:r w:rsidRPr="00BC1614">
        <w:rPr>
          <w:rFonts w:ascii="Times New Roman" w:hAnsi="Times New Roman" w:cs="Times New Roman"/>
          <w:sz w:val="24"/>
          <w:szCs w:val="24"/>
        </w:rPr>
        <w:t>the majority of</w:t>
      </w:r>
      <w:proofErr w:type="gramEnd"/>
      <w:r w:rsidRPr="00BC1614">
        <w:rPr>
          <w:rFonts w:ascii="Times New Roman" w:hAnsi="Times New Roman" w:cs="Times New Roman"/>
          <w:sz w:val="24"/>
          <w:szCs w:val="24"/>
        </w:rPr>
        <w:t xml:space="preserve"> training courses are attended only by one employee of the authority, often - the head of the institution.</w:t>
      </w:r>
      <w:r w:rsidRPr="00BC1614">
        <w:rPr>
          <w:rFonts w:ascii="Times New Roman" w:hAnsi="Times New Roman" w:cs="Times New Roman"/>
          <w:bCs/>
          <w:sz w:val="24"/>
          <w:szCs w:val="24"/>
        </w:rPr>
        <w:t xml:space="preserve"> Therefore, there are doubts as to what impact such trainings available to individual employees have on the general level of knowledge of the employees of the institution</w:t>
      </w:r>
      <w:proofErr w:type="gramStart"/>
      <w:r w:rsidRPr="00BC1614">
        <w:rPr>
          <w:rFonts w:ascii="Times New Roman" w:hAnsi="Times New Roman" w:cs="Times New Roman"/>
          <w:bCs/>
          <w:sz w:val="24"/>
          <w:szCs w:val="24"/>
        </w:rPr>
        <w:t xml:space="preserve">, </w:t>
      </w:r>
      <w:r w:rsidRPr="00BC1614">
        <w:rPr>
          <w:rFonts w:ascii="Times New Roman" w:hAnsi="Times New Roman" w:cs="Times New Roman"/>
          <w:sz w:val="24"/>
          <w:szCs w:val="24"/>
        </w:rPr>
        <w:t>in particular, considering</w:t>
      </w:r>
      <w:proofErr w:type="gramEnd"/>
      <w:r w:rsidRPr="00BC1614">
        <w:rPr>
          <w:rFonts w:ascii="Times New Roman" w:hAnsi="Times New Roman" w:cs="Times New Roman"/>
          <w:sz w:val="24"/>
          <w:szCs w:val="24"/>
        </w:rPr>
        <w:t xml:space="preserve"> that only rarely such trainings put an emphasis on further distribution of information within the local government</w:t>
      </w:r>
      <w:r w:rsidRPr="00BC1614">
        <w:rPr>
          <w:rFonts w:ascii="Times New Roman" w:hAnsi="Times New Roman" w:cs="Times New Roman"/>
          <w:bCs/>
          <w:sz w:val="24"/>
          <w:szCs w:val="24"/>
        </w:rPr>
        <w:t>.</w:t>
      </w:r>
    </w:p>
    <w:p w14:paraId="6574C5CC" w14:textId="627E597E" w:rsidR="00AC40EF" w:rsidRDefault="00AC40EF" w:rsidP="00E44D1D">
      <w:pPr>
        <w:spacing w:after="0" w:line="360" w:lineRule="auto"/>
        <w:jc w:val="both"/>
        <w:rPr>
          <w:rFonts w:ascii="Times New Roman" w:hAnsi="Times New Roman" w:cs="Times New Roman"/>
          <w:b/>
          <w:bCs/>
          <w:sz w:val="24"/>
          <w:szCs w:val="24"/>
        </w:rPr>
      </w:pPr>
    </w:p>
    <w:p w14:paraId="243C26A5" w14:textId="32A342B0" w:rsidR="00BC1614" w:rsidRDefault="00BC1614" w:rsidP="00E44D1D">
      <w:pPr>
        <w:spacing w:after="0" w:line="360" w:lineRule="auto"/>
        <w:jc w:val="both"/>
        <w:rPr>
          <w:rFonts w:ascii="Times New Roman" w:hAnsi="Times New Roman" w:cs="Times New Roman"/>
          <w:b/>
          <w:bCs/>
          <w:sz w:val="24"/>
          <w:szCs w:val="24"/>
        </w:rPr>
      </w:pPr>
    </w:p>
    <w:p w14:paraId="3C421D00" w14:textId="4F5F5247" w:rsidR="00BC1614" w:rsidRDefault="00BC1614" w:rsidP="00E44D1D">
      <w:pPr>
        <w:spacing w:after="0" w:line="360" w:lineRule="auto"/>
        <w:jc w:val="both"/>
        <w:rPr>
          <w:rFonts w:ascii="Times New Roman" w:hAnsi="Times New Roman" w:cs="Times New Roman"/>
          <w:b/>
          <w:bCs/>
          <w:sz w:val="24"/>
          <w:szCs w:val="24"/>
        </w:rPr>
      </w:pPr>
    </w:p>
    <w:p w14:paraId="16E4605C" w14:textId="77777777" w:rsidR="00BC1614" w:rsidRPr="00BC1614" w:rsidRDefault="00BC1614" w:rsidP="00E44D1D">
      <w:pPr>
        <w:spacing w:after="0" w:line="360" w:lineRule="auto"/>
        <w:jc w:val="both"/>
        <w:rPr>
          <w:rFonts w:ascii="Times New Roman" w:hAnsi="Times New Roman" w:cs="Times New Roman"/>
          <w:b/>
          <w:bCs/>
          <w:sz w:val="24"/>
          <w:szCs w:val="24"/>
        </w:rPr>
      </w:pPr>
    </w:p>
    <w:p w14:paraId="636A9BAD" w14:textId="620F3848"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Non-citizen</w:t>
      </w:r>
      <w:r w:rsidR="00AC40EF" w:rsidRPr="00BC1614">
        <w:rPr>
          <w:rFonts w:ascii="Times New Roman" w:hAnsi="Times New Roman" w:cs="Times New Roman"/>
          <w:b/>
          <w:bCs/>
          <w:sz w:val="24"/>
          <w:szCs w:val="24"/>
        </w:rPr>
        <w:t>s</w:t>
      </w:r>
      <w:r w:rsidRPr="00BC1614">
        <w:rPr>
          <w:rFonts w:ascii="Times New Roman" w:hAnsi="Times New Roman" w:cs="Times New Roman"/>
          <w:b/>
          <w:bCs/>
          <w:sz w:val="24"/>
          <w:szCs w:val="24"/>
        </w:rPr>
        <w:t xml:space="preserve"> – reply to question 10 of the Committee</w:t>
      </w:r>
    </w:p>
    <w:p w14:paraId="0BE31FE1" w14:textId="77777777" w:rsidR="00E44D1D" w:rsidRPr="00BC1614" w:rsidRDefault="00E44D1D" w:rsidP="00E44D1D">
      <w:pPr>
        <w:spacing w:after="0" w:line="360" w:lineRule="auto"/>
        <w:jc w:val="both"/>
        <w:rPr>
          <w:rFonts w:ascii="Times New Roman" w:hAnsi="Times New Roman" w:cs="Times New Roman"/>
          <w:sz w:val="24"/>
          <w:szCs w:val="24"/>
        </w:rPr>
      </w:pPr>
    </w:p>
    <w:p w14:paraId="234AC106" w14:textId="77777777" w:rsidR="00E44D1D" w:rsidRPr="00BC1614" w:rsidRDefault="00E44D1D" w:rsidP="00E44D1D">
      <w:pPr>
        <w:spacing w:after="0" w:line="360" w:lineRule="auto"/>
        <w:ind w:firstLine="720"/>
        <w:jc w:val="both"/>
        <w:rPr>
          <w:rFonts w:ascii="Times New Roman" w:hAnsi="Times New Roman" w:cs="Times New Roman"/>
          <w:b/>
          <w:bCs/>
          <w:sz w:val="24"/>
          <w:szCs w:val="24"/>
        </w:rPr>
      </w:pPr>
      <w:r w:rsidRPr="00BC1614">
        <w:rPr>
          <w:rFonts w:ascii="Times New Roman" w:hAnsi="Times New Roman" w:cs="Times New Roman"/>
          <w:bCs/>
          <w:sz w:val="24"/>
          <w:szCs w:val="24"/>
        </w:rPr>
        <w:t>[7]</w:t>
      </w:r>
      <w:r w:rsidRPr="00BC1614">
        <w:rPr>
          <w:rFonts w:ascii="Times New Roman" w:hAnsi="Times New Roman" w:cs="Times New Roman"/>
          <w:b/>
          <w:bCs/>
          <w:sz w:val="24"/>
          <w:szCs w:val="24"/>
        </w:rPr>
        <w:t> Paragraph 107 of the sixth period report of the Republic of Latvia: The legal framework needs to be improved in order to automatically grant Latvian citizenship to every child born (unless the child’s parents refuse it).</w:t>
      </w:r>
    </w:p>
    <w:p w14:paraId="05DBC532" w14:textId="7A935FAB" w:rsidR="00E44D1D" w:rsidRPr="00BC1614" w:rsidRDefault="00E44D1D" w:rsidP="00E44D1D">
      <w:pPr>
        <w:spacing w:after="0" w:line="360" w:lineRule="auto"/>
        <w:ind w:firstLine="720"/>
        <w:jc w:val="both"/>
        <w:rPr>
          <w:rFonts w:ascii="Times New Roman" w:hAnsi="Times New Roman" w:cs="Times New Roman"/>
          <w:sz w:val="24"/>
          <w:szCs w:val="24"/>
        </w:rPr>
      </w:pPr>
      <w:proofErr w:type="gramStart"/>
      <w:r w:rsidRPr="00BC1614">
        <w:rPr>
          <w:rFonts w:ascii="Times New Roman" w:hAnsi="Times New Roman" w:cs="Times New Roman"/>
          <w:sz w:val="24"/>
          <w:szCs w:val="24"/>
        </w:rPr>
        <w:t>At the moment</w:t>
      </w:r>
      <w:proofErr w:type="gramEnd"/>
      <w:r w:rsidRPr="00BC1614">
        <w:rPr>
          <w:rFonts w:ascii="Times New Roman" w:hAnsi="Times New Roman" w:cs="Times New Roman"/>
          <w:sz w:val="24"/>
          <w:szCs w:val="24"/>
        </w:rPr>
        <w:t>, the granting of citizenship to children of non-citizen</w:t>
      </w:r>
      <w:r w:rsidR="00AC40EF" w:rsidRPr="00BC1614">
        <w:rPr>
          <w:rFonts w:ascii="Times New Roman" w:hAnsi="Times New Roman" w:cs="Times New Roman"/>
          <w:sz w:val="24"/>
          <w:szCs w:val="24"/>
        </w:rPr>
        <w:t>s</w:t>
      </w:r>
      <w:r w:rsidRPr="00BC1614">
        <w:rPr>
          <w:rFonts w:ascii="Times New Roman" w:hAnsi="Times New Roman" w:cs="Times New Roman"/>
          <w:sz w:val="24"/>
          <w:szCs w:val="24"/>
        </w:rPr>
        <w:t xml:space="preserve"> in Latvia cannot be considered automatic, because the will of one parent has to be taken into account. Therefore, the Ombudsman supports the improvement of the legal framework in order to automatically grant Latvian citizenship to every child born (unless the child’s parents refuse it). The Ombudsman has already made such a suggestion when commenting on the recommendations made in the UN Universal Periodic Review to Latvia (within the second cycle of the UN Universal Periodic Review).</w:t>
      </w:r>
    </w:p>
    <w:p w14:paraId="5B28C39D" w14:textId="38B50892"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At the end of 2017, the Ombudsman sent a letter to the Chairman of the </w:t>
      </w:r>
      <w:proofErr w:type="spellStart"/>
      <w:r w:rsidRPr="00BC1614">
        <w:rPr>
          <w:rFonts w:ascii="Times New Roman" w:hAnsi="Times New Roman" w:cs="Times New Roman"/>
          <w:sz w:val="24"/>
          <w:szCs w:val="24"/>
        </w:rPr>
        <w:t>Saeima</w:t>
      </w:r>
      <w:proofErr w:type="spellEnd"/>
      <w:r w:rsidRPr="00BC1614">
        <w:rPr>
          <w:rFonts w:ascii="Times New Roman" w:hAnsi="Times New Roman" w:cs="Times New Roman"/>
          <w:sz w:val="24"/>
          <w:szCs w:val="24"/>
        </w:rPr>
        <w:t xml:space="preserve"> and the Prime Minister, pointing out to the topic of naturalisation. In his letter, the Ombudsman expressed his support for the State President’s initiative on automatic granting of Latvian citizenship to children of non-citizens. The Ombudsman pointed out that naturalisation needed to be continued, and this should be done at a much faster pace. Work with young people – people born after </w:t>
      </w:r>
      <w:r w:rsidR="00C0706F">
        <w:rPr>
          <w:rFonts w:ascii="Times New Roman" w:hAnsi="Times New Roman" w:cs="Times New Roman"/>
          <w:sz w:val="24"/>
          <w:szCs w:val="24"/>
        </w:rPr>
        <w:t xml:space="preserve">restoration of the </w:t>
      </w:r>
      <w:r w:rsidRPr="00BC1614">
        <w:rPr>
          <w:rFonts w:ascii="Times New Roman" w:hAnsi="Times New Roman" w:cs="Times New Roman"/>
          <w:sz w:val="24"/>
          <w:szCs w:val="24"/>
        </w:rPr>
        <w:t>independence is necessary motivating them to get Latvian citizenship. This would be a job for schools to talk to the young people and their parents. Schools, teachers and society in general play a huge role in promoting the patriotic feelings of young people. The country should make the most of its efforts by motivating young people to get Latvian citizenship.</w:t>
      </w:r>
    </w:p>
    <w:p w14:paraId="45E53D92" w14:textId="77777777" w:rsidR="00E44D1D" w:rsidRPr="00BC1614" w:rsidRDefault="00E44D1D" w:rsidP="00E44D1D">
      <w:pPr>
        <w:spacing w:after="0" w:line="360" w:lineRule="auto"/>
        <w:jc w:val="both"/>
        <w:rPr>
          <w:rFonts w:ascii="Times New Roman" w:hAnsi="Times New Roman" w:cs="Times New Roman"/>
          <w:sz w:val="24"/>
          <w:szCs w:val="24"/>
        </w:rPr>
      </w:pPr>
    </w:p>
    <w:p w14:paraId="0677D439"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VII. ARTICLES 11 – 13 OF THE CONVENTION</w:t>
      </w:r>
    </w:p>
    <w:p w14:paraId="3E153B71"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Conditions of detention – reply to question 14 of the Committee</w:t>
      </w:r>
    </w:p>
    <w:p w14:paraId="4F962262" w14:textId="77777777" w:rsidR="00E44D1D" w:rsidRPr="00BC1614" w:rsidRDefault="00E44D1D" w:rsidP="00E44D1D">
      <w:pPr>
        <w:spacing w:after="0" w:line="360" w:lineRule="auto"/>
        <w:jc w:val="both"/>
        <w:rPr>
          <w:rFonts w:ascii="Times New Roman" w:hAnsi="Times New Roman" w:cs="Times New Roman"/>
          <w:sz w:val="24"/>
          <w:szCs w:val="24"/>
        </w:rPr>
      </w:pPr>
    </w:p>
    <w:p w14:paraId="4DB1FC9E"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[8]</w:t>
      </w:r>
      <w:r w:rsidRPr="00BC1614">
        <w:rPr>
          <w:rFonts w:ascii="Times New Roman" w:hAnsi="Times New Roman" w:cs="Times New Roman"/>
          <w:b/>
          <w:sz w:val="24"/>
          <w:szCs w:val="24"/>
        </w:rPr>
        <w:t xml:space="preserve"> Paragraph 136 of the sixth period report of the Republic of Latvia: The Latvian prison infrastructure is outdated, and the introduction of human rights standards there is impossible </w:t>
      </w:r>
      <w:proofErr w:type="gramStart"/>
      <w:r w:rsidRPr="00BC1614">
        <w:rPr>
          <w:rFonts w:ascii="Times New Roman" w:hAnsi="Times New Roman" w:cs="Times New Roman"/>
          <w:b/>
          <w:sz w:val="24"/>
          <w:szCs w:val="24"/>
        </w:rPr>
        <w:t>in essence and/or</w:t>
      </w:r>
      <w:proofErr w:type="gramEnd"/>
      <w:r w:rsidRPr="00BC1614">
        <w:rPr>
          <w:rFonts w:ascii="Times New Roman" w:hAnsi="Times New Roman" w:cs="Times New Roman"/>
          <w:b/>
          <w:sz w:val="24"/>
          <w:szCs w:val="24"/>
        </w:rPr>
        <w:t xml:space="preserve"> would require investment of disproportionately large financial resources.</w:t>
      </w:r>
      <w:r w:rsidRPr="00BC1614">
        <w:rPr>
          <w:rFonts w:ascii="Times New Roman" w:hAnsi="Times New Roman" w:cs="Times New Roman"/>
          <w:sz w:val="24"/>
          <w:szCs w:val="24"/>
        </w:rPr>
        <w:t xml:space="preserve"> For example, it is almost impossible to eradicate the hierarchy of prisoners in prisons (which also results in violence between prisoners) in the old prison infrastructure (for example, because of high capacity cell rooms).</w:t>
      </w:r>
    </w:p>
    <w:p w14:paraId="40350C45"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In new prison infrastructure it would not only be much easier to reduce prison violence in detention facilities, to improve working conditions for prison staff (as well as to improve the prestige of prison staff), but also the Prison Administration could effectively improve its work </w:t>
      </w:r>
      <w:r w:rsidRPr="00BC1614">
        <w:rPr>
          <w:rFonts w:ascii="Times New Roman" w:hAnsi="Times New Roman" w:cs="Times New Roman"/>
          <w:sz w:val="24"/>
          <w:szCs w:val="24"/>
        </w:rPr>
        <w:lastRenderedPageBreak/>
        <w:t>with prisoners in order to reduce the risk of repeated offences after discharge in the interests of public safety.</w:t>
      </w:r>
    </w:p>
    <w:p w14:paraId="4E2488DC"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But unfortunately, the construction of a new prison has been postponed for several years, and now, in 2019, the issue is still postponed.</w:t>
      </w:r>
    </w:p>
    <w:p w14:paraId="6AA338EF" w14:textId="77777777" w:rsidR="00E44D1D" w:rsidRPr="00BC1614" w:rsidRDefault="00E44D1D" w:rsidP="00E44D1D">
      <w:pPr>
        <w:rPr>
          <w:rFonts w:ascii="Times New Roman" w:hAnsi="Times New Roman" w:cs="Times New Roman"/>
          <w:sz w:val="24"/>
          <w:szCs w:val="24"/>
        </w:rPr>
      </w:pPr>
    </w:p>
    <w:p w14:paraId="12CC20F0" w14:textId="26376F41"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bCs/>
          <w:sz w:val="24"/>
          <w:szCs w:val="24"/>
        </w:rPr>
        <w:t>[9]</w:t>
      </w:r>
      <w:r w:rsidRPr="00BC1614">
        <w:rPr>
          <w:rFonts w:ascii="Times New Roman" w:hAnsi="Times New Roman" w:cs="Times New Roman"/>
          <w:b/>
          <w:bCs/>
          <w:sz w:val="24"/>
          <w:szCs w:val="24"/>
        </w:rPr>
        <w:t> Paragraph 141 of the sixth period report of the Republic of Latvia:</w:t>
      </w:r>
      <w:r w:rsidRPr="00BC1614">
        <w:rPr>
          <w:rFonts w:ascii="Times New Roman" w:hAnsi="Times New Roman" w:cs="Times New Roman"/>
          <w:sz w:val="24"/>
          <w:szCs w:val="24"/>
        </w:rPr>
        <w:t xml:space="preserve"> </w:t>
      </w:r>
      <w:r w:rsidRPr="00BC1614">
        <w:rPr>
          <w:rFonts w:ascii="Times New Roman" w:hAnsi="Times New Roman" w:cs="Times New Roman"/>
          <w:b/>
          <w:bCs/>
          <w:sz w:val="24"/>
          <w:szCs w:val="24"/>
        </w:rPr>
        <w:t xml:space="preserve">Multiple visits to prisons have shown that prisoners with </w:t>
      </w:r>
      <w:r w:rsidR="00DD196F">
        <w:rPr>
          <w:rFonts w:ascii="Times New Roman" w:hAnsi="Times New Roman" w:cs="Times New Roman"/>
          <w:b/>
          <w:bCs/>
          <w:sz w:val="24"/>
          <w:szCs w:val="24"/>
        </w:rPr>
        <w:t>reduced mobility</w:t>
      </w:r>
      <w:r w:rsidRPr="00BC1614">
        <w:rPr>
          <w:rFonts w:ascii="Times New Roman" w:hAnsi="Times New Roman" w:cs="Times New Roman"/>
          <w:b/>
          <w:bCs/>
          <w:sz w:val="24"/>
          <w:szCs w:val="24"/>
        </w:rPr>
        <w:t xml:space="preserve"> do not have adequate detention conditions.</w:t>
      </w:r>
      <w:r w:rsidRPr="00BC1614">
        <w:rPr>
          <w:rFonts w:ascii="Times New Roman" w:hAnsi="Times New Roman" w:cs="Times New Roman"/>
          <w:sz w:val="24"/>
          <w:szCs w:val="24"/>
        </w:rPr>
        <w:t xml:space="preserve"> Namely, everyday responsibility for the person with </w:t>
      </w:r>
      <w:r w:rsidR="00DD196F">
        <w:rPr>
          <w:rFonts w:ascii="Times New Roman" w:hAnsi="Times New Roman" w:cs="Times New Roman"/>
          <w:sz w:val="24"/>
          <w:szCs w:val="24"/>
        </w:rPr>
        <w:t>reduced mobility</w:t>
      </w:r>
      <w:r w:rsidRPr="00BC1614">
        <w:rPr>
          <w:rFonts w:ascii="Times New Roman" w:hAnsi="Times New Roman" w:cs="Times New Roman"/>
          <w:sz w:val="24"/>
          <w:szCs w:val="24"/>
        </w:rPr>
        <w:t xml:space="preserve"> has been laid upon other prisoners, also those who are ill themselves. It was also found that prison rooms mostly have not reasonable accommodations. Rooms are not technically adapted, and their architectonic obstacles make it hard for the persons in wheelchairs to move. Thus, due to placement of exercise yards and cells, the persons in wheelchairs are not able to go out for a walk on their own, they </w:t>
      </w:r>
      <w:proofErr w:type="gramStart"/>
      <w:r w:rsidRPr="00BC1614">
        <w:rPr>
          <w:rFonts w:ascii="Times New Roman" w:hAnsi="Times New Roman" w:cs="Times New Roman"/>
          <w:sz w:val="24"/>
          <w:szCs w:val="24"/>
        </w:rPr>
        <w:t>have to</w:t>
      </w:r>
      <w:proofErr w:type="gramEnd"/>
      <w:r w:rsidRPr="00BC1614">
        <w:rPr>
          <w:rFonts w:ascii="Times New Roman" w:hAnsi="Times New Roman" w:cs="Times New Roman"/>
          <w:sz w:val="24"/>
          <w:szCs w:val="24"/>
        </w:rPr>
        <w:t xml:space="preserve"> rely on help of other inmates. </w:t>
      </w:r>
      <w:r w:rsidRPr="00BC1614">
        <w:rPr>
          <w:rFonts w:ascii="Times New Roman" w:hAnsi="Times New Roman" w:cs="Times New Roman"/>
          <w:bCs/>
          <w:sz w:val="24"/>
          <w:szCs w:val="24"/>
        </w:rPr>
        <w:t xml:space="preserve">In all cases with regard to the conditions provided to a person with </w:t>
      </w:r>
      <w:r w:rsidR="00DD196F">
        <w:rPr>
          <w:rFonts w:ascii="Times New Roman" w:hAnsi="Times New Roman" w:cs="Times New Roman"/>
          <w:bCs/>
          <w:sz w:val="24"/>
          <w:szCs w:val="24"/>
        </w:rPr>
        <w:t>reduced mobility</w:t>
      </w:r>
      <w:r w:rsidRPr="00BC1614">
        <w:rPr>
          <w:rFonts w:ascii="Times New Roman" w:hAnsi="Times New Roman" w:cs="Times New Roman"/>
          <w:bCs/>
          <w:sz w:val="24"/>
          <w:szCs w:val="24"/>
        </w:rPr>
        <w:t xml:space="preserve">, the Ombudsman found that the person faced such difficulties, possibly suffering, which is not inherent in the detention environment and which can be prevented without imposing a disproportionate burden on the institution. </w:t>
      </w:r>
      <w:r w:rsidRPr="00BC1614">
        <w:rPr>
          <w:rFonts w:ascii="Times New Roman" w:hAnsi="Times New Roman" w:cs="Times New Roman"/>
          <w:sz w:val="24"/>
          <w:szCs w:val="24"/>
        </w:rPr>
        <w:t>In each individual case, the Ombudsman informed the Prison Administration, the management of the specific prison of the problems identified. Moreover, in 2015, the Ombudsman urged the Minister of Justice to see to adapting the environment of Latvian detention facilities to persons with disabilities.</w:t>
      </w:r>
    </w:p>
    <w:p w14:paraId="3C18512F" w14:textId="412A8D5B"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Paragraph 141 of the Report provides that the Riga Central Prison has cells built specifically for persons with functional impairment. In 2019, representatives of the Ombudsman’</w:t>
      </w:r>
      <w:r w:rsidR="0016264D" w:rsidRPr="00BC1614">
        <w:rPr>
          <w:rFonts w:ascii="Times New Roman" w:hAnsi="Times New Roman" w:cs="Times New Roman"/>
          <w:sz w:val="24"/>
          <w:szCs w:val="24"/>
        </w:rPr>
        <w:t>s</w:t>
      </w:r>
      <w:r w:rsidRPr="00BC1614">
        <w:rPr>
          <w:rFonts w:ascii="Times New Roman" w:hAnsi="Times New Roman" w:cs="Times New Roman"/>
          <w:sz w:val="24"/>
          <w:szCs w:val="24"/>
        </w:rPr>
        <w:t xml:space="preserve"> Office visited one of the cells in the Riga Central Prison and found that it was not fully equipped to meet the actual needs of people with functional impairment. The cell in question </w:t>
      </w:r>
      <w:proofErr w:type="gramStart"/>
      <w:r w:rsidRPr="00BC1614">
        <w:rPr>
          <w:rFonts w:ascii="Times New Roman" w:hAnsi="Times New Roman" w:cs="Times New Roman"/>
          <w:sz w:val="24"/>
          <w:szCs w:val="24"/>
        </w:rPr>
        <w:t>is located in</w:t>
      </w:r>
      <w:proofErr w:type="gramEnd"/>
      <w:r w:rsidRPr="00BC1614">
        <w:rPr>
          <w:rFonts w:ascii="Times New Roman" w:hAnsi="Times New Roman" w:cs="Times New Roman"/>
          <w:sz w:val="24"/>
          <w:szCs w:val="24"/>
        </w:rPr>
        <w:t xml:space="preserve"> the basement and has stairs leading to it. There is no ramp or hoist connected to the structure of the stairs. A mobile hoist is available, but it was concluded during the visit that it was not uses. This issue is currently being addressed with assistance of other persons: people take the wheelchair up and down the stairs. This makes it impossible for the prisoners to come out of this cell on their own to get to the exercise yard or other areas. Nor is the cell equipment entirely thought out. There is a rather large toilet room, but as the doors to this room open inwards, it is difficult to access the toilet bowl when entering the room on a wheelchair. </w:t>
      </w:r>
    </w:p>
    <w:p w14:paraId="0BEF422F" w14:textId="77777777" w:rsidR="00E44D1D" w:rsidRPr="00BC1614" w:rsidRDefault="00E44D1D" w:rsidP="00E44D1D">
      <w:pPr>
        <w:spacing w:after="0" w:line="360" w:lineRule="auto"/>
        <w:jc w:val="both"/>
        <w:rPr>
          <w:rFonts w:ascii="Times New Roman" w:hAnsi="Times New Roman" w:cs="Times New Roman"/>
          <w:sz w:val="24"/>
          <w:szCs w:val="24"/>
        </w:rPr>
      </w:pPr>
    </w:p>
    <w:p w14:paraId="74CAAAD6" w14:textId="2157E647" w:rsidR="009A6950" w:rsidRPr="00BC1614" w:rsidRDefault="009A6950" w:rsidP="009A6950">
      <w:pPr>
        <w:spacing w:after="0" w:line="360" w:lineRule="auto"/>
        <w:ind w:firstLine="720"/>
        <w:jc w:val="both"/>
        <w:rPr>
          <w:rFonts w:ascii="Times New Roman" w:hAnsi="Times New Roman" w:cs="Times New Roman"/>
          <w:b/>
          <w:bCs/>
          <w:sz w:val="24"/>
          <w:szCs w:val="24"/>
        </w:rPr>
      </w:pPr>
      <w:r w:rsidRPr="00BC1614">
        <w:rPr>
          <w:rFonts w:ascii="Times New Roman" w:hAnsi="Times New Roman" w:cs="Times New Roman"/>
          <w:bCs/>
          <w:sz w:val="24"/>
          <w:szCs w:val="24"/>
        </w:rPr>
        <w:t>[10]</w:t>
      </w:r>
      <w:r w:rsidRPr="00BC1614">
        <w:rPr>
          <w:rFonts w:ascii="Times New Roman" w:hAnsi="Times New Roman" w:cs="Times New Roman"/>
          <w:b/>
          <w:bCs/>
          <w:sz w:val="24"/>
          <w:szCs w:val="24"/>
        </w:rPr>
        <w:t> Paragraph 143 of the sixth period report of the Republic of Latvia:</w:t>
      </w:r>
      <w:r w:rsidRPr="00BC1614">
        <w:rPr>
          <w:rFonts w:ascii="Times New Roman" w:hAnsi="Times New Roman" w:cs="Times New Roman"/>
          <w:sz w:val="24"/>
          <w:szCs w:val="24"/>
        </w:rPr>
        <w:t xml:space="preserve"> </w:t>
      </w:r>
      <w:r w:rsidRPr="00BC1614">
        <w:rPr>
          <w:rFonts w:ascii="Times New Roman" w:hAnsi="Times New Roman" w:cs="Times New Roman"/>
          <w:b/>
          <w:bCs/>
          <w:sz w:val="24"/>
          <w:szCs w:val="24"/>
        </w:rPr>
        <w:t xml:space="preserve">The legislator had expressed the unambiguous political wish to restrict the right to </w:t>
      </w:r>
      <w:r w:rsidR="0016264D" w:rsidRPr="00BC1614">
        <w:rPr>
          <w:rFonts w:ascii="Times New Roman" w:hAnsi="Times New Roman" w:cs="Times New Roman"/>
          <w:b/>
          <w:bCs/>
          <w:sz w:val="24"/>
          <w:szCs w:val="24"/>
        </w:rPr>
        <w:t>release prior to completion of punishment</w:t>
      </w:r>
      <w:r w:rsidRPr="00BC1614">
        <w:rPr>
          <w:rFonts w:ascii="Times New Roman" w:hAnsi="Times New Roman" w:cs="Times New Roman"/>
          <w:b/>
          <w:bCs/>
          <w:sz w:val="24"/>
          <w:szCs w:val="24"/>
        </w:rPr>
        <w:t xml:space="preserve"> for adult sex criminals for committing a particularly serious crime committed against a person who had not attained the age of sixteen, including to restrict the </w:t>
      </w:r>
      <w:r w:rsidRPr="00BC1614">
        <w:rPr>
          <w:rFonts w:ascii="Times New Roman" w:hAnsi="Times New Roman" w:cs="Times New Roman"/>
          <w:b/>
          <w:bCs/>
          <w:sz w:val="24"/>
          <w:szCs w:val="24"/>
        </w:rPr>
        <w:lastRenderedPageBreak/>
        <w:t xml:space="preserve">right to </w:t>
      </w:r>
      <w:r w:rsidR="0016264D" w:rsidRPr="00BC1614">
        <w:rPr>
          <w:rFonts w:ascii="Times New Roman" w:hAnsi="Times New Roman" w:cs="Times New Roman"/>
          <w:b/>
          <w:bCs/>
          <w:sz w:val="24"/>
          <w:szCs w:val="24"/>
        </w:rPr>
        <w:t>release prior to completion of punishment</w:t>
      </w:r>
      <w:r w:rsidRPr="00BC1614">
        <w:rPr>
          <w:rFonts w:ascii="Times New Roman" w:hAnsi="Times New Roman" w:cs="Times New Roman"/>
          <w:b/>
          <w:bCs/>
          <w:sz w:val="24"/>
          <w:szCs w:val="24"/>
        </w:rPr>
        <w:t xml:space="preserve"> for these sex criminals who are sentenced to life imprisonment.</w:t>
      </w:r>
    </w:p>
    <w:p w14:paraId="1E08C290" w14:textId="442A002C" w:rsidR="009A6950" w:rsidRPr="00BC1614" w:rsidRDefault="009A6950" w:rsidP="009A6950">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 On 14 June 2014, amendments to Section 61 of the Criminal Law entered into force, supplementing it with Paragraph 6, which provides that release </w:t>
      </w:r>
      <w:r w:rsidR="0016264D" w:rsidRPr="00BC1614">
        <w:rPr>
          <w:rFonts w:ascii="Times New Roman" w:hAnsi="Times New Roman" w:cs="Times New Roman"/>
          <w:sz w:val="24"/>
          <w:szCs w:val="24"/>
        </w:rPr>
        <w:t>prior to completion of punishment</w:t>
      </w:r>
      <w:r w:rsidRPr="00BC1614">
        <w:rPr>
          <w:rFonts w:ascii="Times New Roman" w:hAnsi="Times New Roman" w:cs="Times New Roman"/>
          <w:sz w:val="24"/>
          <w:szCs w:val="24"/>
        </w:rPr>
        <w:t xml:space="preserve"> does not apply if the person had been sentenced to an adult for a particularly serious crime committed against a person who had not reached the age of sixteen and is related to sexual violence. </w:t>
      </w:r>
    </w:p>
    <w:p w14:paraId="511CDAAA" w14:textId="1A556251" w:rsidR="009A6950" w:rsidRPr="00BC1614" w:rsidRDefault="009A6950" w:rsidP="009A6950">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From the point of view of human rights, life imprisonment without any possibility for the person to return to society </w:t>
      </w:r>
      <w:proofErr w:type="gramStart"/>
      <w:r w:rsidRPr="00BC1614">
        <w:rPr>
          <w:rFonts w:ascii="Times New Roman" w:hAnsi="Times New Roman" w:cs="Times New Roman"/>
          <w:sz w:val="24"/>
          <w:szCs w:val="24"/>
        </w:rPr>
        <w:t>is considered to be</w:t>
      </w:r>
      <w:proofErr w:type="gramEnd"/>
      <w:r w:rsidRPr="00BC1614">
        <w:rPr>
          <w:rFonts w:ascii="Times New Roman" w:hAnsi="Times New Roman" w:cs="Times New Roman"/>
          <w:sz w:val="24"/>
          <w:szCs w:val="24"/>
        </w:rPr>
        <w:t xml:space="preserve"> a violation of the prohibition of inhuman behaviour. Similarly, life imprisonment without any possibility for the punished person to return to society does not facilitate the attainment of goals of the punishment determined by the Criminal Law. Therefore, in 2016, the Ombudsman applied to the Ministry of Justice, indicating the need for discussing the improvement of norms of the Criminal Law </w:t>
      </w:r>
      <w:proofErr w:type="gramStart"/>
      <w:r w:rsidRPr="00BC1614">
        <w:rPr>
          <w:rFonts w:ascii="Times New Roman" w:hAnsi="Times New Roman" w:cs="Times New Roman"/>
          <w:sz w:val="24"/>
          <w:szCs w:val="24"/>
        </w:rPr>
        <w:t>with regard to</w:t>
      </w:r>
      <w:proofErr w:type="gramEnd"/>
      <w:r w:rsidRPr="00BC1614">
        <w:rPr>
          <w:rFonts w:ascii="Times New Roman" w:hAnsi="Times New Roman" w:cs="Times New Roman"/>
          <w:sz w:val="24"/>
          <w:szCs w:val="24"/>
        </w:rPr>
        <w:t xml:space="preserve"> persons sentenced to life imprisonment for sexual violence against minors. Section 61(6) of the Criminal Law still provides that release </w:t>
      </w:r>
      <w:r w:rsidR="0016264D" w:rsidRPr="00BC1614">
        <w:rPr>
          <w:rFonts w:ascii="Times New Roman" w:hAnsi="Times New Roman" w:cs="Times New Roman"/>
          <w:sz w:val="24"/>
          <w:szCs w:val="24"/>
        </w:rPr>
        <w:t>prior to completion of punishment</w:t>
      </w:r>
      <w:r w:rsidRPr="00BC1614">
        <w:rPr>
          <w:rFonts w:ascii="Times New Roman" w:hAnsi="Times New Roman" w:cs="Times New Roman"/>
          <w:sz w:val="24"/>
          <w:szCs w:val="24"/>
        </w:rPr>
        <w:t xml:space="preserve"> does not apply if it had been sentenced to an adult for a particularly serious crime committed against a person who had not reached the age of sixteen and is related to sexual violence.</w:t>
      </w:r>
    </w:p>
    <w:p w14:paraId="5AFD891E" w14:textId="77777777" w:rsidR="00E44D1D" w:rsidRPr="00BC1614" w:rsidRDefault="00E44D1D" w:rsidP="00E44D1D">
      <w:pPr>
        <w:spacing w:after="0" w:line="360" w:lineRule="auto"/>
        <w:jc w:val="both"/>
        <w:rPr>
          <w:rFonts w:ascii="Times New Roman" w:hAnsi="Times New Roman" w:cs="Times New Roman"/>
          <w:sz w:val="24"/>
          <w:szCs w:val="24"/>
        </w:rPr>
      </w:pPr>
    </w:p>
    <w:p w14:paraId="4B822A2D" w14:textId="4E2D21B5" w:rsidR="00E44D1D" w:rsidRPr="00BC1614" w:rsidRDefault="00E44D1D" w:rsidP="00E44D1D">
      <w:pPr>
        <w:spacing w:after="0" w:line="360" w:lineRule="auto"/>
        <w:ind w:right="-2" w:firstLine="720"/>
        <w:jc w:val="both"/>
        <w:rPr>
          <w:rFonts w:ascii="Times New Roman" w:hAnsi="Times New Roman" w:cs="Times New Roman"/>
          <w:b/>
          <w:bCs/>
          <w:sz w:val="24"/>
          <w:szCs w:val="24"/>
        </w:rPr>
      </w:pPr>
      <w:r w:rsidRPr="00BC1614">
        <w:rPr>
          <w:rFonts w:ascii="Times New Roman" w:hAnsi="Times New Roman" w:cs="Times New Roman"/>
          <w:bCs/>
          <w:sz w:val="24"/>
          <w:szCs w:val="24"/>
        </w:rPr>
        <w:t>[11]</w:t>
      </w:r>
      <w:r w:rsidRPr="00BC1614">
        <w:rPr>
          <w:rFonts w:ascii="Times New Roman" w:hAnsi="Times New Roman" w:cs="Times New Roman"/>
          <w:b/>
          <w:bCs/>
          <w:sz w:val="24"/>
          <w:szCs w:val="24"/>
        </w:rPr>
        <w:t> Paragraph 146 of the sixth period report of the Republic of Latvia: The specifics of execution of life sentences that existed so far has been focusing on excessive security measures, isolation, while the gradual preparation of these categories of prisoners for life in society is particularly important, enabling this group of convicts to serve their sentence not only in closed prisons but also in part</w:t>
      </w:r>
      <w:r w:rsidR="0016264D" w:rsidRPr="00BC1614">
        <w:rPr>
          <w:rFonts w:ascii="Times New Roman" w:hAnsi="Times New Roman" w:cs="Times New Roman"/>
          <w:b/>
          <w:bCs/>
          <w:sz w:val="24"/>
          <w:szCs w:val="24"/>
        </w:rPr>
        <w:t>ly</w:t>
      </w:r>
      <w:r w:rsidRPr="00BC1614">
        <w:rPr>
          <w:rFonts w:ascii="Times New Roman" w:hAnsi="Times New Roman" w:cs="Times New Roman"/>
          <w:b/>
          <w:bCs/>
          <w:sz w:val="24"/>
          <w:szCs w:val="24"/>
        </w:rPr>
        <w:t>-closed and open prison regimes.</w:t>
      </w:r>
    </w:p>
    <w:p w14:paraId="5B98D7DD" w14:textId="68ED58CD" w:rsidR="00E44D1D" w:rsidRPr="00BC1614" w:rsidRDefault="00E44D1D" w:rsidP="00E44D1D">
      <w:pPr>
        <w:spacing w:after="0" w:line="360" w:lineRule="auto"/>
        <w:ind w:right="-2"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In 2015, an opinion has been delivered on the change in the regime of serving life sentence and advancements to the progressive execution of the sentence, which was also sent to the Minister of Justice and the Chief of the Prison Administration. It was stated in this opinion that the persons sentenced to life within the scope of progressive execution of the sentence may move up the stages only within a closed prison. The Ombudsman concluded that even though the person has been sentenced with the deprivation of liberty – life imprisonment, yet the regulatory framework provides this category of prisoners with an opportunity similarly to any person sentenced with deprivation of liberty – having serves the period of punishment stipulated by the law </w:t>
      </w:r>
      <w:r w:rsidRPr="00A824BE">
        <w:rPr>
          <w:rFonts w:ascii="Times New Roman" w:hAnsi="Times New Roman" w:cs="Times New Roman"/>
          <w:sz w:val="24"/>
          <w:szCs w:val="24"/>
        </w:rPr>
        <w:t xml:space="preserve">to be released </w:t>
      </w:r>
      <w:r w:rsidR="00A824BE" w:rsidRPr="00A824BE">
        <w:rPr>
          <w:rFonts w:ascii="Times New Roman" w:hAnsi="Times New Roman" w:cs="Times New Roman"/>
          <w:sz w:val="24"/>
          <w:szCs w:val="24"/>
        </w:rPr>
        <w:t>prior to completion of punishment</w:t>
      </w:r>
      <w:r w:rsidRPr="00A824BE">
        <w:rPr>
          <w:rFonts w:ascii="Times New Roman" w:hAnsi="Times New Roman" w:cs="Times New Roman"/>
          <w:sz w:val="24"/>
          <w:szCs w:val="24"/>
        </w:rPr>
        <w:t xml:space="preserve"> or to be pardoned</w:t>
      </w:r>
      <w:r w:rsidRPr="00BC1614">
        <w:rPr>
          <w:rFonts w:ascii="Times New Roman" w:hAnsi="Times New Roman" w:cs="Times New Roman"/>
          <w:sz w:val="24"/>
          <w:szCs w:val="24"/>
        </w:rPr>
        <w:t>.</w:t>
      </w:r>
    </w:p>
    <w:p w14:paraId="119E191F" w14:textId="77777777" w:rsidR="00E44D1D" w:rsidRPr="00BC1614" w:rsidRDefault="00E44D1D" w:rsidP="00E44D1D">
      <w:pPr>
        <w:spacing w:after="0" w:line="360" w:lineRule="auto"/>
        <w:ind w:right="-2" w:firstLine="720"/>
        <w:jc w:val="both"/>
        <w:rPr>
          <w:rFonts w:ascii="Times New Roman" w:hAnsi="Times New Roman" w:cs="Times New Roman"/>
          <w:sz w:val="24"/>
          <w:szCs w:val="24"/>
        </w:rPr>
      </w:pPr>
    </w:p>
    <w:p w14:paraId="793679F3" w14:textId="58A97818" w:rsidR="00E44D1D" w:rsidRPr="00BC1614" w:rsidRDefault="00E44D1D" w:rsidP="00E44D1D">
      <w:pPr>
        <w:spacing w:after="0" w:line="360" w:lineRule="auto"/>
        <w:ind w:right="-2" w:firstLine="720"/>
        <w:jc w:val="both"/>
        <w:rPr>
          <w:rFonts w:ascii="Times New Roman" w:hAnsi="Times New Roman" w:cs="Times New Roman"/>
          <w:sz w:val="24"/>
          <w:szCs w:val="24"/>
        </w:rPr>
      </w:pPr>
      <w:r w:rsidRPr="00BC1614">
        <w:rPr>
          <w:rFonts w:ascii="Times New Roman" w:hAnsi="Times New Roman" w:cs="Times New Roman"/>
          <w:bCs/>
          <w:sz w:val="24"/>
          <w:szCs w:val="24"/>
        </w:rPr>
        <w:t>[12]</w:t>
      </w:r>
      <w:r w:rsidRPr="00BC1614">
        <w:rPr>
          <w:rFonts w:ascii="Times New Roman" w:hAnsi="Times New Roman" w:cs="Times New Roman"/>
          <w:b/>
          <w:bCs/>
          <w:sz w:val="24"/>
          <w:szCs w:val="24"/>
        </w:rPr>
        <w:t xml:space="preserve"> Paragraphs 147 and 148 of the sixth period report of the Republic of Latvia: </w:t>
      </w:r>
      <w:r w:rsidR="0016264D" w:rsidRPr="00BC1614">
        <w:rPr>
          <w:rFonts w:ascii="Times New Roman" w:hAnsi="Times New Roman" w:cs="Times New Roman"/>
          <w:b/>
          <w:bCs/>
          <w:sz w:val="24"/>
          <w:szCs w:val="24"/>
        </w:rPr>
        <w:t xml:space="preserve">Short-term </w:t>
      </w:r>
      <w:r w:rsidRPr="00BC1614">
        <w:rPr>
          <w:rFonts w:ascii="Times New Roman" w:hAnsi="Times New Roman" w:cs="Times New Roman"/>
          <w:b/>
          <w:bCs/>
          <w:sz w:val="24"/>
          <w:szCs w:val="24"/>
        </w:rPr>
        <w:t>detention facilities do not ensure accessibility for persons with disabilities.</w:t>
      </w:r>
    </w:p>
    <w:p w14:paraId="39F14841" w14:textId="46B265CD" w:rsidR="00E44D1D" w:rsidRPr="00BC1614" w:rsidRDefault="00E44D1D" w:rsidP="00E44D1D">
      <w:pPr>
        <w:tabs>
          <w:tab w:val="center" w:pos="709"/>
          <w:tab w:val="right" w:pos="8306"/>
        </w:tabs>
        <w:spacing w:after="0" w:line="360" w:lineRule="auto"/>
        <w:jc w:val="both"/>
        <w:rPr>
          <w:rFonts w:ascii="Times New Roman" w:eastAsia="Times New Roman" w:hAnsi="Times New Roman" w:cs="Times New Roman"/>
          <w:b/>
          <w:bCs/>
          <w:sz w:val="24"/>
          <w:szCs w:val="24"/>
        </w:rPr>
      </w:pPr>
      <w:r w:rsidRPr="00BC1614">
        <w:rPr>
          <w:rFonts w:ascii="Times New Roman" w:hAnsi="Times New Roman" w:cs="Times New Roman"/>
          <w:bCs/>
          <w:sz w:val="24"/>
          <w:szCs w:val="24"/>
        </w:rPr>
        <w:lastRenderedPageBreak/>
        <w:tab/>
      </w:r>
      <w:r w:rsidRPr="00BC1614">
        <w:rPr>
          <w:rFonts w:ascii="Times New Roman" w:hAnsi="Times New Roman" w:cs="Times New Roman"/>
          <w:sz w:val="24"/>
          <w:szCs w:val="24"/>
        </w:rPr>
        <w:tab/>
        <w:t>In 2016, temporary holding rooms of the State Police</w:t>
      </w:r>
      <w:r w:rsidRPr="00BC1614">
        <w:rPr>
          <w:rFonts w:ascii="Times New Roman" w:hAnsi="Times New Roman" w:cs="Times New Roman"/>
          <w:bCs/>
          <w:sz w:val="24"/>
          <w:szCs w:val="24"/>
        </w:rPr>
        <w:t xml:space="preserve"> were visited at Riga </w:t>
      </w:r>
      <w:proofErr w:type="spellStart"/>
      <w:r w:rsidRPr="00BC1614">
        <w:rPr>
          <w:rFonts w:ascii="Times New Roman" w:hAnsi="Times New Roman" w:cs="Times New Roman"/>
          <w:bCs/>
          <w:sz w:val="24"/>
          <w:szCs w:val="24"/>
        </w:rPr>
        <w:t>Kurzeme</w:t>
      </w:r>
      <w:proofErr w:type="spellEnd"/>
      <w:r w:rsidRPr="00BC1614">
        <w:rPr>
          <w:rFonts w:ascii="Times New Roman" w:hAnsi="Times New Roman" w:cs="Times New Roman"/>
          <w:bCs/>
          <w:sz w:val="24"/>
          <w:szCs w:val="24"/>
        </w:rPr>
        <w:t xml:space="preserve"> and Sigulda police stations, as well as short-term detention facilities in </w:t>
      </w:r>
      <w:proofErr w:type="spellStart"/>
      <w:r w:rsidRPr="00BC1614">
        <w:rPr>
          <w:rFonts w:ascii="Times New Roman" w:hAnsi="Times New Roman" w:cs="Times New Roman"/>
          <w:bCs/>
          <w:sz w:val="24"/>
          <w:szCs w:val="24"/>
        </w:rPr>
        <w:t>Cesis</w:t>
      </w:r>
      <w:proofErr w:type="spellEnd"/>
      <w:r w:rsidRPr="00BC1614">
        <w:rPr>
          <w:rFonts w:ascii="Times New Roman" w:hAnsi="Times New Roman" w:cs="Times New Roman"/>
          <w:bCs/>
          <w:sz w:val="24"/>
          <w:szCs w:val="24"/>
        </w:rPr>
        <w:t xml:space="preserve">, </w:t>
      </w:r>
      <w:proofErr w:type="spellStart"/>
      <w:r w:rsidRPr="00BC1614">
        <w:rPr>
          <w:rFonts w:ascii="Times New Roman" w:hAnsi="Times New Roman" w:cs="Times New Roman"/>
          <w:bCs/>
          <w:sz w:val="24"/>
          <w:szCs w:val="24"/>
        </w:rPr>
        <w:t>Rezekne</w:t>
      </w:r>
      <w:proofErr w:type="spellEnd"/>
      <w:r w:rsidRPr="00BC1614">
        <w:rPr>
          <w:rFonts w:ascii="Times New Roman" w:hAnsi="Times New Roman" w:cs="Times New Roman"/>
          <w:bCs/>
          <w:sz w:val="24"/>
          <w:szCs w:val="24"/>
        </w:rPr>
        <w:t xml:space="preserve">, Jelgava and </w:t>
      </w:r>
      <w:proofErr w:type="spellStart"/>
      <w:r w:rsidRPr="00BC1614">
        <w:rPr>
          <w:rFonts w:ascii="Times New Roman" w:hAnsi="Times New Roman" w:cs="Times New Roman"/>
          <w:bCs/>
          <w:sz w:val="24"/>
          <w:szCs w:val="24"/>
        </w:rPr>
        <w:t>Saldus</w:t>
      </w:r>
      <w:proofErr w:type="spellEnd"/>
      <w:r w:rsidRPr="00BC1614">
        <w:rPr>
          <w:rFonts w:ascii="Times New Roman" w:hAnsi="Times New Roman" w:cs="Times New Roman"/>
          <w:bCs/>
          <w:sz w:val="24"/>
          <w:szCs w:val="24"/>
        </w:rPr>
        <w:t xml:space="preserve"> police stations, which had been repaired within the scope of the Norwegian financial instrument project “Improving the standards of short-term detention places of the State Police” (hereinafter referred to as the Norwegian project). During the visit, it was found that the premises in Sigulda and </w:t>
      </w:r>
      <w:proofErr w:type="spellStart"/>
      <w:r w:rsidRPr="00BC1614">
        <w:rPr>
          <w:rFonts w:ascii="Times New Roman" w:hAnsi="Times New Roman" w:cs="Times New Roman"/>
          <w:bCs/>
          <w:sz w:val="24"/>
          <w:szCs w:val="24"/>
        </w:rPr>
        <w:t>Cesis</w:t>
      </w:r>
      <w:proofErr w:type="spellEnd"/>
      <w:r w:rsidRPr="00BC1614">
        <w:rPr>
          <w:rFonts w:ascii="Times New Roman" w:hAnsi="Times New Roman" w:cs="Times New Roman"/>
          <w:bCs/>
          <w:sz w:val="24"/>
          <w:szCs w:val="24"/>
        </w:rPr>
        <w:t xml:space="preserve"> were not adapted to people with </w:t>
      </w:r>
      <w:r w:rsidR="00DD196F">
        <w:rPr>
          <w:rFonts w:ascii="Times New Roman" w:hAnsi="Times New Roman" w:cs="Times New Roman"/>
          <w:bCs/>
          <w:sz w:val="24"/>
          <w:szCs w:val="24"/>
        </w:rPr>
        <w:t>reduced mobility</w:t>
      </w:r>
      <w:r w:rsidRPr="00BC1614">
        <w:rPr>
          <w:rFonts w:ascii="Times New Roman" w:hAnsi="Times New Roman" w:cs="Times New Roman"/>
          <w:bCs/>
          <w:sz w:val="24"/>
          <w:szCs w:val="24"/>
        </w:rPr>
        <w:t>.</w:t>
      </w:r>
    </w:p>
    <w:p w14:paraId="786DAB85" w14:textId="77777777" w:rsidR="00E44D1D" w:rsidRPr="00BC1614" w:rsidRDefault="00E44D1D" w:rsidP="00E44D1D">
      <w:pPr>
        <w:tabs>
          <w:tab w:val="center" w:pos="709"/>
          <w:tab w:val="right" w:pos="8306"/>
        </w:tabs>
        <w:spacing w:after="0" w:line="360" w:lineRule="auto"/>
        <w:jc w:val="both"/>
        <w:rPr>
          <w:rFonts w:ascii="Times New Roman" w:eastAsia="Times New Roman" w:hAnsi="Times New Roman" w:cs="Times New Roman"/>
          <w:b/>
          <w:bCs/>
          <w:sz w:val="24"/>
          <w:szCs w:val="24"/>
        </w:rPr>
      </w:pPr>
      <w:r w:rsidRPr="00BC1614">
        <w:rPr>
          <w:rFonts w:ascii="Times New Roman" w:hAnsi="Times New Roman" w:cs="Times New Roman"/>
          <w:bCs/>
          <w:sz w:val="24"/>
          <w:szCs w:val="24"/>
        </w:rPr>
        <w:tab/>
      </w:r>
      <w:r w:rsidRPr="00BC1614">
        <w:rPr>
          <w:rFonts w:ascii="Times New Roman" w:hAnsi="Times New Roman" w:cs="Times New Roman"/>
          <w:bCs/>
          <w:sz w:val="24"/>
          <w:szCs w:val="24"/>
        </w:rPr>
        <w:tab/>
        <w:t>During the visits to short-term detention places and temporary holding facilities, including those in which had been repaired within the framework of the Norwegian project, in 2019 a number of shortcomings were still identified in providing household conditions for detainees, in particular as regards ensuring environmental availability to persons with disabilities.</w:t>
      </w:r>
    </w:p>
    <w:p w14:paraId="2259F937" w14:textId="77777777" w:rsidR="00E44D1D" w:rsidRPr="00BC1614" w:rsidRDefault="00E44D1D" w:rsidP="00E44D1D">
      <w:pPr>
        <w:spacing w:after="0" w:line="360" w:lineRule="auto"/>
        <w:ind w:firstLine="720"/>
        <w:jc w:val="both"/>
        <w:rPr>
          <w:rFonts w:ascii="Times New Roman" w:hAnsi="Times New Roman" w:cs="Times New Roman"/>
          <w:bCs/>
          <w:sz w:val="24"/>
          <w:szCs w:val="24"/>
        </w:rPr>
      </w:pPr>
    </w:p>
    <w:p w14:paraId="70BA7C08"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 xml:space="preserve">Inter-prisoner violence – reply to question 15 of the Committee </w:t>
      </w:r>
    </w:p>
    <w:p w14:paraId="3D3542EE" w14:textId="77777777" w:rsidR="00E44D1D" w:rsidRPr="00BC1614" w:rsidRDefault="00E44D1D" w:rsidP="00E44D1D">
      <w:pPr>
        <w:spacing w:after="0" w:line="360" w:lineRule="auto"/>
        <w:jc w:val="both"/>
        <w:rPr>
          <w:rFonts w:ascii="Times New Roman" w:hAnsi="Times New Roman" w:cs="Times New Roman"/>
          <w:b/>
          <w:bCs/>
          <w:sz w:val="24"/>
          <w:szCs w:val="24"/>
        </w:rPr>
      </w:pPr>
    </w:p>
    <w:p w14:paraId="3F558066" w14:textId="77777777" w:rsidR="009A6950" w:rsidRPr="00BC1614" w:rsidRDefault="009A6950" w:rsidP="009A6950">
      <w:pPr>
        <w:spacing w:after="0" w:line="360" w:lineRule="auto"/>
        <w:ind w:firstLine="720"/>
        <w:jc w:val="both"/>
        <w:rPr>
          <w:rFonts w:ascii="Times New Roman" w:hAnsi="Times New Roman" w:cs="Times New Roman"/>
          <w:b/>
          <w:bCs/>
          <w:sz w:val="24"/>
          <w:szCs w:val="24"/>
        </w:rPr>
      </w:pPr>
      <w:r w:rsidRPr="00BC1614">
        <w:rPr>
          <w:rFonts w:ascii="Times New Roman" w:hAnsi="Times New Roman" w:cs="Times New Roman"/>
          <w:sz w:val="24"/>
          <w:szCs w:val="24"/>
        </w:rPr>
        <w:t>[13]</w:t>
      </w:r>
      <w:r w:rsidRPr="00BC1614">
        <w:rPr>
          <w:rFonts w:ascii="Times New Roman" w:hAnsi="Times New Roman" w:cs="Times New Roman"/>
          <w:b/>
          <w:sz w:val="24"/>
          <w:szCs w:val="24"/>
        </w:rPr>
        <w:t> The issue of self-governance or hierarchy of prisoners in their mutual relations remains topical and unresolved in Latvian prisons.</w:t>
      </w:r>
    </w:p>
    <w:p w14:paraId="4E2B9E06" w14:textId="77777777" w:rsidR="009A6950" w:rsidRPr="00BC1614" w:rsidRDefault="009A6950" w:rsidP="009A6950">
      <w:pPr>
        <w:spacing w:after="0" w:line="360" w:lineRule="auto"/>
        <w:ind w:right="-2"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Year on year the Ombudsman’s Office keeps receiving applications about inter-prisoner violence (both physical and emotional). The hierarchy among prisoners is unmistakably a factor contributing to violence among prisoners. The Ombudsman has repeatedly pointed out to responsible institutions to the highly hierarchical system among prisoners and the violence resulting from it. At the same time, stressing that in the cases when there is a suspicion of violence the state is obliged to carry out an investigation, which is sufficiently effective and aimed at learning the truth and punishing of the perpetrators. </w:t>
      </w:r>
    </w:p>
    <w:p w14:paraId="7A5A2544" w14:textId="77777777" w:rsidR="009A6950" w:rsidRPr="00BC1614" w:rsidRDefault="009A6950" w:rsidP="009A6950">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During the last half of 2019, the employees of the Ombudsman’s Office concluded from their visits to detention places, talks to prisoners, as well as staff, and the information received in applications, that the hierarchical system among prisoners still existed and that prison staff was also aware of its existence. Although the prisoners, who could become or are subjects of violence are being isolated as much as possible, this is not always effective and not always possible for a variety of objective reasons, such as insufficient staff (e.g., the Riga Central Prison), outdated infrastructure. Large-capacity prison cells with high numbers of prisoners, large washing rooms, etc. should be noted as a factor contributing to violence. New infrastructure and effective monitoring are key factors in fighting inter-prisoner violence. However, it should be noted the attitude of prison staff can bring significant results and create a microclimate compatible with human rights and the principle of good governance in prison.</w:t>
      </w:r>
    </w:p>
    <w:p w14:paraId="6F54A0C7" w14:textId="7871132C" w:rsidR="009A6950" w:rsidRPr="00BC1614" w:rsidRDefault="009A6950" w:rsidP="00F925E9">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Foreigners who do not speak the official language and are therefore more exposed to the risk of torture and inhuman treatment, including informal procedures among prisoners, should be </w:t>
      </w:r>
      <w:r w:rsidRPr="00BC1614">
        <w:rPr>
          <w:rFonts w:ascii="Times New Roman" w:hAnsi="Times New Roman" w:cs="Times New Roman"/>
          <w:sz w:val="24"/>
          <w:szCs w:val="24"/>
        </w:rPr>
        <w:lastRenderedPageBreak/>
        <w:t xml:space="preserve">particularly protected in this regard. </w:t>
      </w:r>
      <w:r w:rsidR="00D6615A" w:rsidRPr="00BC1614">
        <w:rPr>
          <w:rFonts w:ascii="Times New Roman" w:hAnsi="Times New Roman" w:cs="Times New Roman"/>
          <w:sz w:val="24"/>
          <w:szCs w:val="24"/>
        </w:rPr>
        <w:t>I</w:t>
      </w:r>
      <w:r w:rsidRPr="00BC1614">
        <w:rPr>
          <w:rFonts w:ascii="Times New Roman" w:hAnsi="Times New Roman" w:cs="Times New Roman"/>
          <w:sz w:val="24"/>
          <w:szCs w:val="24"/>
        </w:rPr>
        <w:t xml:space="preserve">n 2014, the Ombudsman’s Office received information that a foreign citizen was in custody in the Riga Central Prison and was constantly physically intimidated by other prisoners. During the visit, the employees of the Ombudsman’s Office concluded that the detained foreigner had a limited opportunity to complain to prison staff about the violence of his cellmates, since most of the staff did not speak English. The prison staff asked his cellmates to translate what he had said, if necessary. On the other hand, the conversation with the doctor’s assistant revealed that during a medical round, conversations were translated by cellmates, if it was necessary to communicate with that prisoner. The Prison Administration was informed of this situation. Places of detention (Riga Central Prison) still have a practice </w:t>
      </w:r>
      <w:proofErr w:type="gramStart"/>
      <w:r w:rsidRPr="00BC1614">
        <w:rPr>
          <w:rFonts w:ascii="Times New Roman" w:hAnsi="Times New Roman" w:cs="Times New Roman"/>
          <w:sz w:val="24"/>
          <w:szCs w:val="24"/>
        </w:rPr>
        <w:t>with regard to</w:t>
      </w:r>
      <w:proofErr w:type="gramEnd"/>
      <w:r w:rsidRPr="00BC1614">
        <w:rPr>
          <w:rFonts w:ascii="Times New Roman" w:hAnsi="Times New Roman" w:cs="Times New Roman"/>
          <w:sz w:val="24"/>
          <w:szCs w:val="24"/>
        </w:rPr>
        <w:t xml:space="preserve"> foreigners, to place a person speaking English in one cell with the foreigner, who can help the foreigner to communicate with prison staff. Such practices should not be supported and does not provide prison staff with objective, direct and immediate information. </w:t>
      </w:r>
    </w:p>
    <w:p w14:paraId="1CA8F4E5" w14:textId="77777777" w:rsidR="00E44D1D" w:rsidRPr="00BC1614" w:rsidRDefault="00E44D1D" w:rsidP="00E44D1D">
      <w:pPr>
        <w:spacing w:after="0" w:line="360" w:lineRule="auto"/>
        <w:ind w:firstLine="720"/>
        <w:jc w:val="both"/>
        <w:rPr>
          <w:rFonts w:ascii="Times New Roman" w:hAnsi="Times New Roman" w:cs="Times New Roman"/>
          <w:sz w:val="24"/>
          <w:szCs w:val="24"/>
        </w:rPr>
      </w:pPr>
    </w:p>
    <w:p w14:paraId="18C7BFBF" w14:textId="77777777" w:rsidR="00E44D1D" w:rsidRPr="00BC1614" w:rsidRDefault="00E44D1D" w:rsidP="00E44D1D">
      <w:pPr>
        <w:spacing w:after="0" w:line="360" w:lineRule="auto"/>
        <w:jc w:val="both"/>
        <w:rPr>
          <w:rFonts w:ascii="Times New Roman" w:hAnsi="Times New Roman" w:cs="Times New Roman"/>
          <w:sz w:val="24"/>
          <w:szCs w:val="24"/>
        </w:rPr>
      </w:pPr>
    </w:p>
    <w:p w14:paraId="4213D1F6" w14:textId="77777777" w:rsidR="00E44D1D" w:rsidRPr="00BC1614" w:rsidRDefault="00E44D1D" w:rsidP="00E44D1D">
      <w:pPr>
        <w:spacing w:after="0" w:line="360" w:lineRule="auto"/>
        <w:jc w:val="both"/>
        <w:rPr>
          <w:rFonts w:ascii="Times New Roman" w:hAnsi="Times New Roman" w:cs="Times New Roman"/>
          <w:b/>
          <w:bCs/>
          <w:sz w:val="24"/>
          <w:szCs w:val="24"/>
        </w:rPr>
      </w:pPr>
      <w:bookmarkStart w:id="1" w:name="_Hlk19100717"/>
      <w:r w:rsidRPr="00BC1614">
        <w:rPr>
          <w:rFonts w:ascii="Times New Roman" w:hAnsi="Times New Roman" w:cs="Times New Roman"/>
          <w:b/>
          <w:bCs/>
          <w:sz w:val="24"/>
          <w:szCs w:val="24"/>
        </w:rPr>
        <w:t>X. ARTICLE 16 OF THE CONVENTION</w:t>
      </w:r>
    </w:p>
    <w:p w14:paraId="0D6AA077" w14:textId="77777777" w:rsidR="00E44D1D" w:rsidRPr="00BC1614" w:rsidRDefault="00E44D1D" w:rsidP="00E44D1D">
      <w:pPr>
        <w:spacing w:after="0" w:line="360" w:lineRule="auto"/>
        <w:jc w:val="both"/>
        <w:rPr>
          <w:rFonts w:ascii="Times New Roman" w:hAnsi="Times New Roman" w:cs="Times New Roman"/>
          <w:b/>
          <w:bCs/>
          <w:sz w:val="24"/>
          <w:szCs w:val="24"/>
        </w:rPr>
      </w:pPr>
      <w:r w:rsidRPr="00BC1614">
        <w:rPr>
          <w:rFonts w:ascii="Times New Roman" w:hAnsi="Times New Roman" w:cs="Times New Roman"/>
          <w:b/>
          <w:bCs/>
          <w:sz w:val="24"/>
          <w:szCs w:val="24"/>
        </w:rPr>
        <w:t>Persons with disabilities – reply to question 18 of the Committee</w:t>
      </w:r>
    </w:p>
    <w:p w14:paraId="4E9A9D64" w14:textId="77777777" w:rsidR="00E44D1D" w:rsidRPr="00BC1614" w:rsidRDefault="00E44D1D" w:rsidP="00E44D1D">
      <w:pPr>
        <w:spacing w:after="0" w:line="360" w:lineRule="auto"/>
        <w:ind w:firstLine="720"/>
        <w:jc w:val="both"/>
        <w:rPr>
          <w:rFonts w:ascii="Times New Roman" w:hAnsi="Times New Roman" w:cs="Times New Roman"/>
          <w:sz w:val="24"/>
          <w:szCs w:val="24"/>
        </w:rPr>
      </w:pPr>
    </w:p>
    <w:p w14:paraId="1C94ECF5" w14:textId="77777777" w:rsidR="00E44D1D" w:rsidRPr="00BC1614" w:rsidRDefault="00E44D1D" w:rsidP="00E44D1D">
      <w:pPr>
        <w:spacing w:after="0" w:line="360" w:lineRule="auto"/>
        <w:ind w:firstLine="720"/>
        <w:jc w:val="both"/>
        <w:rPr>
          <w:rFonts w:ascii="Times New Roman" w:hAnsi="Times New Roman" w:cs="Times New Roman"/>
          <w:b/>
          <w:bCs/>
          <w:sz w:val="24"/>
          <w:szCs w:val="24"/>
        </w:rPr>
      </w:pPr>
      <w:r w:rsidRPr="00BC1614">
        <w:rPr>
          <w:rFonts w:ascii="Times New Roman" w:hAnsi="Times New Roman" w:cs="Times New Roman"/>
          <w:bCs/>
          <w:sz w:val="24"/>
          <w:szCs w:val="24"/>
        </w:rPr>
        <w:t>[14]</w:t>
      </w:r>
      <w:r w:rsidRPr="00BC1614">
        <w:rPr>
          <w:rFonts w:ascii="Times New Roman" w:hAnsi="Times New Roman" w:cs="Times New Roman"/>
          <w:b/>
          <w:bCs/>
          <w:sz w:val="24"/>
          <w:szCs w:val="24"/>
        </w:rPr>
        <w:t> </w:t>
      </w:r>
      <w:bookmarkStart w:id="2" w:name="_Hlk19871787"/>
      <w:r w:rsidRPr="00BC1614">
        <w:rPr>
          <w:rFonts w:ascii="Times New Roman" w:hAnsi="Times New Roman" w:cs="Times New Roman"/>
          <w:b/>
          <w:bCs/>
          <w:sz w:val="24"/>
          <w:szCs w:val="24"/>
        </w:rPr>
        <w:t>In psychiatric hospitals, the patient’s consent should be sought for both hospitalisation and medical treatment and should also be reflected in the patient’s medical records.</w:t>
      </w:r>
      <w:bookmarkEnd w:id="2"/>
    </w:p>
    <w:p w14:paraId="18532E80"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In practice, psychiatric hospitals still fail to follow the recommendation of the Council of Europe’s Committee for the Prevention of Torture, which provides that informed consent of the patient should be requested for both hospitalisation and intended treatment. Each patient, whether it is voluntary or not, should be informed about the individual treatment plan, the patient should also be involved in the development and implementation of his or her treatment plan.</w:t>
      </w:r>
    </w:p>
    <w:p w14:paraId="06B9D4C1" w14:textId="77777777" w:rsidR="00E44D1D" w:rsidRPr="00BC1614" w:rsidRDefault="00E44D1D" w:rsidP="00E44D1D">
      <w:pPr>
        <w:shd w:val="clear" w:color="auto" w:fill="FFFFFF"/>
        <w:spacing w:after="0" w:line="360" w:lineRule="auto"/>
        <w:ind w:firstLine="720"/>
        <w:jc w:val="both"/>
        <w:rPr>
          <w:rFonts w:ascii="Times New Roman" w:eastAsia="Times New Roman" w:hAnsi="Times New Roman" w:cs="Times New Roman"/>
          <w:sz w:val="24"/>
          <w:szCs w:val="24"/>
          <w:shd w:val="clear" w:color="auto" w:fill="FFFFFF"/>
          <w:lang w:eastAsia="lv-LV"/>
        </w:rPr>
      </w:pPr>
    </w:p>
    <w:p w14:paraId="222399B3" w14:textId="77777777" w:rsidR="00E44D1D" w:rsidRPr="00BC1614" w:rsidRDefault="00E44D1D" w:rsidP="00E44D1D">
      <w:pPr>
        <w:shd w:val="clear" w:color="auto" w:fill="FFFFFF"/>
        <w:spacing w:after="0" w:line="360" w:lineRule="auto"/>
        <w:ind w:firstLine="720"/>
        <w:jc w:val="both"/>
        <w:rPr>
          <w:rFonts w:ascii="Times New Roman" w:eastAsia="Times New Roman" w:hAnsi="Times New Roman" w:cs="Times New Roman"/>
          <w:b/>
          <w:bCs/>
          <w:sz w:val="24"/>
          <w:szCs w:val="24"/>
          <w:shd w:val="clear" w:color="auto" w:fill="FFFFFF"/>
        </w:rPr>
      </w:pPr>
      <w:r w:rsidRPr="00BC1614">
        <w:rPr>
          <w:rFonts w:ascii="Times New Roman" w:hAnsi="Times New Roman" w:cs="Times New Roman"/>
          <w:bCs/>
          <w:sz w:val="24"/>
          <w:szCs w:val="24"/>
          <w:shd w:val="clear" w:color="auto" w:fill="FFFFFF"/>
        </w:rPr>
        <w:t>[15]</w:t>
      </w:r>
      <w:r w:rsidRPr="00BC1614">
        <w:rPr>
          <w:rFonts w:ascii="Times New Roman" w:hAnsi="Times New Roman" w:cs="Times New Roman"/>
          <w:b/>
          <w:bCs/>
          <w:sz w:val="24"/>
          <w:szCs w:val="24"/>
          <w:shd w:val="clear" w:color="auto" w:fill="FFFFFF"/>
        </w:rPr>
        <w:t> In practice, it has been established that psychiatric medical treatment facilities do not adequately record of cases of chemical restraint of patients (medicines are administered as a means of restraint against the patient’s will).</w:t>
      </w:r>
    </w:p>
    <w:p w14:paraId="4ACC3A99" w14:textId="24F972C0" w:rsidR="00E44D1D" w:rsidRPr="00BC1614" w:rsidRDefault="00E44D1D" w:rsidP="00E44D1D">
      <w:pPr>
        <w:shd w:val="clear" w:color="auto" w:fill="FFFFFF"/>
        <w:spacing w:after="0" w:line="360" w:lineRule="auto"/>
        <w:ind w:firstLine="720"/>
        <w:jc w:val="both"/>
        <w:rPr>
          <w:rFonts w:ascii="Times New Roman" w:eastAsia="Times New Roman" w:hAnsi="Times New Roman" w:cs="Times New Roman"/>
          <w:sz w:val="24"/>
          <w:szCs w:val="24"/>
          <w:shd w:val="clear" w:color="auto" w:fill="FFFFFF"/>
        </w:rPr>
      </w:pPr>
      <w:r w:rsidRPr="00BC1614">
        <w:rPr>
          <w:rFonts w:ascii="Times New Roman" w:hAnsi="Times New Roman" w:cs="Times New Roman"/>
          <w:sz w:val="24"/>
          <w:szCs w:val="24"/>
          <w:shd w:val="clear" w:color="auto" w:fill="FFFFFF"/>
        </w:rPr>
        <w:t>Section 69.</w:t>
      </w:r>
      <w:r w:rsidRPr="00BC1614">
        <w:rPr>
          <w:rFonts w:ascii="Times New Roman" w:hAnsi="Times New Roman" w:cs="Times New Roman"/>
          <w:sz w:val="24"/>
          <w:szCs w:val="24"/>
          <w:shd w:val="clear" w:color="auto" w:fill="FFFFFF"/>
          <w:vertAlign w:val="superscript"/>
        </w:rPr>
        <w:t>1</w:t>
      </w:r>
      <w:r w:rsidRPr="00BC1614">
        <w:rPr>
          <w:rFonts w:ascii="Times New Roman" w:hAnsi="Times New Roman" w:cs="Times New Roman"/>
          <w:sz w:val="24"/>
          <w:szCs w:val="24"/>
          <w:shd w:val="clear" w:color="auto" w:fill="FFFFFF"/>
        </w:rPr>
        <w:t>(6)</w:t>
      </w:r>
      <w:r w:rsidRPr="00BC1614">
        <w:rPr>
          <w:rFonts w:ascii="Times New Roman" w:hAnsi="Times New Roman" w:cs="Times New Roman"/>
          <w:sz w:val="24"/>
          <w:szCs w:val="24"/>
        </w:rPr>
        <w:t xml:space="preserve"> </w:t>
      </w:r>
      <w:r w:rsidRPr="00BC1614">
        <w:rPr>
          <w:rFonts w:ascii="Times New Roman" w:hAnsi="Times New Roman" w:cs="Times New Roman"/>
          <w:sz w:val="24"/>
          <w:szCs w:val="24"/>
          <w:shd w:val="clear" w:color="auto" w:fill="FFFFFF"/>
        </w:rPr>
        <w:t xml:space="preserve">of the Medical Treatment Law provides that in cases, </w:t>
      </w:r>
      <w:r w:rsidRPr="00BC1614">
        <w:rPr>
          <w:rFonts w:ascii="Times New Roman" w:hAnsi="Times New Roman" w:cs="Times New Roman"/>
          <w:sz w:val="24"/>
          <w:szCs w:val="24"/>
        </w:rPr>
        <w:t xml:space="preserve">when there are direct threats that a patient due to psychic disorders may commit injuries to himself or herself or other persons or a patient demonstrates violence towards other persons and attempts to discontinue threat by verbal convincing have failed, the following means of restraint may be used in psychiatric </w:t>
      </w:r>
      <w:r w:rsidR="00423414" w:rsidRPr="00BC1614">
        <w:rPr>
          <w:rFonts w:ascii="Times New Roman" w:hAnsi="Times New Roman" w:cs="Times New Roman"/>
          <w:sz w:val="24"/>
          <w:szCs w:val="24"/>
        </w:rPr>
        <w:t>hospitals</w:t>
      </w:r>
      <w:r w:rsidRPr="00BC1614">
        <w:rPr>
          <w:rFonts w:ascii="Times New Roman" w:hAnsi="Times New Roman" w:cs="Times New Roman"/>
          <w:sz w:val="24"/>
          <w:szCs w:val="24"/>
        </w:rPr>
        <w:t>:</w:t>
      </w:r>
    </w:p>
    <w:p w14:paraId="17F0DFDE" w14:textId="77777777" w:rsidR="00E44D1D" w:rsidRPr="00BC1614" w:rsidRDefault="00E44D1D" w:rsidP="00E44D1D">
      <w:pPr>
        <w:numPr>
          <w:ilvl w:val="0"/>
          <w:numId w:val="1"/>
        </w:numPr>
        <w:shd w:val="clear" w:color="auto" w:fill="FFFFFF"/>
        <w:spacing w:after="0" w:line="360" w:lineRule="auto"/>
        <w:jc w:val="both"/>
        <w:rPr>
          <w:rFonts w:ascii="Times New Roman" w:eastAsia="Times New Roman" w:hAnsi="Times New Roman" w:cs="Times New Roman"/>
          <w:sz w:val="24"/>
          <w:szCs w:val="24"/>
        </w:rPr>
      </w:pPr>
      <w:r w:rsidRPr="00BC1614">
        <w:rPr>
          <w:rFonts w:ascii="Times New Roman" w:hAnsi="Times New Roman" w:cs="Times New Roman"/>
          <w:sz w:val="24"/>
          <w:szCs w:val="24"/>
        </w:rPr>
        <w:t>physical restraint by using physical force for restraint of movements of the patient;</w:t>
      </w:r>
    </w:p>
    <w:p w14:paraId="0EC90ACA" w14:textId="77777777" w:rsidR="00E44D1D" w:rsidRPr="00BC1614" w:rsidRDefault="00E44D1D" w:rsidP="00E44D1D">
      <w:pPr>
        <w:numPr>
          <w:ilvl w:val="0"/>
          <w:numId w:val="1"/>
        </w:numPr>
        <w:shd w:val="clear" w:color="auto" w:fill="FFFFFF"/>
        <w:spacing w:after="0" w:line="360" w:lineRule="auto"/>
        <w:jc w:val="both"/>
        <w:rPr>
          <w:rFonts w:ascii="Times New Roman" w:eastAsia="Times New Roman" w:hAnsi="Times New Roman" w:cs="Times New Roman"/>
          <w:sz w:val="24"/>
          <w:szCs w:val="24"/>
        </w:rPr>
      </w:pPr>
      <w:r w:rsidRPr="00BC1614">
        <w:rPr>
          <w:rFonts w:ascii="Times New Roman" w:hAnsi="Times New Roman" w:cs="Times New Roman"/>
          <w:sz w:val="24"/>
          <w:szCs w:val="24"/>
        </w:rPr>
        <w:lastRenderedPageBreak/>
        <w:t>mechanical restraint by using restraining cords or belts;</w:t>
      </w:r>
    </w:p>
    <w:p w14:paraId="51AF9144" w14:textId="77777777" w:rsidR="00E44D1D" w:rsidRPr="00BC1614" w:rsidRDefault="00E44D1D" w:rsidP="00E44D1D">
      <w:pPr>
        <w:numPr>
          <w:ilvl w:val="0"/>
          <w:numId w:val="1"/>
        </w:numPr>
        <w:shd w:val="clear" w:color="auto" w:fill="FFFFFF"/>
        <w:spacing w:after="0" w:line="360" w:lineRule="auto"/>
        <w:jc w:val="both"/>
        <w:rPr>
          <w:rFonts w:ascii="Times New Roman" w:eastAsia="Times New Roman" w:hAnsi="Times New Roman" w:cs="Times New Roman"/>
          <w:sz w:val="24"/>
          <w:szCs w:val="24"/>
        </w:rPr>
      </w:pPr>
      <w:r w:rsidRPr="00BC1614">
        <w:rPr>
          <w:rFonts w:ascii="Times New Roman" w:hAnsi="Times New Roman" w:cs="Times New Roman"/>
          <w:sz w:val="24"/>
          <w:szCs w:val="24"/>
        </w:rPr>
        <w:t>injection of medicines to a patient against his or her will;</w:t>
      </w:r>
    </w:p>
    <w:p w14:paraId="5764CC25" w14:textId="77777777" w:rsidR="00E44D1D" w:rsidRPr="00BC1614" w:rsidRDefault="00E44D1D" w:rsidP="00E44D1D">
      <w:pPr>
        <w:numPr>
          <w:ilvl w:val="0"/>
          <w:numId w:val="1"/>
        </w:numPr>
        <w:shd w:val="clear" w:color="auto" w:fill="FFFFFF"/>
        <w:spacing w:after="0" w:line="360" w:lineRule="auto"/>
        <w:jc w:val="both"/>
        <w:rPr>
          <w:rFonts w:ascii="Times New Roman" w:eastAsia="Times New Roman" w:hAnsi="Times New Roman" w:cs="Times New Roman"/>
          <w:sz w:val="24"/>
          <w:szCs w:val="24"/>
        </w:rPr>
      </w:pPr>
      <w:r w:rsidRPr="00BC1614">
        <w:rPr>
          <w:rFonts w:ascii="Times New Roman" w:hAnsi="Times New Roman" w:cs="Times New Roman"/>
          <w:sz w:val="24"/>
          <w:szCs w:val="24"/>
        </w:rPr>
        <w:t>placement in a monitoring ward.</w:t>
      </w:r>
    </w:p>
    <w:p w14:paraId="50F89D9A" w14:textId="77777777" w:rsidR="00E44D1D" w:rsidRPr="00BC1614" w:rsidRDefault="00E44D1D" w:rsidP="00E44D1D">
      <w:pPr>
        <w:spacing w:after="0" w:line="360" w:lineRule="auto"/>
        <w:ind w:firstLine="567"/>
        <w:jc w:val="both"/>
        <w:rPr>
          <w:rFonts w:ascii="Times New Roman" w:hAnsi="Times New Roman" w:cs="Times New Roman"/>
          <w:bCs/>
          <w:sz w:val="24"/>
          <w:szCs w:val="24"/>
        </w:rPr>
      </w:pPr>
      <w:r w:rsidRPr="00BC1614">
        <w:rPr>
          <w:rFonts w:ascii="Times New Roman" w:hAnsi="Times New Roman" w:cs="Times New Roman"/>
          <w:sz w:val="24"/>
          <w:szCs w:val="24"/>
        </w:rPr>
        <w:t xml:space="preserve">When visiting psychiatric treatment establishments in 2017 and 2018, </w:t>
      </w:r>
      <w:proofErr w:type="gramStart"/>
      <w:r w:rsidRPr="00BC1614">
        <w:rPr>
          <w:rFonts w:ascii="Times New Roman" w:hAnsi="Times New Roman" w:cs="Times New Roman"/>
          <w:sz w:val="24"/>
          <w:szCs w:val="24"/>
        </w:rPr>
        <w:t>and also</w:t>
      </w:r>
      <w:proofErr w:type="gramEnd"/>
      <w:r w:rsidRPr="00BC1614">
        <w:rPr>
          <w:rFonts w:ascii="Times New Roman" w:hAnsi="Times New Roman" w:cs="Times New Roman"/>
          <w:sz w:val="24"/>
          <w:szCs w:val="24"/>
        </w:rPr>
        <w:t xml:space="preserve"> in 2019, it has been stated that only mechanical restraint of patients is recorded in logs on mechanical restraint of patients. </w:t>
      </w:r>
      <w:r w:rsidRPr="00BC1614">
        <w:rPr>
          <w:rFonts w:ascii="Times New Roman" w:hAnsi="Times New Roman" w:cs="Times New Roman"/>
          <w:bCs/>
          <w:sz w:val="24"/>
          <w:szCs w:val="24"/>
        </w:rPr>
        <w:t xml:space="preserve">Unfortunately, </w:t>
      </w:r>
      <w:r w:rsidRPr="00BC1614">
        <w:rPr>
          <w:rFonts w:ascii="Times New Roman" w:hAnsi="Times New Roman" w:cs="Times New Roman"/>
          <w:sz w:val="24"/>
          <w:szCs w:val="24"/>
        </w:rPr>
        <w:t>logs on other types of restraint do not reflect other means of restraint. It should be noted that random study of medical records of patients revealed entries about isolations of patients, injections made to patients for sedation purposes that have not been recorded in the logs.</w:t>
      </w:r>
    </w:p>
    <w:p w14:paraId="6CC307F1" w14:textId="77777777" w:rsidR="00E44D1D" w:rsidRPr="00BC1614" w:rsidRDefault="00E44D1D" w:rsidP="00E44D1D">
      <w:pPr>
        <w:spacing w:after="0" w:line="360" w:lineRule="auto"/>
        <w:ind w:firstLine="720"/>
        <w:jc w:val="both"/>
        <w:rPr>
          <w:rFonts w:ascii="Times New Roman" w:hAnsi="Times New Roman" w:cs="Times New Roman"/>
          <w:sz w:val="24"/>
          <w:szCs w:val="24"/>
        </w:rPr>
      </w:pPr>
    </w:p>
    <w:p w14:paraId="11149114" w14:textId="77777777" w:rsidR="00E44D1D" w:rsidRPr="00BC1614" w:rsidRDefault="00E44D1D" w:rsidP="00E44D1D">
      <w:pPr>
        <w:tabs>
          <w:tab w:val="left" w:pos="0"/>
        </w:tabs>
        <w:spacing w:after="0" w:line="360" w:lineRule="auto"/>
        <w:jc w:val="both"/>
        <w:rPr>
          <w:rFonts w:ascii="Times New Roman" w:hAnsi="Times New Roman" w:cs="Times New Roman"/>
          <w:sz w:val="24"/>
          <w:szCs w:val="24"/>
        </w:rPr>
      </w:pPr>
      <w:r w:rsidRPr="00BC1614">
        <w:rPr>
          <w:rFonts w:ascii="Times New Roman" w:hAnsi="Times New Roman" w:cs="Times New Roman"/>
          <w:sz w:val="24"/>
          <w:szCs w:val="24"/>
        </w:rPr>
        <w:tab/>
        <w:t>[16] In order to become aware of the actual situation with ensuring the rights of children in childcare facilities, in 2014, the employees of the Ombudsman’s Office visited childcare facilities of the Latvian local governments. The purpose of the monitoring was to become aware of the actual situation in local government childcare facilities. During the visits, increased attention was paid to the causes of the placement of children in psychiatric hospitals.</w:t>
      </w:r>
    </w:p>
    <w:p w14:paraId="5D0E6EBA" w14:textId="77777777" w:rsidR="00E44D1D" w:rsidRPr="00BC1614" w:rsidRDefault="00E44D1D" w:rsidP="00E44D1D">
      <w:pPr>
        <w:tabs>
          <w:tab w:val="left" w:pos="0"/>
        </w:tabs>
        <w:spacing w:after="0" w:line="360" w:lineRule="auto"/>
        <w:jc w:val="both"/>
        <w:rPr>
          <w:rFonts w:ascii="Times New Roman" w:hAnsi="Times New Roman" w:cs="Times New Roman"/>
          <w:sz w:val="24"/>
          <w:szCs w:val="24"/>
        </w:rPr>
      </w:pPr>
      <w:r w:rsidRPr="00BC1614">
        <w:rPr>
          <w:rFonts w:ascii="Times New Roman" w:hAnsi="Times New Roman" w:cs="Times New Roman"/>
          <w:sz w:val="24"/>
          <w:szCs w:val="24"/>
        </w:rPr>
        <w:tab/>
        <w:t xml:space="preserve">The Ombudsman received information that children living in childcare facilities were placed in psychiatric hospitals for bad behaviour. Therefore, in order to investigate this situation and this trend in general, the Ombudsman requested information from all hospitals on the total number of children hospitalised in the past two years, as well as on the number of children from childcare facilities. </w:t>
      </w:r>
    </w:p>
    <w:p w14:paraId="0DBAB3D5" w14:textId="77777777" w:rsidR="00E44D1D" w:rsidRPr="00BC1614" w:rsidRDefault="00E44D1D" w:rsidP="00E44D1D">
      <w:pPr>
        <w:tabs>
          <w:tab w:val="left" w:pos="0"/>
        </w:tabs>
        <w:spacing w:after="0" w:line="360" w:lineRule="auto"/>
        <w:jc w:val="both"/>
        <w:rPr>
          <w:rFonts w:ascii="Times New Roman" w:hAnsi="Times New Roman" w:cs="Times New Roman"/>
          <w:sz w:val="24"/>
          <w:szCs w:val="24"/>
        </w:rPr>
      </w:pPr>
      <w:r w:rsidRPr="00BC1614">
        <w:rPr>
          <w:rFonts w:ascii="Times New Roman" w:hAnsi="Times New Roman" w:cs="Times New Roman"/>
          <w:sz w:val="24"/>
          <w:szCs w:val="24"/>
        </w:rPr>
        <w:tab/>
        <w:t xml:space="preserve">If we summarise the information provided by hospitals, 1451 children were placed in psychiatric hospitals in 2013, of which 389 children were from childcare facilities. Meanwhile, in the 10 months of 2014, 1157 children were hospitalised, of which 310 children were from childcare facilities. </w:t>
      </w:r>
    </w:p>
    <w:p w14:paraId="4E91B930" w14:textId="10B3FBA8" w:rsidR="00E44D1D" w:rsidRPr="00BC1614" w:rsidRDefault="00E44D1D" w:rsidP="00E44D1D">
      <w:pPr>
        <w:tabs>
          <w:tab w:val="left" w:pos="0"/>
        </w:tabs>
        <w:spacing w:after="0" w:line="360" w:lineRule="auto"/>
        <w:jc w:val="both"/>
        <w:rPr>
          <w:rFonts w:ascii="Times New Roman" w:hAnsi="Times New Roman" w:cs="Times New Roman"/>
          <w:sz w:val="24"/>
          <w:szCs w:val="24"/>
        </w:rPr>
      </w:pPr>
      <w:r w:rsidRPr="00BC1614">
        <w:rPr>
          <w:rFonts w:ascii="Times New Roman" w:hAnsi="Times New Roman" w:cs="Times New Roman"/>
          <w:sz w:val="24"/>
          <w:szCs w:val="24"/>
        </w:rPr>
        <w:tab/>
        <w:t xml:space="preserve">It can be concluded that </w:t>
      </w:r>
      <w:r w:rsidRPr="00BC1614">
        <w:rPr>
          <w:rFonts w:ascii="Times New Roman" w:hAnsi="Times New Roman" w:cs="Times New Roman"/>
          <w:b/>
          <w:sz w:val="24"/>
          <w:szCs w:val="24"/>
        </w:rPr>
        <w:t xml:space="preserve">children living in childcare facilities are hospitalised at psychiatric hospitals dozens of times more frequently than children living in family or </w:t>
      </w:r>
      <w:r w:rsidR="00423414" w:rsidRPr="00BC1614">
        <w:rPr>
          <w:rFonts w:ascii="Times New Roman" w:hAnsi="Times New Roman" w:cs="Times New Roman"/>
          <w:b/>
          <w:sz w:val="24"/>
          <w:szCs w:val="24"/>
        </w:rPr>
        <w:t>out-of-family</w:t>
      </w:r>
      <w:r w:rsidRPr="00BC1614">
        <w:rPr>
          <w:rFonts w:ascii="Times New Roman" w:hAnsi="Times New Roman" w:cs="Times New Roman"/>
          <w:b/>
          <w:sz w:val="24"/>
          <w:szCs w:val="24"/>
        </w:rPr>
        <w:t xml:space="preserve"> care with family environment.</w:t>
      </w:r>
    </w:p>
    <w:p w14:paraId="477A32DD"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In 2015, the Ombudsman drafted recommendations on issues requiring attention of Orphan’s Courts when carrying out inspections of life of children in childcare facilities, such as education, healthcare of children, their access to parents, the possibility of changing the type of out-of-family care, etc.</w:t>
      </w:r>
    </w:p>
    <w:p w14:paraId="35FE2C9D" w14:textId="77777777" w:rsidR="00E44D1D" w:rsidRPr="00BC1614" w:rsidRDefault="00E44D1D" w:rsidP="00E44D1D">
      <w:pPr>
        <w:spacing w:after="0" w:line="360" w:lineRule="auto"/>
        <w:ind w:firstLine="720"/>
        <w:jc w:val="both"/>
        <w:rPr>
          <w:rFonts w:ascii="Times New Roman" w:hAnsi="Times New Roman" w:cs="Times New Roman"/>
          <w:sz w:val="24"/>
          <w:szCs w:val="24"/>
        </w:rPr>
      </w:pPr>
    </w:p>
    <w:p w14:paraId="73026530" w14:textId="63CA0F94" w:rsidR="00E44D1D" w:rsidRPr="00BC1614" w:rsidRDefault="00E44D1D" w:rsidP="00E44D1D">
      <w:pPr>
        <w:spacing w:after="0" w:line="360" w:lineRule="auto"/>
        <w:ind w:firstLine="720"/>
        <w:jc w:val="both"/>
        <w:rPr>
          <w:rFonts w:ascii="Times New Roman" w:hAnsi="Times New Roman" w:cs="Times New Roman"/>
          <w:b/>
          <w:bCs/>
          <w:sz w:val="24"/>
          <w:szCs w:val="24"/>
        </w:rPr>
      </w:pPr>
      <w:r w:rsidRPr="00BC1614">
        <w:rPr>
          <w:rFonts w:ascii="Times New Roman" w:hAnsi="Times New Roman" w:cs="Times New Roman"/>
          <w:bCs/>
          <w:sz w:val="24"/>
          <w:szCs w:val="24"/>
        </w:rPr>
        <w:t>[17]</w:t>
      </w:r>
      <w:r w:rsidRPr="00BC1614">
        <w:rPr>
          <w:rFonts w:ascii="Times New Roman" w:hAnsi="Times New Roman" w:cs="Times New Roman"/>
          <w:b/>
          <w:bCs/>
          <w:sz w:val="24"/>
          <w:szCs w:val="24"/>
        </w:rPr>
        <w:t xml:space="preserve"> In 2018, </w:t>
      </w:r>
      <w:proofErr w:type="gramStart"/>
      <w:r w:rsidRPr="00BC1614">
        <w:rPr>
          <w:rFonts w:ascii="Times New Roman" w:hAnsi="Times New Roman" w:cs="Times New Roman"/>
          <w:b/>
          <w:bCs/>
          <w:sz w:val="24"/>
          <w:szCs w:val="24"/>
        </w:rPr>
        <w:t>a number of</w:t>
      </w:r>
      <w:proofErr w:type="gramEnd"/>
      <w:r w:rsidRPr="00BC1614">
        <w:rPr>
          <w:rFonts w:ascii="Times New Roman" w:hAnsi="Times New Roman" w:cs="Times New Roman"/>
          <w:b/>
          <w:bCs/>
          <w:sz w:val="24"/>
          <w:szCs w:val="24"/>
        </w:rPr>
        <w:t xml:space="preserve"> violations of the rights of children were detected in psychiatric </w:t>
      </w:r>
      <w:r w:rsidR="00423414" w:rsidRPr="00BC1614">
        <w:rPr>
          <w:rFonts w:ascii="Times New Roman" w:hAnsi="Times New Roman" w:cs="Times New Roman"/>
          <w:b/>
          <w:bCs/>
          <w:sz w:val="24"/>
          <w:szCs w:val="24"/>
        </w:rPr>
        <w:t>hospitals</w:t>
      </w:r>
      <w:r w:rsidRPr="00BC1614">
        <w:rPr>
          <w:rFonts w:ascii="Times New Roman" w:hAnsi="Times New Roman" w:cs="Times New Roman"/>
          <w:b/>
          <w:bCs/>
          <w:sz w:val="24"/>
          <w:szCs w:val="24"/>
        </w:rPr>
        <w:t>.</w:t>
      </w:r>
    </w:p>
    <w:p w14:paraId="3DF0E0B1" w14:textId="77777777" w:rsidR="00E44D1D" w:rsidRPr="00BC1614" w:rsidRDefault="00E44D1D" w:rsidP="00E44D1D">
      <w:pPr>
        <w:spacing w:after="0" w:line="360" w:lineRule="auto"/>
        <w:ind w:firstLine="720"/>
        <w:jc w:val="both"/>
        <w:rPr>
          <w:rFonts w:ascii="Times New Roman" w:hAnsi="Times New Roman" w:cs="Times New Roman"/>
          <w:sz w:val="24"/>
          <w:szCs w:val="24"/>
          <w:u w:val="single"/>
        </w:rPr>
      </w:pPr>
      <w:r w:rsidRPr="00BC1614">
        <w:rPr>
          <w:rFonts w:ascii="Times New Roman" w:hAnsi="Times New Roman" w:cs="Times New Roman"/>
          <w:sz w:val="24"/>
          <w:szCs w:val="24"/>
          <w:u w:val="single"/>
        </w:rPr>
        <w:t>Hospitalisation circumstances:</w:t>
      </w:r>
    </w:p>
    <w:p w14:paraId="5CE8C2B0" w14:textId="77777777" w:rsidR="00E44D1D" w:rsidRPr="00BC1614" w:rsidRDefault="00E44D1D" w:rsidP="00E44D1D">
      <w:pPr>
        <w:numPr>
          <w:ilvl w:val="0"/>
          <w:numId w:val="5"/>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lastRenderedPageBreak/>
        <w:t xml:space="preserve">Children are often hospitalised from other institutions (children’s homes, boarding schools) due to conflicts between the child and the staff, when the child’s behaviour becomes uncontrollable. </w:t>
      </w:r>
    </w:p>
    <w:p w14:paraId="6881B25A" w14:textId="59C49FC5" w:rsidR="00E44D1D" w:rsidRPr="00BC1614" w:rsidRDefault="00423414" w:rsidP="00E44D1D">
      <w:pPr>
        <w:numPr>
          <w:ilvl w:val="0"/>
          <w:numId w:val="5"/>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Psychiatric hospitals</w:t>
      </w:r>
      <w:r w:rsidR="00E44D1D" w:rsidRPr="00BC1614">
        <w:rPr>
          <w:rFonts w:ascii="Times New Roman" w:hAnsi="Times New Roman" w:cs="Times New Roman"/>
          <w:bCs/>
          <w:sz w:val="24"/>
          <w:szCs w:val="24"/>
        </w:rPr>
        <w:t xml:space="preserve"> often justify hospitalisation with social indications (in order to prepare an opinion to be submitted to the State Medical Commission for the Assessment of Health Condition and Working Ability; also, since limited outpatient services are available in Latvia to teenagers with different types of addictions, children with addictions are placed in psychiatric treatment institutions, in which are not intended for provision of addiction-related assistance).</w:t>
      </w:r>
    </w:p>
    <w:p w14:paraId="52A40D6C" w14:textId="77777777" w:rsidR="00E44D1D" w:rsidRPr="00BC1614" w:rsidRDefault="00E44D1D" w:rsidP="00E44D1D">
      <w:pPr>
        <w:numPr>
          <w:ilvl w:val="0"/>
          <w:numId w:val="5"/>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Children with behavioural disorders are hospitalised (justifying with child’s vagrancy, stealing, violence against peers, etc.).</w:t>
      </w:r>
    </w:p>
    <w:p w14:paraId="7AA3C332" w14:textId="67321DD5" w:rsidR="00E44D1D" w:rsidRPr="00BC1614" w:rsidRDefault="00E44D1D" w:rsidP="00E44D1D">
      <w:pPr>
        <w:numPr>
          <w:ilvl w:val="0"/>
          <w:numId w:val="5"/>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 xml:space="preserve">Several </w:t>
      </w:r>
      <w:r w:rsidR="00423414"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xml:space="preserve"> did not prepare consents of children who have reached the age of 14 years to hospital treatment.</w:t>
      </w:r>
    </w:p>
    <w:p w14:paraId="778442A2" w14:textId="3A93F9ED" w:rsidR="00E44D1D" w:rsidRPr="00BC1614" w:rsidRDefault="00E44D1D" w:rsidP="00E44D1D">
      <w:pPr>
        <w:numPr>
          <w:ilvl w:val="0"/>
          <w:numId w:val="5"/>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 xml:space="preserve">Some </w:t>
      </w:r>
      <w:r w:rsidR="00E07E46">
        <w:rPr>
          <w:rFonts w:ascii="Times New Roman" w:hAnsi="Times New Roman" w:cs="Times New Roman"/>
          <w:bCs/>
          <w:sz w:val="24"/>
          <w:szCs w:val="24"/>
        </w:rPr>
        <w:t>psychiatric hospitals</w:t>
      </w:r>
      <w:r w:rsidRPr="00BC1614">
        <w:rPr>
          <w:rFonts w:ascii="Times New Roman" w:hAnsi="Times New Roman" w:cs="Times New Roman"/>
          <w:bCs/>
          <w:sz w:val="24"/>
          <w:szCs w:val="24"/>
        </w:rPr>
        <w:t xml:space="preserve"> also lacked consents of legal representatives of children to hospitalisation, or they were prepared </w:t>
      </w:r>
      <w:r w:rsidR="00A566DD">
        <w:rPr>
          <w:rFonts w:ascii="Times New Roman" w:hAnsi="Times New Roman" w:cs="Times New Roman"/>
          <w:bCs/>
          <w:sz w:val="24"/>
          <w:szCs w:val="24"/>
        </w:rPr>
        <w:t xml:space="preserve">not </w:t>
      </w:r>
      <w:r w:rsidRPr="00BC1614">
        <w:rPr>
          <w:rFonts w:ascii="Times New Roman" w:hAnsi="Times New Roman" w:cs="Times New Roman"/>
          <w:bCs/>
          <w:sz w:val="24"/>
          <w:szCs w:val="24"/>
        </w:rPr>
        <w:t xml:space="preserve">in </w:t>
      </w:r>
      <w:r w:rsidR="00A566DD">
        <w:rPr>
          <w:rFonts w:ascii="Times New Roman" w:hAnsi="Times New Roman" w:cs="Times New Roman"/>
          <w:bCs/>
          <w:sz w:val="24"/>
          <w:szCs w:val="24"/>
        </w:rPr>
        <w:t>accordance</w:t>
      </w:r>
      <w:r w:rsidR="00A566DD" w:rsidRPr="00BC1614">
        <w:rPr>
          <w:rFonts w:ascii="Times New Roman" w:hAnsi="Times New Roman" w:cs="Times New Roman"/>
          <w:bCs/>
          <w:sz w:val="24"/>
          <w:szCs w:val="24"/>
        </w:rPr>
        <w:t xml:space="preserve"> </w:t>
      </w:r>
      <w:r w:rsidRPr="00BC1614">
        <w:rPr>
          <w:rFonts w:ascii="Times New Roman" w:hAnsi="Times New Roman" w:cs="Times New Roman"/>
          <w:bCs/>
          <w:sz w:val="24"/>
          <w:szCs w:val="24"/>
        </w:rPr>
        <w:t>with the requirements of the law.</w:t>
      </w:r>
    </w:p>
    <w:p w14:paraId="27FD293A" w14:textId="77777777" w:rsidR="00E44D1D" w:rsidRPr="00BC1614" w:rsidRDefault="00E44D1D" w:rsidP="00E44D1D">
      <w:pPr>
        <w:spacing w:after="0" w:line="360" w:lineRule="auto"/>
        <w:ind w:firstLine="720"/>
        <w:jc w:val="both"/>
        <w:rPr>
          <w:rFonts w:ascii="Times New Roman" w:hAnsi="Times New Roman" w:cs="Times New Roman"/>
          <w:sz w:val="24"/>
          <w:szCs w:val="24"/>
          <w:u w:val="single"/>
        </w:rPr>
      </w:pPr>
      <w:r w:rsidRPr="00BC1614">
        <w:rPr>
          <w:rFonts w:ascii="Times New Roman" w:hAnsi="Times New Roman" w:cs="Times New Roman"/>
          <w:sz w:val="24"/>
          <w:szCs w:val="24"/>
          <w:u w:val="single"/>
        </w:rPr>
        <w:t>Prescribed medications:</w:t>
      </w:r>
    </w:p>
    <w:p w14:paraId="362370F6" w14:textId="08AF6958" w:rsidR="00E44D1D" w:rsidRPr="00BC1614" w:rsidRDefault="00E44D1D" w:rsidP="00E44D1D">
      <w:pPr>
        <w:numPr>
          <w:ilvl w:val="0"/>
          <w:numId w:val="6"/>
        </w:numPr>
        <w:spacing w:after="0" w:line="360" w:lineRule="auto"/>
        <w:contextualSpacing/>
        <w:jc w:val="both"/>
        <w:rPr>
          <w:rFonts w:ascii="Times New Roman" w:eastAsia="Times New Roman" w:hAnsi="Times New Roman" w:cs="Times New Roman"/>
          <w:bCs/>
          <w:sz w:val="24"/>
          <w:szCs w:val="24"/>
          <w:u w:val="single"/>
        </w:rPr>
      </w:pPr>
      <w:r w:rsidRPr="00BC1614">
        <w:rPr>
          <w:rFonts w:ascii="Times New Roman" w:hAnsi="Times New Roman" w:cs="Times New Roman"/>
          <w:bCs/>
          <w:sz w:val="24"/>
          <w:szCs w:val="24"/>
        </w:rPr>
        <w:t xml:space="preserve">It was stated in some </w:t>
      </w:r>
      <w:r w:rsidR="00423414"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xml:space="preserve"> that children were treated with obsolete medicines not suitable for children (including haloperidol, which is also not advisable to adult psychiatric patients</w:t>
      </w:r>
      <w:r w:rsidRPr="00BC1614">
        <w:rPr>
          <w:rFonts w:ascii="Times New Roman" w:eastAsia="Times New Roman" w:hAnsi="Times New Roman" w:cs="Times New Roman"/>
          <w:bCs/>
          <w:sz w:val="24"/>
          <w:szCs w:val="24"/>
          <w:vertAlign w:val="superscript"/>
        </w:rPr>
        <w:footnoteReference w:id="3"/>
      </w:r>
      <w:r w:rsidRPr="00BC1614">
        <w:rPr>
          <w:rFonts w:ascii="Times New Roman" w:hAnsi="Times New Roman" w:cs="Times New Roman"/>
          <w:bCs/>
          <w:sz w:val="24"/>
          <w:szCs w:val="24"/>
        </w:rPr>
        <w:t>), children were also subjected to severe polypharmacy and inadequate dosage and frequency of administration of medicines.</w:t>
      </w:r>
    </w:p>
    <w:p w14:paraId="08B14D82" w14:textId="59E7D81B" w:rsidR="00E44D1D" w:rsidRPr="00BC1614" w:rsidRDefault="00E44D1D" w:rsidP="00E44D1D">
      <w:pPr>
        <w:numPr>
          <w:ilvl w:val="0"/>
          <w:numId w:val="6"/>
        </w:numPr>
        <w:spacing w:after="0" w:line="360" w:lineRule="auto"/>
        <w:contextualSpacing/>
        <w:jc w:val="both"/>
        <w:rPr>
          <w:rFonts w:ascii="Times New Roman" w:eastAsia="Times New Roman" w:hAnsi="Times New Roman" w:cs="Times New Roman"/>
          <w:bCs/>
          <w:sz w:val="24"/>
          <w:szCs w:val="24"/>
          <w:u w:val="single"/>
        </w:rPr>
      </w:pPr>
      <w:r w:rsidRPr="00BC1614">
        <w:rPr>
          <w:rFonts w:ascii="Times New Roman" w:hAnsi="Times New Roman" w:cs="Times New Roman"/>
          <w:bCs/>
          <w:sz w:val="24"/>
          <w:szCs w:val="24"/>
        </w:rPr>
        <w:t xml:space="preserve">Some </w:t>
      </w:r>
      <w:r w:rsidR="00423414"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xml:space="preserve"> did not assess the potential side effects that may occur </w:t>
      </w:r>
      <w:r w:rsidR="00001640">
        <w:rPr>
          <w:rFonts w:ascii="Times New Roman" w:hAnsi="Times New Roman" w:cs="Times New Roman"/>
          <w:bCs/>
          <w:sz w:val="24"/>
          <w:szCs w:val="24"/>
        </w:rPr>
        <w:t>to</w:t>
      </w:r>
      <w:r w:rsidR="00001640" w:rsidRPr="00BC1614">
        <w:rPr>
          <w:rFonts w:ascii="Times New Roman" w:hAnsi="Times New Roman" w:cs="Times New Roman"/>
          <w:bCs/>
          <w:sz w:val="24"/>
          <w:szCs w:val="24"/>
        </w:rPr>
        <w:t xml:space="preserve"> </w:t>
      </w:r>
      <w:r w:rsidRPr="00BC1614">
        <w:rPr>
          <w:rFonts w:ascii="Times New Roman" w:hAnsi="Times New Roman" w:cs="Times New Roman"/>
          <w:bCs/>
          <w:sz w:val="24"/>
          <w:szCs w:val="24"/>
        </w:rPr>
        <w:t xml:space="preserve">children when they are prescribed </w:t>
      </w:r>
      <w:r w:rsidR="00804985" w:rsidRPr="00BC1614">
        <w:rPr>
          <w:rFonts w:ascii="Times New Roman" w:hAnsi="Times New Roman" w:cs="Times New Roman"/>
          <w:bCs/>
          <w:sz w:val="24"/>
          <w:szCs w:val="24"/>
        </w:rPr>
        <w:t>high doses</w:t>
      </w:r>
      <w:r w:rsidRPr="00BC1614">
        <w:rPr>
          <w:rFonts w:ascii="Times New Roman" w:hAnsi="Times New Roman" w:cs="Times New Roman"/>
          <w:bCs/>
          <w:sz w:val="24"/>
          <w:szCs w:val="24"/>
        </w:rPr>
        <w:t xml:space="preserve"> of strong prescription medicines. Nor did they assess the interaction of several medicines and their effects on child’s health.</w:t>
      </w:r>
    </w:p>
    <w:p w14:paraId="14F73A4A" w14:textId="77920B42" w:rsidR="00E44D1D" w:rsidRPr="00BC1614" w:rsidRDefault="00E44D1D" w:rsidP="00E44D1D">
      <w:pPr>
        <w:numPr>
          <w:ilvl w:val="0"/>
          <w:numId w:val="6"/>
        </w:numPr>
        <w:spacing w:after="0" w:line="360" w:lineRule="auto"/>
        <w:contextualSpacing/>
        <w:jc w:val="both"/>
        <w:rPr>
          <w:rFonts w:ascii="Times New Roman" w:eastAsia="Times New Roman" w:hAnsi="Times New Roman" w:cs="Times New Roman"/>
          <w:bCs/>
          <w:sz w:val="24"/>
          <w:szCs w:val="24"/>
          <w:u w:val="single"/>
        </w:rPr>
      </w:pPr>
      <w:r w:rsidRPr="00BC1614">
        <w:rPr>
          <w:rFonts w:ascii="Times New Roman" w:hAnsi="Times New Roman" w:cs="Times New Roman"/>
          <w:bCs/>
          <w:sz w:val="24"/>
          <w:szCs w:val="24"/>
        </w:rPr>
        <w:t xml:space="preserve">In the </w:t>
      </w:r>
      <w:r w:rsidR="00423414"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xml:space="preserve"> with the greatest non-compliance of the medicines prescribed to children, the children were not treated by a child psychiatrist, or the child psychiatrist was very rarely present in the facility.</w:t>
      </w:r>
    </w:p>
    <w:p w14:paraId="6B83D5FD" w14:textId="77777777" w:rsidR="00E44D1D" w:rsidRPr="00BC1614" w:rsidRDefault="00E44D1D" w:rsidP="00E44D1D">
      <w:pPr>
        <w:spacing w:after="0" w:line="360" w:lineRule="auto"/>
        <w:ind w:firstLine="720"/>
        <w:jc w:val="both"/>
        <w:rPr>
          <w:rFonts w:ascii="Times New Roman" w:hAnsi="Times New Roman" w:cs="Times New Roman"/>
          <w:sz w:val="24"/>
          <w:szCs w:val="24"/>
          <w:u w:val="single"/>
        </w:rPr>
      </w:pPr>
      <w:r w:rsidRPr="00BC1614">
        <w:rPr>
          <w:rFonts w:ascii="Times New Roman" w:hAnsi="Times New Roman" w:cs="Times New Roman"/>
          <w:sz w:val="24"/>
          <w:szCs w:val="24"/>
          <w:u w:val="single"/>
        </w:rPr>
        <w:t xml:space="preserve">Living conditions: </w:t>
      </w:r>
    </w:p>
    <w:p w14:paraId="3BB53216" w14:textId="38C6EC19" w:rsidR="00E44D1D" w:rsidRPr="00BC1614" w:rsidRDefault="00E44D1D" w:rsidP="00E44D1D">
      <w:pPr>
        <w:numPr>
          <w:ilvl w:val="0"/>
          <w:numId w:val="7"/>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 xml:space="preserve">In three (out of six) </w:t>
      </w:r>
      <w:r w:rsidR="00423414"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minor teenagers were placed in hospitals together with adults.</w:t>
      </w:r>
    </w:p>
    <w:p w14:paraId="314F547A" w14:textId="425C3E25" w:rsidR="00E44D1D" w:rsidRPr="00BC1614" w:rsidRDefault="00E44D1D" w:rsidP="00E44D1D">
      <w:pPr>
        <w:numPr>
          <w:ilvl w:val="0"/>
          <w:numId w:val="7"/>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lastRenderedPageBreak/>
        <w:t xml:space="preserve">In five of the six </w:t>
      </w:r>
      <w:r w:rsidR="00423414"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children had no or have limited possibility to stay in the hospital with their parents. This option was also not provided for pre-school age children.</w:t>
      </w:r>
    </w:p>
    <w:p w14:paraId="4B68A808" w14:textId="67C8DAB8" w:rsidR="00E44D1D" w:rsidRPr="00BC1614" w:rsidRDefault="00E44D1D" w:rsidP="00E44D1D">
      <w:pPr>
        <w:numPr>
          <w:ilvl w:val="0"/>
          <w:numId w:val="7"/>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 xml:space="preserve">Some </w:t>
      </w:r>
      <w:r w:rsidR="00AC40EF"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xml:space="preserve"> did not provide </w:t>
      </w:r>
      <w:proofErr w:type="gramStart"/>
      <w:r w:rsidRPr="00BC1614">
        <w:rPr>
          <w:rFonts w:ascii="Times New Roman" w:hAnsi="Times New Roman" w:cs="Times New Roman"/>
          <w:bCs/>
          <w:sz w:val="24"/>
          <w:szCs w:val="24"/>
        </w:rPr>
        <w:t>sufficient</w:t>
      </w:r>
      <w:proofErr w:type="gramEnd"/>
      <w:r w:rsidRPr="00BC1614">
        <w:rPr>
          <w:rFonts w:ascii="Times New Roman" w:hAnsi="Times New Roman" w:cs="Times New Roman"/>
          <w:bCs/>
          <w:sz w:val="24"/>
          <w:szCs w:val="24"/>
        </w:rPr>
        <w:t xml:space="preserve"> outdoor walks.</w:t>
      </w:r>
    </w:p>
    <w:p w14:paraId="09032156" w14:textId="77777777" w:rsidR="00E44D1D" w:rsidRPr="00BC1614" w:rsidRDefault="00E44D1D" w:rsidP="00E44D1D">
      <w:pPr>
        <w:spacing w:after="0" w:line="360" w:lineRule="auto"/>
        <w:ind w:firstLine="720"/>
        <w:jc w:val="both"/>
        <w:rPr>
          <w:rFonts w:ascii="Times New Roman" w:hAnsi="Times New Roman" w:cs="Times New Roman"/>
          <w:sz w:val="24"/>
          <w:szCs w:val="24"/>
          <w:u w:val="single"/>
        </w:rPr>
      </w:pPr>
      <w:r w:rsidRPr="00BC1614">
        <w:rPr>
          <w:rFonts w:ascii="Times New Roman" w:hAnsi="Times New Roman" w:cs="Times New Roman"/>
          <w:sz w:val="24"/>
          <w:szCs w:val="24"/>
          <w:u w:val="single"/>
        </w:rPr>
        <w:t>Mechanical restraint and injection of medicines to a patient against his or her will:</w:t>
      </w:r>
    </w:p>
    <w:p w14:paraId="58229F55" w14:textId="1F7BB769" w:rsidR="00E44D1D" w:rsidRPr="00BC1614" w:rsidRDefault="00E44D1D" w:rsidP="00E44D1D">
      <w:pPr>
        <w:numPr>
          <w:ilvl w:val="0"/>
          <w:numId w:val="8"/>
        </w:numPr>
        <w:spacing w:after="0" w:line="360" w:lineRule="auto"/>
        <w:contextualSpacing/>
        <w:jc w:val="both"/>
        <w:rPr>
          <w:rFonts w:ascii="Times New Roman" w:eastAsia="Times New Roman" w:hAnsi="Times New Roman" w:cs="Times New Roman"/>
          <w:bCs/>
          <w:sz w:val="24"/>
          <w:szCs w:val="24"/>
          <w:u w:val="single"/>
        </w:rPr>
      </w:pPr>
      <w:r w:rsidRPr="00BC1614">
        <w:rPr>
          <w:rFonts w:ascii="Times New Roman" w:hAnsi="Times New Roman" w:cs="Times New Roman"/>
          <w:bCs/>
          <w:sz w:val="24"/>
          <w:szCs w:val="24"/>
        </w:rPr>
        <w:t xml:space="preserve">In almost all </w:t>
      </w:r>
      <w:r w:rsidR="00AC40EF"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the administration of medicines against the will of the patient was not properly registered, as required by law.</w:t>
      </w:r>
    </w:p>
    <w:p w14:paraId="43475778" w14:textId="2E5A69F0" w:rsidR="00E44D1D" w:rsidRPr="00BC1614" w:rsidRDefault="00E44D1D" w:rsidP="00E44D1D">
      <w:pPr>
        <w:numPr>
          <w:ilvl w:val="0"/>
          <w:numId w:val="8"/>
        </w:numPr>
        <w:spacing w:after="0" w:line="360" w:lineRule="auto"/>
        <w:contextualSpacing/>
        <w:jc w:val="both"/>
        <w:rPr>
          <w:rFonts w:ascii="Times New Roman" w:eastAsia="Times New Roman" w:hAnsi="Times New Roman" w:cs="Times New Roman"/>
          <w:bCs/>
          <w:sz w:val="24"/>
          <w:szCs w:val="24"/>
          <w:u w:val="single"/>
        </w:rPr>
      </w:pPr>
      <w:r w:rsidRPr="00BC1614">
        <w:rPr>
          <w:rFonts w:ascii="Times New Roman" w:hAnsi="Times New Roman" w:cs="Times New Roman"/>
          <w:bCs/>
          <w:sz w:val="24"/>
          <w:szCs w:val="24"/>
        </w:rPr>
        <w:t>Without “</w:t>
      </w:r>
      <w:proofErr w:type="spellStart"/>
      <w:r w:rsidRPr="00BC1614">
        <w:rPr>
          <w:rFonts w:ascii="Times New Roman" w:hAnsi="Times New Roman" w:cs="Times New Roman"/>
          <w:bCs/>
          <w:sz w:val="24"/>
          <w:szCs w:val="24"/>
        </w:rPr>
        <w:t>Ainaži</w:t>
      </w:r>
      <w:proofErr w:type="spellEnd"/>
      <w:r w:rsidRPr="00BC1614">
        <w:rPr>
          <w:rFonts w:ascii="Times New Roman" w:hAnsi="Times New Roman" w:cs="Times New Roman"/>
          <w:bCs/>
          <w:sz w:val="24"/>
          <w:szCs w:val="24"/>
        </w:rPr>
        <w:t xml:space="preserve">” Psychiatric Hospital for Children, where a disproportionately high number of mechanical restraint cases (nearly 300 times in 2017) were </w:t>
      </w:r>
      <w:r w:rsidR="00F0144A">
        <w:rPr>
          <w:rFonts w:ascii="Times New Roman" w:hAnsi="Times New Roman" w:cs="Times New Roman"/>
          <w:bCs/>
          <w:sz w:val="24"/>
          <w:szCs w:val="24"/>
        </w:rPr>
        <w:t>detected</w:t>
      </w:r>
      <w:r w:rsidR="00F0144A" w:rsidRPr="00BC1614">
        <w:rPr>
          <w:rFonts w:ascii="Times New Roman" w:hAnsi="Times New Roman" w:cs="Times New Roman"/>
          <w:bCs/>
          <w:sz w:val="24"/>
          <w:szCs w:val="24"/>
        </w:rPr>
        <w:t xml:space="preserve"> </w:t>
      </w:r>
      <w:r w:rsidRPr="00BC1614">
        <w:rPr>
          <w:rFonts w:ascii="Times New Roman" w:hAnsi="Times New Roman" w:cs="Times New Roman"/>
          <w:bCs/>
          <w:sz w:val="24"/>
          <w:szCs w:val="24"/>
        </w:rPr>
        <w:t xml:space="preserve">and which violated regulations with regard to the duration, frequency, justification of and informing legal representatives about restraint, no serious violations were identified in other </w:t>
      </w:r>
      <w:r w:rsidR="00DE2AAD"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xml:space="preserve"> (average number of restraints in other facilities has been 0-5 cases of restraining a year).</w:t>
      </w:r>
    </w:p>
    <w:p w14:paraId="22F37D66" w14:textId="4860D732"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u w:val="single"/>
        </w:rPr>
        <w:t>Availability of non-medical treatment:</w:t>
      </w:r>
      <w:r w:rsidRPr="00BC1614">
        <w:rPr>
          <w:rFonts w:ascii="Times New Roman" w:hAnsi="Times New Roman" w:cs="Times New Roman"/>
          <w:sz w:val="24"/>
          <w:szCs w:val="24"/>
        </w:rPr>
        <w:t xml:space="preserve"> Some </w:t>
      </w:r>
      <w:r w:rsidR="00DE2AAD" w:rsidRPr="00BC1614">
        <w:rPr>
          <w:rFonts w:ascii="Times New Roman" w:hAnsi="Times New Roman" w:cs="Times New Roman"/>
          <w:sz w:val="24"/>
          <w:szCs w:val="24"/>
        </w:rPr>
        <w:t>psychiatric hospitals</w:t>
      </w:r>
      <w:r w:rsidRPr="00BC1614">
        <w:rPr>
          <w:rFonts w:ascii="Times New Roman" w:hAnsi="Times New Roman" w:cs="Times New Roman"/>
          <w:sz w:val="24"/>
          <w:szCs w:val="24"/>
        </w:rPr>
        <w:t xml:space="preserve"> did not offer psychosocial rehabilitation and other non-medical treatment. In the facilities with limited rehabilitation services, medicines were prescribed to children as a treatment method more frequently.</w:t>
      </w:r>
    </w:p>
    <w:p w14:paraId="721E6D9F"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u w:val="single"/>
        </w:rPr>
        <w:t>Right of the child to privacy and contacts with the family:</w:t>
      </w:r>
      <w:r w:rsidRPr="00BC1614">
        <w:rPr>
          <w:rFonts w:ascii="Times New Roman" w:hAnsi="Times New Roman" w:cs="Times New Roman"/>
          <w:sz w:val="24"/>
          <w:szCs w:val="24"/>
        </w:rPr>
        <w:t xml:space="preserve"> </w:t>
      </w:r>
    </w:p>
    <w:p w14:paraId="1460561D" w14:textId="462C6FEE" w:rsidR="00E44D1D" w:rsidRPr="00BC1614" w:rsidRDefault="00E44D1D" w:rsidP="00E44D1D">
      <w:pPr>
        <w:numPr>
          <w:ilvl w:val="0"/>
          <w:numId w:val="9"/>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Children from the “</w:t>
      </w:r>
      <w:proofErr w:type="spellStart"/>
      <w:r w:rsidRPr="00BC1614">
        <w:rPr>
          <w:rFonts w:ascii="Times New Roman" w:hAnsi="Times New Roman" w:cs="Times New Roman"/>
          <w:bCs/>
          <w:sz w:val="24"/>
          <w:szCs w:val="24"/>
        </w:rPr>
        <w:t>Ainaži</w:t>
      </w:r>
      <w:proofErr w:type="spellEnd"/>
      <w:r w:rsidRPr="00BC1614">
        <w:rPr>
          <w:rFonts w:ascii="Times New Roman" w:hAnsi="Times New Roman" w:cs="Times New Roman"/>
          <w:bCs/>
          <w:sz w:val="24"/>
          <w:szCs w:val="24"/>
        </w:rPr>
        <w:t xml:space="preserve">” Psychiatric Hospital for Children were not allowed to keep any personal belongings. No such absolute restriction was stated in other </w:t>
      </w:r>
      <w:r w:rsidR="00DE2AAD"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but in some facilities children were not given the opportunity to use their personal clothes (hospital clothes were issued to them).</w:t>
      </w:r>
    </w:p>
    <w:p w14:paraId="4ED458FF" w14:textId="31CEE457" w:rsidR="00E44D1D" w:rsidRPr="00BC1614" w:rsidRDefault="00E44D1D" w:rsidP="00E44D1D">
      <w:pPr>
        <w:numPr>
          <w:ilvl w:val="0"/>
          <w:numId w:val="9"/>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 xml:space="preserve">In some </w:t>
      </w:r>
      <w:r w:rsidR="00AC40EF"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children had limited access to their relatives – their relatives could call them, but they were not given the opportunity to contact their relatives themselves.</w:t>
      </w:r>
    </w:p>
    <w:p w14:paraId="43670CE6" w14:textId="5D9EE5C4" w:rsidR="00E44D1D" w:rsidRPr="00BC1614" w:rsidRDefault="00E44D1D" w:rsidP="00E44D1D">
      <w:pPr>
        <w:numPr>
          <w:ilvl w:val="0"/>
          <w:numId w:val="9"/>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 xml:space="preserve">In some </w:t>
      </w:r>
      <w:r w:rsidR="00AC40EF"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xml:space="preserve">, it was stated that children did not have a separate room in which they could meet their relatives without disturbances (meetings </w:t>
      </w:r>
      <w:r w:rsidR="00F0144A" w:rsidRPr="00BC1614">
        <w:rPr>
          <w:rFonts w:ascii="Times New Roman" w:hAnsi="Times New Roman" w:cs="Times New Roman"/>
          <w:bCs/>
          <w:sz w:val="24"/>
          <w:szCs w:val="24"/>
        </w:rPr>
        <w:t>take</w:t>
      </w:r>
      <w:r w:rsidRPr="00BC1614">
        <w:rPr>
          <w:rFonts w:ascii="Times New Roman" w:hAnsi="Times New Roman" w:cs="Times New Roman"/>
          <w:bCs/>
          <w:sz w:val="24"/>
          <w:szCs w:val="24"/>
        </w:rPr>
        <w:t xml:space="preserve"> place at the staircase).</w:t>
      </w:r>
    </w:p>
    <w:p w14:paraId="63669A5C"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u w:val="single"/>
        </w:rPr>
        <w:t xml:space="preserve">Informing children about the course of medical treatment and learning their opinion on the treatment process: </w:t>
      </w:r>
    </w:p>
    <w:p w14:paraId="723CAE36" w14:textId="3D7E6A4F" w:rsidR="00E44D1D" w:rsidRPr="00BC1614" w:rsidRDefault="00E44D1D" w:rsidP="00E44D1D">
      <w:pPr>
        <w:numPr>
          <w:ilvl w:val="0"/>
          <w:numId w:val="10"/>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 xml:space="preserve">One important systemic problem reoccurring in several </w:t>
      </w:r>
      <w:r w:rsidR="00DE2AAD" w:rsidRPr="00BC1614">
        <w:rPr>
          <w:rFonts w:ascii="Times New Roman" w:hAnsi="Times New Roman" w:cs="Times New Roman"/>
          <w:bCs/>
          <w:sz w:val="24"/>
          <w:szCs w:val="24"/>
        </w:rPr>
        <w:t>psychiatric hospitals</w:t>
      </w:r>
      <w:r w:rsidRPr="00BC1614">
        <w:rPr>
          <w:rFonts w:ascii="Times New Roman" w:hAnsi="Times New Roman" w:cs="Times New Roman"/>
          <w:bCs/>
          <w:sz w:val="24"/>
          <w:szCs w:val="24"/>
        </w:rPr>
        <w:t>, was the lack of involvement of children, particularly those under 14 years of age, in their treatment process. The children were not informed of the course of their treatment, they were given no information on how long they had to stay in the medical treatment facility.</w:t>
      </w:r>
    </w:p>
    <w:p w14:paraId="1CF431F3" w14:textId="77777777" w:rsidR="00E44D1D" w:rsidRPr="00BC1614" w:rsidRDefault="00E44D1D" w:rsidP="00E44D1D">
      <w:pPr>
        <w:numPr>
          <w:ilvl w:val="0"/>
          <w:numId w:val="10"/>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lastRenderedPageBreak/>
        <w:t xml:space="preserve"> Children also have limited opportunities for expressing their discontent or complaints – no hospital has developed the procedure of filing complaints and proposals for children, as provided for in Section 70(2) of the Law on the Protection of the Rights of the Child.</w:t>
      </w:r>
    </w:p>
    <w:p w14:paraId="5F2CF325" w14:textId="4C4471C4"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u w:val="single"/>
        </w:rPr>
        <w:t>Possible violence of staff or peers against children:</w:t>
      </w:r>
      <w:r w:rsidRPr="00BC1614">
        <w:rPr>
          <w:rFonts w:ascii="Times New Roman" w:hAnsi="Times New Roman" w:cs="Times New Roman"/>
          <w:sz w:val="24"/>
          <w:szCs w:val="24"/>
        </w:rPr>
        <w:t xml:space="preserve"> In some </w:t>
      </w:r>
      <w:r w:rsidR="00DE2AAD" w:rsidRPr="00BC1614">
        <w:rPr>
          <w:rFonts w:ascii="Times New Roman" w:hAnsi="Times New Roman" w:cs="Times New Roman"/>
          <w:sz w:val="24"/>
          <w:szCs w:val="24"/>
        </w:rPr>
        <w:t>psychiatric hospitals</w:t>
      </w:r>
      <w:r w:rsidRPr="00BC1614">
        <w:rPr>
          <w:rFonts w:ascii="Times New Roman" w:hAnsi="Times New Roman" w:cs="Times New Roman"/>
          <w:sz w:val="24"/>
          <w:szCs w:val="24"/>
        </w:rPr>
        <w:t>, children pointed out to violence of staff or peers while they were staying in the hospital. A number of shortcomings have been found in some medical treatment facilities that increase the potential risks of child violence: the staff did not have name tags, thereby failing to ensure that the child could recognise each employee (including those who may have acted violently or used non-pedagogical methods to correct the behaviour of the child); the procedure of filing complaints was not available to children; some facilities did observe the requirement of the Law on the Protection of the Rights of the Child to regularly request information from the Penal Register on the criminal records of staff; children were placed in wards with older children whose behavioural disorders are often related to aggression towards others.</w:t>
      </w:r>
    </w:p>
    <w:p w14:paraId="5A78B14D" w14:textId="77777777" w:rsidR="00E44D1D" w:rsidRPr="00BC1614" w:rsidRDefault="00E44D1D" w:rsidP="00E44D1D">
      <w:pPr>
        <w:spacing w:after="0" w:line="360" w:lineRule="auto"/>
        <w:ind w:firstLine="720"/>
        <w:jc w:val="both"/>
        <w:rPr>
          <w:rFonts w:ascii="Times New Roman" w:hAnsi="Times New Roman" w:cs="Times New Roman"/>
          <w:sz w:val="24"/>
          <w:szCs w:val="24"/>
        </w:rPr>
      </w:pPr>
      <w:r w:rsidRPr="00BC1614">
        <w:rPr>
          <w:rFonts w:ascii="Times New Roman" w:hAnsi="Times New Roman" w:cs="Times New Roman"/>
          <w:sz w:val="24"/>
          <w:szCs w:val="24"/>
        </w:rPr>
        <w:t xml:space="preserve">Two psychiatric hospitals should be particularly noted in this regard: </w:t>
      </w:r>
    </w:p>
    <w:p w14:paraId="6336AF29" w14:textId="77777777" w:rsidR="00E44D1D" w:rsidRPr="00BC1614" w:rsidRDefault="00E44D1D" w:rsidP="00E44D1D">
      <w:pPr>
        <w:numPr>
          <w:ilvl w:val="0"/>
          <w:numId w:val="2"/>
        </w:numPr>
        <w:spacing w:after="0" w:line="360" w:lineRule="auto"/>
        <w:contextualSpacing/>
        <w:jc w:val="both"/>
        <w:rPr>
          <w:rFonts w:ascii="Times New Roman" w:eastAsia="Times New Roman" w:hAnsi="Times New Roman" w:cs="Times New Roman"/>
          <w:bCs/>
          <w:sz w:val="24"/>
          <w:szCs w:val="24"/>
        </w:rPr>
      </w:pPr>
      <w:r w:rsidRPr="00BC1614">
        <w:rPr>
          <w:rFonts w:ascii="Times New Roman" w:hAnsi="Times New Roman" w:cs="Times New Roman"/>
          <w:bCs/>
          <w:sz w:val="24"/>
          <w:szCs w:val="24"/>
        </w:rPr>
        <w:t>Serious violations of the rights of children have been stated in the “</w:t>
      </w:r>
      <w:proofErr w:type="spellStart"/>
      <w:r w:rsidRPr="00BC1614">
        <w:rPr>
          <w:rFonts w:ascii="Times New Roman" w:hAnsi="Times New Roman" w:cs="Times New Roman"/>
          <w:bCs/>
          <w:sz w:val="24"/>
          <w:szCs w:val="24"/>
        </w:rPr>
        <w:t>Ainaži</w:t>
      </w:r>
      <w:proofErr w:type="spellEnd"/>
      <w:r w:rsidRPr="00BC1614">
        <w:rPr>
          <w:rFonts w:ascii="Times New Roman" w:hAnsi="Times New Roman" w:cs="Times New Roman"/>
          <w:bCs/>
          <w:sz w:val="24"/>
          <w:szCs w:val="24"/>
        </w:rPr>
        <w:t>” Psychiatric Hospital for Children in almost all areas of children’s rights</w:t>
      </w:r>
      <w:r w:rsidRPr="00BC1614">
        <w:rPr>
          <w:rFonts w:ascii="Times New Roman" w:eastAsia="Times New Roman" w:hAnsi="Times New Roman" w:cs="Times New Roman"/>
          <w:bCs/>
          <w:sz w:val="24"/>
          <w:szCs w:val="24"/>
          <w:vertAlign w:val="superscript"/>
        </w:rPr>
        <w:footnoteReference w:id="4"/>
      </w:r>
      <w:r w:rsidRPr="00BC1614">
        <w:rPr>
          <w:rFonts w:ascii="Times New Roman" w:hAnsi="Times New Roman" w:cs="Times New Roman"/>
          <w:bCs/>
          <w:sz w:val="24"/>
          <w:szCs w:val="24"/>
        </w:rPr>
        <w:t>. The findings of the visits indicated of possible criminal offences, so the information obtained during the visit was forwarded to the Prosecutor General of the Republic of Latvia.</w:t>
      </w:r>
    </w:p>
    <w:p w14:paraId="43EAB014" w14:textId="77777777" w:rsidR="00E44D1D" w:rsidRPr="00BC1614" w:rsidRDefault="00E44D1D" w:rsidP="001A1ECA">
      <w:pPr>
        <w:numPr>
          <w:ilvl w:val="0"/>
          <w:numId w:val="2"/>
        </w:numPr>
        <w:spacing w:after="0" w:line="360" w:lineRule="auto"/>
        <w:contextualSpacing/>
        <w:jc w:val="both"/>
        <w:rPr>
          <w:rFonts w:ascii="Times New Roman" w:hAnsi="Times New Roman" w:cs="Times New Roman"/>
          <w:sz w:val="24"/>
          <w:szCs w:val="24"/>
        </w:rPr>
      </w:pPr>
      <w:r w:rsidRPr="00BC1614">
        <w:rPr>
          <w:rFonts w:ascii="Times New Roman" w:hAnsi="Times New Roman" w:cs="Times New Roman"/>
          <w:bCs/>
          <w:sz w:val="24"/>
          <w:szCs w:val="24"/>
        </w:rPr>
        <w:t>Serious violations related to the use of medicinal products prescribed for children</w:t>
      </w:r>
      <w:r w:rsidRPr="00BC1614">
        <w:rPr>
          <w:rFonts w:ascii="Times New Roman" w:eastAsia="Times New Roman" w:hAnsi="Times New Roman" w:cs="Times New Roman"/>
          <w:bCs/>
          <w:sz w:val="24"/>
          <w:szCs w:val="24"/>
          <w:vertAlign w:val="superscript"/>
        </w:rPr>
        <w:footnoteReference w:id="5"/>
      </w:r>
      <w:r w:rsidRPr="00BC1614">
        <w:rPr>
          <w:rFonts w:ascii="Times New Roman" w:hAnsi="Times New Roman" w:cs="Times New Roman"/>
          <w:bCs/>
          <w:sz w:val="24"/>
          <w:szCs w:val="24"/>
        </w:rPr>
        <w:t xml:space="preserve"> were also identified at the </w:t>
      </w:r>
      <w:proofErr w:type="spellStart"/>
      <w:r w:rsidRPr="00BC1614">
        <w:rPr>
          <w:rFonts w:ascii="Times New Roman" w:hAnsi="Times New Roman" w:cs="Times New Roman"/>
          <w:bCs/>
          <w:sz w:val="24"/>
          <w:szCs w:val="24"/>
        </w:rPr>
        <w:t>Piejūras</w:t>
      </w:r>
      <w:proofErr w:type="spellEnd"/>
      <w:r w:rsidRPr="00BC1614">
        <w:rPr>
          <w:rFonts w:ascii="Times New Roman" w:hAnsi="Times New Roman" w:cs="Times New Roman"/>
          <w:bCs/>
          <w:sz w:val="24"/>
          <w:szCs w:val="24"/>
        </w:rPr>
        <w:t xml:space="preserve"> Hospital, and this information was forwarded to the Health Inspectorate and the Ministry of Health. Since 27 June 2019 children have not been admitted to the inpatient department, because the hospital has failed to resolve the availability of a child psychiatrist to inpatient patients for long time.</w:t>
      </w:r>
      <w:bookmarkEnd w:id="1"/>
    </w:p>
    <w:p w14:paraId="1D71D698" w14:textId="77777777" w:rsidR="00CB7AD0" w:rsidRPr="00BC1614" w:rsidRDefault="00CB7AD0">
      <w:pPr>
        <w:rPr>
          <w:rFonts w:ascii="Times New Roman" w:hAnsi="Times New Roman" w:cs="Times New Roman"/>
          <w:sz w:val="24"/>
          <w:szCs w:val="24"/>
        </w:rPr>
      </w:pPr>
    </w:p>
    <w:sectPr w:rsidR="00CB7AD0" w:rsidRPr="00BC1614" w:rsidSect="00B035FA">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3F670" w14:textId="77777777" w:rsidR="00487790" w:rsidRDefault="00487790" w:rsidP="00E44D1D">
      <w:pPr>
        <w:spacing w:after="0" w:line="240" w:lineRule="auto"/>
      </w:pPr>
      <w:r>
        <w:separator/>
      </w:r>
    </w:p>
  </w:endnote>
  <w:endnote w:type="continuationSeparator" w:id="0">
    <w:p w14:paraId="3FBA7FC8" w14:textId="77777777" w:rsidR="00487790" w:rsidRDefault="00487790" w:rsidP="00E44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568206"/>
      <w:docPartObj>
        <w:docPartGallery w:val="Page Numbers (Bottom of Page)"/>
        <w:docPartUnique/>
      </w:docPartObj>
    </w:sdtPr>
    <w:sdtEndPr>
      <w:rPr>
        <w:noProof/>
      </w:rPr>
    </w:sdtEndPr>
    <w:sdtContent>
      <w:p w14:paraId="500A546F" w14:textId="77777777" w:rsidR="00FD2B65" w:rsidRDefault="00D068A5">
        <w:pPr>
          <w:pStyle w:val="Footer"/>
          <w:jc w:val="center"/>
        </w:pPr>
        <w:r>
          <w:fldChar w:fldCharType="begin"/>
        </w:r>
        <w:r>
          <w:instrText xml:space="preserve"> PAGE   \* MERGEFORMAT </w:instrText>
        </w:r>
        <w:r>
          <w:fldChar w:fldCharType="separate"/>
        </w:r>
        <w:r>
          <w:t>1</w:t>
        </w:r>
        <w:r>
          <w:fldChar w:fldCharType="end"/>
        </w:r>
      </w:p>
    </w:sdtContent>
  </w:sdt>
  <w:p w14:paraId="3755FD04" w14:textId="77777777" w:rsidR="00FD2B65" w:rsidRDefault="000926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940DF" w14:textId="77777777" w:rsidR="00487790" w:rsidRDefault="00487790" w:rsidP="00E44D1D">
      <w:pPr>
        <w:spacing w:after="0" w:line="240" w:lineRule="auto"/>
      </w:pPr>
      <w:r>
        <w:separator/>
      </w:r>
    </w:p>
  </w:footnote>
  <w:footnote w:type="continuationSeparator" w:id="0">
    <w:p w14:paraId="50738DD6" w14:textId="77777777" w:rsidR="00487790" w:rsidRDefault="00487790" w:rsidP="00E44D1D">
      <w:pPr>
        <w:spacing w:after="0" w:line="240" w:lineRule="auto"/>
      </w:pPr>
      <w:r>
        <w:continuationSeparator/>
      </w:r>
    </w:p>
  </w:footnote>
  <w:footnote w:id="1">
    <w:p w14:paraId="2B14E3FB" w14:textId="77777777" w:rsidR="00E44D1D" w:rsidRPr="00B163C2" w:rsidRDefault="00E44D1D" w:rsidP="00E44D1D">
      <w:pPr>
        <w:pStyle w:val="NormalWeb"/>
        <w:spacing w:after="0"/>
        <w:jc w:val="both"/>
        <w:textAlignment w:val="baseline"/>
        <w:rPr>
          <w:rFonts w:eastAsiaTheme="minorEastAsia" w:cstheme="minorBidi"/>
          <w:bCs/>
          <w:color w:val="000000" w:themeColor="text1"/>
          <w:kern w:val="24"/>
          <w:sz w:val="20"/>
          <w:szCs w:val="20"/>
        </w:rPr>
      </w:pPr>
      <w:r>
        <w:rPr>
          <w:rStyle w:val="FootnoteReference"/>
        </w:rPr>
        <w:footnoteRef/>
      </w:r>
      <w:r>
        <w:t xml:space="preserve"> </w:t>
      </w:r>
      <w:r>
        <w:rPr>
          <w:bCs/>
          <w:color w:val="000000" w:themeColor="text1"/>
          <w:sz w:val="20"/>
          <w:szCs w:val="20"/>
        </w:rPr>
        <w:t>Article 6(2) of the UN Convention on the Rights of the Child: “States Parties shall ensure to the maximum extent possible the survival and development of the child.” Section 7 of the Law on the Protection of the Children’s Rights:</w:t>
      </w:r>
      <w:r>
        <w:rPr>
          <w:sz w:val="20"/>
          <w:szCs w:val="20"/>
        </w:rPr>
        <w:t xml:space="preserve"> </w:t>
      </w:r>
      <w:r>
        <w:rPr>
          <w:color w:val="000000" w:themeColor="text1"/>
          <w:sz w:val="20"/>
          <w:szCs w:val="20"/>
        </w:rPr>
        <w:t>“Every child has an inalienable right to the protection of life and development.”</w:t>
      </w:r>
    </w:p>
  </w:footnote>
  <w:footnote w:id="2">
    <w:p w14:paraId="5B7AE15C" w14:textId="77777777" w:rsidR="00E44D1D" w:rsidRPr="000A74F6" w:rsidRDefault="00E44D1D" w:rsidP="00E44D1D">
      <w:pPr>
        <w:pStyle w:val="FootnoteText"/>
      </w:pPr>
      <w:r>
        <w:rPr>
          <w:rStyle w:val="FootnoteReference"/>
        </w:rPr>
        <w:footnoteRef/>
      </w:r>
      <w:r>
        <w:t xml:space="preserve"> http://www.tiesibsargs.lv/files/content/Skola_bez_vardarbibas_Skoleniem_un_Vecakiem_2014.pdf</w:t>
      </w:r>
    </w:p>
    <w:p w14:paraId="142463B6" w14:textId="77777777" w:rsidR="00E44D1D" w:rsidRPr="003E6C5E" w:rsidRDefault="00E44D1D" w:rsidP="00E44D1D">
      <w:pPr>
        <w:pStyle w:val="FootnoteText"/>
      </w:pPr>
      <w:r>
        <w:t>http://www.tiesibsargs.lv/files/content/Skola_bez_vardarbibas_Skolotajiem_2014.pdf</w:t>
      </w:r>
    </w:p>
  </w:footnote>
  <w:footnote w:id="3">
    <w:p w14:paraId="5311F610" w14:textId="77777777" w:rsidR="00E44D1D" w:rsidRPr="00FD2B65" w:rsidRDefault="00E44D1D" w:rsidP="00E44D1D">
      <w:pPr>
        <w:pStyle w:val="FootnoteText"/>
        <w:jc w:val="both"/>
      </w:pPr>
      <w:r>
        <w:rPr>
          <w:rStyle w:val="FootnoteReference"/>
        </w:rPr>
        <w:footnoteRef/>
      </w:r>
      <w:r>
        <w:t xml:space="preserve"> Report to the Latvian Government on the visit to Latvia carried out by CPT from 12 to 22 April 2016, Paragraph 113, pages 42 – 43. Available here: https://rm.coe.int/pdf/168072ce52</w:t>
      </w:r>
    </w:p>
  </w:footnote>
  <w:footnote w:id="4">
    <w:p w14:paraId="73199F72" w14:textId="77777777" w:rsidR="00E44D1D" w:rsidRPr="00FD2B65" w:rsidRDefault="00E44D1D" w:rsidP="00E44D1D">
      <w:pPr>
        <w:pStyle w:val="FootnoteText"/>
        <w:jc w:val="both"/>
      </w:pPr>
      <w:r>
        <w:rPr>
          <w:rStyle w:val="FootnoteReference"/>
        </w:rPr>
        <w:footnoteRef/>
      </w:r>
      <w:r>
        <w:t xml:space="preserve"> Right to </w:t>
      </w:r>
      <w:r>
        <w:rPr>
          <w:b/>
        </w:rPr>
        <w:t>the highest attainable standard of health</w:t>
      </w:r>
      <w:r>
        <w:t xml:space="preserve"> (Article 24 of the UN Convention on the Rights of the Child), right to </w:t>
      </w:r>
      <w:r>
        <w:rPr>
          <w:b/>
        </w:rPr>
        <w:t>life and development</w:t>
      </w:r>
      <w:r>
        <w:t xml:space="preserve"> (Section 7 of the Law on the Protection of the Children’s Rights), right </w:t>
      </w:r>
      <w:r>
        <w:rPr>
          <w:b/>
        </w:rPr>
        <w:t>to the family</w:t>
      </w:r>
      <w:r>
        <w:t xml:space="preserve"> (Section 7</w:t>
      </w:r>
      <w:r>
        <w:rPr>
          <w:vertAlign w:val="superscript"/>
        </w:rPr>
        <w:t>1</w:t>
      </w:r>
      <w:r>
        <w:t xml:space="preserve"> of the Law on the Protection of the Children’s Rights), right to </w:t>
      </w:r>
      <w:r>
        <w:rPr>
          <w:b/>
        </w:rPr>
        <w:t>privacy, freedom and security of person</w:t>
      </w:r>
      <w:r>
        <w:t xml:space="preserve"> (Section 9 of the Law on the Protection of the Children’s Rights), right </w:t>
      </w:r>
      <w:r>
        <w:rPr>
          <w:b/>
        </w:rPr>
        <w:t>to wholesome living conditions and benevolent social environment</w:t>
      </w:r>
      <w:r>
        <w:t xml:space="preserve">, to </w:t>
      </w:r>
      <w:r>
        <w:rPr>
          <w:b/>
        </w:rPr>
        <w:t>adequate nourishment</w:t>
      </w:r>
      <w:r>
        <w:t xml:space="preserve"> (Section 10 of the Law on the Protection of the Children’s Rights), right </w:t>
      </w:r>
      <w:r>
        <w:rPr>
          <w:b/>
        </w:rPr>
        <w:t>to education</w:t>
      </w:r>
      <w:r>
        <w:t xml:space="preserve"> (Section 11 of the Law on the Protection of the Children’s Rights), right </w:t>
      </w:r>
      <w:r>
        <w:rPr>
          <w:b/>
        </w:rPr>
        <w:t xml:space="preserve"> to freely express his or her opinion, and receive understandable information on their health conditions and course of treatment</w:t>
      </w:r>
      <w:r>
        <w:t xml:space="preserve"> (Section 13 of the Law on the Protection of the Children’s Rights and Section 13 of the Law On the Rights of Patients), right </w:t>
      </w:r>
      <w:r>
        <w:rPr>
          <w:b/>
        </w:rPr>
        <w:t>to be protected from all types of violence</w:t>
      </w:r>
      <w:r>
        <w:t xml:space="preserve"> (Article 19 of the UN Convention on the Rights of the Child).</w:t>
      </w:r>
    </w:p>
  </w:footnote>
  <w:footnote w:id="5">
    <w:p w14:paraId="3906DE3D" w14:textId="77777777" w:rsidR="00E44D1D" w:rsidRPr="00FD2B65" w:rsidRDefault="00E44D1D" w:rsidP="00E44D1D">
      <w:pPr>
        <w:pStyle w:val="FootnoteText"/>
        <w:jc w:val="both"/>
      </w:pPr>
      <w:r>
        <w:rPr>
          <w:rStyle w:val="FootnoteReference"/>
        </w:rPr>
        <w:footnoteRef/>
      </w:r>
      <w:r>
        <w:t xml:space="preserve"> Use obsolete medicines not suitable for children and severe polypharmacy and inadequate dosage and frequency of administration of medicines have been stated.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684D"/>
    <w:multiLevelType w:val="hybridMultilevel"/>
    <w:tmpl w:val="57B8A5A8"/>
    <w:lvl w:ilvl="0" w:tplc="630074C2">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16974D71"/>
    <w:multiLevelType w:val="hybridMultilevel"/>
    <w:tmpl w:val="80B411A6"/>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16FA2239"/>
    <w:multiLevelType w:val="hybridMultilevel"/>
    <w:tmpl w:val="55980A7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E944184"/>
    <w:multiLevelType w:val="hybridMultilevel"/>
    <w:tmpl w:val="71622A28"/>
    <w:lvl w:ilvl="0" w:tplc="0426000F">
      <w:start w:val="1"/>
      <w:numFmt w:val="decimal"/>
      <w:lvlText w:val="%1."/>
      <w:lvlJc w:val="left"/>
      <w:pPr>
        <w:ind w:left="1498" w:hanging="360"/>
      </w:pPr>
    </w:lvl>
    <w:lvl w:ilvl="1" w:tplc="04260019" w:tentative="1">
      <w:start w:val="1"/>
      <w:numFmt w:val="lowerLetter"/>
      <w:lvlText w:val="%2."/>
      <w:lvlJc w:val="left"/>
      <w:pPr>
        <w:ind w:left="2218" w:hanging="360"/>
      </w:pPr>
    </w:lvl>
    <w:lvl w:ilvl="2" w:tplc="0426001B" w:tentative="1">
      <w:start w:val="1"/>
      <w:numFmt w:val="lowerRoman"/>
      <w:lvlText w:val="%3."/>
      <w:lvlJc w:val="right"/>
      <w:pPr>
        <w:ind w:left="2938" w:hanging="180"/>
      </w:pPr>
    </w:lvl>
    <w:lvl w:ilvl="3" w:tplc="0426000F" w:tentative="1">
      <w:start w:val="1"/>
      <w:numFmt w:val="decimal"/>
      <w:lvlText w:val="%4."/>
      <w:lvlJc w:val="left"/>
      <w:pPr>
        <w:ind w:left="3658" w:hanging="360"/>
      </w:pPr>
    </w:lvl>
    <w:lvl w:ilvl="4" w:tplc="04260019" w:tentative="1">
      <w:start w:val="1"/>
      <w:numFmt w:val="lowerLetter"/>
      <w:lvlText w:val="%5."/>
      <w:lvlJc w:val="left"/>
      <w:pPr>
        <w:ind w:left="4378" w:hanging="360"/>
      </w:pPr>
    </w:lvl>
    <w:lvl w:ilvl="5" w:tplc="0426001B" w:tentative="1">
      <w:start w:val="1"/>
      <w:numFmt w:val="lowerRoman"/>
      <w:lvlText w:val="%6."/>
      <w:lvlJc w:val="right"/>
      <w:pPr>
        <w:ind w:left="5098" w:hanging="180"/>
      </w:pPr>
    </w:lvl>
    <w:lvl w:ilvl="6" w:tplc="0426000F" w:tentative="1">
      <w:start w:val="1"/>
      <w:numFmt w:val="decimal"/>
      <w:lvlText w:val="%7."/>
      <w:lvlJc w:val="left"/>
      <w:pPr>
        <w:ind w:left="5818" w:hanging="360"/>
      </w:pPr>
    </w:lvl>
    <w:lvl w:ilvl="7" w:tplc="04260019" w:tentative="1">
      <w:start w:val="1"/>
      <w:numFmt w:val="lowerLetter"/>
      <w:lvlText w:val="%8."/>
      <w:lvlJc w:val="left"/>
      <w:pPr>
        <w:ind w:left="6538" w:hanging="360"/>
      </w:pPr>
    </w:lvl>
    <w:lvl w:ilvl="8" w:tplc="0426001B" w:tentative="1">
      <w:start w:val="1"/>
      <w:numFmt w:val="lowerRoman"/>
      <w:lvlText w:val="%9."/>
      <w:lvlJc w:val="right"/>
      <w:pPr>
        <w:ind w:left="7258" w:hanging="180"/>
      </w:pPr>
    </w:lvl>
  </w:abstractNum>
  <w:abstractNum w:abstractNumId="4" w15:restartNumberingAfterBreak="0">
    <w:nsid w:val="2E593FB6"/>
    <w:multiLevelType w:val="hybridMultilevel"/>
    <w:tmpl w:val="FEA0E70C"/>
    <w:lvl w:ilvl="0" w:tplc="A6E4FC9E">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325822"/>
    <w:multiLevelType w:val="hybridMultilevel"/>
    <w:tmpl w:val="590CA54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31763790"/>
    <w:multiLevelType w:val="hybridMultilevel"/>
    <w:tmpl w:val="C29C83B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36077291"/>
    <w:multiLevelType w:val="hybridMultilevel"/>
    <w:tmpl w:val="E422AF84"/>
    <w:lvl w:ilvl="0" w:tplc="5E16FC0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3CB22F90"/>
    <w:multiLevelType w:val="hybridMultilevel"/>
    <w:tmpl w:val="C2468B64"/>
    <w:lvl w:ilvl="0" w:tplc="D354F81A">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44BB7866"/>
    <w:multiLevelType w:val="hybridMultilevel"/>
    <w:tmpl w:val="7E340834"/>
    <w:lvl w:ilvl="0" w:tplc="5E16FC0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2BD4B91"/>
    <w:multiLevelType w:val="hybridMultilevel"/>
    <w:tmpl w:val="83F275B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658912DE"/>
    <w:multiLevelType w:val="hybridMultilevel"/>
    <w:tmpl w:val="EB384720"/>
    <w:lvl w:ilvl="0" w:tplc="5E16FC0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1F93DB4"/>
    <w:multiLevelType w:val="hybridMultilevel"/>
    <w:tmpl w:val="CF7EB87A"/>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3" w15:restartNumberingAfterBreak="0">
    <w:nsid w:val="7F5533BD"/>
    <w:multiLevelType w:val="hybridMultilevel"/>
    <w:tmpl w:val="4B706E5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2"/>
  </w:num>
  <w:num w:numId="2">
    <w:abstractNumId w:val="8"/>
  </w:num>
  <w:num w:numId="3">
    <w:abstractNumId w:val="12"/>
  </w:num>
  <w:num w:numId="4">
    <w:abstractNumId w:val="0"/>
  </w:num>
  <w:num w:numId="5">
    <w:abstractNumId w:val="3"/>
  </w:num>
  <w:num w:numId="6">
    <w:abstractNumId w:val="10"/>
  </w:num>
  <w:num w:numId="7">
    <w:abstractNumId w:val="13"/>
  </w:num>
  <w:num w:numId="8">
    <w:abstractNumId w:val="1"/>
  </w:num>
  <w:num w:numId="9">
    <w:abstractNumId w:val="5"/>
  </w:num>
  <w:num w:numId="10">
    <w:abstractNumId w:val="6"/>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D1D"/>
    <w:rsid w:val="00001640"/>
    <w:rsid w:val="000463B0"/>
    <w:rsid w:val="00057283"/>
    <w:rsid w:val="000926D2"/>
    <w:rsid w:val="000E6B29"/>
    <w:rsid w:val="0016264D"/>
    <w:rsid w:val="00276C70"/>
    <w:rsid w:val="00285577"/>
    <w:rsid w:val="003836D8"/>
    <w:rsid w:val="003A41DB"/>
    <w:rsid w:val="003A5A3A"/>
    <w:rsid w:val="00423414"/>
    <w:rsid w:val="00487790"/>
    <w:rsid w:val="0062656F"/>
    <w:rsid w:val="00660DAE"/>
    <w:rsid w:val="00693696"/>
    <w:rsid w:val="00735241"/>
    <w:rsid w:val="00804985"/>
    <w:rsid w:val="00853901"/>
    <w:rsid w:val="00866ECB"/>
    <w:rsid w:val="009554B3"/>
    <w:rsid w:val="009A6950"/>
    <w:rsid w:val="009B657B"/>
    <w:rsid w:val="00A566DD"/>
    <w:rsid w:val="00A6136B"/>
    <w:rsid w:val="00A824BE"/>
    <w:rsid w:val="00AC40EF"/>
    <w:rsid w:val="00B76BE0"/>
    <w:rsid w:val="00BC1614"/>
    <w:rsid w:val="00C0706F"/>
    <w:rsid w:val="00C71255"/>
    <w:rsid w:val="00CB7AD0"/>
    <w:rsid w:val="00D068A5"/>
    <w:rsid w:val="00D30DBC"/>
    <w:rsid w:val="00D64D91"/>
    <w:rsid w:val="00D6615A"/>
    <w:rsid w:val="00D760B4"/>
    <w:rsid w:val="00DD196F"/>
    <w:rsid w:val="00DE2AAD"/>
    <w:rsid w:val="00E07E46"/>
    <w:rsid w:val="00E44D1D"/>
    <w:rsid w:val="00F0144A"/>
    <w:rsid w:val="00F925E9"/>
    <w:rsid w:val="00FB3C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D39AE"/>
  <w15:chartTrackingRefBased/>
  <w15:docId w15:val="{265839A0-33E5-4895-9A2B-F2DE668D7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4D1D"/>
    <w:rPr>
      <w:rFonts w:ascii="Times New Roman" w:hAnsi="Times New Roman" w:cs="Times New Roman"/>
      <w:sz w:val="24"/>
      <w:szCs w:val="24"/>
    </w:rPr>
  </w:style>
  <w:style w:type="paragraph" w:styleId="FootnoteText">
    <w:name w:val="footnote text"/>
    <w:aliases w:val="Char Char Char,Footnote Text1,Footnote Text1 Char,Footnote Text1 Char Char Char, Char Char Char,5_G,Footnote Text Char Char Char Char Char,Footnote Text Char Char Char Char,Footnote reference,FA Fu,Footnote Text Char Char Char,Footnote,ft"/>
    <w:basedOn w:val="Normal"/>
    <w:link w:val="FootnoteTextChar"/>
    <w:unhideWhenUsed/>
    <w:qFormat/>
    <w:rsid w:val="00E44D1D"/>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aliases w:val="Char Char Char Char,Footnote Text1 Char1,Footnote Text1 Char Char,Footnote Text1 Char Char Char Char, Char Char Char Char,5_G Char,Footnote Text Char Char Char Char Char Char,Footnote Text Char Char Char Char Char1,FA Fu Char,ft Char"/>
    <w:basedOn w:val="DefaultParagraphFont"/>
    <w:link w:val="FootnoteText"/>
    <w:rsid w:val="00E44D1D"/>
    <w:rPr>
      <w:rFonts w:ascii="Times New Roman" w:eastAsia="Times New Roman" w:hAnsi="Times New Roman" w:cs="Times New Roman"/>
      <w:sz w:val="20"/>
      <w:szCs w:val="20"/>
      <w:lang w:eastAsia="lv-LV"/>
    </w:rPr>
  </w:style>
  <w:style w:type="character" w:styleId="FootnoteReference">
    <w:name w:val="footnote reference"/>
    <w:aliases w:val="4_G,Footnotes refss,Texto de nota al pie,Appel note de bas de page,Footnote number,referencia nota al pie,BVI fnr,f,16 Point,Superscript 6 Point,Texto nota al pie,Footnote Reference Char3,Footnote Reference Char1 Char,Ref. de nota al"/>
    <w:uiPriority w:val="99"/>
    <w:unhideWhenUsed/>
    <w:qFormat/>
    <w:rsid w:val="00E44D1D"/>
    <w:rPr>
      <w:vertAlign w:val="superscript"/>
    </w:rPr>
  </w:style>
  <w:style w:type="paragraph" w:styleId="Footer">
    <w:name w:val="footer"/>
    <w:basedOn w:val="Normal"/>
    <w:link w:val="FooterChar"/>
    <w:uiPriority w:val="99"/>
    <w:unhideWhenUsed/>
    <w:rsid w:val="00E44D1D"/>
    <w:pPr>
      <w:tabs>
        <w:tab w:val="center" w:pos="4153"/>
        <w:tab w:val="right" w:pos="8306"/>
      </w:tabs>
      <w:spacing w:after="0" w:line="240" w:lineRule="auto"/>
    </w:pPr>
  </w:style>
  <w:style w:type="character" w:customStyle="1" w:styleId="FooterChar">
    <w:name w:val="Footer Char"/>
    <w:basedOn w:val="DefaultParagraphFont"/>
    <w:link w:val="Footer"/>
    <w:uiPriority w:val="99"/>
    <w:rsid w:val="00E44D1D"/>
  </w:style>
  <w:style w:type="paragraph" w:styleId="BalloonText">
    <w:name w:val="Balloon Text"/>
    <w:basedOn w:val="Normal"/>
    <w:link w:val="BalloonTextChar"/>
    <w:uiPriority w:val="99"/>
    <w:semiHidden/>
    <w:unhideWhenUsed/>
    <w:rsid w:val="00C71255"/>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C71255"/>
    <w:rPr>
      <w:rFonts w:ascii="Arial" w:hAnsi="Arial" w:cs="Arial"/>
      <w:sz w:val="18"/>
      <w:szCs w:val="18"/>
    </w:rPr>
  </w:style>
  <w:style w:type="character" w:styleId="CommentReference">
    <w:name w:val="annotation reference"/>
    <w:basedOn w:val="DefaultParagraphFont"/>
    <w:uiPriority w:val="99"/>
    <w:semiHidden/>
    <w:unhideWhenUsed/>
    <w:rsid w:val="00C71255"/>
    <w:rPr>
      <w:sz w:val="16"/>
      <w:szCs w:val="16"/>
    </w:rPr>
  </w:style>
  <w:style w:type="paragraph" w:styleId="CommentText">
    <w:name w:val="annotation text"/>
    <w:basedOn w:val="Normal"/>
    <w:link w:val="CommentTextChar"/>
    <w:uiPriority w:val="99"/>
    <w:unhideWhenUsed/>
    <w:rsid w:val="00C71255"/>
    <w:pPr>
      <w:spacing w:line="240" w:lineRule="auto"/>
    </w:pPr>
    <w:rPr>
      <w:sz w:val="20"/>
      <w:szCs w:val="20"/>
    </w:rPr>
  </w:style>
  <w:style w:type="character" w:customStyle="1" w:styleId="CommentTextChar">
    <w:name w:val="Comment Text Char"/>
    <w:basedOn w:val="DefaultParagraphFont"/>
    <w:link w:val="CommentText"/>
    <w:uiPriority w:val="99"/>
    <w:rsid w:val="00C71255"/>
    <w:rPr>
      <w:sz w:val="20"/>
      <w:szCs w:val="20"/>
    </w:rPr>
  </w:style>
  <w:style w:type="paragraph" w:styleId="CommentSubject">
    <w:name w:val="annotation subject"/>
    <w:basedOn w:val="CommentText"/>
    <w:next w:val="CommentText"/>
    <w:link w:val="CommentSubjectChar"/>
    <w:uiPriority w:val="99"/>
    <w:semiHidden/>
    <w:unhideWhenUsed/>
    <w:rsid w:val="00C71255"/>
    <w:rPr>
      <w:b/>
      <w:bCs/>
    </w:rPr>
  </w:style>
  <w:style w:type="character" w:customStyle="1" w:styleId="CommentSubjectChar">
    <w:name w:val="Comment Subject Char"/>
    <w:basedOn w:val="CommentTextChar"/>
    <w:link w:val="CommentSubject"/>
    <w:uiPriority w:val="99"/>
    <w:semiHidden/>
    <w:rsid w:val="00C712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31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2DEDB8-2DE4-4661-92DC-C4010DEF7A35}"/>
</file>

<file path=customXml/itemProps2.xml><?xml version="1.0" encoding="utf-8"?>
<ds:datastoreItem xmlns:ds="http://schemas.openxmlformats.org/officeDocument/2006/customXml" ds:itemID="{2D93E3CF-FCA7-459C-AC26-658ADF1A8F09}"/>
</file>

<file path=customXml/itemProps3.xml><?xml version="1.0" encoding="utf-8"?>
<ds:datastoreItem xmlns:ds="http://schemas.openxmlformats.org/officeDocument/2006/customXml" ds:itemID="{821A447D-15EF-4A02-911A-40DEBDEED4E2}"/>
</file>

<file path=docProps/app.xml><?xml version="1.0" encoding="utf-8"?>
<Properties xmlns="http://schemas.openxmlformats.org/officeDocument/2006/extended-properties" xmlns:vt="http://schemas.openxmlformats.org/officeDocument/2006/docPropsVTypes">
  <Template>Normal</Template>
  <TotalTime>3</TotalTime>
  <Pages>19</Pages>
  <Words>6146</Words>
  <Characters>35035</Characters>
  <Application>Microsoft Office Word</Application>
  <DocSecurity>4</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Gundega Bruneniece</dc:creator>
  <cp:keywords/>
  <dc:description/>
  <cp:lastModifiedBy>Laura Bagata</cp:lastModifiedBy>
  <cp:revision>2</cp:revision>
  <cp:lastPrinted>2019-10-01T06:59:00Z</cp:lastPrinted>
  <dcterms:created xsi:type="dcterms:W3CDTF">2019-10-04T10:28:00Z</dcterms:created>
  <dcterms:modified xsi:type="dcterms:W3CDTF">2019-10-04T10:28:00Z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