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D39" w:rsidRDefault="00456D39" w:rsidP="00F460F2">
      <w:pPr>
        <w:spacing w:line="360" w:lineRule="auto"/>
        <w:jc w:val="center"/>
        <w:rPr>
          <w:b/>
          <w:color w:val="000090"/>
          <w:sz w:val="28"/>
          <w:szCs w:val="28"/>
        </w:rPr>
      </w:pPr>
      <w:bookmarkStart w:id="0" w:name="_GoBack"/>
      <w:bookmarkEnd w:id="0"/>
    </w:p>
    <w:p w:rsidR="00456D39" w:rsidRDefault="00456D39" w:rsidP="00F460F2">
      <w:pPr>
        <w:spacing w:line="360" w:lineRule="auto"/>
        <w:jc w:val="center"/>
        <w:rPr>
          <w:b/>
          <w:color w:val="000090"/>
          <w:sz w:val="28"/>
          <w:szCs w:val="28"/>
        </w:rPr>
      </w:pPr>
    </w:p>
    <w:p w:rsidR="00456D39" w:rsidRDefault="00456D39" w:rsidP="00F460F2">
      <w:pPr>
        <w:spacing w:line="360" w:lineRule="auto"/>
        <w:jc w:val="center"/>
        <w:rPr>
          <w:b/>
          <w:color w:val="000090"/>
          <w:sz w:val="28"/>
          <w:szCs w:val="28"/>
        </w:rPr>
      </w:pPr>
    </w:p>
    <w:p w:rsidR="00456D39" w:rsidRDefault="00456D39" w:rsidP="00456D39">
      <w:pPr>
        <w:spacing w:line="360" w:lineRule="auto"/>
        <w:jc w:val="center"/>
        <w:rPr>
          <w:b/>
          <w:color w:val="000090"/>
          <w:sz w:val="28"/>
          <w:szCs w:val="28"/>
        </w:rPr>
      </w:pPr>
      <w:r w:rsidRPr="00456D39">
        <w:rPr>
          <w:b/>
          <w:noProof/>
          <w:color w:val="000090"/>
          <w:sz w:val="28"/>
          <w:szCs w:val="28"/>
          <w:lang w:val="en-GB" w:eastAsia="en-GB"/>
        </w:rPr>
        <w:drawing>
          <wp:inline distT="0" distB="0" distL="0" distR="0">
            <wp:extent cx="2051469" cy="3000375"/>
            <wp:effectExtent l="19050" t="0" r="5931" b="0"/>
            <wp:docPr id="1" name="Picture 1" descr="C:\Users\akamau\AppData\Local\Microsoft\Windows\Temporary Internet Files\Content.Outlook\S3F74VZN\iml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kamau\AppData\Local\Microsoft\Windows\Temporary Internet Files\Content.Outlook\S3F74VZN\imlu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3873" cy="3003891"/>
                    </a:xfrm>
                    <a:prstGeom prst="rect">
                      <a:avLst/>
                    </a:prstGeom>
                    <a:noFill/>
                    <a:ln>
                      <a:noFill/>
                    </a:ln>
                  </pic:spPr>
                </pic:pic>
              </a:graphicData>
            </a:graphic>
          </wp:inline>
        </w:drawing>
      </w:r>
    </w:p>
    <w:p w:rsidR="00456D39" w:rsidRDefault="00456D39" w:rsidP="00F460F2">
      <w:pPr>
        <w:spacing w:line="360" w:lineRule="auto"/>
        <w:jc w:val="center"/>
        <w:rPr>
          <w:b/>
          <w:color w:val="000090"/>
          <w:sz w:val="28"/>
          <w:szCs w:val="28"/>
        </w:rPr>
      </w:pPr>
    </w:p>
    <w:p w:rsidR="006E4741" w:rsidRPr="00C430B5" w:rsidRDefault="00456D39" w:rsidP="00F460F2">
      <w:pPr>
        <w:spacing w:line="360" w:lineRule="auto"/>
        <w:jc w:val="center"/>
        <w:rPr>
          <w:b/>
          <w:color w:val="000090"/>
          <w:sz w:val="28"/>
          <w:szCs w:val="28"/>
        </w:rPr>
      </w:pPr>
      <w:r>
        <w:rPr>
          <w:b/>
          <w:color w:val="000090"/>
          <w:sz w:val="28"/>
          <w:szCs w:val="28"/>
        </w:rPr>
        <w:t xml:space="preserve">SUBMISSION TO THE COMMITTEE AGAINST TORTURE </w:t>
      </w:r>
      <w:r w:rsidR="00F460F2" w:rsidRPr="00C430B5">
        <w:rPr>
          <w:b/>
          <w:color w:val="000090"/>
          <w:sz w:val="28"/>
          <w:szCs w:val="28"/>
        </w:rPr>
        <w:t xml:space="preserve"> </w:t>
      </w:r>
    </w:p>
    <w:p w:rsidR="006E4741" w:rsidRPr="00C430B5" w:rsidRDefault="00F460F2" w:rsidP="00420AD3">
      <w:pPr>
        <w:spacing w:line="360" w:lineRule="auto"/>
        <w:jc w:val="center"/>
        <w:rPr>
          <w:b/>
          <w:color w:val="000090"/>
          <w:sz w:val="28"/>
          <w:szCs w:val="28"/>
        </w:rPr>
      </w:pPr>
      <w:r w:rsidRPr="00C430B5">
        <w:rPr>
          <w:b/>
          <w:color w:val="000090"/>
          <w:sz w:val="28"/>
          <w:szCs w:val="28"/>
        </w:rPr>
        <w:t xml:space="preserve">PRIOR TO THE ADOPTION OF THE LIST OF ISSUES FOR </w:t>
      </w:r>
    </w:p>
    <w:p w:rsidR="006E4741" w:rsidRPr="00C430B5" w:rsidRDefault="00F460F2" w:rsidP="00F460F2">
      <w:pPr>
        <w:spacing w:line="360" w:lineRule="auto"/>
        <w:jc w:val="center"/>
        <w:rPr>
          <w:b/>
          <w:color w:val="000090"/>
          <w:sz w:val="28"/>
          <w:szCs w:val="28"/>
        </w:rPr>
      </w:pPr>
      <w:r w:rsidRPr="00C430B5">
        <w:rPr>
          <w:b/>
          <w:color w:val="000090"/>
          <w:sz w:val="28"/>
          <w:szCs w:val="28"/>
        </w:rPr>
        <w:t xml:space="preserve">KENYA’S THIRD PERIODIC REPORT </w:t>
      </w:r>
    </w:p>
    <w:p w:rsidR="00F460F2" w:rsidRPr="00C430B5" w:rsidRDefault="00F460F2" w:rsidP="00F460F2">
      <w:pPr>
        <w:spacing w:line="360" w:lineRule="auto"/>
        <w:jc w:val="center"/>
        <w:rPr>
          <w:b/>
          <w:color w:val="000090"/>
          <w:sz w:val="28"/>
          <w:szCs w:val="28"/>
        </w:rPr>
      </w:pPr>
      <w:r w:rsidRPr="00C430B5">
        <w:rPr>
          <w:b/>
          <w:color w:val="000090"/>
          <w:sz w:val="28"/>
          <w:szCs w:val="28"/>
        </w:rPr>
        <w:t>TO THE COMMITTEE AGAINST TORTURE AND OTHER CRUEL, INHUMAN AND DEGRADING TREATMENT OR PUNISHMENT</w:t>
      </w:r>
    </w:p>
    <w:p w:rsidR="00F460F2" w:rsidRPr="00C430B5" w:rsidRDefault="00F460F2" w:rsidP="00F460F2">
      <w:pPr>
        <w:spacing w:line="360" w:lineRule="auto"/>
        <w:jc w:val="center"/>
        <w:rPr>
          <w:b/>
          <w:color w:val="000090"/>
          <w:sz w:val="28"/>
          <w:szCs w:val="28"/>
        </w:rPr>
      </w:pPr>
    </w:p>
    <w:p w:rsidR="00F460F2" w:rsidRPr="00C430B5" w:rsidRDefault="00F460F2" w:rsidP="00C430B5">
      <w:pPr>
        <w:spacing w:line="360" w:lineRule="auto"/>
        <w:jc w:val="center"/>
        <w:rPr>
          <w:b/>
          <w:color w:val="000090"/>
          <w:sz w:val="28"/>
          <w:szCs w:val="28"/>
        </w:rPr>
      </w:pPr>
      <w:r w:rsidRPr="00C430B5">
        <w:rPr>
          <w:b/>
          <w:color w:val="000090"/>
          <w:sz w:val="28"/>
          <w:szCs w:val="28"/>
        </w:rPr>
        <w:t>June 2015</w:t>
      </w:r>
    </w:p>
    <w:p w:rsidR="00F460F2" w:rsidRDefault="00F460F2" w:rsidP="001113CE">
      <w:pPr>
        <w:spacing w:line="360" w:lineRule="auto"/>
        <w:rPr>
          <w:b/>
        </w:rPr>
      </w:pPr>
    </w:p>
    <w:p w:rsidR="00122C95" w:rsidRDefault="00122C95" w:rsidP="001113CE">
      <w:pPr>
        <w:spacing w:line="360" w:lineRule="auto"/>
        <w:rPr>
          <w:b/>
          <w:color w:val="000090"/>
        </w:rPr>
      </w:pPr>
    </w:p>
    <w:p w:rsidR="00122C95" w:rsidRDefault="00122C95" w:rsidP="001113CE">
      <w:pPr>
        <w:spacing w:line="360" w:lineRule="auto"/>
        <w:rPr>
          <w:b/>
          <w:color w:val="000090"/>
        </w:rPr>
      </w:pPr>
      <w:r>
        <w:rPr>
          <w:b/>
          <w:color w:val="000090"/>
        </w:rPr>
        <w:t>Contact Person:</w:t>
      </w:r>
    </w:p>
    <w:p w:rsidR="00122C95" w:rsidRPr="00122C95" w:rsidRDefault="00122C95" w:rsidP="00122C95">
      <w:pPr>
        <w:rPr>
          <w:color w:val="000090"/>
        </w:rPr>
      </w:pPr>
      <w:r w:rsidRPr="00122C95">
        <w:rPr>
          <w:color w:val="000090"/>
        </w:rPr>
        <w:t>Peter Kiama</w:t>
      </w:r>
    </w:p>
    <w:p w:rsidR="00122C95" w:rsidRPr="00122C95" w:rsidRDefault="00122C95" w:rsidP="00122C95">
      <w:pPr>
        <w:rPr>
          <w:color w:val="000090"/>
        </w:rPr>
      </w:pPr>
      <w:r w:rsidRPr="00122C95">
        <w:rPr>
          <w:color w:val="000090"/>
        </w:rPr>
        <w:t>Executive Director</w:t>
      </w:r>
    </w:p>
    <w:p w:rsidR="00122C95" w:rsidRPr="00122C95" w:rsidRDefault="00122C95" w:rsidP="00122C95">
      <w:pPr>
        <w:rPr>
          <w:color w:val="000090"/>
        </w:rPr>
      </w:pPr>
      <w:r w:rsidRPr="00122C95">
        <w:rPr>
          <w:color w:val="000090"/>
        </w:rPr>
        <w:t>Independent Medico- legal Unit</w:t>
      </w:r>
    </w:p>
    <w:p w:rsidR="00122C95" w:rsidRPr="00122C95" w:rsidRDefault="00122C95" w:rsidP="00122C95">
      <w:pPr>
        <w:rPr>
          <w:color w:val="000090"/>
        </w:rPr>
      </w:pPr>
      <w:r w:rsidRPr="00122C95">
        <w:rPr>
          <w:color w:val="000090"/>
        </w:rPr>
        <w:t>Tel: +254 020 4450598 or 4456048</w:t>
      </w:r>
    </w:p>
    <w:p w:rsidR="00122C95" w:rsidRDefault="00122C95" w:rsidP="00122C95">
      <w:pPr>
        <w:rPr>
          <w:color w:val="000090"/>
        </w:rPr>
      </w:pPr>
      <w:r w:rsidRPr="00122C95">
        <w:rPr>
          <w:color w:val="000090"/>
        </w:rPr>
        <w:t>Mobile:</w:t>
      </w:r>
      <w:r>
        <w:rPr>
          <w:color w:val="000090"/>
        </w:rPr>
        <w:t xml:space="preserve"> </w:t>
      </w:r>
      <w:r w:rsidRPr="00122C95">
        <w:rPr>
          <w:color w:val="000090"/>
        </w:rPr>
        <w:t>+254 724 256800</w:t>
      </w:r>
    </w:p>
    <w:p w:rsidR="00122C95" w:rsidRDefault="00122C95" w:rsidP="00122C95">
      <w:pPr>
        <w:rPr>
          <w:color w:val="000090"/>
        </w:rPr>
      </w:pPr>
      <w:r>
        <w:rPr>
          <w:color w:val="000090"/>
        </w:rPr>
        <w:t xml:space="preserve">Email: medico@imlu.org or </w:t>
      </w:r>
      <w:hyperlink r:id="rId10" w:history="1">
        <w:r w:rsidRPr="00E03077">
          <w:rPr>
            <w:rStyle w:val="Hyperlink"/>
          </w:rPr>
          <w:t>pkiama@imlu.org</w:t>
        </w:r>
      </w:hyperlink>
    </w:p>
    <w:p w:rsidR="00122C95" w:rsidRPr="00122C95" w:rsidRDefault="00122C95" w:rsidP="00122C95">
      <w:pPr>
        <w:rPr>
          <w:color w:val="000090"/>
        </w:rPr>
      </w:pPr>
      <w:r>
        <w:rPr>
          <w:color w:val="000090"/>
        </w:rPr>
        <w:t>Website: www.imlu.org</w:t>
      </w:r>
    </w:p>
    <w:p w:rsidR="00122C95" w:rsidRDefault="00122C95" w:rsidP="001113CE">
      <w:pPr>
        <w:spacing w:line="360" w:lineRule="auto"/>
        <w:rPr>
          <w:b/>
          <w:color w:val="000090"/>
        </w:rPr>
      </w:pPr>
    </w:p>
    <w:p w:rsidR="00122C95" w:rsidRDefault="00122C95" w:rsidP="001113CE">
      <w:pPr>
        <w:spacing w:line="360" w:lineRule="auto"/>
        <w:rPr>
          <w:b/>
          <w:color w:val="000090"/>
        </w:rPr>
      </w:pPr>
    </w:p>
    <w:p w:rsidR="00122C95" w:rsidRDefault="00122C95" w:rsidP="001113CE">
      <w:pPr>
        <w:spacing w:line="360" w:lineRule="auto"/>
        <w:rPr>
          <w:b/>
          <w:color w:val="000090"/>
        </w:rPr>
      </w:pPr>
    </w:p>
    <w:p w:rsidR="00805D02" w:rsidRPr="00C430B5" w:rsidRDefault="00C430B5" w:rsidP="001113CE">
      <w:pPr>
        <w:spacing w:line="360" w:lineRule="auto"/>
        <w:rPr>
          <w:b/>
          <w:color w:val="000090"/>
        </w:rPr>
      </w:pPr>
      <w:r w:rsidRPr="00C430B5">
        <w:rPr>
          <w:b/>
          <w:color w:val="000090"/>
        </w:rPr>
        <w:t>INTRODUCTION</w:t>
      </w:r>
    </w:p>
    <w:p w:rsidR="00805D02" w:rsidRPr="00805D02" w:rsidRDefault="00805D02" w:rsidP="00684526">
      <w:pPr>
        <w:pStyle w:val="ListParagraph"/>
        <w:numPr>
          <w:ilvl w:val="0"/>
          <w:numId w:val="1"/>
        </w:numPr>
        <w:spacing w:line="360" w:lineRule="auto"/>
        <w:jc w:val="both"/>
      </w:pPr>
      <w:r w:rsidRPr="00805D02">
        <w:t>This is an Alternative Repor</w:t>
      </w:r>
      <w:r>
        <w:t xml:space="preserve">t Prior to the Adoption of the </w:t>
      </w:r>
      <w:r w:rsidRPr="00805D02">
        <w:t xml:space="preserve">List of Issues </w:t>
      </w:r>
      <w:r>
        <w:t>for</w:t>
      </w:r>
      <w:r w:rsidRPr="00805D02">
        <w:t xml:space="preserve"> Kenya’s Third Periodic Report to the Committee Against Torture and Other Cruel, Inhuman and Degrading Treatment or Punishment (the Committee). </w:t>
      </w:r>
    </w:p>
    <w:p w:rsidR="00805D02" w:rsidRPr="00805D02" w:rsidRDefault="00805D02" w:rsidP="00684526">
      <w:pPr>
        <w:spacing w:line="360" w:lineRule="auto"/>
        <w:jc w:val="both"/>
      </w:pPr>
    </w:p>
    <w:p w:rsidR="00805D02" w:rsidRPr="00805D02" w:rsidRDefault="00805D02" w:rsidP="00684526">
      <w:pPr>
        <w:pStyle w:val="ListParagraph"/>
        <w:numPr>
          <w:ilvl w:val="0"/>
          <w:numId w:val="1"/>
        </w:numPr>
        <w:spacing w:line="360" w:lineRule="auto"/>
        <w:jc w:val="both"/>
      </w:pPr>
      <w:r w:rsidRPr="00805D02">
        <w:t xml:space="preserve">IMLU is a human rights organisation </w:t>
      </w:r>
      <w:r w:rsidR="00721CD7">
        <w:t>that</w:t>
      </w:r>
      <w:r w:rsidRPr="00805D02">
        <w:t xml:space="preserve"> began working in Kenya in 1992. Its mission is: promoting the rights of torture victims and protecting Kenyans from all forms of State-perpetrated torture by advocating for legal and policy reforms, monitoring adherence to human rights, rehabilitating victims of torture and building the capacity of key stakeholders.</w:t>
      </w:r>
    </w:p>
    <w:p w:rsidR="00805D02" w:rsidRPr="00805D02" w:rsidRDefault="00805D02" w:rsidP="00684526">
      <w:pPr>
        <w:spacing w:line="360" w:lineRule="auto"/>
        <w:jc w:val="both"/>
      </w:pPr>
    </w:p>
    <w:p w:rsidR="000247D1" w:rsidRDefault="00805D02" w:rsidP="00684526">
      <w:pPr>
        <w:pStyle w:val="ListParagraph"/>
        <w:numPr>
          <w:ilvl w:val="0"/>
          <w:numId w:val="1"/>
        </w:numPr>
        <w:spacing w:line="360" w:lineRule="auto"/>
        <w:jc w:val="both"/>
      </w:pPr>
      <w:r w:rsidRPr="00805D02">
        <w:t xml:space="preserve">Insights for this report have been gained by IMLU as it has continued to undertake its programmes within Kenya </w:t>
      </w:r>
      <w:r w:rsidR="00D63701">
        <w:t>for over</w:t>
      </w:r>
      <w:r w:rsidR="00456D39">
        <w:t xml:space="preserve"> </w:t>
      </w:r>
      <w:r w:rsidR="00D63701">
        <w:t>twenty</w:t>
      </w:r>
      <w:r w:rsidRPr="00805D02">
        <w:t xml:space="preserve"> years.</w:t>
      </w:r>
      <w:r w:rsidR="00456D39">
        <w:t xml:space="preserve"> The report has also been developed in collaboration with DIGNITY and the University of Edinburgh</w:t>
      </w:r>
    </w:p>
    <w:p w:rsidR="000247D1" w:rsidRDefault="000247D1" w:rsidP="00684526">
      <w:pPr>
        <w:spacing w:line="360" w:lineRule="auto"/>
        <w:jc w:val="both"/>
      </w:pPr>
    </w:p>
    <w:p w:rsidR="000247D1" w:rsidRDefault="00805D02" w:rsidP="00684526">
      <w:pPr>
        <w:pStyle w:val="ListParagraph"/>
        <w:numPr>
          <w:ilvl w:val="0"/>
          <w:numId w:val="1"/>
        </w:numPr>
        <w:spacing w:line="360" w:lineRule="auto"/>
        <w:jc w:val="both"/>
      </w:pPr>
      <w:r w:rsidRPr="00805D02">
        <w:t>The issues set out below are by no means exhaustive</w:t>
      </w:r>
      <w:r w:rsidR="00D63701">
        <w:t xml:space="preserve">, </w:t>
      </w:r>
      <w:r w:rsidRPr="00805D02">
        <w:t>but highlight particular</w:t>
      </w:r>
      <w:r>
        <w:t xml:space="preserve"> issues around impunity and access to justice.</w:t>
      </w:r>
      <w:r w:rsidR="00D63701">
        <w:t>T</w:t>
      </w:r>
      <w:r w:rsidR="003C5C9E">
        <w:t xml:space="preserve">his </w:t>
      </w:r>
      <w:r w:rsidR="003C5C9E" w:rsidRPr="00805D02">
        <w:t xml:space="preserve">Alternative Report </w:t>
      </w:r>
      <w:r w:rsidR="003C5C9E">
        <w:t>builds</w:t>
      </w:r>
      <w:r w:rsidR="003C5C9E" w:rsidRPr="00805D02">
        <w:t xml:space="preserve"> on specific Concluding </w:t>
      </w:r>
      <w:r w:rsidR="003C5C9E">
        <w:t>O</w:t>
      </w:r>
      <w:r w:rsidR="003C5C9E" w:rsidRPr="00805D02">
        <w:t>bservations o</w:t>
      </w:r>
      <w:r w:rsidR="003C5C9E">
        <w:t>f</w:t>
      </w:r>
      <w:r w:rsidR="003C5C9E" w:rsidRPr="00805D02">
        <w:t xml:space="preserve"> the </w:t>
      </w:r>
      <w:r w:rsidR="003C5C9E">
        <w:t>S</w:t>
      </w:r>
      <w:r w:rsidR="003C5C9E" w:rsidRPr="00805D02">
        <w:t xml:space="preserve">econd </w:t>
      </w:r>
      <w:r w:rsidR="003C5C9E">
        <w:t>P</w:t>
      </w:r>
      <w:r w:rsidR="003C5C9E" w:rsidRPr="00805D02">
        <w:t xml:space="preserve">eriodic </w:t>
      </w:r>
      <w:r w:rsidR="003C5C9E">
        <w:t>R</w:t>
      </w:r>
      <w:r w:rsidR="003C5C9E" w:rsidRPr="00805D02">
        <w:t>eport of Kenya, adopted by the Committee at its fiftieth session (6</w:t>
      </w:r>
      <w:r w:rsidR="003C5C9E">
        <w:t xml:space="preserve"> to 31 May 2013)</w:t>
      </w:r>
      <w:r w:rsidR="00FA4F99" w:rsidRPr="00FA4F99">
        <w:t>(CAT/C/KEN/CO</w:t>
      </w:r>
      <w:r w:rsidR="00FA4F99" w:rsidRPr="000761A6">
        <w:t>/2)</w:t>
      </w:r>
      <w:r w:rsidR="003C5C9E" w:rsidRPr="000761A6">
        <w:t>. In particular</w:t>
      </w:r>
      <w:r w:rsidR="00D63701">
        <w:t>, it builds on</w:t>
      </w:r>
      <w:r w:rsidR="00721CD7" w:rsidRPr="000761A6">
        <w:t>para</w:t>
      </w:r>
      <w:r w:rsidR="000761A6" w:rsidRPr="000761A6">
        <w:t>.</w:t>
      </w:r>
      <w:r w:rsidR="003C5C9E" w:rsidRPr="000761A6">
        <w:t xml:space="preserve"> 6 on </w:t>
      </w:r>
      <w:r w:rsidR="00D63701">
        <w:t xml:space="preserve">the </w:t>
      </w:r>
      <w:r w:rsidR="003C5C9E" w:rsidRPr="000761A6">
        <w:t xml:space="preserve">enactment of the Prevention of Torture Bill, </w:t>
      </w:r>
      <w:r w:rsidR="00023AE8" w:rsidRPr="000761A6">
        <w:t>para</w:t>
      </w:r>
      <w:r w:rsidR="000761A6" w:rsidRPr="000761A6">
        <w:t>.</w:t>
      </w:r>
      <w:r w:rsidR="003C5C9E" w:rsidRPr="000761A6">
        <w:t xml:space="preserve"> 11 </w:t>
      </w:r>
      <w:r w:rsidR="001113CE" w:rsidRPr="000761A6">
        <w:t xml:space="preserve">and 22 </w:t>
      </w:r>
      <w:r w:rsidR="003C5C9E" w:rsidRPr="000761A6">
        <w:t xml:space="preserve">on the effective investigation of all </w:t>
      </w:r>
      <w:r w:rsidR="00420AD3" w:rsidRPr="000761A6">
        <w:t>allegations</w:t>
      </w:r>
      <w:r w:rsidR="003C5C9E" w:rsidRPr="000761A6">
        <w:t xml:space="preserve"> of torture and ill-treatment,</w:t>
      </w:r>
      <w:r w:rsidR="00023AE8" w:rsidRPr="000761A6">
        <w:t xml:space="preserve"> para</w:t>
      </w:r>
      <w:r w:rsidR="000761A6" w:rsidRPr="000761A6">
        <w:t>.</w:t>
      </w:r>
      <w:r w:rsidR="003C5C9E" w:rsidRPr="000761A6">
        <w:t xml:space="preserve"> 16 on the harassment and arbitrary arrest of vulnerable people, </w:t>
      </w:r>
      <w:r w:rsidR="00023AE8" w:rsidRPr="000761A6">
        <w:t>para</w:t>
      </w:r>
      <w:r w:rsidR="000761A6" w:rsidRPr="000761A6">
        <w:t>.</w:t>
      </w:r>
      <w:r w:rsidR="001113CE" w:rsidRPr="000761A6">
        <w:t xml:space="preserve">21 on witness protection, </w:t>
      </w:r>
      <w:r w:rsidR="009537DF" w:rsidRPr="000761A6">
        <w:t>para</w:t>
      </w:r>
      <w:r w:rsidR="000761A6" w:rsidRPr="000761A6">
        <w:t>.</w:t>
      </w:r>
      <w:r w:rsidR="009537DF" w:rsidRPr="000761A6">
        <w:t xml:space="preserve"> 23 on compensation, </w:t>
      </w:r>
      <w:r w:rsidR="001113CE" w:rsidRPr="000761A6">
        <w:t xml:space="preserve">and </w:t>
      </w:r>
      <w:r w:rsidR="00023AE8" w:rsidRPr="000761A6">
        <w:t>para</w:t>
      </w:r>
      <w:r w:rsidR="000761A6" w:rsidRPr="000761A6">
        <w:t>.</w:t>
      </w:r>
      <w:r w:rsidR="001113CE" w:rsidRPr="000761A6">
        <w:t xml:space="preserve"> 25 on legal aid.</w:t>
      </w:r>
    </w:p>
    <w:p w:rsidR="000247D1" w:rsidRDefault="000247D1" w:rsidP="00684526">
      <w:pPr>
        <w:spacing w:line="360" w:lineRule="auto"/>
        <w:jc w:val="both"/>
      </w:pPr>
    </w:p>
    <w:p w:rsidR="003C5C9E" w:rsidRPr="00805D02" w:rsidRDefault="000247D1" w:rsidP="00684526">
      <w:pPr>
        <w:pStyle w:val="ListParagraph"/>
        <w:numPr>
          <w:ilvl w:val="0"/>
          <w:numId w:val="1"/>
        </w:numPr>
        <w:spacing w:line="360" w:lineRule="auto"/>
        <w:jc w:val="both"/>
      </w:pPr>
      <w:r w:rsidRPr="00805D02">
        <w:t xml:space="preserve">The Report is divided into </w:t>
      </w:r>
      <w:r w:rsidR="006E4741">
        <w:t xml:space="preserve">four sections: </w:t>
      </w:r>
      <w:r w:rsidRPr="00805D02">
        <w:t xml:space="preserve">this introduction, Kenya’s overall constitutional and political context, Key issues, and suggested </w:t>
      </w:r>
      <w:r w:rsidR="006E4741">
        <w:t>questions</w:t>
      </w:r>
      <w:r w:rsidRPr="00805D02">
        <w:t xml:space="preserve"> </w:t>
      </w:r>
      <w:r w:rsidRPr="00805D02">
        <w:lastRenderedPageBreak/>
        <w:t xml:space="preserve">which IMLU hopes the Committee will consider while preparing its List of Issues for the State. </w:t>
      </w:r>
    </w:p>
    <w:p w:rsidR="00805D02" w:rsidRDefault="00805D02" w:rsidP="00684526">
      <w:pPr>
        <w:spacing w:line="360" w:lineRule="auto"/>
        <w:jc w:val="both"/>
      </w:pPr>
    </w:p>
    <w:p w:rsidR="00805D02" w:rsidRPr="00C430B5" w:rsidRDefault="00C430B5" w:rsidP="00684526">
      <w:pPr>
        <w:spacing w:line="360" w:lineRule="auto"/>
        <w:jc w:val="both"/>
        <w:rPr>
          <w:b/>
          <w:color w:val="000090"/>
        </w:rPr>
      </w:pPr>
      <w:r w:rsidRPr="00C430B5">
        <w:rPr>
          <w:b/>
          <w:color w:val="000090"/>
        </w:rPr>
        <w:t>PRESENT KENYAN CONTEXT</w:t>
      </w:r>
    </w:p>
    <w:p w:rsidR="00805D02" w:rsidRPr="00805D02" w:rsidRDefault="00805D02" w:rsidP="00684526">
      <w:pPr>
        <w:pStyle w:val="ListParagraph"/>
        <w:numPr>
          <w:ilvl w:val="0"/>
          <w:numId w:val="1"/>
        </w:numPr>
        <w:spacing w:line="360" w:lineRule="auto"/>
        <w:jc w:val="both"/>
      </w:pPr>
      <w:r w:rsidRPr="00805D02">
        <w:t xml:space="preserve">The 2010 Constitution revised Kenya’s governance </w:t>
      </w:r>
      <w:r w:rsidR="00D63701">
        <w:t>by redefining and reallocating power</w:t>
      </w:r>
      <w:r w:rsidRPr="00805D02">
        <w:t xml:space="preserve"> amongst different institutions both horizontally and vertically. The country’s revitalised institutional arrangements included:the National Police Service, the National Police Service Commission, and the Independent Police Oversight Authority.</w:t>
      </w:r>
    </w:p>
    <w:p w:rsidR="00805D02" w:rsidRPr="00805D02" w:rsidRDefault="00805D02" w:rsidP="00684526">
      <w:pPr>
        <w:spacing w:line="360" w:lineRule="auto"/>
        <w:jc w:val="both"/>
      </w:pPr>
    </w:p>
    <w:p w:rsidR="00805D02" w:rsidRPr="00805D02" w:rsidRDefault="00420AD3" w:rsidP="00684526">
      <w:pPr>
        <w:pStyle w:val="ListParagraph"/>
        <w:numPr>
          <w:ilvl w:val="0"/>
          <w:numId w:val="1"/>
        </w:numPr>
        <w:spacing w:line="360" w:lineRule="auto"/>
        <w:jc w:val="both"/>
      </w:pPr>
      <w:r w:rsidRPr="00805D02">
        <w:t xml:space="preserve">Protection against torture or ill-treatment </w:t>
      </w:r>
      <w:r>
        <w:t>is one of only</w:t>
      </w:r>
      <w:r w:rsidR="00D63701">
        <w:t xml:space="preserve">four unlimited rights </w:t>
      </w:r>
      <w:r w:rsidRPr="00805D02">
        <w:t xml:space="preserve">in the Constitution (Article 25). </w:t>
      </w:r>
    </w:p>
    <w:p w:rsidR="00805D02" w:rsidRPr="00805D02" w:rsidRDefault="00805D02" w:rsidP="00684526">
      <w:pPr>
        <w:spacing w:line="360" w:lineRule="auto"/>
        <w:jc w:val="both"/>
      </w:pPr>
    </w:p>
    <w:p w:rsidR="0084215F" w:rsidRPr="00D63701" w:rsidRDefault="00805D02" w:rsidP="00684526">
      <w:pPr>
        <w:pStyle w:val="ListParagraph"/>
        <w:numPr>
          <w:ilvl w:val="0"/>
          <w:numId w:val="1"/>
        </w:numPr>
        <w:spacing w:line="360" w:lineRule="auto"/>
        <w:jc w:val="both"/>
        <w:rPr>
          <w:b/>
        </w:rPr>
      </w:pPr>
      <w:r w:rsidRPr="00805D02">
        <w:t xml:space="preserve">While the Constitution focuses on the </w:t>
      </w:r>
      <w:r w:rsidR="00D63701">
        <w:t>specific prohibition of</w:t>
      </w:r>
      <w:r w:rsidRPr="00805D02">
        <w:t xml:space="preserve"> torture, it also </w:t>
      </w:r>
      <w:r w:rsidR="00D63701">
        <w:t>prohibits</w:t>
      </w:r>
      <w:r w:rsidRPr="00805D02">
        <w:t xml:space="preserve"> other acts </w:t>
      </w:r>
      <w:r w:rsidR="00D63701">
        <w:t>that fall under a</w:t>
      </w:r>
      <w:r w:rsidRPr="00805D02">
        <w:t xml:space="preserve"> broader definition of torture and cruel, inhuman and degrading treatment or punishment. Article 29 of the Constitution includes the rights not to be: subjected to any form of violence from either public or private sources; or subjected to corporal punishment</w:t>
      </w:r>
      <w:r w:rsidR="00D63701">
        <w:t>.</w:t>
      </w:r>
    </w:p>
    <w:p w:rsidR="00D63701" w:rsidRPr="00D63701" w:rsidRDefault="00D63701" w:rsidP="00684526">
      <w:pPr>
        <w:spacing w:line="360" w:lineRule="auto"/>
        <w:jc w:val="both"/>
        <w:rPr>
          <w:b/>
        </w:rPr>
      </w:pPr>
    </w:p>
    <w:p w:rsidR="0082006A" w:rsidRPr="00C430B5" w:rsidRDefault="00C430B5" w:rsidP="00684526">
      <w:pPr>
        <w:spacing w:line="360" w:lineRule="auto"/>
        <w:jc w:val="both"/>
        <w:rPr>
          <w:b/>
          <w:color w:val="000090"/>
        </w:rPr>
      </w:pPr>
      <w:r w:rsidRPr="00C430B5">
        <w:rPr>
          <w:b/>
          <w:color w:val="000090"/>
        </w:rPr>
        <w:t xml:space="preserve">KEY ISSUES </w:t>
      </w:r>
    </w:p>
    <w:p w:rsidR="0082006A" w:rsidRPr="00805D02" w:rsidRDefault="0082006A" w:rsidP="00684526">
      <w:pPr>
        <w:pStyle w:val="ListParagraph"/>
        <w:numPr>
          <w:ilvl w:val="0"/>
          <w:numId w:val="1"/>
        </w:numPr>
        <w:spacing w:line="360" w:lineRule="auto"/>
        <w:jc w:val="both"/>
      </w:pPr>
      <w:r w:rsidRPr="00805D02">
        <w:t xml:space="preserve">The Prevention of Torture </w:t>
      </w:r>
      <w:r w:rsidR="00420AD3" w:rsidRPr="00805D02">
        <w:t>Bill</w:t>
      </w:r>
      <w:r w:rsidRPr="00805D02">
        <w:t xml:space="preserve"> was prepared collaboratively by </w:t>
      </w:r>
      <w:r w:rsidR="00D63701">
        <w:t>a coalition human rig</w:t>
      </w:r>
      <w:r w:rsidR="00F360F9">
        <w:t>hts organizations and the</w:t>
      </w:r>
      <w:r w:rsidRPr="00805D02">
        <w:t xml:space="preserve"> country’s national human rights institution. If passed in its present form, the Bill would offer many appropriate protections against torture.</w:t>
      </w:r>
      <w:r w:rsidR="00D63701">
        <w:t>However, s</w:t>
      </w:r>
      <w:r w:rsidRPr="00805D02">
        <w:t xml:space="preserve">ince its </w:t>
      </w:r>
      <w:r w:rsidR="00D63701">
        <w:t>draftingin 2011, d</w:t>
      </w:r>
      <w:r w:rsidRPr="00805D02">
        <w:t xml:space="preserve">espite pledges </w:t>
      </w:r>
      <w:r w:rsidR="000247D1">
        <w:t xml:space="preserve">by the </w:t>
      </w:r>
      <w:r w:rsidR="00F460F2">
        <w:t>government</w:t>
      </w:r>
      <w:r w:rsidRPr="00805D02">
        <w:t xml:space="preserve">, </w:t>
      </w:r>
      <w:r w:rsidR="00D63701">
        <w:t xml:space="preserve">the </w:t>
      </w:r>
      <w:r w:rsidRPr="00805D02">
        <w:t>passage of the Bill has not received prioritization</w:t>
      </w:r>
      <w:r w:rsidR="00D63701">
        <w:t>, and it has not entered into law.</w:t>
      </w:r>
    </w:p>
    <w:p w:rsidR="0082006A" w:rsidRPr="00805D02" w:rsidRDefault="0082006A" w:rsidP="00684526">
      <w:pPr>
        <w:spacing w:line="360" w:lineRule="auto"/>
        <w:jc w:val="both"/>
      </w:pPr>
    </w:p>
    <w:p w:rsidR="001113CE" w:rsidRDefault="00420AD3" w:rsidP="00684526">
      <w:pPr>
        <w:pStyle w:val="ListParagraph"/>
        <w:numPr>
          <w:ilvl w:val="0"/>
          <w:numId w:val="1"/>
        </w:numPr>
        <w:spacing w:line="360" w:lineRule="auto"/>
        <w:jc w:val="both"/>
      </w:pPr>
      <w:r w:rsidRPr="00805D02">
        <w:t xml:space="preserve">While the Constitution provides that </w:t>
      </w:r>
      <w:r>
        <w:t xml:space="preserve">the prohibition of </w:t>
      </w:r>
      <w:r w:rsidRPr="00805D02">
        <w:t xml:space="preserve">torture is an </w:t>
      </w:r>
      <w:r w:rsidR="00D63701">
        <w:t>absolute</w:t>
      </w:r>
      <w:r w:rsidRPr="00805D02">
        <w:t xml:space="preserve"> right, the absence of a comprehensive law </w:t>
      </w:r>
      <w:r w:rsidR="00D63701">
        <w:t>against torture creates a number of possible gaps and loopholes</w:t>
      </w:r>
      <w:r w:rsidRPr="00805D02">
        <w:t>.</w:t>
      </w:r>
      <w:r w:rsidR="0082006A" w:rsidRPr="00805D02">
        <w:t xml:space="preserve">It is for instance </w:t>
      </w:r>
      <w:r w:rsidR="00F360F9">
        <w:t>possible</w:t>
      </w:r>
      <w:r w:rsidR="0082006A" w:rsidRPr="00805D02">
        <w:t xml:space="preserve"> that an intelligence officer who perpetrates an act of torture might use the defence in Section 73 of the National Intelligence Service Act which </w:t>
      </w:r>
      <w:r w:rsidR="0082006A" w:rsidRPr="00805D02">
        <w:lastRenderedPageBreak/>
        <w:t>provides that: ‘Proceedings shall not lie against the Director-General or any member of the Service in respect of anything done or omitted to be done in good faith in the performance of the functions of the Service or the exercise of the powers of the Service under this Act.’</w:t>
      </w:r>
    </w:p>
    <w:p w:rsidR="001113CE" w:rsidRPr="001113CE" w:rsidRDefault="001113CE" w:rsidP="00684526">
      <w:pPr>
        <w:spacing w:line="360" w:lineRule="auto"/>
        <w:jc w:val="both"/>
        <w:rPr>
          <w:rFonts w:eastAsia="Times New Roman" w:cs="Times New Roman"/>
          <w:lang w:val="en-GB"/>
        </w:rPr>
      </w:pPr>
    </w:p>
    <w:p w:rsidR="001113CE" w:rsidRPr="001113CE" w:rsidRDefault="00D63701" w:rsidP="00684526">
      <w:pPr>
        <w:pStyle w:val="ListParagraph"/>
        <w:numPr>
          <w:ilvl w:val="0"/>
          <w:numId w:val="1"/>
        </w:numPr>
        <w:spacing w:line="360" w:lineRule="auto"/>
        <w:jc w:val="both"/>
      </w:pPr>
      <w:r>
        <w:rPr>
          <w:rFonts w:eastAsia="Times New Roman" w:cs="Times New Roman"/>
          <w:lang w:val="en-GB"/>
        </w:rPr>
        <w:t>Irrespective of Constitutional provisions, t</w:t>
      </w:r>
      <w:r w:rsidR="00AF3179" w:rsidRPr="001113CE">
        <w:rPr>
          <w:rFonts w:eastAsia="Times New Roman" w:cs="Times New Roman"/>
          <w:lang w:val="en-GB"/>
        </w:rPr>
        <w:t xml:space="preserve">orture and ill-treatment </w:t>
      </w:r>
      <w:r w:rsidR="001113CE" w:rsidRPr="001113CE">
        <w:rPr>
          <w:rFonts w:eastAsia="Times New Roman" w:cs="Times New Roman"/>
          <w:lang w:val="en-GB"/>
        </w:rPr>
        <w:t>remains widespread in Kenya.</w:t>
      </w:r>
      <w:r w:rsidR="004410B0">
        <w:rPr>
          <w:rFonts w:eastAsia="Times New Roman" w:cs="Times New Roman"/>
          <w:lang w:val="en-GB"/>
        </w:rPr>
        <w:t xml:space="preserve"> Between January 2011</w:t>
      </w:r>
      <w:r w:rsidR="00AF3179" w:rsidRPr="001113CE">
        <w:rPr>
          <w:rFonts w:eastAsia="Times New Roman" w:cs="Times New Roman"/>
          <w:lang w:val="en-GB"/>
        </w:rPr>
        <w:t xml:space="preserve"> and November 2014, IMLU has documented 562 cases involving 278 beatings, 123 fatal shooting, 76 shooting, 33 arbitrary arrests, 11 </w:t>
      </w:r>
      <w:r>
        <w:rPr>
          <w:rFonts w:eastAsia="Times New Roman" w:cs="Times New Roman"/>
          <w:lang w:val="en-GB"/>
        </w:rPr>
        <w:t xml:space="preserve">cases of </w:t>
      </w:r>
      <w:r w:rsidR="00AF3179" w:rsidRPr="001113CE">
        <w:rPr>
          <w:rFonts w:eastAsia="Times New Roman" w:cs="Times New Roman"/>
          <w:lang w:val="en-GB"/>
        </w:rPr>
        <w:t xml:space="preserve">psychological torture, 8 burnings, 8 sexual violations </w:t>
      </w:r>
      <w:r w:rsidR="00420AD3" w:rsidRPr="001113CE">
        <w:rPr>
          <w:rFonts w:eastAsia="Times New Roman" w:cs="Times New Roman"/>
          <w:lang w:val="en-GB"/>
        </w:rPr>
        <w:t>i.e.</w:t>
      </w:r>
      <w:r w:rsidR="00AF3179" w:rsidRPr="001113CE">
        <w:rPr>
          <w:rFonts w:eastAsia="Times New Roman" w:cs="Times New Roman"/>
          <w:lang w:val="en-GB"/>
        </w:rPr>
        <w:t xml:space="preserve"> rape, sodomy, indecent assault, 8 deaths as a result of beating, 6 cuttings and stabbings, 5 enforced disappearances, 2 suffocations, 2 deaths in custody, 1 drowning and 1 sleep deprivation. Most of the documented cases occurred in Nairobi, Mombasa, Kiambu and Nakuru Counties and perpetrators were </w:t>
      </w:r>
      <w:r w:rsidR="00420AD3" w:rsidRPr="001113CE">
        <w:rPr>
          <w:rFonts w:eastAsia="Times New Roman" w:cs="Times New Roman"/>
          <w:lang w:val="en-GB"/>
        </w:rPr>
        <w:t>police (</w:t>
      </w:r>
      <w:r w:rsidR="00AF3179" w:rsidRPr="001113CE">
        <w:rPr>
          <w:rFonts w:eastAsia="Times New Roman" w:cs="Times New Roman"/>
          <w:lang w:val="en-GB"/>
        </w:rPr>
        <w:t xml:space="preserve">472), Forest </w:t>
      </w:r>
      <w:r w:rsidR="00420AD3" w:rsidRPr="001113CE">
        <w:rPr>
          <w:rFonts w:eastAsia="Times New Roman" w:cs="Times New Roman"/>
          <w:lang w:val="en-GB"/>
        </w:rPr>
        <w:t>Rangers (</w:t>
      </w:r>
      <w:r w:rsidR="00AF3179" w:rsidRPr="001113CE">
        <w:rPr>
          <w:rFonts w:eastAsia="Times New Roman" w:cs="Times New Roman"/>
          <w:lang w:val="en-GB"/>
        </w:rPr>
        <w:t xml:space="preserve">10), prison officers (51), chiefs (13), Kenya Wildlife Service Officers (15) and teacher in a public school (1). </w:t>
      </w:r>
    </w:p>
    <w:p w:rsidR="001113CE" w:rsidRPr="001113CE" w:rsidRDefault="001113CE" w:rsidP="00684526">
      <w:pPr>
        <w:spacing w:line="360" w:lineRule="auto"/>
        <w:jc w:val="both"/>
        <w:rPr>
          <w:rFonts w:eastAsia="Times New Roman" w:cs="Times New Roman"/>
          <w:lang w:val="en-GB"/>
        </w:rPr>
      </w:pPr>
    </w:p>
    <w:p w:rsidR="00173B6A" w:rsidRPr="00173B6A" w:rsidRDefault="001113CE" w:rsidP="00684526">
      <w:pPr>
        <w:pStyle w:val="ListParagraph"/>
        <w:numPr>
          <w:ilvl w:val="0"/>
          <w:numId w:val="1"/>
        </w:numPr>
        <w:spacing w:line="360" w:lineRule="auto"/>
        <w:jc w:val="both"/>
      </w:pPr>
      <w:r w:rsidRPr="001113CE">
        <w:rPr>
          <w:rFonts w:eastAsia="Times New Roman" w:cs="Times New Roman"/>
          <w:lang w:val="en-GB"/>
        </w:rPr>
        <w:t>IMLU’s case work shows that t</w:t>
      </w:r>
      <w:r w:rsidR="00AF3179" w:rsidRPr="001113CE">
        <w:rPr>
          <w:rFonts w:eastAsia="Times New Roman" w:cs="Times New Roman"/>
          <w:lang w:val="en-GB"/>
        </w:rPr>
        <w:t xml:space="preserve">he reasons for torture </w:t>
      </w:r>
      <w:r w:rsidRPr="001113CE">
        <w:rPr>
          <w:rFonts w:eastAsia="Times New Roman" w:cs="Times New Roman"/>
          <w:lang w:val="en-GB"/>
        </w:rPr>
        <w:t xml:space="preserve">and ill-treatment </w:t>
      </w:r>
      <w:r w:rsidR="00AF3179" w:rsidRPr="001113CE">
        <w:rPr>
          <w:rFonts w:eastAsia="Times New Roman" w:cs="Times New Roman"/>
          <w:lang w:val="en-GB"/>
        </w:rPr>
        <w:t xml:space="preserve">are </w:t>
      </w:r>
      <w:r w:rsidR="004410B0">
        <w:rPr>
          <w:rFonts w:eastAsia="Times New Roman" w:cs="Times New Roman"/>
          <w:lang w:val="en-GB"/>
        </w:rPr>
        <w:t>mainly to</w:t>
      </w:r>
      <w:r w:rsidR="00AF3179" w:rsidRPr="001113CE">
        <w:rPr>
          <w:rFonts w:eastAsia="Times New Roman" w:cs="Times New Roman"/>
          <w:lang w:val="en-GB"/>
        </w:rPr>
        <w:t xml:space="preserve">:- 1) procure confession or admissions of crime; 2) to intimidate the victim; 3)extort bribes from suspected criminals 4) get information from criminal suspects </w:t>
      </w:r>
      <w:r w:rsidR="004410B0">
        <w:rPr>
          <w:rFonts w:eastAsia="Times New Roman" w:cs="Times New Roman"/>
          <w:lang w:val="en-GB"/>
        </w:rPr>
        <w:t>5) to punish persons who enquire the reasons for arrest and 6</w:t>
      </w:r>
      <w:r w:rsidR="00AF3179" w:rsidRPr="001113CE">
        <w:rPr>
          <w:rFonts w:eastAsia="Times New Roman" w:cs="Times New Roman"/>
          <w:lang w:val="en-GB"/>
        </w:rPr>
        <w:t xml:space="preserve">) to find contraband during searches in penal institutions. </w:t>
      </w:r>
    </w:p>
    <w:p w:rsidR="00173B6A" w:rsidRDefault="00173B6A" w:rsidP="00684526">
      <w:pPr>
        <w:spacing w:line="360" w:lineRule="auto"/>
        <w:jc w:val="both"/>
      </w:pPr>
    </w:p>
    <w:p w:rsidR="00173B6A" w:rsidRDefault="00420AD3" w:rsidP="00684526">
      <w:pPr>
        <w:pStyle w:val="ListParagraph"/>
        <w:numPr>
          <w:ilvl w:val="0"/>
          <w:numId w:val="1"/>
        </w:numPr>
        <w:spacing w:line="360" w:lineRule="auto"/>
        <w:jc w:val="both"/>
      </w:pPr>
      <w:r w:rsidRPr="00173B6A">
        <w:t>The poor remain particularly vulnerable to torture and ill-treatment by the police</w:t>
      </w:r>
      <w:r>
        <w:t xml:space="preserve"> and other public officials</w:t>
      </w:r>
      <w:r w:rsidRPr="00173B6A">
        <w:t xml:space="preserve">. </w:t>
      </w:r>
      <w:r w:rsidR="00B9012B" w:rsidRPr="00173B6A">
        <w:t xml:space="preserve">In 2014, IMLU carried out a field survey amongst </w:t>
      </w:r>
      <w:r w:rsidR="00B91F80" w:rsidRPr="00173B6A">
        <w:rPr>
          <w:rFonts w:eastAsia="Times New Roman" w:cs="Times New Roman"/>
          <w:lang w:val="en-GB"/>
        </w:rPr>
        <w:t>586 randomly selected respondents</w:t>
      </w:r>
      <w:r w:rsidR="00B9012B" w:rsidRPr="00173B6A">
        <w:rPr>
          <w:rFonts w:eastAsia="Times New Roman" w:cs="Times New Roman"/>
          <w:lang w:val="en-GB"/>
        </w:rPr>
        <w:t xml:space="preserve"> hawkers and small business operators in Nairobi</w:t>
      </w:r>
      <w:r w:rsidR="00D63701">
        <w:rPr>
          <w:rFonts w:eastAsia="Times New Roman" w:cs="Times New Roman"/>
          <w:lang w:val="en-GB"/>
        </w:rPr>
        <w:t>.</w:t>
      </w:r>
      <w:r w:rsidR="00D63701">
        <w:rPr>
          <w:rStyle w:val="FootnoteReference"/>
          <w:rFonts w:eastAsia="Times New Roman" w:cs="Times New Roman"/>
          <w:lang w:val="en-GB"/>
        </w:rPr>
        <w:footnoteReference w:id="1"/>
      </w:r>
      <w:r w:rsidR="00173B6A" w:rsidRPr="00173B6A">
        <w:t xml:space="preserve"> 9% of the respondents reported </w:t>
      </w:r>
      <w:r w:rsidR="006C0B8A">
        <w:t xml:space="preserve">that </w:t>
      </w:r>
      <w:r w:rsidR="00173B6A" w:rsidRPr="00173B6A">
        <w:t>they had been beaten by public officials. 52.1% reported that they kn</w:t>
      </w:r>
      <w:r w:rsidR="006C0B8A">
        <w:t xml:space="preserve">ew </w:t>
      </w:r>
      <w:r w:rsidR="00F360F9">
        <w:t xml:space="preserve">of </w:t>
      </w:r>
      <w:r w:rsidR="00F360F9" w:rsidRPr="00173B6A">
        <w:t>another</w:t>
      </w:r>
      <w:r w:rsidR="00173B6A" w:rsidRPr="00173B6A">
        <w:t xml:space="preserve"> trader who had experienced beatings. </w:t>
      </w:r>
      <w:r w:rsidR="00173B6A" w:rsidRPr="00173B6A">
        <w:rPr>
          <w:rFonts w:eastAsia="Times New Roman" w:cs="Times New Roman"/>
          <w:lang w:val="en-GB"/>
        </w:rPr>
        <w:t xml:space="preserve">The survey also found that 131 or (22.4%) of the respondents reported that they knew of a trader who has been killed. </w:t>
      </w:r>
      <w:r w:rsidRPr="00173B6A">
        <w:rPr>
          <w:rFonts w:eastAsia="Times New Roman" w:cs="Times New Roman"/>
          <w:lang w:val="en-GB"/>
        </w:rPr>
        <w:t xml:space="preserve">The injuries reported included injuries sustained to </w:t>
      </w:r>
      <w:r w:rsidRPr="00173B6A">
        <w:rPr>
          <w:rFonts w:eastAsia="Times New Roman" w:cs="Times New Roman"/>
          <w:lang w:val="en-GB"/>
        </w:rPr>
        <w:lastRenderedPageBreak/>
        <w:t xml:space="preserve">the body, head, broken limbs, loss of teeth, internal injuries and deep wounds as a result of stabbing. </w:t>
      </w:r>
      <w:r w:rsidR="00173B6A" w:rsidRPr="00173B6A">
        <w:rPr>
          <w:rFonts w:eastAsia="Times New Roman" w:cs="Times New Roman"/>
          <w:lang w:val="en-GB"/>
        </w:rPr>
        <w:t xml:space="preserve">Injuries were reportedly caused by weapons such as broken bottles, iron bars, </w:t>
      </w:r>
      <w:r w:rsidR="00173B6A" w:rsidRPr="00FA7281">
        <w:rPr>
          <w:rFonts w:eastAsia="Times New Roman" w:cs="Times New Roman"/>
          <w:i/>
          <w:lang w:val="en-GB"/>
        </w:rPr>
        <w:t>rungus</w:t>
      </w:r>
      <w:r w:rsidR="00173B6A" w:rsidRPr="00173B6A">
        <w:rPr>
          <w:rFonts w:eastAsia="Times New Roman" w:cs="Times New Roman"/>
          <w:lang w:val="en-GB"/>
        </w:rPr>
        <w:t xml:space="preserve"> (clubs) and stones. </w:t>
      </w:r>
      <w:r w:rsidR="00173B6A" w:rsidRPr="00173B6A">
        <w:t xml:space="preserve">The leading perpetrators of beatings were found to be City </w:t>
      </w:r>
      <w:r w:rsidR="00173B6A" w:rsidRPr="00FA7281">
        <w:rPr>
          <w:i/>
        </w:rPr>
        <w:t>askaris</w:t>
      </w:r>
      <w:r w:rsidR="00173B6A" w:rsidRPr="00173B6A">
        <w:t xml:space="preserve"> (municipal guards) followed by police. 91.6% said </w:t>
      </w:r>
      <w:r w:rsidR="00173B6A" w:rsidRPr="00FA7281">
        <w:rPr>
          <w:i/>
        </w:rPr>
        <w:t>askaris</w:t>
      </w:r>
      <w:r w:rsidR="00173B6A" w:rsidRPr="00173B6A">
        <w:t xml:space="preserve"> were the leading perpetrators.</w:t>
      </w:r>
    </w:p>
    <w:p w:rsidR="00173B6A" w:rsidRDefault="00173B6A" w:rsidP="00684526">
      <w:pPr>
        <w:spacing w:line="360" w:lineRule="auto"/>
        <w:jc w:val="both"/>
      </w:pPr>
    </w:p>
    <w:p w:rsidR="00D31223" w:rsidRDefault="009F6E5F" w:rsidP="00684526">
      <w:pPr>
        <w:pStyle w:val="ListParagraph"/>
        <w:numPr>
          <w:ilvl w:val="0"/>
          <w:numId w:val="1"/>
        </w:numPr>
        <w:spacing w:line="360" w:lineRule="auto"/>
        <w:jc w:val="both"/>
      </w:pPr>
      <w:r w:rsidRPr="00173B6A">
        <w:t>D</w:t>
      </w:r>
      <w:r w:rsidR="00B91F80" w:rsidRPr="00173B6A">
        <w:t xml:space="preserve">rivers of violence in the interactionbetween traders </w:t>
      </w:r>
      <w:r w:rsidR="00173B6A" w:rsidRPr="00173B6A">
        <w:t xml:space="preserve">and </w:t>
      </w:r>
      <w:r w:rsidRPr="00173B6A">
        <w:t>public authorities</w:t>
      </w:r>
      <w:r w:rsidR="00B91F80" w:rsidRPr="00173B6A">
        <w:t xml:space="preserve"> include </w:t>
      </w:r>
      <w:r w:rsidRPr="00173B6A">
        <w:t xml:space="preserve">harassment over trading licensing, </w:t>
      </w:r>
      <w:r w:rsidR="00B91F80" w:rsidRPr="00173B6A">
        <w:t xml:space="preserve">rent-seeking behaviour </w:t>
      </w:r>
      <w:r w:rsidRPr="00173B6A">
        <w:t xml:space="preserve">from </w:t>
      </w:r>
      <w:r w:rsidR="00B91F80" w:rsidRPr="00173B6A">
        <w:t>City County officials</w:t>
      </w:r>
      <w:r w:rsidRPr="00173B6A">
        <w:t>, and</w:t>
      </w:r>
      <w:r w:rsidR="00B91F80" w:rsidRPr="00173B6A">
        <w:t xml:space="preserve"> demandsfor sexual favours in exchange for protection.</w:t>
      </w:r>
      <w:r w:rsidRPr="00173B6A">
        <w:t xml:space="preserve"> Threats and requests for bribes are </w:t>
      </w:r>
      <w:r w:rsidRPr="00173B6A">
        <w:rPr>
          <w:rFonts w:eastAsia="Times New Roman" w:cs="Times New Roman"/>
          <w:lang w:val="en-GB"/>
        </w:rPr>
        <w:t>often</w:t>
      </w:r>
      <w:r w:rsidR="000D36A5" w:rsidRPr="00173B6A">
        <w:rPr>
          <w:rFonts w:eastAsia="Times New Roman" w:cs="Times New Roman"/>
          <w:lang w:val="en-GB"/>
        </w:rPr>
        <w:t xml:space="preserve"> precursor to beatings, shootings and other abusive acts. City </w:t>
      </w:r>
      <w:r w:rsidR="000D36A5" w:rsidRPr="00420AD3">
        <w:rPr>
          <w:rFonts w:eastAsia="Times New Roman" w:cs="Times New Roman"/>
          <w:i/>
          <w:lang w:val="en-GB"/>
        </w:rPr>
        <w:t>askaris</w:t>
      </w:r>
      <w:r w:rsidRPr="00173B6A">
        <w:rPr>
          <w:rFonts w:eastAsia="Times New Roman" w:cs="Times New Roman"/>
          <w:lang w:val="en-GB"/>
        </w:rPr>
        <w:t>, in particular,</w:t>
      </w:r>
      <w:r w:rsidR="000D36A5" w:rsidRPr="00173B6A">
        <w:rPr>
          <w:rFonts w:eastAsia="Times New Roman" w:cs="Times New Roman"/>
          <w:lang w:val="en-GB"/>
        </w:rPr>
        <w:t xml:space="preserve"> extracted bribes in exchange for allowing the traders to operate especially in undesignated areas or w</w:t>
      </w:r>
      <w:r w:rsidRPr="00173B6A">
        <w:rPr>
          <w:rFonts w:eastAsia="Times New Roman" w:cs="Times New Roman"/>
          <w:lang w:val="en-GB"/>
        </w:rPr>
        <w:t>hen they do not possess permits</w:t>
      </w:r>
      <w:r w:rsidR="000D36A5" w:rsidRPr="00173B6A">
        <w:rPr>
          <w:rFonts w:eastAsia="Times New Roman" w:cs="Times New Roman"/>
          <w:lang w:val="en-GB"/>
        </w:rPr>
        <w:t xml:space="preserve">. </w:t>
      </w:r>
      <w:r w:rsidRPr="00173B6A">
        <w:t>38.7% of respondents reported that they had experienced threats from public officials in the previous year. Traders are often threatened with arrest, confiscation of their wares, banishment from the City, beatings or even death.48.6% of respondents reported that they had paidbribes.</w:t>
      </w:r>
    </w:p>
    <w:p w:rsidR="002A352D" w:rsidRDefault="002A352D" w:rsidP="002A352D">
      <w:pPr>
        <w:pStyle w:val="ListParagraph"/>
      </w:pPr>
    </w:p>
    <w:p w:rsidR="002A352D" w:rsidRDefault="002A352D" w:rsidP="00684526">
      <w:pPr>
        <w:pStyle w:val="ListParagraph"/>
        <w:numPr>
          <w:ilvl w:val="0"/>
          <w:numId w:val="1"/>
        </w:numPr>
        <w:spacing w:line="360" w:lineRule="auto"/>
        <w:jc w:val="both"/>
      </w:pPr>
      <w:r>
        <w:t xml:space="preserve">In 2014 IMLU conducted a survey on the use of firearms in Kenya `GUNS: OUR SECURITY, OUR DILEMA. From the report, it emerged that 65% of the gun-related deaths were perpetrated by law enforcement officers. However there is no mechanism to hold the officers concerned accountable for their actions. The issue is aggravated </w:t>
      </w:r>
      <w:r w:rsidR="00150AD7">
        <w:t xml:space="preserve">by the fact Kenya lacks a forensic documentation and independent </w:t>
      </w:r>
      <w:r>
        <w:t>death investigation system</w:t>
      </w:r>
      <w:r w:rsidR="00150AD7">
        <w:t>.</w:t>
      </w:r>
      <w:r w:rsidR="00150AD7">
        <w:rPr>
          <w:rStyle w:val="FootnoteReference"/>
        </w:rPr>
        <w:footnoteReference w:id="2"/>
      </w:r>
    </w:p>
    <w:p w:rsidR="00D31223" w:rsidRPr="00D31223" w:rsidRDefault="00D31223" w:rsidP="00684526">
      <w:pPr>
        <w:spacing w:line="360" w:lineRule="auto"/>
        <w:jc w:val="both"/>
        <w:rPr>
          <w:highlight w:val="yellow"/>
        </w:rPr>
      </w:pPr>
    </w:p>
    <w:p w:rsidR="00FC0C76" w:rsidRPr="00150AD7" w:rsidRDefault="00EA351D" w:rsidP="00684526">
      <w:pPr>
        <w:pStyle w:val="ListParagraph"/>
        <w:numPr>
          <w:ilvl w:val="0"/>
          <w:numId w:val="1"/>
        </w:numPr>
        <w:spacing w:line="360" w:lineRule="auto"/>
        <w:jc w:val="both"/>
      </w:pPr>
      <w:r w:rsidRPr="00FC0C76">
        <w:t>In 2015 IMLU, in conjunction w</w:t>
      </w:r>
      <w:r w:rsidR="006C0B8A">
        <w:t>ith the University of Edinburgh</w:t>
      </w:r>
      <w:r w:rsidRPr="00FC0C76">
        <w:t xml:space="preserve"> and DIGNITY, carried out a household survey in three slum areas of Nairobi, survey</w:t>
      </w:r>
      <w:r w:rsidR="00FC0C76" w:rsidRPr="00FC0C76">
        <w:t xml:space="preserve">ing a total of 500 respondents. </w:t>
      </w:r>
      <w:r w:rsidRPr="00FC0C76">
        <w:t xml:space="preserve">Provisional analysis shows </w:t>
      </w:r>
      <w:r w:rsidRPr="00FC0C76">
        <w:lastRenderedPageBreak/>
        <w:t>that</w:t>
      </w:r>
      <w:r w:rsidR="000F5E45" w:rsidRPr="00FC0C76">
        <w:t xml:space="preserve">18.6% </w:t>
      </w:r>
      <w:r w:rsidR="00FC0C76" w:rsidRPr="00FC0C76">
        <w:t>of respondents reported a member of their household had been subjected to violence by the police in the last year.</w:t>
      </w:r>
    </w:p>
    <w:p w:rsidR="000F79C8" w:rsidRPr="00FC0C76" w:rsidRDefault="00AC0DF6" w:rsidP="00684526">
      <w:pPr>
        <w:pStyle w:val="ListParagraph"/>
        <w:numPr>
          <w:ilvl w:val="0"/>
          <w:numId w:val="1"/>
        </w:numPr>
        <w:spacing w:line="360" w:lineRule="auto"/>
        <w:jc w:val="both"/>
      </w:pPr>
      <w:r w:rsidRPr="00FC0C76">
        <w:rPr>
          <w:rFonts w:eastAsia="Times New Roman" w:cs="Times New Roman"/>
          <w:lang w:val="en-GB"/>
        </w:rPr>
        <w:t xml:space="preserve">Accountability for state and public officers is one of the key pillars enshrined in Article 10(2) (b) of the Constitution of Kenya. The establishment of the Independent Policing Oversight Authority (IPOA) in 2011 was a key step to enhance accountability p for abuses perpetrated by members of the National Police Service. </w:t>
      </w:r>
      <w:r w:rsidR="006C0B8A">
        <w:rPr>
          <w:rFonts w:eastAsia="Times New Roman" w:cs="Times New Roman"/>
          <w:lang w:val="en-GB"/>
        </w:rPr>
        <w:t>However</w:t>
      </w:r>
      <w:r w:rsidRPr="00FC0C76">
        <w:rPr>
          <w:rFonts w:eastAsia="Times New Roman" w:cs="Times New Roman"/>
          <w:lang w:val="en-GB"/>
        </w:rPr>
        <w:t xml:space="preserve">, prosecution of police officers involved in acts of torture and ill-treatment are </w:t>
      </w:r>
      <w:r w:rsidR="006C0B8A">
        <w:rPr>
          <w:rFonts w:eastAsia="Times New Roman" w:cs="Times New Roman"/>
          <w:lang w:val="en-GB"/>
        </w:rPr>
        <w:t xml:space="preserve">still </w:t>
      </w:r>
      <w:r w:rsidRPr="00FC0C76">
        <w:rPr>
          <w:rFonts w:eastAsia="Times New Roman" w:cs="Times New Roman"/>
          <w:lang w:val="en-GB"/>
        </w:rPr>
        <w:t xml:space="preserve">scarce and far between. </w:t>
      </w:r>
      <w:r w:rsidR="001113CE" w:rsidRPr="00FC0C76">
        <w:rPr>
          <w:rFonts w:eastAsia="Times New Roman" w:cs="Times New Roman"/>
          <w:lang w:val="en-GB"/>
        </w:rPr>
        <w:t>IPOA remains heavily underfunded</w:t>
      </w:r>
      <w:r w:rsidR="000F79C8" w:rsidRPr="00FC0C76">
        <w:rPr>
          <w:rFonts w:eastAsia="Times New Roman" w:cs="Times New Roman"/>
          <w:lang w:val="en-GB"/>
        </w:rPr>
        <w:t xml:space="preserve">, </w:t>
      </w:r>
      <w:r w:rsidR="00FA7281" w:rsidRPr="00FC0C76">
        <w:rPr>
          <w:rFonts w:eastAsia="Times New Roman" w:cs="Times New Roman"/>
          <w:lang w:val="en-GB"/>
        </w:rPr>
        <w:t xml:space="preserve">reporting </w:t>
      </w:r>
      <w:r w:rsidR="006C0B8A">
        <w:rPr>
          <w:rFonts w:eastAsia="Times New Roman" w:cs="Times New Roman"/>
          <w:lang w:val="en-GB"/>
        </w:rPr>
        <w:t xml:space="preserve">that it had </w:t>
      </w:r>
      <w:r w:rsidR="00FA7281" w:rsidRPr="00FC0C76">
        <w:rPr>
          <w:rFonts w:eastAsia="Times New Roman" w:cs="Times New Roman"/>
          <w:lang w:val="en-GB"/>
        </w:rPr>
        <w:t xml:space="preserve">only </w:t>
      </w:r>
      <w:r w:rsidR="000F79C8" w:rsidRPr="00FC0C76">
        <w:rPr>
          <w:rFonts w:eastAsia="Times New Roman" w:cs="Times New Roman"/>
          <w:lang w:val="en-GB"/>
        </w:rPr>
        <w:t xml:space="preserve">19 </w:t>
      </w:r>
      <w:r w:rsidR="00FA7281" w:rsidRPr="00FC0C76">
        <w:rPr>
          <w:rFonts w:eastAsia="Times New Roman" w:cs="Times New Roman"/>
          <w:lang w:val="en-GB"/>
        </w:rPr>
        <w:t>investigators</w:t>
      </w:r>
      <w:r w:rsidR="000F79C8" w:rsidRPr="00FC0C76">
        <w:rPr>
          <w:rFonts w:eastAsia="Times New Roman" w:cs="Times New Roman"/>
          <w:lang w:val="en-GB"/>
        </w:rPr>
        <w:t xml:space="preserve"> for the whole </w:t>
      </w:r>
      <w:r w:rsidR="00FA7281" w:rsidRPr="00FC0C76">
        <w:rPr>
          <w:rFonts w:eastAsia="Times New Roman" w:cs="Times New Roman"/>
          <w:lang w:val="en-GB"/>
        </w:rPr>
        <w:t>country in 2014</w:t>
      </w:r>
      <w:r w:rsidR="001113CE" w:rsidRPr="00FC0C76">
        <w:rPr>
          <w:rFonts w:eastAsia="Times New Roman" w:cs="Times New Roman"/>
          <w:lang w:val="en-GB"/>
        </w:rPr>
        <w:t xml:space="preserve">. </w:t>
      </w:r>
      <w:r w:rsidR="000F79C8" w:rsidRPr="00FC0C76">
        <w:rPr>
          <w:rFonts w:eastAsia="Times New Roman" w:cs="Times New Roman"/>
          <w:lang w:val="en-GB"/>
        </w:rPr>
        <w:t xml:space="preserve">For the latest period in which figures are available (January - June 2014) IPOA reports that </w:t>
      </w:r>
      <w:r w:rsidR="000F79C8" w:rsidRPr="00FC0C76">
        <w:rPr>
          <w:rFonts w:cs="Times New Roman"/>
          <w:lang w:val="en-GB"/>
        </w:rPr>
        <w:t>610 complaints were received.</w:t>
      </w:r>
      <w:r w:rsidR="00FA7281">
        <w:rPr>
          <w:rStyle w:val="FootnoteReference"/>
          <w:rFonts w:cs="Times New Roman"/>
          <w:lang w:val="en-GB"/>
        </w:rPr>
        <w:footnoteReference w:id="3"/>
      </w:r>
      <w:r w:rsidR="006C0B8A">
        <w:rPr>
          <w:rFonts w:cs="Times New Roman"/>
          <w:lang w:val="en-GB"/>
        </w:rPr>
        <w:t xml:space="preserve">In this period, </w:t>
      </w:r>
      <w:r w:rsidR="000F79C8" w:rsidRPr="00FC0C76">
        <w:rPr>
          <w:rFonts w:cs="Times New Roman"/>
          <w:lang w:val="en-GB"/>
        </w:rPr>
        <w:t>281 cases were at dif</w:t>
      </w:r>
      <w:r w:rsidR="006C0B8A">
        <w:rPr>
          <w:rFonts w:cs="Times New Roman"/>
          <w:lang w:val="en-GB"/>
        </w:rPr>
        <w:t xml:space="preserve">ferent stages of investigations; </w:t>
      </w:r>
      <w:r w:rsidR="000F79C8" w:rsidRPr="00FC0C76">
        <w:rPr>
          <w:rFonts w:cs="Times New Roman"/>
          <w:lang w:val="en-GB"/>
        </w:rPr>
        <w:t xml:space="preserve">64% cases of cases received </w:t>
      </w:r>
      <w:r w:rsidR="006C0B8A">
        <w:rPr>
          <w:rFonts w:cs="Times New Roman"/>
          <w:lang w:val="en-GB"/>
        </w:rPr>
        <w:t xml:space="preserve">were </w:t>
      </w:r>
      <w:r w:rsidR="000F79C8" w:rsidRPr="00FC0C76">
        <w:rPr>
          <w:rFonts w:cs="Times New Roman"/>
          <w:lang w:val="en-GB"/>
        </w:rPr>
        <w:t>awaiting investigation</w:t>
      </w:r>
      <w:r w:rsidR="006C0B8A">
        <w:rPr>
          <w:rFonts w:cs="Times New Roman"/>
          <w:lang w:val="en-GB"/>
        </w:rPr>
        <w:t>; and o</w:t>
      </w:r>
      <w:r w:rsidR="000F79C8" w:rsidRPr="00FC0C76">
        <w:rPr>
          <w:rFonts w:cs="Times New Roman"/>
          <w:lang w:val="en-GB"/>
        </w:rPr>
        <w:t xml:space="preserve">ut of the 26 completed investigations, 2 had been forwarded to </w:t>
      </w:r>
      <w:r w:rsidR="00FA7281" w:rsidRPr="00FC0C76">
        <w:rPr>
          <w:rFonts w:cs="Times New Roman"/>
          <w:lang w:val="en-GB"/>
        </w:rPr>
        <w:t>Office of the Director of Public Prosecutions.</w:t>
      </w:r>
    </w:p>
    <w:p w:rsidR="000F79C8" w:rsidRPr="00D31223" w:rsidRDefault="000F79C8" w:rsidP="00684526">
      <w:pPr>
        <w:spacing w:line="360" w:lineRule="auto"/>
        <w:jc w:val="both"/>
        <w:rPr>
          <w:rFonts w:eastAsia="Times New Roman" w:cs="Times New Roman"/>
          <w:lang w:val="en-GB"/>
        </w:rPr>
      </w:pPr>
    </w:p>
    <w:p w:rsidR="00D31223" w:rsidRPr="00D31223" w:rsidRDefault="001113CE" w:rsidP="00684526">
      <w:pPr>
        <w:pStyle w:val="ListParagraph"/>
        <w:numPr>
          <w:ilvl w:val="0"/>
          <w:numId w:val="1"/>
        </w:numPr>
        <w:spacing w:line="360" w:lineRule="auto"/>
        <w:jc w:val="both"/>
      </w:pPr>
      <w:r w:rsidRPr="00D31223">
        <w:rPr>
          <w:rFonts w:eastAsia="Times New Roman" w:cs="Times New Roman"/>
          <w:lang w:val="en-GB"/>
        </w:rPr>
        <w:t xml:space="preserve">Complaints to the police by survivors of torture and ill-treatment are rarely acted upon. </w:t>
      </w:r>
      <w:r w:rsidR="00AC0DF6" w:rsidRPr="00D31223">
        <w:rPr>
          <w:rFonts w:eastAsia="Times New Roman" w:cs="Times New Roman"/>
          <w:lang w:val="en-GB"/>
        </w:rPr>
        <w:t xml:space="preserve">In the survey report by IMLU on Torture, Cruel, Inhuman and Degrading among Hawkers and Small Scale Business Operators in Nairobi County, 78.4% of the respondents indicated that no action was taken when they complained about abuses by the police and county council law enforcement officers. </w:t>
      </w:r>
    </w:p>
    <w:p w:rsidR="00D31223" w:rsidRDefault="00D31223" w:rsidP="00684526">
      <w:pPr>
        <w:spacing w:line="360" w:lineRule="auto"/>
        <w:jc w:val="both"/>
      </w:pPr>
    </w:p>
    <w:p w:rsidR="00D31223" w:rsidRDefault="001113CE" w:rsidP="00684526">
      <w:pPr>
        <w:pStyle w:val="ListParagraph"/>
        <w:numPr>
          <w:ilvl w:val="0"/>
          <w:numId w:val="1"/>
        </w:numPr>
        <w:spacing w:line="360" w:lineRule="auto"/>
        <w:jc w:val="both"/>
      </w:pPr>
      <w:r>
        <w:t xml:space="preserve">Taking civil cases is prohibitively expensive. </w:t>
      </w:r>
      <w:r w:rsidRPr="00805D02">
        <w:t>Constitutional requirements guaranteeing access to justice by all are non-equivocal. Article 48 of the Constitution provides that: ‘The State shall ensure access to justice for all persons and, if any fee is required, it shall be reasonable and it shall not impede access to justice.’ In practice, even where court fees</w:t>
      </w:r>
      <w:r>
        <w:t xml:space="preserve"> are waived</w:t>
      </w:r>
      <w:r w:rsidRPr="00805D02">
        <w:t xml:space="preserve">, this has not empowered individuals to seek legal redress since in practice lawyers’ fees comprise the bulk of litigation costs; and most litigants cannot really mount effective cases without professional help, and the </w:t>
      </w:r>
      <w:r w:rsidRPr="00805D02">
        <w:lastRenderedPageBreak/>
        <w:t>entitlement to legal counsel at State expense is executed in extremely limited situations.</w:t>
      </w:r>
    </w:p>
    <w:p w:rsidR="00D31223" w:rsidRPr="00D31223" w:rsidRDefault="00D31223" w:rsidP="00684526">
      <w:pPr>
        <w:spacing w:line="360" w:lineRule="auto"/>
        <w:jc w:val="both"/>
        <w:rPr>
          <w:rFonts w:eastAsia="Times New Roman" w:cs="Times New Roman"/>
          <w:lang w:val="en-GB"/>
        </w:rPr>
      </w:pPr>
    </w:p>
    <w:p w:rsidR="00D31223" w:rsidRPr="00D31223" w:rsidRDefault="003C5C9E" w:rsidP="00684526">
      <w:pPr>
        <w:pStyle w:val="ListParagraph"/>
        <w:numPr>
          <w:ilvl w:val="0"/>
          <w:numId w:val="1"/>
        </w:numPr>
        <w:spacing w:line="360" w:lineRule="auto"/>
        <w:jc w:val="both"/>
      </w:pPr>
      <w:r w:rsidRPr="00D31223">
        <w:rPr>
          <w:rFonts w:eastAsia="Times New Roman" w:cs="Times New Roman"/>
          <w:lang w:val="en-GB"/>
        </w:rPr>
        <w:t>In</w:t>
      </w:r>
      <w:r w:rsidR="00AC0DF6" w:rsidRPr="00D31223">
        <w:rPr>
          <w:rFonts w:eastAsia="Times New Roman" w:cs="Times New Roman"/>
          <w:lang w:val="en-GB"/>
        </w:rPr>
        <w:t xml:space="preserve"> instances where the families of victims and survivors of torture have been awarded damages by the Courts, little is done by the office of the Attorney General to execute the decisions of the court. In June 2014 the Cabinet Secretary in Charge of Interior Security acknowledged that the court had awarded about Kshs 250,000,000.00 (approximately 2.238.000 EUR) in damages for cases of torture and extra judicial killings however the recipients </w:t>
      </w:r>
      <w:r w:rsidR="006C0B8A">
        <w:rPr>
          <w:rFonts w:eastAsia="Times New Roman" w:cs="Times New Roman"/>
          <w:lang w:val="en-GB"/>
        </w:rPr>
        <w:t xml:space="preserve">would have to </w:t>
      </w:r>
      <w:r w:rsidR="00F360F9">
        <w:rPr>
          <w:rFonts w:eastAsia="Times New Roman" w:cs="Times New Roman"/>
          <w:lang w:val="en-GB"/>
        </w:rPr>
        <w:t xml:space="preserve">wait </w:t>
      </w:r>
      <w:r w:rsidR="00F360F9" w:rsidRPr="00D31223">
        <w:rPr>
          <w:rFonts w:eastAsia="Times New Roman" w:cs="Times New Roman"/>
          <w:lang w:val="en-GB"/>
        </w:rPr>
        <w:t>as</w:t>
      </w:r>
      <w:r w:rsidR="00AC0DF6" w:rsidRPr="00D31223">
        <w:rPr>
          <w:rFonts w:eastAsia="Times New Roman" w:cs="Times New Roman"/>
          <w:lang w:val="en-GB"/>
        </w:rPr>
        <w:t xml:space="preserve"> there was no budget to pay the compensation awards. </w:t>
      </w:r>
    </w:p>
    <w:p w:rsidR="00D31223" w:rsidRPr="00D31223" w:rsidRDefault="00D31223" w:rsidP="00684526">
      <w:pPr>
        <w:spacing w:line="360" w:lineRule="auto"/>
        <w:jc w:val="both"/>
        <w:rPr>
          <w:rFonts w:eastAsia="Times New Roman" w:cs="Times New Roman"/>
          <w:lang w:val="en-GB"/>
        </w:rPr>
      </w:pPr>
    </w:p>
    <w:p w:rsidR="006E4741" w:rsidRPr="006E4741" w:rsidRDefault="00917C35" w:rsidP="00684526">
      <w:pPr>
        <w:pStyle w:val="ListParagraph"/>
        <w:numPr>
          <w:ilvl w:val="0"/>
          <w:numId w:val="1"/>
        </w:numPr>
        <w:spacing w:line="360" w:lineRule="auto"/>
        <w:jc w:val="both"/>
      </w:pPr>
      <w:r w:rsidRPr="00D31223">
        <w:rPr>
          <w:rFonts w:eastAsia="Times New Roman" w:cs="Times New Roman"/>
          <w:lang w:val="en-GB"/>
        </w:rPr>
        <w:t xml:space="preserve">The survey amongst hawkers found that very few traders (3.7%) report having taken legal action following torture or ill-treatment. The following reasons were given for not reporting torture and ill-treatment: traders do not know where to report (24.6%), fear of repeat victimization (22.5%), no need to report as it is a waste of time since nothing will change (21%), settled with the perpetrators informally (8.2%), one cannot report ‘government to government’ (7.2%), and, lastly, lack of business permits (4.5%). </w:t>
      </w:r>
    </w:p>
    <w:p w:rsidR="006E4741" w:rsidRPr="006E4741" w:rsidRDefault="006E4741" w:rsidP="00684526">
      <w:pPr>
        <w:spacing w:line="360" w:lineRule="auto"/>
        <w:jc w:val="both"/>
        <w:rPr>
          <w:rFonts w:eastAsia="Times New Roman" w:cs="Times New Roman"/>
          <w:lang w:val="en-GB"/>
        </w:rPr>
      </w:pPr>
    </w:p>
    <w:p w:rsidR="00917C35" w:rsidRPr="006E4741" w:rsidRDefault="006E4741" w:rsidP="00684526">
      <w:pPr>
        <w:pStyle w:val="ListParagraph"/>
        <w:numPr>
          <w:ilvl w:val="0"/>
          <w:numId w:val="1"/>
        </w:numPr>
        <w:spacing w:line="360" w:lineRule="auto"/>
        <w:jc w:val="both"/>
      </w:pPr>
      <w:r>
        <w:rPr>
          <w:rFonts w:eastAsia="Times New Roman" w:cs="Times New Roman"/>
          <w:lang w:val="en-GB"/>
        </w:rPr>
        <w:t>The 2015 IMLU survey of three slums showed that only 38% of those who experie</w:t>
      </w:r>
      <w:r w:rsidR="006C0B8A">
        <w:rPr>
          <w:rFonts w:eastAsia="Times New Roman" w:cs="Times New Roman"/>
          <w:lang w:val="en-GB"/>
        </w:rPr>
        <w:t xml:space="preserve">nced any incidents of violence </w:t>
      </w:r>
      <w:r>
        <w:rPr>
          <w:rFonts w:eastAsia="Times New Roman" w:cs="Times New Roman"/>
          <w:lang w:val="en-GB"/>
        </w:rPr>
        <w:t xml:space="preserve">reported it to the police.  Of those that reported to the police, 43% reported that their report came to </w:t>
      </w:r>
      <w:r w:rsidR="006C0B8A">
        <w:rPr>
          <w:rFonts w:eastAsia="Times New Roman" w:cs="Times New Roman"/>
          <w:lang w:val="en-GB"/>
        </w:rPr>
        <w:t xml:space="preserve">some kind of resolution; and </w:t>
      </w:r>
      <w:r>
        <w:rPr>
          <w:rFonts w:eastAsia="Times New Roman" w:cs="Times New Roman"/>
          <w:lang w:val="en-GB"/>
        </w:rPr>
        <w:t xml:space="preserve">26% thought justice was served following their report to the police. When asked </w:t>
      </w:r>
      <w:r w:rsidR="006C0B8A">
        <w:rPr>
          <w:rFonts w:eastAsia="Times New Roman" w:cs="Times New Roman"/>
          <w:lang w:val="en-GB"/>
        </w:rPr>
        <w:t>why</w:t>
      </w:r>
      <w:r>
        <w:rPr>
          <w:rFonts w:eastAsia="Times New Roman" w:cs="Times New Roman"/>
          <w:lang w:val="en-GB"/>
        </w:rPr>
        <w:t xml:space="preserve"> they did not report to the police, 10% of respondents reported that the police ‘do not investigate well’, 14.5% reported that there ’is no justice for the poor’, 8% reported that ‘it can cause problems in the community’, </w:t>
      </w:r>
      <w:r w:rsidR="006C0B8A">
        <w:rPr>
          <w:rFonts w:eastAsia="Times New Roman" w:cs="Times New Roman"/>
          <w:lang w:val="en-GB"/>
        </w:rPr>
        <w:t xml:space="preserve">and </w:t>
      </w:r>
      <w:r>
        <w:rPr>
          <w:rFonts w:eastAsia="Times New Roman" w:cs="Times New Roman"/>
          <w:lang w:val="en-GB"/>
        </w:rPr>
        <w:t xml:space="preserve">25% that ‘nothing will ever happen if you report’. </w:t>
      </w:r>
    </w:p>
    <w:p w:rsidR="006E4741" w:rsidRDefault="006E4741" w:rsidP="00684526">
      <w:pPr>
        <w:spacing w:line="360" w:lineRule="auto"/>
        <w:jc w:val="both"/>
      </w:pPr>
    </w:p>
    <w:p w:rsidR="006E4741" w:rsidRDefault="006E4741" w:rsidP="00684526">
      <w:pPr>
        <w:pStyle w:val="ListParagraph"/>
        <w:numPr>
          <w:ilvl w:val="0"/>
          <w:numId w:val="1"/>
        </w:numPr>
        <w:spacing w:line="360" w:lineRule="auto"/>
        <w:jc w:val="both"/>
      </w:pPr>
      <w:r>
        <w:t xml:space="preserve">Survivors of ill-treatment can be very reluctant to report their experiences. Given delays in the legal system, the time and expense </w:t>
      </w:r>
      <w:r>
        <w:lastRenderedPageBreak/>
        <w:t>involved in court cases can be too much. More significantly, survivors are also often</w:t>
      </w:r>
      <w:r w:rsidRPr="00AE56CE">
        <w:t xml:space="preserve"> scared, fearing that their life might be jeopardized if they </w:t>
      </w:r>
      <w:r>
        <w:t>dared</w:t>
      </w:r>
      <w:r w:rsidRPr="00AE56CE">
        <w:t xml:space="preserve"> to report police violence.</w:t>
      </w:r>
      <w:r>
        <w:t xml:space="preserve"> Levels of intimidation can be very high, and witness protection programs are practically non-existent.</w:t>
      </w:r>
    </w:p>
    <w:p w:rsidR="002A352D" w:rsidRDefault="002A352D" w:rsidP="002A352D">
      <w:pPr>
        <w:pStyle w:val="ListParagraph"/>
      </w:pPr>
    </w:p>
    <w:p w:rsidR="002A352D" w:rsidRPr="00D31223" w:rsidRDefault="002A352D" w:rsidP="00150AD7">
      <w:pPr>
        <w:pStyle w:val="ListParagraph"/>
        <w:spacing w:line="360" w:lineRule="auto"/>
        <w:jc w:val="both"/>
      </w:pPr>
    </w:p>
    <w:p w:rsidR="00B91F80" w:rsidRDefault="00B91F80" w:rsidP="00684526">
      <w:pPr>
        <w:spacing w:line="360" w:lineRule="auto"/>
        <w:jc w:val="both"/>
        <w:rPr>
          <w:rFonts w:eastAsia="Times New Roman" w:cs="Times New Roman"/>
          <w:lang w:val="en-GB"/>
        </w:rPr>
      </w:pPr>
    </w:p>
    <w:p w:rsidR="00830BF7" w:rsidRPr="00C430B5" w:rsidRDefault="00C430B5" w:rsidP="00684526">
      <w:pPr>
        <w:spacing w:line="360" w:lineRule="auto"/>
        <w:jc w:val="both"/>
        <w:rPr>
          <w:b/>
          <w:color w:val="000090"/>
        </w:rPr>
      </w:pPr>
      <w:r w:rsidRPr="00C430B5">
        <w:rPr>
          <w:b/>
          <w:color w:val="000090"/>
        </w:rPr>
        <w:t>SUGGESTED ISSUES</w:t>
      </w:r>
    </w:p>
    <w:p w:rsidR="00CB210D" w:rsidRDefault="00CB210D" w:rsidP="00684526">
      <w:pPr>
        <w:spacing w:line="360" w:lineRule="auto"/>
        <w:jc w:val="both"/>
        <w:rPr>
          <w:rFonts w:eastAsia="Times New Roman" w:cs="Times New Roman"/>
          <w:b/>
          <w:color w:val="000090"/>
          <w:lang w:val="en-GB"/>
        </w:rPr>
      </w:pPr>
      <w:r>
        <w:rPr>
          <w:rFonts w:eastAsia="Times New Roman" w:cs="Times New Roman"/>
          <w:b/>
          <w:color w:val="000090"/>
          <w:lang w:val="en-GB"/>
        </w:rPr>
        <w:t>Article 2</w:t>
      </w:r>
    </w:p>
    <w:p w:rsidR="000761A6" w:rsidRDefault="00CB210D" w:rsidP="00684526">
      <w:pPr>
        <w:pStyle w:val="ListParagraph"/>
        <w:numPr>
          <w:ilvl w:val="0"/>
          <w:numId w:val="1"/>
        </w:numPr>
        <w:spacing w:line="360" w:lineRule="auto"/>
        <w:jc w:val="both"/>
      </w:pPr>
      <w:r>
        <w:rPr>
          <w:lang w:eastAsia="es-ES"/>
        </w:rPr>
        <w:t>With reference to the Committee’s previous Concluding Observations (</w:t>
      </w:r>
      <w:r w:rsidR="000761A6" w:rsidRPr="00FA4F99">
        <w:t>CAT/C/KEN/CO</w:t>
      </w:r>
      <w:r w:rsidR="000761A6">
        <w:t xml:space="preserve">/2, </w:t>
      </w:r>
      <w:r>
        <w:rPr>
          <w:lang w:eastAsia="es-ES"/>
        </w:rPr>
        <w:t xml:space="preserve">para. 16), </w:t>
      </w:r>
      <w:r>
        <w:t>w</w:t>
      </w:r>
      <w:r w:rsidRPr="00852079">
        <w:t>hat concrete steps are being taken to prevent and investigate the harassment, ill-treatment and torture of the poo</w:t>
      </w:r>
      <w:r>
        <w:t xml:space="preserve">r and vulnerable by the public officials, and in particular City </w:t>
      </w:r>
      <w:r w:rsidRPr="000761A6">
        <w:rPr>
          <w:i/>
        </w:rPr>
        <w:t>askaris</w:t>
      </w:r>
      <w:r>
        <w:t xml:space="preserve"> and the police force</w:t>
      </w:r>
      <w:r w:rsidR="000761A6">
        <w:t>?</w:t>
      </w:r>
    </w:p>
    <w:p w:rsidR="000761A6" w:rsidRDefault="000761A6" w:rsidP="00684526">
      <w:pPr>
        <w:pStyle w:val="ListParagraph"/>
        <w:spacing w:line="360" w:lineRule="auto"/>
        <w:jc w:val="both"/>
      </w:pPr>
    </w:p>
    <w:p w:rsidR="00CB210D" w:rsidRDefault="00CB210D" w:rsidP="00684526">
      <w:pPr>
        <w:pStyle w:val="ListParagraph"/>
        <w:numPr>
          <w:ilvl w:val="0"/>
          <w:numId w:val="1"/>
        </w:numPr>
        <w:spacing w:line="360" w:lineRule="auto"/>
        <w:jc w:val="both"/>
      </w:pPr>
      <w:r>
        <w:t xml:space="preserve">What </w:t>
      </w:r>
      <w:r w:rsidR="00420AD3">
        <w:t xml:space="preserve">active </w:t>
      </w:r>
      <w:r>
        <w:t xml:space="preserve">steps are being taken </w:t>
      </w:r>
      <w:r w:rsidR="00420AD3">
        <w:t xml:space="preserve">by the state </w:t>
      </w:r>
      <w:r>
        <w:t>to proactively identify cases of torture an ill-treatment, both in places of detention and without?</w:t>
      </w:r>
    </w:p>
    <w:p w:rsidR="00917E0D" w:rsidRDefault="00917E0D" w:rsidP="00917E0D">
      <w:pPr>
        <w:pStyle w:val="ListParagraph"/>
      </w:pPr>
    </w:p>
    <w:p w:rsidR="00917E0D" w:rsidRDefault="00917E0D" w:rsidP="00684526">
      <w:pPr>
        <w:pStyle w:val="ListParagraph"/>
        <w:numPr>
          <w:ilvl w:val="0"/>
          <w:numId w:val="1"/>
        </w:numPr>
        <w:spacing w:line="360" w:lineRule="auto"/>
        <w:jc w:val="both"/>
      </w:pPr>
      <w:r>
        <w:t>With reference to the Committee’s previous concluding observations (CAT/C/KEN/CO/2/11) what steps are being taken to ensure that the National Coroner’s Bill is enacted into law?</w:t>
      </w:r>
    </w:p>
    <w:p w:rsidR="00CB210D" w:rsidRDefault="00CB210D" w:rsidP="00684526">
      <w:pPr>
        <w:spacing w:line="360" w:lineRule="auto"/>
        <w:jc w:val="both"/>
        <w:rPr>
          <w:rFonts w:eastAsia="Times New Roman" w:cs="Times New Roman"/>
          <w:b/>
          <w:color w:val="000090"/>
          <w:lang w:val="en-GB"/>
        </w:rPr>
      </w:pPr>
    </w:p>
    <w:p w:rsidR="006E44E0" w:rsidRPr="00E65905" w:rsidRDefault="006E44E0" w:rsidP="00684526">
      <w:pPr>
        <w:spacing w:line="360" w:lineRule="auto"/>
        <w:jc w:val="both"/>
        <w:rPr>
          <w:rFonts w:eastAsia="Times New Roman" w:cs="Times New Roman"/>
          <w:b/>
          <w:color w:val="000090"/>
          <w:lang w:val="en-GB"/>
        </w:rPr>
      </w:pPr>
      <w:r w:rsidRPr="00E65905">
        <w:rPr>
          <w:rFonts w:eastAsia="Times New Roman" w:cs="Times New Roman"/>
          <w:b/>
          <w:color w:val="000090"/>
          <w:lang w:val="en-GB"/>
        </w:rPr>
        <w:t>Article 4</w:t>
      </w:r>
    </w:p>
    <w:p w:rsidR="00830BF7" w:rsidRPr="000761A6" w:rsidRDefault="000C5C92" w:rsidP="00684526">
      <w:pPr>
        <w:pStyle w:val="ListParagraph"/>
        <w:numPr>
          <w:ilvl w:val="0"/>
          <w:numId w:val="1"/>
        </w:numPr>
        <w:spacing w:line="360" w:lineRule="auto"/>
        <w:jc w:val="both"/>
        <w:rPr>
          <w:rFonts w:eastAsia="Times New Roman" w:cs="Times New Roman"/>
          <w:lang w:val="en-GB"/>
        </w:rPr>
      </w:pPr>
      <w:r w:rsidRPr="000761A6">
        <w:rPr>
          <w:rFonts w:eastAsia="Times New Roman" w:cs="Times New Roman"/>
          <w:lang w:val="en-GB"/>
        </w:rPr>
        <w:t xml:space="preserve">With reference to the Committee’s previous Concluding Observations </w:t>
      </w:r>
      <w:r w:rsidR="006C0B8A">
        <w:rPr>
          <w:lang w:eastAsia="es-ES"/>
        </w:rPr>
        <w:t>(</w:t>
      </w:r>
      <w:r w:rsidR="006C0B8A" w:rsidRPr="00FA4F99">
        <w:t>CAT/C/KEN/CO</w:t>
      </w:r>
      <w:r w:rsidR="006C0B8A">
        <w:t xml:space="preserve">/2, </w:t>
      </w:r>
      <w:r w:rsidR="009537DF" w:rsidRPr="000761A6">
        <w:rPr>
          <w:rFonts w:eastAsia="Times New Roman" w:cs="Times New Roman"/>
          <w:lang w:val="en-GB"/>
        </w:rPr>
        <w:t>6</w:t>
      </w:r>
      <w:r w:rsidRPr="000761A6">
        <w:rPr>
          <w:rFonts w:eastAsia="Times New Roman" w:cs="Times New Roman"/>
          <w:lang w:val="en-GB"/>
        </w:rPr>
        <w:t>), w</w:t>
      </w:r>
      <w:r w:rsidR="00830BF7" w:rsidRPr="000761A6">
        <w:rPr>
          <w:rFonts w:eastAsia="Times New Roman" w:cs="Times New Roman"/>
          <w:lang w:val="en-GB"/>
        </w:rPr>
        <w:t xml:space="preserve">hat steps </w:t>
      </w:r>
      <w:r w:rsidR="002A205B" w:rsidRPr="000761A6">
        <w:rPr>
          <w:rFonts w:eastAsia="Times New Roman" w:cs="Times New Roman"/>
          <w:lang w:val="en-GB"/>
        </w:rPr>
        <w:t xml:space="preserve">are being taken to </w:t>
      </w:r>
      <w:r w:rsidR="00830BF7" w:rsidRPr="000761A6">
        <w:rPr>
          <w:rFonts w:eastAsia="Times New Roman" w:cs="Times New Roman"/>
          <w:lang w:val="en-GB"/>
        </w:rPr>
        <w:t>ensure that the Prevention of Torture Bill is enacted into law?</w:t>
      </w:r>
    </w:p>
    <w:p w:rsidR="00852079" w:rsidRPr="002A205B" w:rsidRDefault="00852079" w:rsidP="00684526">
      <w:pPr>
        <w:spacing w:line="360" w:lineRule="auto"/>
        <w:jc w:val="both"/>
      </w:pPr>
    </w:p>
    <w:p w:rsidR="00E65905" w:rsidRPr="00E65905" w:rsidRDefault="00E65905" w:rsidP="00684526">
      <w:pPr>
        <w:spacing w:line="360" w:lineRule="auto"/>
        <w:jc w:val="both"/>
        <w:rPr>
          <w:b/>
          <w:color w:val="000090"/>
        </w:rPr>
      </w:pPr>
      <w:r w:rsidRPr="00E65905">
        <w:rPr>
          <w:b/>
          <w:color w:val="000090"/>
        </w:rPr>
        <w:t>Article</w:t>
      </w:r>
      <w:r w:rsidR="00CB210D">
        <w:rPr>
          <w:b/>
          <w:color w:val="000090"/>
        </w:rPr>
        <w:t xml:space="preserve">s 5 and </w:t>
      </w:r>
      <w:r w:rsidRPr="00E65905">
        <w:rPr>
          <w:b/>
          <w:color w:val="000090"/>
        </w:rPr>
        <w:t>12</w:t>
      </w:r>
    </w:p>
    <w:p w:rsidR="00852079" w:rsidRPr="002A205B" w:rsidRDefault="000C5C92" w:rsidP="00684526">
      <w:pPr>
        <w:pStyle w:val="ListParagraph"/>
        <w:numPr>
          <w:ilvl w:val="0"/>
          <w:numId w:val="1"/>
        </w:numPr>
        <w:spacing w:line="360" w:lineRule="auto"/>
        <w:jc w:val="both"/>
      </w:pPr>
      <w:r w:rsidRPr="002A205B">
        <w:t>With reference to the Committee’s previous Concluding Observations (</w:t>
      </w:r>
      <w:r w:rsidR="000761A6" w:rsidRPr="00FA4F99">
        <w:t>CAT/C/KEN/CO</w:t>
      </w:r>
      <w:r w:rsidR="000761A6">
        <w:t xml:space="preserve">/2, </w:t>
      </w:r>
      <w:r w:rsidR="009537DF">
        <w:t>para</w:t>
      </w:r>
      <w:r w:rsidR="00CB210D">
        <w:t xml:space="preserve">. </w:t>
      </w:r>
      <w:r w:rsidR="009537DF">
        <w:t>11</w:t>
      </w:r>
      <w:r w:rsidRPr="002A205B">
        <w:t>), w</w:t>
      </w:r>
      <w:r w:rsidR="00852079" w:rsidRPr="002A205B">
        <w:t>hat steps are being taken to ensure that all allegations of acts of torture or i</w:t>
      </w:r>
      <w:r w:rsidR="004410B0">
        <w:t xml:space="preserve">ll-treatment by police officers and other security agencies such as the City </w:t>
      </w:r>
      <w:r w:rsidR="004410B0">
        <w:rPr>
          <w:i/>
        </w:rPr>
        <w:t>askaris</w:t>
      </w:r>
      <w:r w:rsidR="00852079" w:rsidRPr="002A205B">
        <w:t xml:space="preserve"> are promptly, effectively and impartially investigated, and if convicted, punished appropriately?</w:t>
      </w:r>
    </w:p>
    <w:p w:rsidR="002A205B" w:rsidRPr="002A205B" w:rsidRDefault="002A205B" w:rsidP="00684526">
      <w:pPr>
        <w:spacing w:line="360" w:lineRule="auto"/>
        <w:jc w:val="both"/>
      </w:pPr>
    </w:p>
    <w:p w:rsidR="00F360F9" w:rsidRPr="00150AD7" w:rsidRDefault="00CB210D" w:rsidP="00684526">
      <w:pPr>
        <w:pStyle w:val="ListParagraph"/>
        <w:numPr>
          <w:ilvl w:val="0"/>
          <w:numId w:val="1"/>
        </w:numPr>
        <w:spacing w:line="360" w:lineRule="auto"/>
        <w:jc w:val="both"/>
        <w:rPr>
          <w:lang w:eastAsia="es-ES"/>
        </w:rPr>
      </w:pPr>
      <w:r w:rsidRPr="002A205B">
        <w:rPr>
          <w:lang w:eastAsia="es-ES"/>
        </w:rPr>
        <w:lastRenderedPageBreak/>
        <w:t xml:space="preserve">Please provide details of the number and results of any investigations into allegations of torture or ill-treatment since the adoption of the previous concluding observations, the number of prosecutions and the number of convictions. </w:t>
      </w:r>
    </w:p>
    <w:p w:rsidR="00E65905" w:rsidRPr="00E65905" w:rsidRDefault="00CB210D" w:rsidP="00684526">
      <w:pPr>
        <w:spacing w:line="360" w:lineRule="auto"/>
        <w:jc w:val="both"/>
        <w:rPr>
          <w:b/>
          <w:color w:val="000090"/>
          <w:lang w:eastAsia="es-ES"/>
        </w:rPr>
      </w:pPr>
      <w:r>
        <w:rPr>
          <w:b/>
          <w:color w:val="000090"/>
          <w:lang w:eastAsia="es-ES"/>
        </w:rPr>
        <w:t>Article</w:t>
      </w:r>
      <w:r w:rsidR="00E65905" w:rsidRPr="00E65905">
        <w:rPr>
          <w:b/>
          <w:color w:val="000090"/>
          <w:lang w:eastAsia="es-ES"/>
        </w:rPr>
        <w:t xml:space="preserve"> 13</w:t>
      </w:r>
    </w:p>
    <w:p w:rsidR="000C5C92" w:rsidRDefault="009537DF" w:rsidP="00684526">
      <w:pPr>
        <w:pStyle w:val="ListParagraph"/>
        <w:numPr>
          <w:ilvl w:val="0"/>
          <w:numId w:val="1"/>
        </w:numPr>
        <w:spacing w:line="360" w:lineRule="auto"/>
        <w:jc w:val="both"/>
        <w:rPr>
          <w:lang w:eastAsia="es-ES"/>
        </w:rPr>
      </w:pPr>
      <w:r>
        <w:rPr>
          <w:lang w:eastAsia="es-ES"/>
        </w:rPr>
        <w:t xml:space="preserve">With reference to the Committee’s previous Concluding Observations </w:t>
      </w:r>
      <w:r w:rsidR="000761A6" w:rsidRPr="002A205B">
        <w:t>(</w:t>
      </w:r>
      <w:r w:rsidR="000761A6" w:rsidRPr="00FA4F99">
        <w:t>CAT/C/KEN/CO</w:t>
      </w:r>
      <w:r w:rsidR="000761A6">
        <w:t xml:space="preserve">/2, para. </w:t>
      </w:r>
      <w:r>
        <w:rPr>
          <w:lang w:eastAsia="es-ES"/>
        </w:rPr>
        <w:t>22), p</w:t>
      </w:r>
      <w:r w:rsidR="002A205B" w:rsidRPr="002A205B">
        <w:rPr>
          <w:lang w:eastAsia="es-ES"/>
        </w:rPr>
        <w:t>lease provide details of the s</w:t>
      </w:r>
      <w:r w:rsidR="000C5C92" w:rsidRPr="002A205B">
        <w:rPr>
          <w:lang w:eastAsia="es-ES"/>
        </w:rPr>
        <w:t>teps taken to establish an independent and effective complaint and investigation mechanism</w:t>
      </w:r>
      <w:r w:rsidR="002A205B" w:rsidRPr="002A205B">
        <w:rPr>
          <w:lang w:eastAsia="es-ES"/>
        </w:rPr>
        <w:t>.</w:t>
      </w:r>
    </w:p>
    <w:p w:rsidR="00CB210D" w:rsidRDefault="00CB210D" w:rsidP="00684526">
      <w:pPr>
        <w:spacing w:line="360" w:lineRule="auto"/>
        <w:jc w:val="both"/>
      </w:pPr>
    </w:p>
    <w:p w:rsidR="00CB210D" w:rsidRPr="002A205B" w:rsidRDefault="00CB210D" w:rsidP="00684526">
      <w:pPr>
        <w:pStyle w:val="ListParagraph"/>
        <w:numPr>
          <w:ilvl w:val="0"/>
          <w:numId w:val="1"/>
        </w:numPr>
        <w:spacing w:line="360" w:lineRule="auto"/>
        <w:jc w:val="both"/>
      </w:pPr>
      <w:r w:rsidRPr="002A205B">
        <w:t xml:space="preserve">With reference to the Committee’s previous Concluding Observations </w:t>
      </w:r>
      <w:r w:rsidR="000761A6" w:rsidRPr="002A205B">
        <w:t>(</w:t>
      </w:r>
      <w:r w:rsidR="000761A6" w:rsidRPr="00FA4F99">
        <w:t>CAT/C/KEN/CO</w:t>
      </w:r>
      <w:r w:rsidR="000761A6">
        <w:t xml:space="preserve">/2, para. </w:t>
      </w:r>
      <w:r>
        <w:t>11.a</w:t>
      </w:r>
      <w:r w:rsidRPr="002A205B">
        <w:t xml:space="preserve">), please provide details of the resources and staffing levels provided to the Independent Police Oversight Authority (IPOA)? </w:t>
      </w:r>
    </w:p>
    <w:p w:rsidR="00E65905" w:rsidRDefault="00E65905" w:rsidP="00684526">
      <w:pPr>
        <w:spacing w:line="360" w:lineRule="auto"/>
        <w:jc w:val="both"/>
        <w:rPr>
          <w:lang w:eastAsia="es-ES"/>
        </w:rPr>
      </w:pPr>
    </w:p>
    <w:p w:rsidR="00CB210D" w:rsidRDefault="00CB210D" w:rsidP="00684526">
      <w:pPr>
        <w:pStyle w:val="ListParagraph"/>
        <w:numPr>
          <w:ilvl w:val="0"/>
          <w:numId w:val="1"/>
        </w:numPr>
        <w:spacing w:line="360" w:lineRule="auto"/>
        <w:jc w:val="both"/>
        <w:rPr>
          <w:lang w:eastAsia="es-ES"/>
        </w:rPr>
      </w:pPr>
      <w:r>
        <w:rPr>
          <w:lang w:eastAsia="es-ES"/>
        </w:rPr>
        <w:t xml:space="preserve">With reference to the Committee’s previous Concluding Observations </w:t>
      </w:r>
      <w:r w:rsidR="000761A6" w:rsidRPr="002A205B">
        <w:t>(</w:t>
      </w:r>
      <w:r w:rsidR="000761A6" w:rsidRPr="00FA4F99">
        <w:t>CAT/C/KEN/CO</w:t>
      </w:r>
      <w:r w:rsidR="000761A6">
        <w:t xml:space="preserve">/2, para. </w:t>
      </w:r>
      <w:r>
        <w:rPr>
          <w:lang w:eastAsia="es-ES"/>
        </w:rPr>
        <w:t xml:space="preserve">21), </w:t>
      </w:r>
      <w:r w:rsidRPr="002A205B">
        <w:rPr>
          <w:lang w:eastAsia="es-ES"/>
        </w:rPr>
        <w:t>Please provide details of the measures taken to ensure that complainants are protected in practice against any intimidation or reprisals as a consequence of their complaints.</w:t>
      </w:r>
    </w:p>
    <w:p w:rsidR="00CB210D" w:rsidRDefault="00CB210D" w:rsidP="00684526">
      <w:pPr>
        <w:spacing w:line="360" w:lineRule="auto"/>
        <w:jc w:val="both"/>
        <w:rPr>
          <w:b/>
          <w:color w:val="000090"/>
          <w:lang w:eastAsia="es-ES"/>
        </w:rPr>
      </w:pPr>
    </w:p>
    <w:p w:rsidR="00CB210D" w:rsidRDefault="00CB210D" w:rsidP="00684526">
      <w:pPr>
        <w:pStyle w:val="ListParagraph"/>
        <w:numPr>
          <w:ilvl w:val="0"/>
          <w:numId w:val="1"/>
        </w:numPr>
        <w:spacing w:line="360" w:lineRule="auto"/>
        <w:jc w:val="both"/>
        <w:rPr>
          <w:lang w:eastAsia="es-ES"/>
        </w:rPr>
      </w:pPr>
      <w:r w:rsidRPr="002A205B">
        <w:rPr>
          <w:lang w:eastAsia="es-ES"/>
        </w:rPr>
        <w:t>Please provide details of the number of complaints made concerning allegations of torture and ill-treatment by public officials, prison staff, and persons acting with the acquiescence or consent of State officials.</w:t>
      </w:r>
    </w:p>
    <w:p w:rsidR="00CB210D" w:rsidRDefault="00CB210D" w:rsidP="00684526">
      <w:pPr>
        <w:spacing w:line="360" w:lineRule="auto"/>
        <w:jc w:val="both"/>
        <w:rPr>
          <w:lang w:eastAsia="es-ES"/>
        </w:rPr>
      </w:pPr>
    </w:p>
    <w:p w:rsidR="00CB210D" w:rsidRDefault="00CB210D" w:rsidP="00684526">
      <w:pPr>
        <w:pStyle w:val="ListParagraph"/>
        <w:numPr>
          <w:ilvl w:val="0"/>
          <w:numId w:val="1"/>
        </w:numPr>
        <w:spacing w:line="360" w:lineRule="auto"/>
        <w:jc w:val="both"/>
      </w:pPr>
      <w:r>
        <w:rPr>
          <w:lang w:eastAsia="es-ES"/>
        </w:rPr>
        <w:t xml:space="preserve">With reference to the Committee’s previous Concluding Observations </w:t>
      </w:r>
      <w:r w:rsidR="000761A6" w:rsidRPr="002A205B">
        <w:t>(</w:t>
      </w:r>
      <w:r w:rsidR="000761A6" w:rsidRPr="00FA4F99">
        <w:t>CAT/C/KEN/CO</w:t>
      </w:r>
      <w:r w:rsidR="000761A6">
        <w:t xml:space="preserve">/2, para. </w:t>
      </w:r>
      <w:r>
        <w:rPr>
          <w:lang w:eastAsia="es-ES"/>
        </w:rPr>
        <w:t xml:space="preserve">25), </w:t>
      </w:r>
      <w:r w:rsidR="006C0B8A">
        <w:t>p</w:t>
      </w:r>
      <w:r w:rsidRPr="00852079">
        <w:t>lease provide a timetable for the enactment and effective implementation of the Legal Aid Bill (2012).</w:t>
      </w:r>
    </w:p>
    <w:p w:rsidR="00CB210D" w:rsidRDefault="00CB210D" w:rsidP="00684526">
      <w:pPr>
        <w:spacing w:line="360" w:lineRule="auto"/>
        <w:jc w:val="both"/>
        <w:rPr>
          <w:b/>
          <w:color w:val="000090"/>
          <w:lang w:eastAsia="es-ES"/>
        </w:rPr>
      </w:pPr>
    </w:p>
    <w:p w:rsidR="00E65905" w:rsidRPr="00E65905" w:rsidRDefault="00E65905" w:rsidP="00684526">
      <w:pPr>
        <w:spacing w:line="360" w:lineRule="auto"/>
        <w:jc w:val="both"/>
        <w:rPr>
          <w:b/>
          <w:color w:val="000090"/>
          <w:lang w:eastAsia="es-ES"/>
        </w:rPr>
      </w:pPr>
      <w:r w:rsidRPr="00E65905">
        <w:rPr>
          <w:b/>
          <w:color w:val="000090"/>
          <w:lang w:eastAsia="es-ES"/>
        </w:rPr>
        <w:t>Article 14</w:t>
      </w:r>
    </w:p>
    <w:p w:rsidR="00E65905" w:rsidRPr="00852079" w:rsidRDefault="00E65905" w:rsidP="00684526">
      <w:pPr>
        <w:pStyle w:val="ListParagraph"/>
        <w:numPr>
          <w:ilvl w:val="0"/>
          <w:numId w:val="1"/>
        </w:numPr>
        <w:spacing w:line="360" w:lineRule="auto"/>
        <w:jc w:val="both"/>
      </w:pPr>
      <w:r>
        <w:rPr>
          <w:lang w:eastAsia="es-ES"/>
        </w:rPr>
        <w:t xml:space="preserve">With reference to the Committee’s previous Concluding Observations </w:t>
      </w:r>
      <w:r w:rsidR="000761A6" w:rsidRPr="002A205B">
        <w:t>(</w:t>
      </w:r>
      <w:r w:rsidR="000761A6" w:rsidRPr="00FA4F99">
        <w:t>CAT/C/KEN/CO</w:t>
      </w:r>
      <w:r w:rsidR="000761A6">
        <w:t xml:space="preserve">/2, para. </w:t>
      </w:r>
      <w:r>
        <w:rPr>
          <w:lang w:eastAsia="es-ES"/>
        </w:rPr>
        <w:t xml:space="preserve">23), </w:t>
      </w:r>
      <w:r>
        <w:t>What steps are being taken to ensure that all those awarded compensation are provided with access to the compensation?</w:t>
      </w:r>
    </w:p>
    <w:p w:rsidR="00E65905" w:rsidRDefault="00E65905" w:rsidP="00684526">
      <w:pPr>
        <w:spacing w:line="360" w:lineRule="auto"/>
        <w:jc w:val="both"/>
        <w:rPr>
          <w:lang w:eastAsia="es-ES"/>
        </w:rPr>
      </w:pPr>
    </w:p>
    <w:p w:rsidR="00E65905" w:rsidRPr="002A205B" w:rsidRDefault="00E65905" w:rsidP="00684526">
      <w:pPr>
        <w:spacing w:line="360" w:lineRule="auto"/>
        <w:jc w:val="both"/>
        <w:rPr>
          <w:lang w:eastAsia="es-ES"/>
        </w:rPr>
      </w:pPr>
    </w:p>
    <w:p w:rsidR="00AD6620" w:rsidRDefault="00AD6620" w:rsidP="00684526">
      <w:pPr>
        <w:spacing w:line="360" w:lineRule="auto"/>
        <w:jc w:val="both"/>
      </w:pPr>
    </w:p>
    <w:p w:rsidR="0080083E" w:rsidRPr="00805D02" w:rsidRDefault="0080083E" w:rsidP="00684526">
      <w:pPr>
        <w:spacing w:line="360" w:lineRule="auto"/>
        <w:jc w:val="both"/>
      </w:pPr>
    </w:p>
    <w:sectPr w:rsidR="0080083E" w:rsidRPr="00805D02" w:rsidSect="00696CE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8D3" w:rsidRDefault="000F68D3" w:rsidP="000C5C92">
      <w:r>
        <w:separator/>
      </w:r>
    </w:p>
  </w:endnote>
  <w:endnote w:type="continuationSeparator" w:id="0">
    <w:p w:rsidR="000F68D3" w:rsidRDefault="000F68D3" w:rsidP="000C5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8D3" w:rsidRDefault="000F68D3" w:rsidP="000C5C92">
      <w:r>
        <w:separator/>
      </w:r>
    </w:p>
  </w:footnote>
  <w:footnote w:type="continuationSeparator" w:id="0">
    <w:p w:rsidR="000F68D3" w:rsidRDefault="000F68D3" w:rsidP="000C5C92">
      <w:r>
        <w:continuationSeparator/>
      </w:r>
    </w:p>
  </w:footnote>
  <w:footnote w:id="1">
    <w:p w:rsidR="00D63701" w:rsidRDefault="00D63701">
      <w:pPr>
        <w:pStyle w:val="FootnoteText"/>
      </w:pPr>
      <w:r>
        <w:rPr>
          <w:rStyle w:val="FootnoteReference"/>
        </w:rPr>
        <w:footnoteRef/>
      </w:r>
      <w:r w:rsidRPr="00173B6A">
        <w:t xml:space="preserve">IMLU. 2014. A Cry for Justice: Torture and ill-treatment of Hawkers and Small Scale Traders in </w:t>
      </w:r>
    </w:p>
    <w:p w:rsidR="00D63701" w:rsidRPr="00D63701" w:rsidRDefault="00D63701">
      <w:pPr>
        <w:pStyle w:val="FootnoteText"/>
        <w:rPr>
          <w:lang w:val="en-US"/>
        </w:rPr>
      </w:pPr>
      <w:r w:rsidRPr="00173B6A">
        <w:t>Nairobi City County</w:t>
      </w:r>
      <w:r>
        <w:t xml:space="preserve">. Available at: </w:t>
      </w:r>
      <w:hyperlink r:id="rId1" w:history="1">
        <w:r w:rsidR="006C0B8A" w:rsidRPr="00673EF6">
          <w:rPr>
            <w:rStyle w:val="Hyperlink"/>
          </w:rPr>
          <w:t>http://www.imlu.org/2011-06-30-23-44-4/reports.html</w:t>
        </w:r>
      </w:hyperlink>
    </w:p>
  </w:footnote>
  <w:footnote w:id="2">
    <w:p w:rsidR="00150AD7" w:rsidRPr="00150AD7" w:rsidRDefault="00150AD7" w:rsidP="00150AD7">
      <w:pPr>
        <w:pStyle w:val="FootnoteText"/>
        <w:jc w:val="both"/>
        <w:rPr>
          <w:lang w:val="en-US"/>
        </w:rPr>
      </w:pPr>
      <w:r>
        <w:rPr>
          <w:rStyle w:val="FootnoteReference"/>
        </w:rPr>
        <w:footnoteRef/>
      </w:r>
      <w:r>
        <w:rPr>
          <w:lang w:val="en-US"/>
        </w:rPr>
        <w:t xml:space="preserve">Guns: Our Security Our Dilema: Law enforcement, Firearm deaths and Community perceptions of  Violence by the Independent Medico- Legal Unit 2015 . available on </w:t>
      </w:r>
      <w:r w:rsidRPr="00150AD7">
        <w:rPr>
          <w:b/>
          <w:i/>
          <w:u w:val="single"/>
          <w:lang w:val="en-US"/>
        </w:rPr>
        <w:t>www.imlu.org</w:t>
      </w:r>
    </w:p>
  </w:footnote>
  <w:footnote w:id="3">
    <w:p w:rsidR="00D63701" w:rsidRPr="00FA7281" w:rsidRDefault="00D63701" w:rsidP="00FA7281">
      <w:pPr>
        <w:pStyle w:val="FootnoteText"/>
        <w:tabs>
          <w:tab w:val="clear" w:pos="1021"/>
          <w:tab w:val="right" w:pos="0"/>
        </w:tabs>
        <w:ind w:left="0" w:firstLine="0"/>
        <w:rPr>
          <w:lang w:val="en-US"/>
        </w:rPr>
      </w:pPr>
      <w:r>
        <w:rPr>
          <w:rStyle w:val="FootnoteReference"/>
        </w:rPr>
        <w:footnoteRef/>
      </w:r>
      <w:r>
        <w:t xml:space="preserve"> Independent Police Oversight Authority. 2014. Performance Report, January 2014-June 2014. Available at: </w:t>
      </w:r>
      <w:hyperlink r:id="rId2" w:history="1">
        <w:r w:rsidRPr="00673EF6">
          <w:rPr>
            <w:rStyle w:val="Hyperlink"/>
          </w:rPr>
          <w:t>http://www.ipoa.go.ke/images/downloads/IPOAPerformanceReportJan-June2014.singles.pdf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E2581"/>
    <w:multiLevelType w:val="hybridMultilevel"/>
    <w:tmpl w:val="E4449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D655D"/>
    <w:multiLevelType w:val="multilevel"/>
    <w:tmpl w:val="3F9A52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59321C8"/>
    <w:multiLevelType w:val="hybridMultilevel"/>
    <w:tmpl w:val="45041906"/>
    <w:lvl w:ilvl="0" w:tplc="F44462D2">
      <w:start w:val="1"/>
      <w:numFmt w:val="decimal"/>
      <w:lvlText w:val="%1."/>
      <w:lvlJc w:val="left"/>
      <w:pPr>
        <w:tabs>
          <w:tab w:val="num" w:pos="2988"/>
        </w:tabs>
        <w:ind w:left="2988" w:hanging="360"/>
      </w:pPr>
      <w:rPr>
        <w:rFonts w:hint="default"/>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3">
    <w:nsid w:val="37950C1B"/>
    <w:multiLevelType w:val="multilevel"/>
    <w:tmpl w:val="B70E26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7AF7F20"/>
    <w:multiLevelType w:val="hybridMultilevel"/>
    <w:tmpl w:val="72E2E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E44377"/>
    <w:multiLevelType w:val="multilevel"/>
    <w:tmpl w:val="E44498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341571E"/>
    <w:multiLevelType w:val="hybridMultilevel"/>
    <w:tmpl w:val="B70E2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CB1CCC"/>
    <w:multiLevelType w:val="hybridMultilevel"/>
    <w:tmpl w:val="B532CAE8"/>
    <w:lvl w:ilvl="0" w:tplc="C75475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E67772"/>
    <w:multiLevelType w:val="hybridMultilevel"/>
    <w:tmpl w:val="33769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36649"/>
    <w:multiLevelType w:val="multilevel"/>
    <w:tmpl w:val="72E2E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FB03CD6"/>
    <w:multiLevelType w:val="hybridMultilevel"/>
    <w:tmpl w:val="F3F24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2F0FA7"/>
    <w:multiLevelType w:val="multilevel"/>
    <w:tmpl w:val="74541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2163721"/>
    <w:multiLevelType w:val="hybridMultilevel"/>
    <w:tmpl w:val="74541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41118A"/>
    <w:multiLevelType w:val="hybridMultilevel"/>
    <w:tmpl w:val="3F9A5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1E6687"/>
    <w:multiLevelType w:val="multilevel"/>
    <w:tmpl w:val="B70E26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F6E0261"/>
    <w:multiLevelType w:val="multilevel"/>
    <w:tmpl w:val="337696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0"/>
  </w:num>
  <w:num w:numId="3">
    <w:abstractNumId w:val="13"/>
  </w:num>
  <w:num w:numId="4">
    <w:abstractNumId w:val="10"/>
  </w:num>
  <w:num w:numId="5">
    <w:abstractNumId w:val="5"/>
  </w:num>
  <w:num w:numId="6">
    <w:abstractNumId w:val="1"/>
  </w:num>
  <w:num w:numId="7">
    <w:abstractNumId w:val="2"/>
  </w:num>
  <w:num w:numId="8">
    <w:abstractNumId w:val="12"/>
  </w:num>
  <w:num w:numId="9">
    <w:abstractNumId w:val="11"/>
  </w:num>
  <w:num w:numId="10">
    <w:abstractNumId w:val="4"/>
  </w:num>
  <w:num w:numId="11">
    <w:abstractNumId w:val="9"/>
  </w:num>
  <w:num w:numId="12">
    <w:abstractNumId w:val="6"/>
  </w:num>
  <w:num w:numId="13">
    <w:abstractNumId w:val="3"/>
  </w:num>
  <w:num w:numId="14">
    <w:abstractNumId w:val="14"/>
  </w:num>
  <w:num w:numId="15">
    <w:abstractNumId w:val="8"/>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06A"/>
    <w:rsid w:val="00023AE8"/>
    <w:rsid w:val="000247D1"/>
    <w:rsid w:val="000761A6"/>
    <w:rsid w:val="000C5C92"/>
    <w:rsid w:val="000C5D98"/>
    <w:rsid w:val="000D36A5"/>
    <w:rsid w:val="000F5E45"/>
    <w:rsid w:val="000F68D3"/>
    <w:rsid w:val="000F79C8"/>
    <w:rsid w:val="001113CE"/>
    <w:rsid w:val="00122C95"/>
    <w:rsid w:val="00150AD7"/>
    <w:rsid w:val="00161D25"/>
    <w:rsid w:val="00173B6A"/>
    <w:rsid w:val="00293263"/>
    <w:rsid w:val="002A205B"/>
    <w:rsid w:val="002A352D"/>
    <w:rsid w:val="003C5C9E"/>
    <w:rsid w:val="003C7271"/>
    <w:rsid w:val="003D19FE"/>
    <w:rsid w:val="00420AD3"/>
    <w:rsid w:val="004410B0"/>
    <w:rsid w:val="004554FC"/>
    <w:rsid w:val="00456D39"/>
    <w:rsid w:val="004D7CDD"/>
    <w:rsid w:val="005521F4"/>
    <w:rsid w:val="00616E08"/>
    <w:rsid w:val="00684526"/>
    <w:rsid w:val="00696CE2"/>
    <w:rsid w:val="006C0B8A"/>
    <w:rsid w:val="006E44E0"/>
    <w:rsid w:val="006E4741"/>
    <w:rsid w:val="00721CD7"/>
    <w:rsid w:val="0080083E"/>
    <w:rsid w:val="00805D02"/>
    <w:rsid w:val="0082006A"/>
    <w:rsid w:val="00830BF7"/>
    <w:rsid w:val="0084215F"/>
    <w:rsid w:val="00852079"/>
    <w:rsid w:val="00917C35"/>
    <w:rsid w:val="00917E0D"/>
    <w:rsid w:val="009537DF"/>
    <w:rsid w:val="009F6E5F"/>
    <w:rsid w:val="00AC0DF6"/>
    <w:rsid w:val="00AD6620"/>
    <w:rsid w:val="00AF3179"/>
    <w:rsid w:val="00B9012B"/>
    <w:rsid w:val="00B91F80"/>
    <w:rsid w:val="00C430B5"/>
    <w:rsid w:val="00CA1D85"/>
    <w:rsid w:val="00CB210D"/>
    <w:rsid w:val="00CD3595"/>
    <w:rsid w:val="00D31223"/>
    <w:rsid w:val="00D63701"/>
    <w:rsid w:val="00D90DC2"/>
    <w:rsid w:val="00E65905"/>
    <w:rsid w:val="00E95360"/>
    <w:rsid w:val="00EA351D"/>
    <w:rsid w:val="00F07C34"/>
    <w:rsid w:val="00F360F9"/>
    <w:rsid w:val="00F460F2"/>
    <w:rsid w:val="00F84A85"/>
    <w:rsid w:val="00FA4F99"/>
    <w:rsid w:val="00FA7281"/>
    <w:rsid w:val="00FC0C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2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3179"/>
    <w:pPr>
      <w:spacing w:before="100" w:beforeAutospacing="1" w:after="100" w:afterAutospacing="1"/>
    </w:pPr>
    <w:rPr>
      <w:rFonts w:ascii="Times" w:hAnsi="Times" w:cs="Times New Roman"/>
      <w:sz w:val="20"/>
      <w:szCs w:val="20"/>
      <w:lang w:val="en-GB"/>
    </w:rPr>
  </w:style>
  <w:style w:type="character" w:customStyle="1" w:styleId="apple-converted-space">
    <w:name w:val="apple-converted-space"/>
    <w:basedOn w:val="DefaultParagraphFont"/>
    <w:rsid w:val="00AF3179"/>
  </w:style>
  <w:style w:type="character" w:styleId="Strong">
    <w:name w:val="Strong"/>
    <w:basedOn w:val="DefaultParagraphFont"/>
    <w:uiPriority w:val="22"/>
    <w:qFormat/>
    <w:rsid w:val="00AF3179"/>
    <w:rPr>
      <w:b/>
      <w:bCs/>
    </w:rPr>
  </w:style>
  <w:style w:type="paragraph" w:customStyle="1" w:styleId="SingleTxtG">
    <w:name w:val="_ Single Txt_G"/>
    <w:basedOn w:val="Normal"/>
    <w:link w:val="SingleTxtGChar"/>
    <w:rsid w:val="004554FC"/>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locked/>
    <w:rsid w:val="004554FC"/>
    <w:rPr>
      <w:rFonts w:ascii="Times New Roman" w:eastAsia="Times New Roman" w:hAnsi="Times New Roman" w:cs="Times New Roman"/>
      <w:sz w:val="20"/>
      <w:szCs w:val="20"/>
      <w:lang w:val="en-GB"/>
    </w:rPr>
  </w:style>
  <w:style w:type="paragraph" w:customStyle="1" w:styleId="H23G">
    <w:name w:val="_ H_2/3_G"/>
    <w:basedOn w:val="Normal"/>
    <w:next w:val="Normal"/>
    <w:rsid w:val="00F07C34"/>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paragraph" w:styleId="ListParagraph">
    <w:name w:val="List Paragraph"/>
    <w:basedOn w:val="Normal"/>
    <w:uiPriority w:val="34"/>
    <w:qFormat/>
    <w:rsid w:val="00805D02"/>
    <w:pPr>
      <w:ind w:left="720"/>
      <w:contextualSpacing/>
    </w:pPr>
  </w:style>
  <w:style w:type="character" w:styleId="CommentReference">
    <w:name w:val="annotation reference"/>
    <w:basedOn w:val="DefaultParagraphFont"/>
    <w:uiPriority w:val="99"/>
    <w:semiHidden/>
    <w:unhideWhenUsed/>
    <w:rsid w:val="003C5C9E"/>
    <w:rPr>
      <w:sz w:val="18"/>
      <w:szCs w:val="18"/>
    </w:rPr>
  </w:style>
  <w:style w:type="paragraph" w:styleId="CommentText">
    <w:name w:val="annotation text"/>
    <w:basedOn w:val="Normal"/>
    <w:link w:val="CommentTextChar"/>
    <w:uiPriority w:val="99"/>
    <w:semiHidden/>
    <w:unhideWhenUsed/>
    <w:rsid w:val="003C5C9E"/>
  </w:style>
  <w:style w:type="character" w:customStyle="1" w:styleId="CommentTextChar">
    <w:name w:val="Comment Text Char"/>
    <w:basedOn w:val="DefaultParagraphFont"/>
    <w:link w:val="CommentText"/>
    <w:uiPriority w:val="99"/>
    <w:semiHidden/>
    <w:rsid w:val="003C5C9E"/>
  </w:style>
  <w:style w:type="paragraph" w:styleId="CommentSubject">
    <w:name w:val="annotation subject"/>
    <w:basedOn w:val="CommentText"/>
    <w:next w:val="CommentText"/>
    <w:link w:val="CommentSubjectChar"/>
    <w:uiPriority w:val="99"/>
    <w:semiHidden/>
    <w:unhideWhenUsed/>
    <w:rsid w:val="003C5C9E"/>
    <w:rPr>
      <w:b/>
      <w:bCs/>
      <w:sz w:val="20"/>
      <w:szCs w:val="20"/>
    </w:rPr>
  </w:style>
  <w:style w:type="character" w:customStyle="1" w:styleId="CommentSubjectChar">
    <w:name w:val="Comment Subject Char"/>
    <w:basedOn w:val="CommentTextChar"/>
    <w:link w:val="CommentSubject"/>
    <w:uiPriority w:val="99"/>
    <w:semiHidden/>
    <w:rsid w:val="003C5C9E"/>
    <w:rPr>
      <w:b/>
      <w:bCs/>
      <w:sz w:val="20"/>
      <w:szCs w:val="20"/>
    </w:rPr>
  </w:style>
  <w:style w:type="paragraph" w:styleId="BalloonText">
    <w:name w:val="Balloon Text"/>
    <w:basedOn w:val="Normal"/>
    <w:link w:val="BalloonTextChar"/>
    <w:uiPriority w:val="99"/>
    <w:semiHidden/>
    <w:unhideWhenUsed/>
    <w:rsid w:val="003C5C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5C9E"/>
    <w:rPr>
      <w:rFonts w:ascii="Lucida Grande" w:hAnsi="Lucida Grande" w:cs="Lucida Grande"/>
      <w:sz w:val="18"/>
      <w:szCs w:val="18"/>
    </w:rPr>
  </w:style>
  <w:style w:type="paragraph" w:styleId="FootnoteText">
    <w:name w:val="footnote text"/>
    <w:aliases w:val="5_G,Footnote Text Char Char1,Footnote Text Char1 Char Char1,Footnote Text Char Char1 Char Char,Footnote Text Char1 Char Char1 Char Char,ft Char Char Char Char Char,Geneva 9 Char Char Char Char Char"/>
    <w:basedOn w:val="Normal"/>
    <w:link w:val="FootnoteTextChar1"/>
    <w:uiPriority w:val="99"/>
    <w:rsid w:val="000C5C92"/>
    <w:pPr>
      <w:tabs>
        <w:tab w:val="right" w:pos="1021"/>
      </w:tabs>
      <w:suppressAutoHyphens/>
      <w:spacing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basedOn w:val="DefaultParagraphFont"/>
    <w:uiPriority w:val="99"/>
    <w:rsid w:val="000C5C92"/>
  </w:style>
  <w:style w:type="character" w:styleId="FootnoteReference">
    <w:name w:val="footnote reference"/>
    <w:aliases w:val="4_G,Footnote"/>
    <w:uiPriority w:val="99"/>
    <w:rsid w:val="000C5C92"/>
    <w:rPr>
      <w:rFonts w:ascii="Times New Roman" w:hAnsi="Times New Roman"/>
      <w:sz w:val="18"/>
      <w:vertAlign w:val="superscript"/>
    </w:rPr>
  </w:style>
  <w:style w:type="character" w:customStyle="1" w:styleId="FootnoteTextChar1">
    <w:name w:val="Footnote Text Char1"/>
    <w:aliases w:val="5_G Char,Footnote Text Char Char1 Char,Footnote Text Char1 Char Char1 Char,Footnote Text Char Char1 Char Char Char,Footnote Text Char1 Char Char1 Char Char Char,ft Char Char Char Char Char Char,Geneva 9 Char Char Char Char Char Char"/>
    <w:link w:val="FootnoteText"/>
    <w:locked/>
    <w:rsid w:val="000C5C92"/>
    <w:rPr>
      <w:rFonts w:ascii="Times New Roman" w:eastAsia="Times New Roman" w:hAnsi="Times New Roman" w:cs="Times New Roman"/>
      <w:sz w:val="18"/>
      <w:szCs w:val="20"/>
      <w:lang w:val="en-GB"/>
    </w:rPr>
  </w:style>
  <w:style w:type="character" w:styleId="Hyperlink">
    <w:name w:val="Hyperlink"/>
    <w:basedOn w:val="DefaultParagraphFont"/>
    <w:uiPriority w:val="99"/>
    <w:unhideWhenUsed/>
    <w:rsid w:val="00FA72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2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3179"/>
    <w:pPr>
      <w:spacing w:before="100" w:beforeAutospacing="1" w:after="100" w:afterAutospacing="1"/>
    </w:pPr>
    <w:rPr>
      <w:rFonts w:ascii="Times" w:hAnsi="Times" w:cs="Times New Roman"/>
      <w:sz w:val="20"/>
      <w:szCs w:val="20"/>
      <w:lang w:val="en-GB"/>
    </w:rPr>
  </w:style>
  <w:style w:type="character" w:customStyle="1" w:styleId="apple-converted-space">
    <w:name w:val="apple-converted-space"/>
    <w:basedOn w:val="DefaultParagraphFont"/>
    <w:rsid w:val="00AF3179"/>
  </w:style>
  <w:style w:type="character" w:styleId="Strong">
    <w:name w:val="Strong"/>
    <w:basedOn w:val="DefaultParagraphFont"/>
    <w:uiPriority w:val="22"/>
    <w:qFormat/>
    <w:rsid w:val="00AF3179"/>
    <w:rPr>
      <w:b/>
      <w:bCs/>
    </w:rPr>
  </w:style>
  <w:style w:type="paragraph" w:customStyle="1" w:styleId="SingleTxtG">
    <w:name w:val="_ Single Txt_G"/>
    <w:basedOn w:val="Normal"/>
    <w:link w:val="SingleTxtGChar"/>
    <w:rsid w:val="004554FC"/>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locked/>
    <w:rsid w:val="004554FC"/>
    <w:rPr>
      <w:rFonts w:ascii="Times New Roman" w:eastAsia="Times New Roman" w:hAnsi="Times New Roman" w:cs="Times New Roman"/>
      <w:sz w:val="20"/>
      <w:szCs w:val="20"/>
      <w:lang w:val="en-GB"/>
    </w:rPr>
  </w:style>
  <w:style w:type="paragraph" w:customStyle="1" w:styleId="H23G">
    <w:name w:val="_ H_2/3_G"/>
    <w:basedOn w:val="Normal"/>
    <w:next w:val="Normal"/>
    <w:rsid w:val="00F07C34"/>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paragraph" w:styleId="ListParagraph">
    <w:name w:val="List Paragraph"/>
    <w:basedOn w:val="Normal"/>
    <w:uiPriority w:val="34"/>
    <w:qFormat/>
    <w:rsid w:val="00805D02"/>
    <w:pPr>
      <w:ind w:left="720"/>
      <w:contextualSpacing/>
    </w:pPr>
  </w:style>
  <w:style w:type="character" w:styleId="CommentReference">
    <w:name w:val="annotation reference"/>
    <w:basedOn w:val="DefaultParagraphFont"/>
    <w:uiPriority w:val="99"/>
    <w:semiHidden/>
    <w:unhideWhenUsed/>
    <w:rsid w:val="003C5C9E"/>
    <w:rPr>
      <w:sz w:val="18"/>
      <w:szCs w:val="18"/>
    </w:rPr>
  </w:style>
  <w:style w:type="paragraph" w:styleId="CommentText">
    <w:name w:val="annotation text"/>
    <w:basedOn w:val="Normal"/>
    <w:link w:val="CommentTextChar"/>
    <w:uiPriority w:val="99"/>
    <w:semiHidden/>
    <w:unhideWhenUsed/>
    <w:rsid w:val="003C5C9E"/>
  </w:style>
  <w:style w:type="character" w:customStyle="1" w:styleId="CommentTextChar">
    <w:name w:val="Comment Text Char"/>
    <w:basedOn w:val="DefaultParagraphFont"/>
    <w:link w:val="CommentText"/>
    <w:uiPriority w:val="99"/>
    <w:semiHidden/>
    <w:rsid w:val="003C5C9E"/>
  </w:style>
  <w:style w:type="paragraph" w:styleId="CommentSubject">
    <w:name w:val="annotation subject"/>
    <w:basedOn w:val="CommentText"/>
    <w:next w:val="CommentText"/>
    <w:link w:val="CommentSubjectChar"/>
    <w:uiPriority w:val="99"/>
    <w:semiHidden/>
    <w:unhideWhenUsed/>
    <w:rsid w:val="003C5C9E"/>
    <w:rPr>
      <w:b/>
      <w:bCs/>
      <w:sz w:val="20"/>
      <w:szCs w:val="20"/>
    </w:rPr>
  </w:style>
  <w:style w:type="character" w:customStyle="1" w:styleId="CommentSubjectChar">
    <w:name w:val="Comment Subject Char"/>
    <w:basedOn w:val="CommentTextChar"/>
    <w:link w:val="CommentSubject"/>
    <w:uiPriority w:val="99"/>
    <w:semiHidden/>
    <w:rsid w:val="003C5C9E"/>
    <w:rPr>
      <w:b/>
      <w:bCs/>
      <w:sz w:val="20"/>
      <w:szCs w:val="20"/>
    </w:rPr>
  </w:style>
  <w:style w:type="paragraph" w:styleId="BalloonText">
    <w:name w:val="Balloon Text"/>
    <w:basedOn w:val="Normal"/>
    <w:link w:val="BalloonTextChar"/>
    <w:uiPriority w:val="99"/>
    <w:semiHidden/>
    <w:unhideWhenUsed/>
    <w:rsid w:val="003C5C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5C9E"/>
    <w:rPr>
      <w:rFonts w:ascii="Lucida Grande" w:hAnsi="Lucida Grande" w:cs="Lucida Grande"/>
      <w:sz w:val="18"/>
      <w:szCs w:val="18"/>
    </w:rPr>
  </w:style>
  <w:style w:type="paragraph" w:styleId="FootnoteText">
    <w:name w:val="footnote text"/>
    <w:aliases w:val="5_G,Footnote Text Char Char1,Footnote Text Char1 Char Char1,Footnote Text Char Char1 Char Char,Footnote Text Char1 Char Char1 Char Char,ft Char Char Char Char Char,Geneva 9 Char Char Char Char Char"/>
    <w:basedOn w:val="Normal"/>
    <w:link w:val="FootnoteTextChar1"/>
    <w:uiPriority w:val="99"/>
    <w:rsid w:val="000C5C92"/>
    <w:pPr>
      <w:tabs>
        <w:tab w:val="right" w:pos="1021"/>
      </w:tabs>
      <w:suppressAutoHyphens/>
      <w:spacing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basedOn w:val="DefaultParagraphFont"/>
    <w:uiPriority w:val="99"/>
    <w:rsid w:val="000C5C92"/>
  </w:style>
  <w:style w:type="character" w:styleId="FootnoteReference">
    <w:name w:val="footnote reference"/>
    <w:aliases w:val="4_G,Footnote"/>
    <w:uiPriority w:val="99"/>
    <w:rsid w:val="000C5C92"/>
    <w:rPr>
      <w:rFonts w:ascii="Times New Roman" w:hAnsi="Times New Roman"/>
      <w:sz w:val="18"/>
      <w:vertAlign w:val="superscript"/>
    </w:rPr>
  </w:style>
  <w:style w:type="character" w:customStyle="1" w:styleId="FootnoteTextChar1">
    <w:name w:val="Footnote Text Char1"/>
    <w:aliases w:val="5_G Char,Footnote Text Char Char1 Char,Footnote Text Char1 Char Char1 Char,Footnote Text Char Char1 Char Char Char,Footnote Text Char1 Char Char1 Char Char Char,ft Char Char Char Char Char Char,Geneva 9 Char Char Char Char Char Char"/>
    <w:link w:val="FootnoteText"/>
    <w:locked/>
    <w:rsid w:val="000C5C92"/>
    <w:rPr>
      <w:rFonts w:ascii="Times New Roman" w:eastAsia="Times New Roman" w:hAnsi="Times New Roman" w:cs="Times New Roman"/>
      <w:sz w:val="18"/>
      <w:szCs w:val="20"/>
      <w:lang w:val="en-GB"/>
    </w:rPr>
  </w:style>
  <w:style w:type="character" w:styleId="Hyperlink">
    <w:name w:val="Hyperlink"/>
    <w:basedOn w:val="DefaultParagraphFont"/>
    <w:uiPriority w:val="99"/>
    <w:unhideWhenUsed/>
    <w:rsid w:val="00FA72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9094">
      <w:bodyDiv w:val="1"/>
      <w:marLeft w:val="0"/>
      <w:marRight w:val="0"/>
      <w:marTop w:val="0"/>
      <w:marBottom w:val="0"/>
      <w:divBdr>
        <w:top w:val="none" w:sz="0" w:space="0" w:color="auto"/>
        <w:left w:val="none" w:sz="0" w:space="0" w:color="auto"/>
        <w:bottom w:val="none" w:sz="0" w:space="0" w:color="auto"/>
        <w:right w:val="none" w:sz="0" w:space="0" w:color="auto"/>
      </w:divBdr>
    </w:div>
    <w:div w:id="133912402">
      <w:bodyDiv w:val="1"/>
      <w:marLeft w:val="0"/>
      <w:marRight w:val="0"/>
      <w:marTop w:val="0"/>
      <w:marBottom w:val="0"/>
      <w:divBdr>
        <w:top w:val="none" w:sz="0" w:space="0" w:color="auto"/>
        <w:left w:val="none" w:sz="0" w:space="0" w:color="auto"/>
        <w:bottom w:val="none" w:sz="0" w:space="0" w:color="auto"/>
        <w:right w:val="none" w:sz="0" w:space="0" w:color="auto"/>
      </w:divBdr>
    </w:div>
    <w:div w:id="325744280">
      <w:bodyDiv w:val="1"/>
      <w:marLeft w:val="0"/>
      <w:marRight w:val="0"/>
      <w:marTop w:val="0"/>
      <w:marBottom w:val="0"/>
      <w:divBdr>
        <w:top w:val="none" w:sz="0" w:space="0" w:color="auto"/>
        <w:left w:val="none" w:sz="0" w:space="0" w:color="auto"/>
        <w:bottom w:val="none" w:sz="0" w:space="0" w:color="auto"/>
        <w:right w:val="none" w:sz="0" w:space="0" w:color="auto"/>
      </w:divBdr>
    </w:div>
    <w:div w:id="379328542">
      <w:bodyDiv w:val="1"/>
      <w:marLeft w:val="0"/>
      <w:marRight w:val="0"/>
      <w:marTop w:val="0"/>
      <w:marBottom w:val="0"/>
      <w:divBdr>
        <w:top w:val="none" w:sz="0" w:space="0" w:color="auto"/>
        <w:left w:val="none" w:sz="0" w:space="0" w:color="auto"/>
        <w:bottom w:val="none" w:sz="0" w:space="0" w:color="auto"/>
        <w:right w:val="none" w:sz="0" w:space="0" w:color="auto"/>
      </w:divBdr>
    </w:div>
    <w:div w:id="429358600">
      <w:bodyDiv w:val="1"/>
      <w:marLeft w:val="0"/>
      <w:marRight w:val="0"/>
      <w:marTop w:val="0"/>
      <w:marBottom w:val="0"/>
      <w:divBdr>
        <w:top w:val="none" w:sz="0" w:space="0" w:color="auto"/>
        <w:left w:val="none" w:sz="0" w:space="0" w:color="auto"/>
        <w:bottom w:val="none" w:sz="0" w:space="0" w:color="auto"/>
        <w:right w:val="none" w:sz="0" w:space="0" w:color="auto"/>
      </w:divBdr>
    </w:div>
    <w:div w:id="550767155">
      <w:bodyDiv w:val="1"/>
      <w:marLeft w:val="0"/>
      <w:marRight w:val="0"/>
      <w:marTop w:val="0"/>
      <w:marBottom w:val="0"/>
      <w:divBdr>
        <w:top w:val="none" w:sz="0" w:space="0" w:color="auto"/>
        <w:left w:val="none" w:sz="0" w:space="0" w:color="auto"/>
        <w:bottom w:val="none" w:sz="0" w:space="0" w:color="auto"/>
        <w:right w:val="none" w:sz="0" w:space="0" w:color="auto"/>
      </w:divBdr>
      <w:divsChild>
        <w:div w:id="1399744612">
          <w:marLeft w:val="0"/>
          <w:marRight w:val="0"/>
          <w:marTop w:val="0"/>
          <w:marBottom w:val="0"/>
          <w:divBdr>
            <w:top w:val="none" w:sz="0" w:space="0" w:color="auto"/>
            <w:left w:val="none" w:sz="0" w:space="0" w:color="auto"/>
            <w:bottom w:val="none" w:sz="0" w:space="0" w:color="auto"/>
            <w:right w:val="none" w:sz="0" w:space="0" w:color="auto"/>
          </w:divBdr>
          <w:divsChild>
            <w:div w:id="1438519941">
              <w:marLeft w:val="0"/>
              <w:marRight w:val="0"/>
              <w:marTop w:val="0"/>
              <w:marBottom w:val="0"/>
              <w:divBdr>
                <w:top w:val="none" w:sz="0" w:space="0" w:color="auto"/>
                <w:left w:val="none" w:sz="0" w:space="0" w:color="auto"/>
                <w:bottom w:val="none" w:sz="0" w:space="0" w:color="auto"/>
                <w:right w:val="none" w:sz="0" w:space="0" w:color="auto"/>
              </w:divBdr>
              <w:divsChild>
                <w:div w:id="363097655">
                  <w:marLeft w:val="0"/>
                  <w:marRight w:val="0"/>
                  <w:marTop w:val="0"/>
                  <w:marBottom w:val="0"/>
                  <w:divBdr>
                    <w:top w:val="none" w:sz="0" w:space="0" w:color="auto"/>
                    <w:left w:val="none" w:sz="0" w:space="0" w:color="auto"/>
                    <w:bottom w:val="none" w:sz="0" w:space="0" w:color="auto"/>
                    <w:right w:val="none" w:sz="0" w:space="0" w:color="auto"/>
                  </w:divBdr>
                </w:div>
              </w:divsChild>
            </w:div>
            <w:div w:id="990256111">
              <w:marLeft w:val="0"/>
              <w:marRight w:val="0"/>
              <w:marTop w:val="0"/>
              <w:marBottom w:val="0"/>
              <w:divBdr>
                <w:top w:val="none" w:sz="0" w:space="0" w:color="auto"/>
                <w:left w:val="none" w:sz="0" w:space="0" w:color="auto"/>
                <w:bottom w:val="none" w:sz="0" w:space="0" w:color="auto"/>
                <w:right w:val="none" w:sz="0" w:space="0" w:color="auto"/>
              </w:divBdr>
              <w:divsChild>
                <w:div w:id="102112024">
                  <w:marLeft w:val="0"/>
                  <w:marRight w:val="0"/>
                  <w:marTop w:val="0"/>
                  <w:marBottom w:val="0"/>
                  <w:divBdr>
                    <w:top w:val="none" w:sz="0" w:space="0" w:color="auto"/>
                    <w:left w:val="none" w:sz="0" w:space="0" w:color="auto"/>
                    <w:bottom w:val="none" w:sz="0" w:space="0" w:color="auto"/>
                    <w:right w:val="none" w:sz="0" w:space="0" w:color="auto"/>
                  </w:divBdr>
                </w:div>
                <w:div w:id="2097168313">
                  <w:marLeft w:val="0"/>
                  <w:marRight w:val="0"/>
                  <w:marTop w:val="0"/>
                  <w:marBottom w:val="0"/>
                  <w:divBdr>
                    <w:top w:val="none" w:sz="0" w:space="0" w:color="auto"/>
                    <w:left w:val="none" w:sz="0" w:space="0" w:color="auto"/>
                    <w:bottom w:val="none" w:sz="0" w:space="0" w:color="auto"/>
                    <w:right w:val="none" w:sz="0" w:space="0" w:color="auto"/>
                  </w:divBdr>
                </w:div>
              </w:divsChild>
            </w:div>
            <w:div w:id="761725847">
              <w:marLeft w:val="0"/>
              <w:marRight w:val="0"/>
              <w:marTop w:val="0"/>
              <w:marBottom w:val="0"/>
              <w:divBdr>
                <w:top w:val="none" w:sz="0" w:space="0" w:color="auto"/>
                <w:left w:val="none" w:sz="0" w:space="0" w:color="auto"/>
                <w:bottom w:val="none" w:sz="0" w:space="0" w:color="auto"/>
                <w:right w:val="none" w:sz="0" w:space="0" w:color="auto"/>
              </w:divBdr>
              <w:divsChild>
                <w:div w:id="529028066">
                  <w:marLeft w:val="0"/>
                  <w:marRight w:val="0"/>
                  <w:marTop w:val="0"/>
                  <w:marBottom w:val="0"/>
                  <w:divBdr>
                    <w:top w:val="none" w:sz="0" w:space="0" w:color="auto"/>
                    <w:left w:val="none" w:sz="0" w:space="0" w:color="auto"/>
                    <w:bottom w:val="none" w:sz="0" w:space="0" w:color="auto"/>
                    <w:right w:val="none" w:sz="0" w:space="0" w:color="auto"/>
                  </w:divBdr>
                </w:div>
                <w:div w:id="48223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571875">
          <w:marLeft w:val="0"/>
          <w:marRight w:val="0"/>
          <w:marTop w:val="0"/>
          <w:marBottom w:val="0"/>
          <w:divBdr>
            <w:top w:val="none" w:sz="0" w:space="0" w:color="auto"/>
            <w:left w:val="none" w:sz="0" w:space="0" w:color="auto"/>
            <w:bottom w:val="none" w:sz="0" w:space="0" w:color="auto"/>
            <w:right w:val="none" w:sz="0" w:space="0" w:color="auto"/>
          </w:divBdr>
          <w:divsChild>
            <w:div w:id="784235018">
              <w:marLeft w:val="0"/>
              <w:marRight w:val="0"/>
              <w:marTop w:val="0"/>
              <w:marBottom w:val="0"/>
              <w:divBdr>
                <w:top w:val="none" w:sz="0" w:space="0" w:color="auto"/>
                <w:left w:val="none" w:sz="0" w:space="0" w:color="auto"/>
                <w:bottom w:val="none" w:sz="0" w:space="0" w:color="auto"/>
                <w:right w:val="none" w:sz="0" w:space="0" w:color="auto"/>
              </w:divBdr>
              <w:divsChild>
                <w:div w:id="155046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889679">
      <w:bodyDiv w:val="1"/>
      <w:marLeft w:val="0"/>
      <w:marRight w:val="0"/>
      <w:marTop w:val="0"/>
      <w:marBottom w:val="0"/>
      <w:divBdr>
        <w:top w:val="none" w:sz="0" w:space="0" w:color="auto"/>
        <w:left w:val="none" w:sz="0" w:space="0" w:color="auto"/>
        <w:bottom w:val="none" w:sz="0" w:space="0" w:color="auto"/>
        <w:right w:val="none" w:sz="0" w:space="0" w:color="auto"/>
      </w:divBdr>
    </w:div>
    <w:div w:id="808280508">
      <w:bodyDiv w:val="1"/>
      <w:marLeft w:val="0"/>
      <w:marRight w:val="0"/>
      <w:marTop w:val="0"/>
      <w:marBottom w:val="0"/>
      <w:divBdr>
        <w:top w:val="none" w:sz="0" w:space="0" w:color="auto"/>
        <w:left w:val="none" w:sz="0" w:space="0" w:color="auto"/>
        <w:bottom w:val="none" w:sz="0" w:space="0" w:color="auto"/>
        <w:right w:val="none" w:sz="0" w:space="0" w:color="auto"/>
      </w:divBdr>
    </w:div>
    <w:div w:id="891505339">
      <w:bodyDiv w:val="1"/>
      <w:marLeft w:val="0"/>
      <w:marRight w:val="0"/>
      <w:marTop w:val="0"/>
      <w:marBottom w:val="0"/>
      <w:divBdr>
        <w:top w:val="none" w:sz="0" w:space="0" w:color="auto"/>
        <w:left w:val="none" w:sz="0" w:space="0" w:color="auto"/>
        <w:bottom w:val="none" w:sz="0" w:space="0" w:color="auto"/>
        <w:right w:val="none" w:sz="0" w:space="0" w:color="auto"/>
      </w:divBdr>
      <w:divsChild>
        <w:div w:id="680859561">
          <w:marLeft w:val="0"/>
          <w:marRight w:val="0"/>
          <w:marTop w:val="0"/>
          <w:marBottom w:val="0"/>
          <w:divBdr>
            <w:top w:val="none" w:sz="0" w:space="0" w:color="auto"/>
            <w:left w:val="none" w:sz="0" w:space="0" w:color="auto"/>
            <w:bottom w:val="none" w:sz="0" w:space="0" w:color="auto"/>
            <w:right w:val="none" w:sz="0" w:space="0" w:color="auto"/>
          </w:divBdr>
          <w:divsChild>
            <w:div w:id="650062335">
              <w:marLeft w:val="0"/>
              <w:marRight w:val="0"/>
              <w:marTop w:val="0"/>
              <w:marBottom w:val="0"/>
              <w:divBdr>
                <w:top w:val="none" w:sz="0" w:space="0" w:color="auto"/>
                <w:left w:val="none" w:sz="0" w:space="0" w:color="auto"/>
                <w:bottom w:val="none" w:sz="0" w:space="0" w:color="auto"/>
                <w:right w:val="none" w:sz="0" w:space="0" w:color="auto"/>
              </w:divBdr>
              <w:divsChild>
                <w:div w:id="39493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313740">
      <w:bodyDiv w:val="1"/>
      <w:marLeft w:val="0"/>
      <w:marRight w:val="0"/>
      <w:marTop w:val="0"/>
      <w:marBottom w:val="0"/>
      <w:divBdr>
        <w:top w:val="none" w:sz="0" w:space="0" w:color="auto"/>
        <w:left w:val="none" w:sz="0" w:space="0" w:color="auto"/>
        <w:bottom w:val="none" w:sz="0" w:space="0" w:color="auto"/>
        <w:right w:val="none" w:sz="0" w:space="0" w:color="auto"/>
      </w:divBdr>
    </w:div>
    <w:div w:id="980575334">
      <w:bodyDiv w:val="1"/>
      <w:marLeft w:val="0"/>
      <w:marRight w:val="0"/>
      <w:marTop w:val="0"/>
      <w:marBottom w:val="0"/>
      <w:divBdr>
        <w:top w:val="none" w:sz="0" w:space="0" w:color="auto"/>
        <w:left w:val="none" w:sz="0" w:space="0" w:color="auto"/>
        <w:bottom w:val="none" w:sz="0" w:space="0" w:color="auto"/>
        <w:right w:val="none" w:sz="0" w:space="0" w:color="auto"/>
      </w:divBdr>
    </w:div>
    <w:div w:id="1049694321">
      <w:bodyDiv w:val="1"/>
      <w:marLeft w:val="0"/>
      <w:marRight w:val="0"/>
      <w:marTop w:val="0"/>
      <w:marBottom w:val="0"/>
      <w:divBdr>
        <w:top w:val="none" w:sz="0" w:space="0" w:color="auto"/>
        <w:left w:val="none" w:sz="0" w:space="0" w:color="auto"/>
        <w:bottom w:val="none" w:sz="0" w:space="0" w:color="auto"/>
        <w:right w:val="none" w:sz="0" w:space="0" w:color="auto"/>
      </w:divBdr>
    </w:div>
    <w:div w:id="1197697364">
      <w:bodyDiv w:val="1"/>
      <w:marLeft w:val="0"/>
      <w:marRight w:val="0"/>
      <w:marTop w:val="0"/>
      <w:marBottom w:val="0"/>
      <w:divBdr>
        <w:top w:val="none" w:sz="0" w:space="0" w:color="auto"/>
        <w:left w:val="none" w:sz="0" w:space="0" w:color="auto"/>
        <w:bottom w:val="none" w:sz="0" w:space="0" w:color="auto"/>
        <w:right w:val="none" w:sz="0" w:space="0" w:color="auto"/>
      </w:divBdr>
    </w:div>
    <w:div w:id="1265842915">
      <w:bodyDiv w:val="1"/>
      <w:marLeft w:val="0"/>
      <w:marRight w:val="0"/>
      <w:marTop w:val="0"/>
      <w:marBottom w:val="0"/>
      <w:divBdr>
        <w:top w:val="none" w:sz="0" w:space="0" w:color="auto"/>
        <w:left w:val="none" w:sz="0" w:space="0" w:color="auto"/>
        <w:bottom w:val="none" w:sz="0" w:space="0" w:color="auto"/>
        <w:right w:val="none" w:sz="0" w:space="0" w:color="auto"/>
      </w:divBdr>
    </w:div>
    <w:div w:id="1752847709">
      <w:bodyDiv w:val="1"/>
      <w:marLeft w:val="0"/>
      <w:marRight w:val="0"/>
      <w:marTop w:val="0"/>
      <w:marBottom w:val="0"/>
      <w:divBdr>
        <w:top w:val="none" w:sz="0" w:space="0" w:color="auto"/>
        <w:left w:val="none" w:sz="0" w:space="0" w:color="auto"/>
        <w:bottom w:val="none" w:sz="0" w:space="0" w:color="auto"/>
        <w:right w:val="none" w:sz="0" w:space="0" w:color="auto"/>
      </w:divBdr>
    </w:div>
    <w:div w:id="20715399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mailto:pkiama@imlu.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www.ipoa.go.ke/images/downloads/IPOAPerformanceReportJan-June2014.singles.pdf" TargetMode="External"/><Relationship Id="rId1" Type="http://schemas.openxmlformats.org/officeDocument/2006/relationships/hyperlink" Target="http://www.imlu.org/2011-06-30-23-44-4/repor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DDC9D-8224-430B-BF0B-FC65FCE06E41}"/>
</file>

<file path=customXml/itemProps2.xml><?xml version="1.0" encoding="utf-8"?>
<ds:datastoreItem xmlns:ds="http://schemas.openxmlformats.org/officeDocument/2006/customXml" ds:itemID="{841E6E2F-46B0-4833-A089-BCF09B3DDEBF}"/>
</file>

<file path=customXml/itemProps3.xml><?xml version="1.0" encoding="utf-8"?>
<ds:datastoreItem xmlns:ds="http://schemas.openxmlformats.org/officeDocument/2006/customXml" ds:itemID="{91611109-C655-43CE-93C0-001B3F90F6F3}"/>
</file>

<file path=customXml/itemProps4.xml><?xml version="1.0" encoding="utf-8"?>
<ds:datastoreItem xmlns:ds="http://schemas.openxmlformats.org/officeDocument/2006/customXml" ds:itemID="{517C394C-C090-4444-8641-B054F4E8D5B8}"/>
</file>

<file path=docProps/app.xml><?xml version="1.0" encoding="utf-8"?>
<Properties xmlns="http://schemas.openxmlformats.org/officeDocument/2006/extended-properties" xmlns:vt="http://schemas.openxmlformats.org/officeDocument/2006/docPropsVTypes">
  <Template>Normal</Template>
  <TotalTime>0</TotalTime>
  <Pages>10</Pages>
  <Words>2178</Words>
  <Characters>12420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 Kelly</dc:creator>
  <cp:lastModifiedBy>Darka Topali</cp:lastModifiedBy>
  <cp:revision>2</cp:revision>
  <dcterms:created xsi:type="dcterms:W3CDTF">2015-06-30T08:53:00Z</dcterms:created>
  <dcterms:modified xsi:type="dcterms:W3CDTF">2015-06-30T08:53:00Z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