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6084F" w14:textId="77777777" w:rsidR="006567A6" w:rsidRDefault="0056450F" w:rsidP="00BB339C">
      <w:pPr>
        <w:pStyle w:val="a3"/>
        <w:spacing w:after="240"/>
        <w:jc w:val="center"/>
        <w:rPr>
          <w:spacing w:val="60"/>
          <w:szCs w:val="28"/>
        </w:rPr>
      </w:pPr>
      <w:r>
        <w:rPr>
          <w:noProof/>
          <w:lang w:eastAsia="en-US"/>
        </w:rPr>
        <w:drawing>
          <wp:inline distT="0" distB="0" distL="0" distR="0" wp14:anchorId="5D52AEB9" wp14:editId="4805D20A">
            <wp:extent cx="828675" cy="7620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762000"/>
                    </a:xfrm>
                    <a:prstGeom prst="rect">
                      <a:avLst/>
                    </a:prstGeom>
                    <a:noFill/>
                    <a:ln>
                      <a:noFill/>
                    </a:ln>
                  </pic:spPr>
                </pic:pic>
              </a:graphicData>
            </a:graphic>
          </wp:inline>
        </w:drawing>
      </w:r>
    </w:p>
    <w:p w14:paraId="3AE98D99" w14:textId="77777777" w:rsidR="006567A6" w:rsidRDefault="006567A6" w:rsidP="00BB339C">
      <w:pPr>
        <w:pStyle w:val="7"/>
        <w:spacing w:after="240"/>
        <w:jc w:val="center"/>
        <w:rPr>
          <w:rtl/>
        </w:rPr>
      </w:pPr>
    </w:p>
    <w:p w14:paraId="2CEA0AB0" w14:textId="77777777" w:rsidR="006567A6" w:rsidRDefault="006B79F7" w:rsidP="00BB339C">
      <w:pPr>
        <w:pStyle w:val="7"/>
        <w:spacing w:after="240"/>
        <w:jc w:val="center"/>
        <w:rPr>
          <w:b/>
          <w:bCs/>
          <w:sz w:val="40"/>
          <w:szCs w:val="40"/>
        </w:rPr>
      </w:pPr>
      <w:r>
        <w:rPr>
          <w:b/>
          <w:bCs/>
          <w:sz w:val="40"/>
          <w:szCs w:val="40"/>
        </w:rPr>
        <w:t>STATE OF ISRAEL</w:t>
      </w:r>
    </w:p>
    <w:p w14:paraId="29A8CF31" w14:textId="77777777" w:rsidR="006567A6" w:rsidRDefault="006B79F7" w:rsidP="00BB339C">
      <w:pPr>
        <w:jc w:val="center"/>
        <w:rPr>
          <w:b/>
          <w:bCs/>
          <w:sz w:val="36"/>
          <w:szCs w:val="36"/>
          <w:u w:val="single"/>
          <w:rtl/>
        </w:rPr>
      </w:pPr>
      <w:r>
        <w:rPr>
          <w:b/>
          <w:bCs/>
          <w:sz w:val="36"/>
          <w:szCs w:val="36"/>
        </w:rPr>
        <w:t>Ministry of Justice</w:t>
      </w:r>
    </w:p>
    <w:p w14:paraId="4C2148B1" w14:textId="77777777" w:rsidR="006567A6" w:rsidRPr="006567A6" w:rsidRDefault="006567A6" w:rsidP="00BB339C">
      <w:pPr>
        <w:jc w:val="center"/>
        <w:rPr>
          <w:b/>
          <w:bCs/>
          <w:sz w:val="36"/>
          <w:szCs w:val="36"/>
        </w:rPr>
      </w:pPr>
    </w:p>
    <w:p w14:paraId="33EE897D" w14:textId="77777777" w:rsidR="006567A6" w:rsidRDefault="006B79F7" w:rsidP="00BB339C">
      <w:pPr>
        <w:jc w:val="center"/>
        <w:rPr>
          <w:b/>
          <w:bCs/>
          <w:sz w:val="36"/>
          <w:szCs w:val="36"/>
        </w:rPr>
      </w:pPr>
      <w:r w:rsidRPr="006567A6">
        <w:rPr>
          <w:b/>
          <w:bCs/>
          <w:sz w:val="36"/>
          <w:szCs w:val="36"/>
        </w:rPr>
        <w:t>Annex No</w:t>
      </w:r>
      <w:r w:rsidR="003E7A53">
        <w:rPr>
          <w:b/>
          <w:bCs/>
          <w:sz w:val="36"/>
          <w:szCs w:val="36"/>
        </w:rPr>
        <w:t>.</w:t>
      </w:r>
      <w:r w:rsidRPr="006567A6">
        <w:rPr>
          <w:b/>
          <w:bCs/>
          <w:sz w:val="36"/>
          <w:szCs w:val="36"/>
        </w:rPr>
        <w:t xml:space="preserve"> I</w:t>
      </w:r>
      <w:r>
        <w:rPr>
          <w:b/>
          <w:bCs/>
          <w:sz w:val="36"/>
          <w:szCs w:val="36"/>
        </w:rPr>
        <w:t xml:space="preserve"> </w:t>
      </w:r>
    </w:p>
    <w:p w14:paraId="611D5C6C" w14:textId="77777777" w:rsidR="006567A6" w:rsidRPr="006567A6" w:rsidRDefault="006567A6" w:rsidP="00BB339C">
      <w:pPr>
        <w:jc w:val="center"/>
        <w:rPr>
          <w:b/>
          <w:bCs/>
          <w:sz w:val="36"/>
          <w:szCs w:val="36"/>
        </w:rPr>
      </w:pPr>
    </w:p>
    <w:p w14:paraId="3E6F772C" w14:textId="77777777" w:rsidR="006567A6" w:rsidRPr="00A11DEC" w:rsidRDefault="006B79F7" w:rsidP="00BB339C">
      <w:pPr>
        <w:jc w:val="center"/>
        <w:rPr>
          <w:b/>
          <w:bCs/>
          <w:sz w:val="36"/>
          <w:szCs w:val="36"/>
        </w:rPr>
      </w:pPr>
      <w:r>
        <w:rPr>
          <w:b/>
          <w:bCs/>
          <w:sz w:val="36"/>
          <w:szCs w:val="36"/>
        </w:rPr>
        <w:t xml:space="preserve">Attached </w:t>
      </w:r>
      <w:r w:rsidR="00D4160C">
        <w:rPr>
          <w:b/>
          <w:bCs/>
          <w:sz w:val="36"/>
          <w:szCs w:val="36"/>
        </w:rPr>
        <w:t>t</w:t>
      </w:r>
      <w:r w:rsidRPr="006567A6">
        <w:rPr>
          <w:b/>
          <w:bCs/>
          <w:sz w:val="36"/>
          <w:szCs w:val="36"/>
        </w:rPr>
        <w:t>o</w:t>
      </w:r>
      <w:r>
        <w:rPr>
          <w:b/>
          <w:bCs/>
          <w:sz w:val="36"/>
          <w:szCs w:val="36"/>
        </w:rPr>
        <w:t xml:space="preserve"> </w:t>
      </w:r>
      <w:r w:rsidRPr="00A11DEC">
        <w:rPr>
          <w:b/>
          <w:bCs/>
          <w:sz w:val="36"/>
          <w:szCs w:val="36"/>
        </w:rPr>
        <w:t xml:space="preserve">Israel's </w:t>
      </w:r>
      <w:r w:rsidR="00242C2C" w:rsidRPr="00A11DEC">
        <w:rPr>
          <w:b/>
          <w:bCs/>
          <w:sz w:val="36"/>
          <w:szCs w:val="36"/>
        </w:rPr>
        <w:t>Repl</w:t>
      </w:r>
      <w:r w:rsidR="00242C2C">
        <w:rPr>
          <w:b/>
          <w:bCs/>
          <w:sz w:val="36"/>
          <w:szCs w:val="36"/>
        </w:rPr>
        <w:t>ies</w:t>
      </w:r>
      <w:r w:rsidR="00242C2C" w:rsidRPr="00A11DEC">
        <w:rPr>
          <w:b/>
          <w:bCs/>
          <w:sz w:val="36"/>
          <w:szCs w:val="36"/>
        </w:rPr>
        <w:t xml:space="preserve"> </w:t>
      </w:r>
      <w:r w:rsidRPr="00A11DEC">
        <w:rPr>
          <w:b/>
          <w:bCs/>
          <w:sz w:val="36"/>
          <w:szCs w:val="36"/>
        </w:rPr>
        <w:t>to</w:t>
      </w:r>
    </w:p>
    <w:p w14:paraId="0D44582B" w14:textId="10038C31" w:rsidR="001C0D67" w:rsidRPr="001C0D67" w:rsidRDefault="001C0D67" w:rsidP="001C0D67">
      <w:pPr>
        <w:jc w:val="center"/>
        <w:rPr>
          <w:b/>
          <w:bCs/>
          <w:sz w:val="36"/>
          <w:szCs w:val="36"/>
        </w:rPr>
      </w:pPr>
      <w:r w:rsidRPr="001C0D67">
        <w:rPr>
          <w:b/>
          <w:bCs/>
          <w:sz w:val="36"/>
          <w:szCs w:val="36"/>
        </w:rPr>
        <w:t>6</w:t>
      </w:r>
      <w:r>
        <w:rPr>
          <w:b/>
          <w:bCs/>
          <w:sz w:val="36"/>
          <w:szCs w:val="36"/>
        </w:rPr>
        <w:t>th</w:t>
      </w:r>
      <w:r w:rsidRPr="001C0D67">
        <w:rPr>
          <w:b/>
          <w:bCs/>
          <w:sz w:val="36"/>
          <w:szCs w:val="36"/>
        </w:rPr>
        <w:t xml:space="preserve"> Periodic Report by the State of Israel presented to</w:t>
      </w:r>
    </w:p>
    <w:p w14:paraId="11F71469" w14:textId="4A5420E7" w:rsidR="001C0D67" w:rsidRPr="001C0D67" w:rsidRDefault="001C0D67" w:rsidP="005811B2">
      <w:pPr>
        <w:jc w:val="center"/>
        <w:rPr>
          <w:b/>
          <w:bCs/>
          <w:sz w:val="36"/>
          <w:szCs w:val="36"/>
        </w:rPr>
      </w:pPr>
      <w:r w:rsidRPr="001C0D67">
        <w:rPr>
          <w:b/>
          <w:bCs/>
          <w:sz w:val="36"/>
          <w:szCs w:val="36"/>
        </w:rPr>
        <w:t>The Committee Against Torture and Other Cruel,</w:t>
      </w:r>
      <w:r w:rsidR="005811B2">
        <w:rPr>
          <w:b/>
          <w:bCs/>
          <w:sz w:val="36"/>
          <w:szCs w:val="36"/>
        </w:rPr>
        <w:t xml:space="preserve"> </w:t>
      </w:r>
      <w:r w:rsidRPr="001C0D67">
        <w:rPr>
          <w:b/>
          <w:bCs/>
          <w:sz w:val="36"/>
          <w:szCs w:val="36"/>
        </w:rPr>
        <w:t>Inhuman or Degrading Treatment or Punishment Committee</w:t>
      </w:r>
    </w:p>
    <w:p w14:paraId="286C8ED0" w14:textId="622D33AA" w:rsidR="006567A6" w:rsidRDefault="006567A6" w:rsidP="00BB339C">
      <w:pPr>
        <w:jc w:val="center"/>
        <w:rPr>
          <w:b/>
          <w:bCs/>
          <w:sz w:val="36"/>
          <w:szCs w:val="36"/>
        </w:rPr>
      </w:pPr>
    </w:p>
    <w:p w14:paraId="7B23E875" w14:textId="0BF6BF57" w:rsidR="001C0D67" w:rsidRDefault="001C0D67" w:rsidP="00BB339C">
      <w:pPr>
        <w:jc w:val="center"/>
        <w:rPr>
          <w:b/>
          <w:bCs/>
          <w:sz w:val="36"/>
          <w:szCs w:val="36"/>
        </w:rPr>
      </w:pPr>
    </w:p>
    <w:p w14:paraId="14172A0D" w14:textId="77777777" w:rsidR="001C0D67" w:rsidRDefault="001C0D67" w:rsidP="00BB339C">
      <w:pPr>
        <w:jc w:val="center"/>
        <w:rPr>
          <w:b/>
          <w:bCs/>
        </w:rPr>
      </w:pPr>
    </w:p>
    <w:p w14:paraId="67AF8FB6" w14:textId="26FBAFBC" w:rsidR="006567A6" w:rsidRDefault="00536DB1" w:rsidP="00BB339C">
      <w:pPr>
        <w:jc w:val="center"/>
        <w:rPr>
          <w:b/>
          <w:bCs/>
          <w:sz w:val="32"/>
          <w:szCs w:val="32"/>
        </w:rPr>
      </w:pPr>
      <w:r>
        <w:rPr>
          <w:b/>
          <w:bCs/>
          <w:sz w:val="32"/>
          <w:szCs w:val="32"/>
        </w:rPr>
        <w:t>December</w:t>
      </w:r>
      <w:r w:rsidR="00024991">
        <w:rPr>
          <w:b/>
          <w:bCs/>
          <w:sz w:val="32"/>
          <w:szCs w:val="32"/>
        </w:rPr>
        <w:t xml:space="preserve"> </w:t>
      </w:r>
      <w:r w:rsidR="006B79F7">
        <w:rPr>
          <w:b/>
          <w:bCs/>
          <w:sz w:val="32"/>
          <w:szCs w:val="32"/>
        </w:rPr>
        <w:t>20</w:t>
      </w:r>
      <w:r w:rsidR="00413951">
        <w:rPr>
          <w:b/>
          <w:bCs/>
          <w:sz w:val="32"/>
          <w:szCs w:val="32"/>
        </w:rPr>
        <w:t>20</w:t>
      </w:r>
    </w:p>
    <w:p w14:paraId="3F9B59D4" w14:textId="77777777" w:rsidR="001C0D67" w:rsidRDefault="001C0D67" w:rsidP="00BB339C">
      <w:pPr>
        <w:spacing w:after="160" w:line="259" w:lineRule="auto"/>
        <w:jc w:val="center"/>
        <w:rPr>
          <w:b/>
          <w:bCs/>
          <w:sz w:val="32"/>
          <w:szCs w:val="32"/>
          <w:u w:val="single"/>
        </w:rPr>
      </w:pPr>
    </w:p>
    <w:p w14:paraId="55292444" w14:textId="1E5BB780" w:rsidR="00BB339C" w:rsidRPr="00884832" w:rsidRDefault="006B79F7" w:rsidP="00BB339C">
      <w:pPr>
        <w:spacing w:after="160" w:line="259" w:lineRule="auto"/>
        <w:jc w:val="center"/>
        <w:rPr>
          <w:b/>
          <w:bCs/>
          <w:sz w:val="32"/>
          <w:szCs w:val="32"/>
          <w:u w:val="single"/>
        </w:rPr>
      </w:pPr>
      <w:r w:rsidRPr="00884832">
        <w:rPr>
          <w:b/>
          <w:bCs/>
          <w:sz w:val="32"/>
          <w:szCs w:val="32"/>
          <w:u w:val="single"/>
        </w:rPr>
        <w:lastRenderedPageBreak/>
        <w:t>Table of Content</w:t>
      </w:r>
    </w:p>
    <w:p w14:paraId="23638509" w14:textId="1BCE56F5" w:rsidR="002D4390" w:rsidRDefault="006B79F7" w:rsidP="005235CF">
      <w:pPr>
        <w:pStyle w:val="TOC1"/>
        <w:tabs>
          <w:tab w:val="right" w:leader="dot" w:pos="8296"/>
        </w:tabs>
        <w:spacing w:line="240" w:lineRule="auto"/>
        <w:rPr>
          <w:rFonts w:asciiTheme="minorHAnsi" w:eastAsiaTheme="minorEastAsia" w:hAnsiTheme="minorHAnsi" w:cstheme="minorBidi"/>
          <w:noProof/>
          <w:sz w:val="22"/>
          <w:szCs w:val="22"/>
          <w:rtl/>
        </w:rPr>
      </w:pPr>
      <w:r>
        <w:fldChar w:fldCharType="begin"/>
      </w:r>
      <w:r>
        <w:instrText xml:space="preserve"> TOC \o "1-3" \h \z \u </w:instrText>
      </w:r>
      <w:r>
        <w:fldChar w:fldCharType="separate"/>
      </w:r>
      <w:hyperlink w:anchor="_Toc60141917" w:history="1">
        <w:r w:rsidR="002D4390" w:rsidRPr="000B1080">
          <w:rPr>
            <w:rStyle w:val="Hyperlink"/>
            <w:b/>
            <w:bCs/>
            <w:noProof/>
          </w:rPr>
          <w:t>List of Abbreviations</w:t>
        </w:r>
        <w:r w:rsidR="002D4390">
          <w:rPr>
            <w:noProof/>
            <w:webHidden/>
            <w:rtl/>
          </w:rPr>
          <w:tab/>
        </w:r>
        <w:r w:rsidR="002D4390">
          <w:rPr>
            <w:noProof/>
            <w:webHidden/>
            <w:rtl/>
          </w:rPr>
          <w:fldChar w:fldCharType="begin"/>
        </w:r>
        <w:r w:rsidR="002D4390">
          <w:rPr>
            <w:noProof/>
            <w:webHidden/>
            <w:rtl/>
          </w:rPr>
          <w:instrText xml:space="preserve"> </w:instrText>
        </w:r>
        <w:r w:rsidR="002D4390">
          <w:rPr>
            <w:noProof/>
            <w:webHidden/>
          </w:rPr>
          <w:instrText>PAGEREF</w:instrText>
        </w:r>
        <w:r w:rsidR="002D4390">
          <w:rPr>
            <w:noProof/>
            <w:webHidden/>
            <w:rtl/>
          </w:rPr>
          <w:instrText xml:space="preserve"> _</w:instrText>
        </w:r>
        <w:r w:rsidR="002D4390">
          <w:rPr>
            <w:noProof/>
            <w:webHidden/>
          </w:rPr>
          <w:instrText>Toc60141917 \h</w:instrText>
        </w:r>
        <w:r w:rsidR="002D4390">
          <w:rPr>
            <w:noProof/>
            <w:webHidden/>
            <w:rtl/>
          </w:rPr>
          <w:instrText xml:space="preserve"> </w:instrText>
        </w:r>
        <w:r w:rsidR="002D4390">
          <w:rPr>
            <w:noProof/>
            <w:webHidden/>
            <w:rtl/>
          </w:rPr>
        </w:r>
        <w:r w:rsidR="002D4390">
          <w:rPr>
            <w:noProof/>
            <w:webHidden/>
            <w:rtl/>
          </w:rPr>
          <w:fldChar w:fldCharType="separate"/>
        </w:r>
        <w:r w:rsidR="005235CF">
          <w:rPr>
            <w:noProof/>
            <w:webHidden/>
          </w:rPr>
          <w:t>3</w:t>
        </w:r>
        <w:r w:rsidR="002D4390">
          <w:rPr>
            <w:noProof/>
            <w:webHidden/>
            <w:rtl/>
          </w:rPr>
          <w:fldChar w:fldCharType="end"/>
        </w:r>
      </w:hyperlink>
    </w:p>
    <w:p w14:paraId="3BF37DAA" w14:textId="47D8A11D"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18" w:history="1">
        <w:r w:rsidRPr="000B1080">
          <w:rPr>
            <w:rStyle w:val="Hyperlink"/>
            <w:b/>
            <w:bCs/>
            <w:noProof/>
          </w:rPr>
          <w:t>Question No. 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Toc60141918 \h</w:instrText>
        </w:r>
        <w:r>
          <w:rPr>
            <w:noProof/>
            <w:webHidden/>
            <w:rtl/>
          </w:rPr>
          <w:instrText xml:space="preserve"> </w:instrText>
        </w:r>
        <w:r>
          <w:rPr>
            <w:noProof/>
            <w:webHidden/>
            <w:rtl/>
          </w:rPr>
        </w:r>
        <w:r>
          <w:rPr>
            <w:noProof/>
            <w:webHidden/>
            <w:rtl/>
          </w:rPr>
          <w:fldChar w:fldCharType="separate"/>
        </w:r>
        <w:r w:rsidR="005235CF">
          <w:rPr>
            <w:noProof/>
            <w:webHidden/>
          </w:rPr>
          <w:t>4</w:t>
        </w:r>
        <w:r>
          <w:rPr>
            <w:noProof/>
            <w:webHidden/>
            <w:rtl/>
          </w:rPr>
          <w:fldChar w:fldCharType="end"/>
        </w:r>
      </w:hyperlink>
    </w:p>
    <w:p w14:paraId="0728C2F8" w14:textId="5C0BE748"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19" w:history="1">
        <w:r w:rsidRPr="000B1080">
          <w:rPr>
            <w:rStyle w:val="Hyperlink"/>
            <w:b/>
            <w:bCs/>
            <w:noProof/>
          </w:rPr>
          <w:t>Question No. 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Toc60141919 \h</w:instrText>
        </w:r>
        <w:r>
          <w:rPr>
            <w:noProof/>
            <w:webHidden/>
            <w:rtl/>
          </w:rPr>
          <w:instrText xml:space="preserve"> </w:instrText>
        </w:r>
        <w:r>
          <w:rPr>
            <w:noProof/>
            <w:webHidden/>
            <w:rtl/>
          </w:rPr>
        </w:r>
        <w:r>
          <w:rPr>
            <w:noProof/>
            <w:webHidden/>
            <w:rtl/>
          </w:rPr>
          <w:fldChar w:fldCharType="separate"/>
        </w:r>
        <w:r w:rsidR="005235CF">
          <w:rPr>
            <w:noProof/>
            <w:webHidden/>
          </w:rPr>
          <w:t>5</w:t>
        </w:r>
        <w:r>
          <w:rPr>
            <w:noProof/>
            <w:webHidden/>
            <w:rtl/>
          </w:rPr>
          <w:fldChar w:fldCharType="end"/>
        </w:r>
      </w:hyperlink>
    </w:p>
    <w:p w14:paraId="41CC6043" w14:textId="39463DD1"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0" w:history="1">
        <w:r w:rsidRPr="000B1080">
          <w:rPr>
            <w:rStyle w:val="Hyperlink"/>
            <w:b/>
            <w:bCs/>
            <w:noProof/>
          </w:rPr>
          <w:t>Question No. 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Toc60141920 \h</w:instrText>
        </w:r>
        <w:r>
          <w:rPr>
            <w:noProof/>
            <w:webHidden/>
            <w:rtl/>
          </w:rPr>
          <w:instrText xml:space="preserve"> </w:instrText>
        </w:r>
        <w:r>
          <w:rPr>
            <w:noProof/>
            <w:webHidden/>
            <w:rtl/>
          </w:rPr>
        </w:r>
        <w:r>
          <w:rPr>
            <w:noProof/>
            <w:webHidden/>
            <w:rtl/>
          </w:rPr>
          <w:fldChar w:fldCharType="separate"/>
        </w:r>
        <w:r w:rsidR="005235CF">
          <w:rPr>
            <w:noProof/>
            <w:webHidden/>
          </w:rPr>
          <w:t>7</w:t>
        </w:r>
        <w:r>
          <w:rPr>
            <w:noProof/>
            <w:webHidden/>
            <w:rtl/>
          </w:rPr>
          <w:fldChar w:fldCharType="end"/>
        </w:r>
      </w:hyperlink>
    </w:p>
    <w:p w14:paraId="5895BEB5" w14:textId="3266AB70"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1" w:history="1">
        <w:r w:rsidRPr="000B1080">
          <w:rPr>
            <w:rStyle w:val="Hyperlink"/>
            <w:b/>
            <w:bCs/>
            <w:noProof/>
          </w:rPr>
          <w:t>Question No. 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Toc60141921 \h</w:instrText>
        </w:r>
        <w:r>
          <w:rPr>
            <w:noProof/>
            <w:webHidden/>
            <w:rtl/>
          </w:rPr>
          <w:instrText xml:space="preserve"> </w:instrText>
        </w:r>
        <w:r>
          <w:rPr>
            <w:noProof/>
            <w:webHidden/>
            <w:rtl/>
          </w:rPr>
        </w:r>
        <w:r>
          <w:rPr>
            <w:noProof/>
            <w:webHidden/>
            <w:rtl/>
          </w:rPr>
          <w:fldChar w:fldCharType="separate"/>
        </w:r>
        <w:r w:rsidR="005235CF">
          <w:rPr>
            <w:noProof/>
            <w:webHidden/>
          </w:rPr>
          <w:t>8</w:t>
        </w:r>
        <w:r>
          <w:rPr>
            <w:noProof/>
            <w:webHidden/>
            <w:rtl/>
          </w:rPr>
          <w:fldChar w:fldCharType="end"/>
        </w:r>
      </w:hyperlink>
    </w:p>
    <w:p w14:paraId="03C213D4" w14:textId="5A916D32"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2" w:history="1">
        <w:r w:rsidRPr="000B1080">
          <w:rPr>
            <w:rStyle w:val="Hyperlink"/>
            <w:b/>
            <w:bCs/>
            <w:noProof/>
          </w:rPr>
          <w:t>Question No. 11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Toc60141922 \h</w:instrText>
        </w:r>
        <w:r>
          <w:rPr>
            <w:noProof/>
            <w:webHidden/>
            <w:rtl/>
          </w:rPr>
          <w:instrText xml:space="preserve"> </w:instrText>
        </w:r>
        <w:r>
          <w:rPr>
            <w:noProof/>
            <w:webHidden/>
            <w:rtl/>
          </w:rPr>
        </w:r>
        <w:r>
          <w:rPr>
            <w:noProof/>
            <w:webHidden/>
            <w:rtl/>
          </w:rPr>
          <w:fldChar w:fldCharType="separate"/>
        </w:r>
        <w:r w:rsidR="005235CF">
          <w:rPr>
            <w:noProof/>
            <w:webHidden/>
          </w:rPr>
          <w:t>11</w:t>
        </w:r>
        <w:r>
          <w:rPr>
            <w:noProof/>
            <w:webHidden/>
            <w:rtl/>
          </w:rPr>
          <w:fldChar w:fldCharType="end"/>
        </w:r>
      </w:hyperlink>
    </w:p>
    <w:p w14:paraId="477F58F9" w14:textId="6B7DD7AB"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3" w:history="1">
        <w:r w:rsidRPr="000B1080">
          <w:rPr>
            <w:rStyle w:val="Hyperlink"/>
            <w:b/>
            <w:bCs/>
            <w:noProof/>
          </w:rPr>
          <w:t>Question No. 17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Toc60141923 \h</w:instrText>
        </w:r>
        <w:r>
          <w:rPr>
            <w:noProof/>
            <w:webHidden/>
            <w:rtl/>
          </w:rPr>
          <w:instrText xml:space="preserve"> </w:instrText>
        </w:r>
        <w:r>
          <w:rPr>
            <w:noProof/>
            <w:webHidden/>
            <w:rtl/>
          </w:rPr>
        </w:r>
        <w:r>
          <w:rPr>
            <w:noProof/>
            <w:webHidden/>
            <w:rtl/>
          </w:rPr>
          <w:fldChar w:fldCharType="separate"/>
        </w:r>
        <w:r w:rsidR="005235CF">
          <w:rPr>
            <w:noProof/>
            <w:webHidden/>
          </w:rPr>
          <w:t>14</w:t>
        </w:r>
        <w:r>
          <w:rPr>
            <w:noProof/>
            <w:webHidden/>
            <w:rtl/>
          </w:rPr>
          <w:fldChar w:fldCharType="end"/>
        </w:r>
      </w:hyperlink>
    </w:p>
    <w:p w14:paraId="7B8521B1" w14:textId="4BD89CD7"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4" w:history="1">
        <w:r w:rsidRPr="000B1080">
          <w:rPr>
            <w:rStyle w:val="Hyperlink"/>
            <w:b/>
            <w:bCs/>
            <w:noProof/>
          </w:rPr>
          <w:t>Question No. 18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Toc60141924 \h</w:instrText>
        </w:r>
        <w:r>
          <w:rPr>
            <w:noProof/>
            <w:webHidden/>
            <w:rtl/>
          </w:rPr>
          <w:instrText xml:space="preserve"> </w:instrText>
        </w:r>
        <w:r>
          <w:rPr>
            <w:noProof/>
            <w:webHidden/>
            <w:rtl/>
          </w:rPr>
        </w:r>
        <w:r>
          <w:rPr>
            <w:noProof/>
            <w:webHidden/>
            <w:rtl/>
          </w:rPr>
          <w:fldChar w:fldCharType="separate"/>
        </w:r>
        <w:r w:rsidR="005235CF">
          <w:rPr>
            <w:noProof/>
            <w:webHidden/>
          </w:rPr>
          <w:t>16</w:t>
        </w:r>
        <w:r>
          <w:rPr>
            <w:noProof/>
            <w:webHidden/>
            <w:rtl/>
          </w:rPr>
          <w:fldChar w:fldCharType="end"/>
        </w:r>
      </w:hyperlink>
    </w:p>
    <w:p w14:paraId="3D6A9051" w14:textId="3707CAF8"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5" w:history="1">
        <w:r w:rsidRPr="000B1080">
          <w:rPr>
            <w:rStyle w:val="Hyperlink"/>
            <w:b/>
            <w:bCs/>
            <w:noProof/>
          </w:rPr>
          <w:t>Question No. 20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Toc60141925 \h</w:instrText>
        </w:r>
        <w:r>
          <w:rPr>
            <w:noProof/>
            <w:webHidden/>
            <w:rtl/>
          </w:rPr>
          <w:instrText xml:space="preserve"> </w:instrText>
        </w:r>
        <w:r>
          <w:rPr>
            <w:noProof/>
            <w:webHidden/>
            <w:rtl/>
          </w:rPr>
        </w:r>
        <w:r>
          <w:rPr>
            <w:noProof/>
            <w:webHidden/>
            <w:rtl/>
          </w:rPr>
          <w:fldChar w:fldCharType="separate"/>
        </w:r>
        <w:r w:rsidR="005235CF">
          <w:rPr>
            <w:noProof/>
            <w:webHidden/>
          </w:rPr>
          <w:t>17</w:t>
        </w:r>
        <w:r>
          <w:rPr>
            <w:noProof/>
            <w:webHidden/>
            <w:rtl/>
          </w:rPr>
          <w:fldChar w:fldCharType="end"/>
        </w:r>
      </w:hyperlink>
    </w:p>
    <w:p w14:paraId="3C2F4792" w14:textId="5A324EE6"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6" w:history="1">
        <w:r w:rsidRPr="000B1080">
          <w:rPr>
            <w:rStyle w:val="Hyperlink"/>
            <w:b/>
            <w:bCs/>
            <w:noProof/>
          </w:rPr>
          <w:t>Question No. 21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Toc60141926 \h</w:instrText>
        </w:r>
        <w:r>
          <w:rPr>
            <w:noProof/>
            <w:webHidden/>
            <w:rtl/>
          </w:rPr>
          <w:instrText xml:space="preserve"> </w:instrText>
        </w:r>
        <w:r>
          <w:rPr>
            <w:noProof/>
            <w:webHidden/>
            <w:rtl/>
          </w:rPr>
        </w:r>
        <w:r>
          <w:rPr>
            <w:noProof/>
            <w:webHidden/>
            <w:rtl/>
          </w:rPr>
          <w:fldChar w:fldCharType="separate"/>
        </w:r>
        <w:r w:rsidR="005235CF">
          <w:rPr>
            <w:noProof/>
            <w:webHidden/>
          </w:rPr>
          <w:t>18</w:t>
        </w:r>
        <w:r>
          <w:rPr>
            <w:noProof/>
            <w:webHidden/>
            <w:rtl/>
          </w:rPr>
          <w:fldChar w:fldCharType="end"/>
        </w:r>
      </w:hyperlink>
    </w:p>
    <w:p w14:paraId="7CD98533" w14:textId="2B4CE915"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7" w:history="1">
        <w:r w:rsidRPr="000B1080">
          <w:rPr>
            <w:rStyle w:val="Hyperlink"/>
            <w:b/>
            <w:bCs/>
            <w:noProof/>
          </w:rPr>
          <w:t>Question No. 22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Toc60141927 \h</w:instrText>
        </w:r>
        <w:r>
          <w:rPr>
            <w:noProof/>
            <w:webHidden/>
            <w:rtl/>
          </w:rPr>
          <w:instrText xml:space="preserve"> </w:instrText>
        </w:r>
        <w:r>
          <w:rPr>
            <w:noProof/>
            <w:webHidden/>
            <w:rtl/>
          </w:rPr>
        </w:r>
        <w:r>
          <w:rPr>
            <w:noProof/>
            <w:webHidden/>
            <w:rtl/>
          </w:rPr>
          <w:fldChar w:fldCharType="separate"/>
        </w:r>
        <w:r w:rsidR="005235CF">
          <w:rPr>
            <w:noProof/>
            <w:webHidden/>
          </w:rPr>
          <w:t>24</w:t>
        </w:r>
        <w:r>
          <w:rPr>
            <w:noProof/>
            <w:webHidden/>
            <w:rtl/>
          </w:rPr>
          <w:fldChar w:fldCharType="end"/>
        </w:r>
      </w:hyperlink>
    </w:p>
    <w:p w14:paraId="3FD7FB93" w14:textId="61238233"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8" w:history="1">
        <w:r w:rsidRPr="000B1080">
          <w:rPr>
            <w:rStyle w:val="Hyperlink"/>
            <w:b/>
            <w:bCs/>
            <w:noProof/>
          </w:rPr>
          <w:t>Question No. 23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Toc60141928 \h</w:instrText>
        </w:r>
        <w:r>
          <w:rPr>
            <w:noProof/>
            <w:webHidden/>
            <w:rtl/>
          </w:rPr>
          <w:instrText xml:space="preserve"> </w:instrText>
        </w:r>
        <w:r>
          <w:rPr>
            <w:noProof/>
            <w:webHidden/>
            <w:rtl/>
          </w:rPr>
        </w:r>
        <w:r>
          <w:rPr>
            <w:noProof/>
            <w:webHidden/>
            <w:rtl/>
          </w:rPr>
          <w:fldChar w:fldCharType="separate"/>
        </w:r>
        <w:r w:rsidR="005235CF">
          <w:rPr>
            <w:noProof/>
            <w:webHidden/>
          </w:rPr>
          <w:t>28</w:t>
        </w:r>
        <w:r>
          <w:rPr>
            <w:noProof/>
            <w:webHidden/>
            <w:rtl/>
          </w:rPr>
          <w:fldChar w:fldCharType="end"/>
        </w:r>
      </w:hyperlink>
    </w:p>
    <w:p w14:paraId="5BDB0E97" w14:textId="7E21843E"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29" w:history="1">
        <w:r w:rsidRPr="000B1080">
          <w:rPr>
            <w:rStyle w:val="Hyperlink"/>
            <w:b/>
            <w:bCs/>
            <w:noProof/>
          </w:rPr>
          <w:t>Question No. 24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Toc60141929 \h</w:instrText>
        </w:r>
        <w:r>
          <w:rPr>
            <w:noProof/>
            <w:webHidden/>
            <w:rtl/>
          </w:rPr>
          <w:instrText xml:space="preserve"> </w:instrText>
        </w:r>
        <w:r>
          <w:rPr>
            <w:noProof/>
            <w:webHidden/>
            <w:rtl/>
          </w:rPr>
        </w:r>
        <w:r>
          <w:rPr>
            <w:noProof/>
            <w:webHidden/>
            <w:rtl/>
          </w:rPr>
          <w:fldChar w:fldCharType="separate"/>
        </w:r>
        <w:r w:rsidR="005235CF">
          <w:rPr>
            <w:noProof/>
            <w:webHidden/>
          </w:rPr>
          <w:t>29</w:t>
        </w:r>
        <w:r>
          <w:rPr>
            <w:noProof/>
            <w:webHidden/>
            <w:rtl/>
          </w:rPr>
          <w:fldChar w:fldCharType="end"/>
        </w:r>
      </w:hyperlink>
    </w:p>
    <w:p w14:paraId="7DCBAF09" w14:textId="6EF97DAF"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30" w:history="1">
        <w:r w:rsidRPr="000B1080">
          <w:rPr>
            <w:rStyle w:val="Hyperlink"/>
            <w:b/>
            <w:bCs/>
            <w:noProof/>
          </w:rPr>
          <w:t>Question No. 25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Toc60141930 \h</w:instrText>
        </w:r>
        <w:r>
          <w:rPr>
            <w:noProof/>
            <w:webHidden/>
            <w:rtl/>
          </w:rPr>
          <w:instrText xml:space="preserve"> </w:instrText>
        </w:r>
        <w:r>
          <w:rPr>
            <w:noProof/>
            <w:webHidden/>
            <w:rtl/>
          </w:rPr>
        </w:r>
        <w:r>
          <w:rPr>
            <w:noProof/>
            <w:webHidden/>
            <w:rtl/>
          </w:rPr>
          <w:fldChar w:fldCharType="separate"/>
        </w:r>
        <w:r w:rsidR="005235CF">
          <w:rPr>
            <w:noProof/>
            <w:webHidden/>
          </w:rPr>
          <w:t>33</w:t>
        </w:r>
        <w:r>
          <w:rPr>
            <w:noProof/>
            <w:webHidden/>
            <w:rtl/>
          </w:rPr>
          <w:fldChar w:fldCharType="end"/>
        </w:r>
      </w:hyperlink>
    </w:p>
    <w:p w14:paraId="0A06F9F6" w14:textId="649130E2"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31" w:history="1">
        <w:r w:rsidRPr="000B1080">
          <w:rPr>
            <w:rStyle w:val="Hyperlink"/>
            <w:b/>
            <w:bCs/>
            <w:noProof/>
          </w:rPr>
          <w:t>Question No. 28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Toc60141931 \h</w:instrText>
        </w:r>
        <w:r>
          <w:rPr>
            <w:noProof/>
            <w:webHidden/>
            <w:rtl/>
          </w:rPr>
          <w:instrText xml:space="preserve"> </w:instrText>
        </w:r>
        <w:r>
          <w:rPr>
            <w:noProof/>
            <w:webHidden/>
            <w:rtl/>
          </w:rPr>
        </w:r>
        <w:r>
          <w:rPr>
            <w:noProof/>
            <w:webHidden/>
            <w:rtl/>
          </w:rPr>
          <w:fldChar w:fldCharType="separate"/>
        </w:r>
        <w:r w:rsidR="005235CF">
          <w:rPr>
            <w:noProof/>
            <w:webHidden/>
          </w:rPr>
          <w:t>36</w:t>
        </w:r>
        <w:r>
          <w:rPr>
            <w:noProof/>
            <w:webHidden/>
            <w:rtl/>
          </w:rPr>
          <w:fldChar w:fldCharType="end"/>
        </w:r>
      </w:hyperlink>
    </w:p>
    <w:p w14:paraId="48B0186D" w14:textId="111802CF"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32" w:history="1">
        <w:r w:rsidRPr="000B1080">
          <w:rPr>
            <w:rStyle w:val="Hyperlink"/>
            <w:b/>
            <w:bCs/>
            <w:noProof/>
          </w:rPr>
          <w:t>Question No. 29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Toc60141932 \h</w:instrText>
        </w:r>
        <w:r>
          <w:rPr>
            <w:noProof/>
            <w:webHidden/>
            <w:rtl/>
          </w:rPr>
          <w:instrText xml:space="preserve"> </w:instrText>
        </w:r>
        <w:r>
          <w:rPr>
            <w:noProof/>
            <w:webHidden/>
            <w:rtl/>
          </w:rPr>
        </w:r>
        <w:r>
          <w:rPr>
            <w:noProof/>
            <w:webHidden/>
            <w:rtl/>
          </w:rPr>
          <w:fldChar w:fldCharType="separate"/>
        </w:r>
        <w:r w:rsidR="005235CF">
          <w:rPr>
            <w:noProof/>
            <w:webHidden/>
          </w:rPr>
          <w:t>37</w:t>
        </w:r>
        <w:r>
          <w:rPr>
            <w:noProof/>
            <w:webHidden/>
            <w:rtl/>
          </w:rPr>
          <w:fldChar w:fldCharType="end"/>
        </w:r>
      </w:hyperlink>
    </w:p>
    <w:p w14:paraId="26A5E112" w14:textId="3573707E"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33" w:history="1">
        <w:r w:rsidRPr="000B1080">
          <w:rPr>
            <w:rStyle w:val="Hyperlink"/>
            <w:b/>
            <w:bCs/>
            <w:noProof/>
          </w:rPr>
          <w:t>Question No. 30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Toc60141933 \h</w:instrText>
        </w:r>
        <w:r>
          <w:rPr>
            <w:noProof/>
            <w:webHidden/>
            <w:rtl/>
          </w:rPr>
          <w:instrText xml:space="preserve"> </w:instrText>
        </w:r>
        <w:r>
          <w:rPr>
            <w:noProof/>
            <w:webHidden/>
            <w:rtl/>
          </w:rPr>
        </w:r>
        <w:r>
          <w:rPr>
            <w:noProof/>
            <w:webHidden/>
            <w:rtl/>
          </w:rPr>
          <w:fldChar w:fldCharType="separate"/>
        </w:r>
        <w:r w:rsidR="005235CF">
          <w:rPr>
            <w:noProof/>
            <w:webHidden/>
          </w:rPr>
          <w:t>41</w:t>
        </w:r>
        <w:r>
          <w:rPr>
            <w:noProof/>
            <w:webHidden/>
            <w:rtl/>
          </w:rPr>
          <w:fldChar w:fldCharType="end"/>
        </w:r>
      </w:hyperlink>
    </w:p>
    <w:p w14:paraId="44B8305A" w14:textId="48C7EFDB"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34" w:history="1">
        <w:r w:rsidRPr="000B1080">
          <w:rPr>
            <w:rStyle w:val="Hyperlink"/>
            <w:b/>
            <w:bCs/>
            <w:noProof/>
          </w:rPr>
          <w:t>Question No. 35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Toc60141934 \h</w:instrText>
        </w:r>
        <w:r>
          <w:rPr>
            <w:noProof/>
            <w:webHidden/>
            <w:rtl/>
          </w:rPr>
          <w:instrText xml:space="preserve"> </w:instrText>
        </w:r>
        <w:r>
          <w:rPr>
            <w:noProof/>
            <w:webHidden/>
            <w:rtl/>
          </w:rPr>
        </w:r>
        <w:r>
          <w:rPr>
            <w:noProof/>
            <w:webHidden/>
            <w:rtl/>
          </w:rPr>
          <w:fldChar w:fldCharType="separate"/>
        </w:r>
        <w:r w:rsidR="005235CF">
          <w:rPr>
            <w:noProof/>
            <w:webHidden/>
          </w:rPr>
          <w:t>48</w:t>
        </w:r>
        <w:r>
          <w:rPr>
            <w:noProof/>
            <w:webHidden/>
            <w:rtl/>
          </w:rPr>
          <w:fldChar w:fldCharType="end"/>
        </w:r>
      </w:hyperlink>
    </w:p>
    <w:p w14:paraId="6923CB1A" w14:textId="04F2D596"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35" w:history="1">
        <w:r w:rsidRPr="000B1080">
          <w:rPr>
            <w:rStyle w:val="Hyperlink"/>
            <w:b/>
            <w:bCs/>
            <w:noProof/>
          </w:rPr>
          <w:t>Question No. 36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Toc60141935 \h</w:instrText>
        </w:r>
        <w:r>
          <w:rPr>
            <w:noProof/>
            <w:webHidden/>
            <w:rtl/>
          </w:rPr>
          <w:instrText xml:space="preserve"> </w:instrText>
        </w:r>
        <w:r>
          <w:rPr>
            <w:noProof/>
            <w:webHidden/>
            <w:rtl/>
          </w:rPr>
        </w:r>
        <w:r>
          <w:rPr>
            <w:noProof/>
            <w:webHidden/>
            <w:rtl/>
          </w:rPr>
          <w:fldChar w:fldCharType="separate"/>
        </w:r>
        <w:r w:rsidR="005235CF">
          <w:rPr>
            <w:noProof/>
            <w:webHidden/>
          </w:rPr>
          <w:t>57</w:t>
        </w:r>
        <w:r>
          <w:rPr>
            <w:noProof/>
            <w:webHidden/>
            <w:rtl/>
          </w:rPr>
          <w:fldChar w:fldCharType="end"/>
        </w:r>
      </w:hyperlink>
    </w:p>
    <w:p w14:paraId="1D339F8E" w14:textId="2F2502F3"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36" w:history="1">
        <w:r w:rsidRPr="000B1080">
          <w:rPr>
            <w:rStyle w:val="Hyperlink"/>
            <w:b/>
            <w:bCs/>
            <w:noProof/>
          </w:rPr>
          <w:t>Question No. 37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Toc60141936 \h</w:instrText>
        </w:r>
        <w:r>
          <w:rPr>
            <w:noProof/>
            <w:webHidden/>
            <w:rtl/>
          </w:rPr>
          <w:instrText xml:space="preserve"> </w:instrText>
        </w:r>
        <w:r>
          <w:rPr>
            <w:noProof/>
            <w:webHidden/>
            <w:rtl/>
          </w:rPr>
        </w:r>
        <w:r>
          <w:rPr>
            <w:noProof/>
            <w:webHidden/>
            <w:rtl/>
          </w:rPr>
          <w:fldChar w:fldCharType="separate"/>
        </w:r>
        <w:r w:rsidR="005235CF">
          <w:rPr>
            <w:noProof/>
            <w:webHidden/>
          </w:rPr>
          <w:t>60</w:t>
        </w:r>
        <w:r>
          <w:rPr>
            <w:noProof/>
            <w:webHidden/>
            <w:rtl/>
          </w:rPr>
          <w:fldChar w:fldCharType="end"/>
        </w:r>
      </w:hyperlink>
    </w:p>
    <w:p w14:paraId="607CCEC5" w14:textId="4DAACE00" w:rsidR="002D4390" w:rsidRDefault="002D4390" w:rsidP="005235CF">
      <w:pPr>
        <w:pStyle w:val="TOC1"/>
        <w:tabs>
          <w:tab w:val="right" w:leader="dot" w:pos="8296"/>
        </w:tabs>
        <w:spacing w:line="240" w:lineRule="auto"/>
        <w:rPr>
          <w:rFonts w:asciiTheme="minorHAnsi" w:eastAsiaTheme="minorEastAsia" w:hAnsiTheme="minorHAnsi" w:cstheme="minorBidi" w:hint="cs"/>
          <w:noProof/>
          <w:sz w:val="22"/>
          <w:szCs w:val="22"/>
          <w:rtl/>
        </w:rPr>
      </w:pPr>
      <w:hyperlink w:anchor="_Toc60141937" w:history="1">
        <w:r w:rsidRPr="000B1080">
          <w:rPr>
            <w:rStyle w:val="Hyperlink"/>
            <w:b/>
            <w:bCs/>
            <w:noProof/>
          </w:rPr>
          <w:t>Question No. 40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Toc60141937 \h</w:instrText>
        </w:r>
        <w:r>
          <w:rPr>
            <w:noProof/>
            <w:webHidden/>
            <w:rtl/>
          </w:rPr>
          <w:instrText xml:space="preserve"> </w:instrText>
        </w:r>
        <w:r>
          <w:rPr>
            <w:noProof/>
            <w:webHidden/>
            <w:rtl/>
          </w:rPr>
        </w:r>
        <w:r>
          <w:rPr>
            <w:noProof/>
            <w:webHidden/>
            <w:rtl/>
          </w:rPr>
          <w:fldChar w:fldCharType="separate"/>
        </w:r>
        <w:r w:rsidR="005235CF">
          <w:rPr>
            <w:noProof/>
            <w:webHidden/>
          </w:rPr>
          <w:t>65</w:t>
        </w:r>
        <w:r>
          <w:rPr>
            <w:noProof/>
            <w:webHidden/>
            <w:rtl/>
          </w:rPr>
          <w:fldChar w:fldCharType="end"/>
        </w:r>
      </w:hyperlink>
    </w:p>
    <w:p w14:paraId="2F1540A5" w14:textId="386B81C2"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38" w:history="1">
        <w:r w:rsidRPr="000B1080">
          <w:rPr>
            <w:rStyle w:val="Hyperlink"/>
            <w:b/>
            <w:bCs/>
            <w:noProof/>
          </w:rPr>
          <w:t>Question No. 41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Toc60141938 \h</w:instrText>
        </w:r>
        <w:r>
          <w:rPr>
            <w:noProof/>
            <w:webHidden/>
            <w:rtl/>
          </w:rPr>
          <w:instrText xml:space="preserve"> </w:instrText>
        </w:r>
        <w:r>
          <w:rPr>
            <w:noProof/>
            <w:webHidden/>
            <w:rtl/>
          </w:rPr>
        </w:r>
        <w:r>
          <w:rPr>
            <w:noProof/>
            <w:webHidden/>
            <w:rtl/>
          </w:rPr>
          <w:fldChar w:fldCharType="separate"/>
        </w:r>
        <w:r w:rsidR="005235CF">
          <w:rPr>
            <w:noProof/>
            <w:webHidden/>
          </w:rPr>
          <w:t>66</w:t>
        </w:r>
        <w:r>
          <w:rPr>
            <w:noProof/>
            <w:webHidden/>
            <w:rtl/>
          </w:rPr>
          <w:fldChar w:fldCharType="end"/>
        </w:r>
      </w:hyperlink>
    </w:p>
    <w:p w14:paraId="5D5DD50E" w14:textId="7CB7F8BE"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39" w:history="1">
        <w:r w:rsidRPr="000B1080">
          <w:rPr>
            <w:rStyle w:val="Hyperlink"/>
            <w:b/>
            <w:bCs/>
            <w:noProof/>
          </w:rPr>
          <w:t>Question No. 43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Toc60141939 \h</w:instrText>
        </w:r>
        <w:r>
          <w:rPr>
            <w:noProof/>
            <w:webHidden/>
            <w:rtl/>
          </w:rPr>
          <w:instrText xml:space="preserve"> </w:instrText>
        </w:r>
        <w:r>
          <w:rPr>
            <w:noProof/>
            <w:webHidden/>
            <w:rtl/>
          </w:rPr>
        </w:r>
        <w:r>
          <w:rPr>
            <w:noProof/>
            <w:webHidden/>
            <w:rtl/>
          </w:rPr>
          <w:fldChar w:fldCharType="separate"/>
        </w:r>
        <w:r w:rsidR="005235CF">
          <w:rPr>
            <w:noProof/>
            <w:webHidden/>
          </w:rPr>
          <w:t>66</w:t>
        </w:r>
        <w:r>
          <w:rPr>
            <w:noProof/>
            <w:webHidden/>
            <w:rtl/>
          </w:rPr>
          <w:fldChar w:fldCharType="end"/>
        </w:r>
      </w:hyperlink>
    </w:p>
    <w:p w14:paraId="73C34F20" w14:textId="277FDC86" w:rsidR="002D4390" w:rsidRDefault="002D4390" w:rsidP="005235CF">
      <w:pPr>
        <w:pStyle w:val="TOC1"/>
        <w:tabs>
          <w:tab w:val="right" w:leader="dot" w:pos="8296"/>
        </w:tabs>
        <w:spacing w:line="240" w:lineRule="auto"/>
        <w:rPr>
          <w:rFonts w:asciiTheme="minorHAnsi" w:eastAsiaTheme="minorEastAsia" w:hAnsiTheme="minorHAnsi" w:cstheme="minorBidi"/>
          <w:noProof/>
          <w:sz w:val="22"/>
          <w:szCs w:val="22"/>
          <w:rtl/>
        </w:rPr>
      </w:pPr>
      <w:hyperlink w:anchor="_Toc60141940" w:history="1">
        <w:r w:rsidRPr="000B1080">
          <w:rPr>
            <w:rStyle w:val="Hyperlink"/>
            <w:b/>
            <w:bCs/>
            <w:noProof/>
          </w:rPr>
          <w:t>Question No. 44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Toc60141940 \h</w:instrText>
        </w:r>
        <w:r>
          <w:rPr>
            <w:noProof/>
            <w:webHidden/>
            <w:rtl/>
          </w:rPr>
          <w:instrText xml:space="preserve"> </w:instrText>
        </w:r>
        <w:r>
          <w:rPr>
            <w:noProof/>
            <w:webHidden/>
            <w:rtl/>
          </w:rPr>
        </w:r>
        <w:r>
          <w:rPr>
            <w:noProof/>
            <w:webHidden/>
            <w:rtl/>
          </w:rPr>
          <w:fldChar w:fldCharType="separate"/>
        </w:r>
        <w:r w:rsidR="005235CF">
          <w:rPr>
            <w:noProof/>
            <w:webHidden/>
          </w:rPr>
          <w:t>66</w:t>
        </w:r>
        <w:r>
          <w:rPr>
            <w:noProof/>
            <w:webHidden/>
            <w:rtl/>
          </w:rPr>
          <w:fldChar w:fldCharType="end"/>
        </w:r>
      </w:hyperlink>
    </w:p>
    <w:p w14:paraId="62603057" w14:textId="56A24454" w:rsidR="00F357B7" w:rsidRPr="00953012" w:rsidRDefault="006B79F7" w:rsidP="002D4390">
      <w:pPr>
        <w:pStyle w:val="1"/>
        <w:shd w:val="clear" w:color="auto" w:fill="BFBFBF"/>
        <w:spacing w:after="240" w:line="276" w:lineRule="auto"/>
        <w:ind w:left="0" w:firstLine="0"/>
        <w:rPr>
          <w:rFonts w:ascii="Times New Roman" w:hAnsi="Times New Roman"/>
          <w:b/>
          <w:bCs/>
          <w:color w:val="auto"/>
          <w:u w:val="single"/>
        </w:rPr>
      </w:pPr>
      <w:r>
        <w:rPr>
          <w:b/>
          <w:bCs/>
          <w:lang w:val="he-IL"/>
        </w:rPr>
        <w:fldChar w:fldCharType="end"/>
      </w:r>
      <w:bookmarkStart w:id="0" w:name="_Toc58255386"/>
      <w:bookmarkStart w:id="1" w:name="_Toc60141917"/>
      <w:r w:rsidR="00F357B7" w:rsidRPr="00953012">
        <w:rPr>
          <w:rFonts w:ascii="Times New Roman" w:hAnsi="Times New Roman"/>
          <w:b/>
          <w:bCs/>
          <w:color w:val="auto"/>
          <w:u w:val="single"/>
        </w:rPr>
        <w:t>List of Abbreviations</w:t>
      </w:r>
      <w:bookmarkEnd w:id="0"/>
      <w:bookmarkEnd w:id="1"/>
    </w:p>
    <w:p w14:paraId="1F2B70AB"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High Court of Justice – HCJ</w:t>
      </w:r>
    </w:p>
    <w:p w14:paraId="608E1BA6"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Government Resolution – GR</w:t>
      </w:r>
    </w:p>
    <w:p w14:paraId="46C78CBD"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Attorney General – AG</w:t>
      </w:r>
    </w:p>
    <w:p w14:paraId="706F1BE7"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State Attorney's Office – SAO</w:t>
      </w:r>
    </w:p>
    <w:p w14:paraId="718E66AC"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Public Defender's Office – PDO</w:t>
      </w:r>
    </w:p>
    <w:p w14:paraId="7F05DB21"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Legal Aid Administration – LAA</w:t>
      </w:r>
    </w:p>
    <w:p w14:paraId="1EB46A91"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 xml:space="preserve">Ministry of Justice – MoJ </w:t>
      </w:r>
    </w:p>
    <w:p w14:paraId="0A68ED9C"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color w:val="000000"/>
          <w:lang w:eastAsia="he-IL"/>
        </w:rPr>
        <w:t>Ministry of Health – MoH</w:t>
      </w:r>
    </w:p>
    <w:p w14:paraId="76701E3C"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Ministry of Public Security – MoPS</w:t>
      </w:r>
    </w:p>
    <w:p w14:paraId="4644D636"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Ministry of Foreign Affairs – MoFA</w:t>
      </w:r>
    </w:p>
    <w:p w14:paraId="59DABD8B"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Population and Immigration Authority – PIA</w:t>
      </w:r>
    </w:p>
    <w:p w14:paraId="37A654DD"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 xml:space="preserve">National Child Representation Unit – NCRU </w:t>
      </w:r>
    </w:p>
    <w:p w14:paraId="03127430" w14:textId="77777777" w:rsidR="00F357B7" w:rsidRPr="00F35B01" w:rsidRDefault="00F357B7" w:rsidP="00953012">
      <w:pPr>
        <w:spacing w:after="0" w:line="240" w:lineRule="auto"/>
        <w:rPr>
          <w:rFonts w:asciiTheme="majorBidi" w:hAnsiTheme="majorBidi" w:cstheme="majorBidi"/>
          <w:shd w:val="clear" w:color="auto" w:fill="FFFFFF"/>
        </w:rPr>
      </w:pPr>
      <w:r w:rsidRPr="00F35B01">
        <w:rPr>
          <w:rFonts w:asciiTheme="majorBidi" w:hAnsiTheme="majorBidi" w:cstheme="majorBidi"/>
        </w:rPr>
        <w:t>Israeli Prison Service – IPS</w:t>
      </w:r>
    </w:p>
    <w:p w14:paraId="75FFF701" w14:textId="77777777" w:rsidR="00F357B7" w:rsidRPr="00F35B01" w:rsidRDefault="00F357B7" w:rsidP="00953012">
      <w:pPr>
        <w:spacing w:after="0" w:line="240" w:lineRule="auto"/>
        <w:rPr>
          <w:rFonts w:asciiTheme="majorBidi" w:hAnsiTheme="majorBidi" w:cstheme="majorBidi"/>
          <w:shd w:val="clear" w:color="auto" w:fill="FFFFFF"/>
        </w:rPr>
      </w:pPr>
      <w:r w:rsidRPr="00F35B01">
        <w:rPr>
          <w:rFonts w:asciiTheme="majorBidi" w:hAnsiTheme="majorBidi" w:cstheme="majorBidi"/>
        </w:rPr>
        <w:t>Israel Security Agency – ISA</w:t>
      </w:r>
    </w:p>
    <w:p w14:paraId="77B3C996" w14:textId="77777777" w:rsidR="00F357B7" w:rsidRPr="00F35B01" w:rsidRDefault="00F357B7" w:rsidP="00953012">
      <w:pPr>
        <w:spacing w:after="0" w:line="240" w:lineRule="auto"/>
        <w:rPr>
          <w:rFonts w:asciiTheme="majorBidi" w:hAnsiTheme="majorBidi" w:cstheme="majorBidi"/>
          <w:shd w:val="clear" w:color="auto" w:fill="FFFFFF"/>
        </w:rPr>
      </w:pPr>
      <w:r w:rsidRPr="00F35B01">
        <w:rPr>
          <w:rFonts w:asciiTheme="majorBidi" w:hAnsiTheme="majorBidi" w:cstheme="majorBidi"/>
        </w:rPr>
        <w:t xml:space="preserve">Department for </w:t>
      </w:r>
      <w:r w:rsidRPr="00F35B01">
        <w:rPr>
          <w:rFonts w:asciiTheme="majorBidi" w:hAnsiTheme="majorBidi" w:cstheme="majorBidi"/>
          <w:lang w:val="en"/>
        </w:rPr>
        <w:t>Investigation</w:t>
      </w:r>
      <w:r w:rsidRPr="00F35B01">
        <w:rPr>
          <w:rFonts w:asciiTheme="majorBidi" w:hAnsiTheme="majorBidi" w:cstheme="majorBidi"/>
        </w:rPr>
        <w:t xml:space="preserve"> of Police Officers – DIPO</w:t>
      </w:r>
    </w:p>
    <w:p w14:paraId="474989BC"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shd w:val="clear" w:color="auto" w:fill="FFFFFF"/>
        </w:rPr>
        <w:t>Detention</w:t>
      </w:r>
      <w:r w:rsidRPr="00F35B01">
        <w:rPr>
          <w:rFonts w:asciiTheme="majorBidi" w:hAnsiTheme="majorBidi" w:cstheme="majorBidi"/>
        </w:rPr>
        <w:t xml:space="preserve"> Review Tribunal – DRT</w:t>
      </w:r>
    </w:p>
    <w:p w14:paraId="6B35D014"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 xml:space="preserve">Refugee </w:t>
      </w:r>
      <w:r>
        <w:rPr>
          <w:rFonts w:asciiTheme="majorBidi" w:hAnsiTheme="majorBidi" w:cstheme="majorBidi"/>
        </w:rPr>
        <w:t>S</w:t>
      </w:r>
      <w:r w:rsidRPr="00F35B01">
        <w:rPr>
          <w:rFonts w:asciiTheme="majorBidi" w:hAnsiTheme="majorBidi" w:cstheme="majorBidi"/>
        </w:rPr>
        <w:t xml:space="preserve">tatus </w:t>
      </w:r>
      <w:r>
        <w:rPr>
          <w:rFonts w:asciiTheme="majorBidi" w:hAnsiTheme="majorBidi" w:cstheme="majorBidi"/>
        </w:rPr>
        <w:t>D</w:t>
      </w:r>
      <w:r w:rsidRPr="00F35B01">
        <w:rPr>
          <w:rFonts w:asciiTheme="majorBidi" w:hAnsiTheme="majorBidi" w:cstheme="majorBidi"/>
        </w:rPr>
        <w:t>etermination – RSD</w:t>
      </w:r>
    </w:p>
    <w:p w14:paraId="0A7C86DB" w14:textId="77777777" w:rsidR="00F357B7" w:rsidRPr="00AA38DA" w:rsidRDefault="00F357B7" w:rsidP="00953012">
      <w:pPr>
        <w:spacing w:after="0" w:line="240" w:lineRule="auto"/>
        <w:rPr>
          <w:rFonts w:asciiTheme="majorBidi" w:hAnsiTheme="majorBidi" w:cstheme="majorBidi"/>
        </w:rPr>
      </w:pPr>
      <w:r w:rsidRPr="0096275D">
        <w:rPr>
          <w:rFonts w:asciiTheme="majorBidi" w:hAnsiTheme="majorBidi" w:cstheme="majorBidi"/>
        </w:rPr>
        <w:t>Trafficking in Persons – TIP</w:t>
      </w:r>
    </w:p>
    <w:p w14:paraId="664E2F23"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National Anti-Trafficking Unit – NATU</w:t>
      </w:r>
    </w:p>
    <w:p w14:paraId="607338AA"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Head of Juvenile Justice – HJJ</w:t>
      </w:r>
    </w:p>
    <w:p w14:paraId="3F51C1A0"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Inter-Ministerial Coordinator – IMC</w:t>
      </w:r>
    </w:p>
    <w:p w14:paraId="3E7DF83C"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Children in Conflict with the law – CCWL</w:t>
      </w:r>
    </w:p>
    <w:p w14:paraId="01A8D8DD" w14:textId="77777777" w:rsidR="00F357B7" w:rsidRPr="00F35B01" w:rsidRDefault="00F357B7" w:rsidP="00953012">
      <w:pPr>
        <w:spacing w:after="0" w:line="240" w:lineRule="auto"/>
        <w:rPr>
          <w:rFonts w:asciiTheme="majorBidi" w:hAnsiTheme="majorBidi" w:cstheme="majorBidi"/>
        </w:rPr>
      </w:pPr>
      <w:r w:rsidRPr="00F35B01">
        <w:rPr>
          <w:rFonts w:asciiTheme="majorBidi" w:hAnsiTheme="majorBidi" w:cstheme="majorBidi"/>
        </w:rPr>
        <w:t>Israel Defense Forces – IDF</w:t>
      </w:r>
    </w:p>
    <w:p w14:paraId="46304536" w14:textId="08383527" w:rsidR="00F357B7" w:rsidRDefault="00F357B7" w:rsidP="00953012">
      <w:pPr>
        <w:spacing w:after="0" w:line="240" w:lineRule="auto"/>
        <w:rPr>
          <w:rFonts w:asciiTheme="majorBidi" w:hAnsiTheme="majorBidi" w:cstheme="majorBidi"/>
        </w:rPr>
      </w:pPr>
      <w:r w:rsidRPr="00F35B01">
        <w:rPr>
          <w:rFonts w:asciiTheme="majorBidi" w:hAnsiTheme="majorBidi" w:cstheme="majorBidi"/>
        </w:rPr>
        <w:t>Rules of Engagement – RoE</w:t>
      </w:r>
    </w:p>
    <w:p w14:paraId="7A2AB9A4" w14:textId="300CC96F" w:rsidR="006567A6" w:rsidRPr="00973082" w:rsidRDefault="006B79F7" w:rsidP="00F357B7">
      <w:pPr>
        <w:pStyle w:val="1"/>
        <w:shd w:val="clear" w:color="auto" w:fill="BFBFBF"/>
        <w:spacing w:after="240"/>
        <w:rPr>
          <w:rFonts w:ascii="Times New Roman" w:hAnsi="Times New Roman"/>
          <w:b/>
          <w:bCs/>
          <w:color w:val="auto"/>
          <w:sz w:val="24"/>
          <w:szCs w:val="24"/>
          <w:u w:val="single"/>
        </w:rPr>
      </w:pPr>
      <w:bookmarkStart w:id="2" w:name="_Toc60141918"/>
      <w:r w:rsidRPr="00973082">
        <w:rPr>
          <w:rFonts w:ascii="Times New Roman" w:hAnsi="Times New Roman"/>
          <w:b/>
          <w:bCs/>
          <w:color w:val="auto"/>
          <w:sz w:val="24"/>
          <w:szCs w:val="24"/>
          <w:u w:val="single"/>
        </w:rPr>
        <w:lastRenderedPageBreak/>
        <w:t xml:space="preserve">Question No. </w:t>
      </w:r>
      <w:r w:rsidR="000A225A" w:rsidRPr="00973082">
        <w:rPr>
          <w:rFonts w:ascii="Times New Roman" w:hAnsi="Times New Roman"/>
          <w:b/>
          <w:bCs/>
          <w:color w:val="auto"/>
          <w:sz w:val="24"/>
          <w:szCs w:val="24"/>
          <w:u w:val="single"/>
        </w:rPr>
        <w:t>5</w:t>
      </w:r>
      <w:bookmarkEnd w:id="2"/>
    </w:p>
    <w:p w14:paraId="5420C542" w14:textId="77777777" w:rsidR="000A225A" w:rsidRPr="000A225A" w:rsidRDefault="006B79F7" w:rsidP="00D51E1D">
      <w:pPr>
        <w:pStyle w:val="BodyText4"/>
        <w:spacing w:after="240" w:line="360" w:lineRule="auto"/>
        <w:ind w:left="0" w:firstLine="0"/>
        <w:jc w:val="both"/>
        <w:rPr>
          <w:rFonts w:ascii="Times New Roman" w:hAnsi="Times New Roman" w:cs="Times New Roman"/>
          <w:b/>
          <w:bCs/>
          <w:sz w:val="24"/>
          <w:szCs w:val="24"/>
          <w:u w:val="single"/>
        </w:rPr>
      </w:pPr>
      <w:r w:rsidRPr="000A225A">
        <w:rPr>
          <w:rFonts w:ascii="Times New Roman" w:hAnsi="Times New Roman" w:cs="Times New Roman"/>
          <w:b/>
          <w:bCs/>
          <w:sz w:val="24"/>
          <w:szCs w:val="24"/>
          <w:u w:val="single"/>
        </w:rPr>
        <w:t>The right to consult with a public defender before questioning</w:t>
      </w:r>
    </w:p>
    <w:p w14:paraId="083C5869" w14:textId="77777777" w:rsidR="000A225A" w:rsidRPr="000A225A" w:rsidRDefault="006B79F7" w:rsidP="00BB339C">
      <w:pPr>
        <w:pStyle w:val="aa"/>
        <w:numPr>
          <w:ilvl w:val="0"/>
          <w:numId w:val="2"/>
        </w:numPr>
        <w:ind w:left="567" w:hanging="567"/>
      </w:pPr>
      <w:r w:rsidRPr="000A225A">
        <w:t>The rate of applicants whose request for representation was transferred from the Police to the PDO has risen from 24.96% in 2014 to roughly 56.18% in 2018 and 60.94% between January to July 2019. Approximately 39% of the detainees do not exercise their legal right to legal counsel prior to an investigation, but only following its conclusion, or even later, and prior to the extension of detention hearing in court. Regarding minors: in 2018, the rate of notices to minors prior to investigation was 89.4%.</w:t>
      </w:r>
    </w:p>
    <w:p w14:paraId="0E18690C" w14:textId="77777777" w:rsidR="000A225A" w:rsidRPr="000A225A" w:rsidRDefault="006B79F7" w:rsidP="00BB339C">
      <w:pPr>
        <w:rPr>
          <w:b/>
          <w:bCs/>
        </w:rPr>
      </w:pPr>
      <w:r w:rsidRPr="000A225A">
        <w:rPr>
          <w:b/>
          <w:bCs/>
          <w:u w:val="single"/>
        </w:rPr>
        <w:t>Improper use of handcuffs as a means of investigation</w:t>
      </w:r>
    </w:p>
    <w:p w14:paraId="5982ADFA" w14:textId="77777777" w:rsidR="000A225A" w:rsidRDefault="006B79F7" w:rsidP="002048FF">
      <w:pPr>
        <w:pStyle w:val="aa"/>
        <w:numPr>
          <w:ilvl w:val="0"/>
          <w:numId w:val="2"/>
        </w:numPr>
        <w:ind w:left="567" w:hanging="567"/>
      </w:pPr>
      <w:r w:rsidRPr="000A225A">
        <w:t xml:space="preserve">In a number of cases in 2019-2020, the PDO witnessed </w:t>
      </w:r>
      <w:r w:rsidR="002048FF">
        <w:t>a</w:t>
      </w:r>
      <w:r w:rsidR="002048FF" w:rsidRPr="000A225A">
        <w:t xml:space="preserve"> </w:t>
      </w:r>
      <w:r w:rsidRPr="000A225A">
        <w:t xml:space="preserve">wrongful use of handcuffs in connection with the investigation of detainees. On </w:t>
      </w:r>
      <w:r w:rsidRPr="000A225A">
        <w:rPr>
          <w:rFonts w:eastAsia="Times New Roman"/>
          <w:lang w:eastAsia="he-IL"/>
        </w:rPr>
        <w:t>March</w:t>
      </w:r>
      <w:r w:rsidRPr="000A225A">
        <w:t xml:space="preserve"> 19, 20</w:t>
      </w:r>
      <w:r w:rsidR="002048FF">
        <w:t>1</w:t>
      </w:r>
      <w:r w:rsidRPr="000A225A">
        <w:t xml:space="preserve">9, the National Public Defender contacted the Head of the Investigations Division of the Police Investigations and Intelligence Department to request that the handcuffing procedures regarding handcuffing in the course of an investigation be revised amongst all investigation officers, and that appropriate cases be examined and suitable steps be considered. In response, the Head of the Investigations Division expressed regret over the cases mentioned in the request, noting that, the Investigations Division will bring the relevant judicial decisions </w:t>
      </w:r>
      <w:r w:rsidR="002048FF">
        <w:t>pertaining to this</w:t>
      </w:r>
      <w:r w:rsidRPr="000A225A">
        <w:t xml:space="preserve"> matter to the attention of the investigative staff, while revising and refining the appropriate guidelines in these cases.</w:t>
      </w:r>
    </w:p>
    <w:p w14:paraId="055927A4" w14:textId="77777777" w:rsidR="000A225A" w:rsidRPr="000A225A" w:rsidRDefault="006B79F7" w:rsidP="00BB339C">
      <w:pPr>
        <w:rPr>
          <w:b/>
          <w:bCs/>
          <w:i/>
          <w:iCs/>
          <w:u w:val="single"/>
        </w:rPr>
      </w:pPr>
      <w:r w:rsidRPr="000A225A">
        <w:rPr>
          <w:b/>
          <w:bCs/>
          <w:u w:val="single"/>
        </w:rPr>
        <w:t>The right to ensure the availability of legal aid</w:t>
      </w:r>
    </w:p>
    <w:p w14:paraId="48526D8F" w14:textId="77777777" w:rsidR="000A225A" w:rsidRPr="000A225A" w:rsidRDefault="006B79F7" w:rsidP="00BB339C">
      <w:pPr>
        <w:rPr>
          <w:u w:val="single"/>
          <w:lang w:bidi="ar-SA"/>
        </w:rPr>
      </w:pPr>
      <w:r w:rsidRPr="000A225A">
        <w:rPr>
          <w:u w:val="single"/>
        </w:rPr>
        <w:t xml:space="preserve">Representing children in civil and administrative proceedings </w:t>
      </w:r>
    </w:p>
    <w:p w14:paraId="1D41DC85" w14:textId="54C3E0F7" w:rsidR="000A225A" w:rsidRPr="000A225A" w:rsidRDefault="006B79F7" w:rsidP="00BB339C">
      <w:pPr>
        <w:pStyle w:val="aa"/>
        <w:numPr>
          <w:ilvl w:val="0"/>
          <w:numId w:val="2"/>
        </w:numPr>
        <w:ind w:left="567" w:hanging="567"/>
        <w:rPr>
          <w:lang w:val="en-GB"/>
        </w:rPr>
      </w:pPr>
      <w:r w:rsidRPr="000A225A">
        <w:rPr>
          <w:lang w:val="en-GB"/>
        </w:rPr>
        <w:t>Based on a sample survey conducted by the NCRU, the median age of representation is</w:t>
      </w:r>
      <w:r w:rsidR="00281EFE">
        <w:rPr>
          <w:lang w:val="en-GB"/>
        </w:rPr>
        <w:t xml:space="preserve"> fourteen</w:t>
      </w:r>
      <w:r w:rsidRPr="000A225A">
        <w:rPr>
          <w:lang w:val="en-GB"/>
        </w:rPr>
        <w:t xml:space="preserve"> </w:t>
      </w:r>
      <w:r w:rsidR="00281EFE">
        <w:rPr>
          <w:lang w:val="en-GB"/>
        </w:rPr>
        <w:t>(</w:t>
      </w:r>
      <w:r w:rsidRPr="000A225A">
        <w:rPr>
          <w:lang w:val="en-GB"/>
        </w:rPr>
        <w:t>14</w:t>
      </w:r>
      <w:r w:rsidR="00281EFE">
        <w:rPr>
          <w:lang w:val="en-GB"/>
        </w:rPr>
        <w:t>)</w:t>
      </w:r>
      <w:r w:rsidRPr="000A225A">
        <w:rPr>
          <w:lang w:val="en-GB"/>
        </w:rPr>
        <w:t xml:space="preserve">; the minimum age – three (3) weeks; the maximum age </w:t>
      </w:r>
      <w:r w:rsidR="00281EFE">
        <w:rPr>
          <w:lang w:val="en-GB"/>
        </w:rPr>
        <w:t>–</w:t>
      </w:r>
      <w:r w:rsidRPr="000A225A">
        <w:rPr>
          <w:lang w:val="en-GB"/>
        </w:rPr>
        <w:t xml:space="preserve"> </w:t>
      </w:r>
      <w:r w:rsidR="00281EFE">
        <w:rPr>
          <w:lang w:val="en-GB"/>
        </w:rPr>
        <w:t>seventeen and half (</w:t>
      </w:r>
      <w:r w:rsidRPr="000A225A">
        <w:rPr>
          <w:lang w:val="en-GB"/>
        </w:rPr>
        <w:t>17.5</w:t>
      </w:r>
      <w:r w:rsidR="00281EFE">
        <w:rPr>
          <w:lang w:val="en-GB"/>
        </w:rPr>
        <w:t>)</w:t>
      </w:r>
      <w:r w:rsidRPr="000A225A">
        <w:rPr>
          <w:lang w:val="en-GB"/>
        </w:rPr>
        <w:t xml:space="preserve">. The </w:t>
      </w:r>
      <w:r w:rsidRPr="002C2DEB">
        <w:t>majority</w:t>
      </w:r>
      <w:r w:rsidRPr="000A225A">
        <w:rPr>
          <w:lang w:val="en-GB"/>
        </w:rPr>
        <w:t xml:space="preserve"> of children represented are female (60%), while 40% are male. 23% are migrant children. 85% of children are Jewish and 15% are Arabs.</w:t>
      </w:r>
    </w:p>
    <w:p w14:paraId="02B59E6E" w14:textId="06F3D70F" w:rsidR="000A225A" w:rsidRPr="000A225A" w:rsidRDefault="006B79F7" w:rsidP="000D1C1B">
      <w:pPr>
        <w:rPr>
          <w:b/>
          <w:bCs/>
          <w:u w:val="single"/>
        </w:rPr>
      </w:pPr>
      <w:r w:rsidRPr="000A225A">
        <w:rPr>
          <w:b/>
          <w:bCs/>
          <w:u w:val="single"/>
        </w:rPr>
        <w:lastRenderedPageBreak/>
        <w:t>Legal Aid for Family Members of Victims of Homicide</w:t>
      </w:r>
    </w:p>
    <w:p w14:paraId="0C8B99B6" w14:textId="77777777" w:rsidR="000A225A" w:rsidRPr="000A225A" w:rsidRDefault="006B79F7" w:rsidP="002C2DEB">
      <w:pPr>
        <w:pStyle w:val="aa"/>
        <w:numPr>
          <w:ilvl w:val="0"/>
          <w:numId w:val="2"/>
        </w:numPr>
        <w:ind w:left="567" w:hanging="567"/>
        <w:contextualSpacing w:val="0"/>
      </w:pPr>
      <w:r w:rsidRPr="000A225A">
        <w:t xml:space="preserve">In 2009, the Government decided to establish a legal aid system for families whose loved ones were killed. The program allows holistic care for the families, including financial and legal aspects. Since 2011, the Ministry of Labor, Social Affairs and Social Services (MoLSAaSS) established six (6) aid centers in the following cities: Be'er-Sheva, Jerusalem, Tel Aviv-Jaffa, Tira, Haifa and Kfar Kana. </w:t>
      </w:r>
    </w:p>
    <w:p w14:paraId="629493FD" w14:textId="77777777" w:rsidR="000A225A" w:rsidRPr="000A225A" w:rsidRDefault="006B79F7" w:rsidP="002C2DEB">
      <w:pPr>
        <w:pStyle w:val="aa"/>
        <w:numPr>
          <w:ilvl w:val="0"/>
          <w:numId w:val="2"/>
        </w:numPr>
        <w:ind w:left="567" w:hanging="567"/>
        <w:contextualSpacing w:val="0"/>
      </w:pPr>
      <w:r w:rsidRPr="000A225A">
        <w:t xml:space="preserve">An entitlement committee is convened following a homicide, which includes senior representatives of the MoLSAaSS, the Police, and a jurist who qualifies as a judge. The committee is tasked with determining the entitlement of the family of the victim to receive aid based on the circumstances of death. The details of a family that is found entitled are given to the aid center. </w:t>
      </w:r>
    </w:p>
    <w:p w14:paraId="78FE3C92" w14:textId="77777777" w:rsidR="000A225A" w:rsidRPr="000A225A" w:rsidRDefault="006B79F7" w:rsidP="002C2DEB">
      <w:pPr>
        <w:pStyle w:val="aa"/>
        <w:numPr>
          <w:ilvl w:val="0"/>
          <w:numId w:val="2"/>
        </w:numPr>
        <w:ind w:left="567" w:hanging="567"/>
        <w:contextualSpacing w:val="0"/>
      </w:pPr>
      <w:r w:rsidRPr="000A225A">
        <w:t>The aid centers are headed by a social worker, and include therapy and mental care for the family members, for up to two (2) years. Additionally, families of victims are entitled to an allowance of up to 5,000 NIS (1,457 USD) for expenses such as funeral transportation. They are also entitled to participate in support groups free of charge, and to receive legal aid in the criminal proceedings and in any civil proceedings that stem from the homicide, from the LAA.</w:t>
      </w:r>
    </w:p>
    <w:p w14:paraId="4C669EA1" w14:textId="77777777" w:rsidR="000A225A" w:rsidRPr="000A225A" w:rsidRDefault="006B79F7" w:rsidP="00D670E9">
      <w:pPr>
        <w:pStyle w:val="aa"/>
        <w:numPr>
          <w:ilvl w:val="0"/>
          <w:numId w:val="2"/>
        </w:numPr>
        <w:ind w:left="567" w:hanging="567"/>
        <w:contextualSpacing w:val="0"/>
      </w:pPr>
      <w:r w:rsidRPr="000A225A">
        <w:t>The LAA legal aid and legal representation to the families of the victims, aims to minimize the helplessness of the families dealing with different institutional and legal authorities. The presence of a lawyer benefits the families of victims to express themselves independently at different stages of the criminal proceedings, for example a victim's right to be present at the trial, even if it is held in closed doors.</w:t>
      </w:r>
    </w:p>
    <w:p w14:paraId="17E06E6B"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3" w:name="_Toc60141919"/>
      <w:r w:rsidRPr="00973082">
        <w:rPr>
          <w:rFonts w:ascii="Times New Roman" w:hAnsi="Times New Roman"/>
          <w:b/>
          <w:bCs/>
          <w:color w:val="auto"/>
          <w:sz w:val="24"/>
          <w:szCs w:val="24"/>
          <w:u w:val="single"/>
        </w:rPr>
        <w:t xml:space="preserve">Question No. </w:t>
      </w:r>
      <w:r w:rsidR="000A225A" w:rsidRPr="00973082">
        <w:rPr>
          <w:rFonts w:ascii="Times New Roman" w:hAnsi="Times New Roman"/>
          <w:b/>
          <w:bCs/>
          <w:color w:val="auto"/>
          <w:sz w:val="24"/>
          <w:szCs w:val="24"/>
          <w:u w:val="single"/>
        </w:rPr>
        <w:t>8</w:t>
      </w:r>
      <w:bookmarkEnd w:id="3"/>
    </w:p>
    <w:p w14:paraId="17F8AFE1" w14:textId="77777777" w:rsidR="000A225A" w:rsidRPr="004E4C0E" w:rsidRDefault="006B79F7" w:rsidP="002C2DEB">
      <w:pPr>
        <w:pStyle w:val="aa"/>
        <w:numPr>
          <w:ilvl w:val="0"/>
          <w:numId w:val="2"/>
        </w:numPr>
        <w:ind w:left="567" w:hanging="567"/>
        <w:contextualSpacing w:val="0"/>
      </w:pPr>
      <w:r w:rsidRPr="004E4C0E">
        <w:rPr>
          <w:rFonts w:eastAsia="Gisha"/>
          <w:b/>
          <w:bCs/>
          <w:u w:val="single"/>
          <w:lang w:bidi="en-US"/>
        </w:rPr>
        <w:t>The Early Childhood Council</w:t>
      </w:r>
      <w:r w:rsidRPr="00240733">
        <w:rPr>
          <w:rFonts w:eastAsia="Gisha"/>
          <w:lang w:bidi="en-US"/>
        </w:rPr>
        <w:t xml:space="preserve"> -</w:t>
      </w:r>
      <w:r w:rsidRPr="004E4C0E">
        <w:rPr>
          <w:rFonts w:eastAsia="Gisha"/>
          <w:lang w:bidi="en-US"/>
        </w:rPr>
        <w:t xml:space="preserve"> </w:t>
      </w:r>
      <w:r w:rsidRPr="004E4C0E">
        <w:t xml:space="preserve">In August 2017, the Knesset passed the </w:t>
      </w:r>
      <w:r w:rsidRPr="004E4C0E">
        <w:rPr>
          <w:i/>
          <w:iCs/>
        </w:rPr>
        <w:t>Early Childhood Council Law</w:t>
      </w:r>
      <w:r w:rsidRPr="004E4C0E">
        <w:t xml:space="preserve"> 5777-2017, a new Law which directs the establishment of an Early Childhood Council. This Law aims to further the care of infants and their physical and intellectual development, ensure their physical and mental </w:t>
      </w:r>
      <w:r w:rsidRPr="004E4C0E">
        <w:lastRenderedPageBreak/>
        <w:t>health and the fulfillment of their educational, social, physical and emotional needs and to provide an appropriate environment which will enable them to enjoy equal rights in adulthood.</w:t>
      </w:r>
      <w:r w:rsidRPr="004E4C0E">
        <w:rPr>
          <w:kern w:val="32"/>
        </w:rPr>
        <w:t xml:space="preserve"> The Council has been established and operates under the direction of the MoE. </w:t>
      </w:r>
    </w:p>
    <w:p w14:paraId="3A7FF646" w14:textId="77777777" w:rsidR="000A225A" w:rsidRPr="004E4C0E" w:rsidRDefault="006B79F7" w:rsidP="002C2DEB">
      <w:pPr>
        <w:pStyle w:val="aa"/>
        <w:numPr>
          <w:ilvl w:val="0"/>
          <w:numId w:val="2"/>
        </w:numPr>
        <w:ind w:left="567" w:hanging="567"/>
        <w:contextualSpacing w:val="0"/>
      </w:pPr>
      <w:r w:rsidRPr="004E4C0E">
        <w:rPr>
          <w:rFonts w:eastAsia="Gisha"/>
          <w:b/>
          <w:bCs/>
          <w:u w:val="single"/>
          <w:lang w:bidi="en-US"/>
        </w:rPr>
        <w:t xml:space="preserve">The </w:t>
      </w:r>
      <w:r w:rsidRPr="004E4C0E">
        <w:rPr>
          <w:b/>
          <w:bCs/>
          <w:u w:val="single"/>
        </w:rPr>
        <w:t>Children’s and Youth Complaints Commission for Out-of-home Placed Children</w:t>
      </w:r>
      <w:r w:rsidR="009102B3" w:rsidRPr="009102B3">
        <w:t xml:space="preserve"> </w:t>
      </w:r>
      <w:r w:rsidRPr="00240733">
        <w:t>-</w:t>
      </w:r>
      <w:r w:rsidRPr="004E4C0E">
        <w:t xml:space="preserve"> The </w:t>
      </w:r>
      <w:r w:rsidRPr="004E4C0E">
        <w:rPr>
          <w:color w:val="000000"/>
        </w:rPr>
        <w:t>MoLSAaSS</w:t>
      </w:r>
      <w:r w:rsidRPr="004E4C0E">
        <w:t xml:space="preserve"> operates out-of-home facilities for children with disabilities. In these facilities any complaint received is immediately and thoroughly inspected by the supervisors in </w:t>
      </w:r>
      <w:r w:rsidRPr="004E4C0E">
        <w:rPr>
          <w:color w:val="000000"/>
        </w:rPr>
        <w:t>MoLSAaSS</w:t>
      </w:r>
      <w:r w:rsidRPr="004E4C0E">
        <w:t xml:space="preserve">. In addition, the Children’s and Youth Complaints Commission for out-of-home placed children, which started its work in 2017, operates in accordance with Section 56 of the </w:t>
      </w:r>
      <w:r w:rsidRPr="004E4C0E">
        <w:rPr>
          <w:i/>
          <w:iCs/>
        </w:rPr>
        <w:t>Children Foster Care Law</w:t>
      </w:r>
      <w:r w:rsidRPr="004E4C0E">
        <w:t xml:space="preserve"> and was appointed by the Minister of Labor, Social Affairs and Social Services. Any child placed in foster care or in out-of-home placement facilities can file complaints to the Commission independently, discreetly and freely, without any fear of harm of consequences. The Commission is accessible to children and includes the accommodations required according to the age, language and level of maturity of the child, and in the case of a child with disabilities - also to her/his disabilities. The results of the inquiry of the complaint will be passed on to the complainant and a copy will be passed on to the supervisor for follow-up on the necessary remedies.</w:t>
      </w:r>
    </w:p>
    <w:p w14:paraId="5A17A35C" w14:textId="4C5B864A" w:rsidR="000A225A" w:rsidRPr="004E4C0E" w:rsidRDefault="006B79F7" w:rsidP="00BB339C">
      <w:pPr>
        <w:pStyle w:val="aa"/>
        <w:numPr>
          <w:ilvl w:val="0"/>
          <w:numId w:val="2"/>
        </w:numPr>
        <w:ind w:left="567" w:hanging="567"/>
        <w:contextualSpacing w:val="0"/>
      </w:pPr>
      <w:r w:rsidRPr="004E4C0E">
        <w:t>Section 66(c) of the Law protects children against harm that might be caused to them due to filing a complaint and determines that such harm constitute</w:t>
      </w:r>
      <w:r w:rsidR="00281EFE">
        <w:t>s</w:t>
      </w:r>
      <w:r w:rsidRPr="004E4C0E">
        <w:t xml:space="preserve"> a criminal offence with </w:t>
      </w:r>
      <w:r w:rsidR="00281EFE">
        <w:t xml:space="preserve">a punishment of </w:t>
      </w:r>
      <w:r w:rsidRPr="004E4C0E">
        <w:t xml:space="preserve">one (1) year imprisonment.  </w:t>
      </w:r>
    </w:p>
    <w:p w14:paraId="57E2E8A5" w14:textId="77777777" w:rsidR="000A225A" w:rsidRPr="004E4C0E" w:rsidRDefault="006B79F7" w:rsidP="002C2DEB">
      <w:pPr>
        <w:pStyle w:val="aa"/>
        <w:numPr>
          <w:ilvl w:val="0"/>
          <w:numId w:val="2"/>
        </w:numPr>
        <w:ind w:left="567" w:hanging="567"/>
        <w:contextualSpacing w:val="0"/>
      </w:pPr>
      <w:r w:rsidRPr="004E4C0E">
        <w:t xml:space="preserve">Under Section 50 of the Law, the </w:t>
      </w:r>
      <w:r w:rsidRPr="002C2DEB">
        <w:t>MoLSAaSS</w:t>
      </w:r>
      <w:r w:rsidRPr="004E4C0E">
        <w:t xml:space="preserve"> has to maintain supervision of foster care agencies, foster care counselors and foster families and review their activities. </w:t>
      </w:r>
    </w:p>
    <w:p w14:paraId="3703F52F" w14:textId="77777777" w:rsidR="000A225A" w:rsidRPr="004E4C0E" w:rsidRDefault="006B79F7" w:rsidP="002C2DEB">
      <w:pPr>
        <w:pStyle w:val="aa"/>
        <w:numPr>
          <w:ilvl w:val="0"/>
          <w:numId w:val="2"/>
        </w:numPr>
        <w:ind w:left="567" w:hanging="567"/>
        <w:contextualSpacing w:val="0"/>
      </w:pPr>
      <w:r w:rsidRPr="004E4C0E">
        <w:t xml:space="preserve">According to Section 54 of the Law, as part of the supervision, supervisors are authorized and given various authorities, including the authority to demand from any person concerned to pass on information or any document required by the supervisor to carry out her/his duties, and the power to enter places, and, </w:t>
      </w:r>
      <w:r w:rsidRPr="004E4C0E">
        <w:rPr>
          <w:i/>
          <w:iCs/>
        </w:rPr>
        <w:t xml:space="preserve">inter alia, </w:t>
      </w:r>
      <w:r w:rsidRPr="004E4C0E">
        <w:t xml:space="preserve">to visit the foster family home, even without prior coordination and at any time, if there is concern as to any harm to the well-being of the child placed with </w:t>
      </w:r>
      <w:r w:rsidRPr="004E4C0E">
        <w:lastRenderedPageBreak/>
        <w:t>the foster family. Likewise, the supervisor may convey to the operating entity, the foster care counselor or the foster family written details of instructions that were not carried out and demand that they rectify shortcomings.</w:t>
      </w:r>
    </w:p>
    <w:p w14:paraId="2DE1CD7D" w14:textId="77777777" w:rsidR="00891100" w:rsidRPr="004E4C0E" w:rsidRDefault="000A225A" w:rsidP="002C2DEB">
      <w:pPr>
        <w:pStyle w:val="aa"/>
        <w:numPr>
          <w:ilvl w:val="0"/>
          <w:numId w:val="2"/>
        </w:numPr>
        <w:ind w:left="567" w:hanging="567"/>
        <w:contextualSpacing w:val="0"/>
      </w:pPr>
      <w:r w:rsidRPr="004E4C0E">
        <w:t xml:space="preserve">On March 30, 2019 the </w:t>
      </w:r>
      <w:r w:rsidRPr="004E4C0E">
        <w:rPr>
          <w:i/>
          <w:iCs/>
        </w:rPr>
        <w:t>Foster Care Regulations (Complaint Mechanism for Children in Out-of-home Placement Facilities)</w:t>
      </w:r>
      <w:r w:rsidRPr="004E4C0E">
        <w:t xml:space="preserve"> 5779-2019 entered into force. These regulations set forth procedures to ensure that children in foster care and out-of-home placement are informed about the complaint mechanism. For example, the Regulations include the obligation to publish the Commission's information in a public and accessible place, in addition to ensuring each child placed in foster care receives the information in a manner and language suited for them. The Regulations further clarifies the various methods through which a complaint can be filed, and the parameters by which it should be assessed by the Commission.</w:t>
      </w:r>
    </w:p>
    <w:p w14:paraId="4A94FDD7" w14:textId="77777777" w:rsidR="00441C9B" w:rsidRPr="00973082" w:rsidRDefault="006B79F7" w:rsidP="00BB339C">
      <w:pPr>
        <w:pStyle w:val="1"/>
        <w:shd w:val="clear" w:color="auto" w:fill="BFBFBF"/>
        <w:spacing w:after="240"/>
        <w:rPr>
          <w:rFonts w:ascii="Times New Roman" w:hAnsi="Times New Roman"/>
          <w:b/>
          <w:bCs/>
          <w:color w:val="auto"/>
          <w:sz w:val="24"/>
          <w:szCs w:val="24"/>
          <w:u w:val="single"/>
        </w:rPr>
      </w:pPr>
      <w:bookmarkStart w:id="4" w:name="_Toc14948768"/>
      <w:bookmarkStart w:id="5" w:name="_Toc60141920"/>
      <w:r w:rsidRPr="00973082">
        <w:rPr>
          <w:rFonts w:ascii="Times New Roman" w:hAnsi="Times New Roman"/>
          <w:b/>
          <w:bCs/>
          <w:color w:val="auto"/>
          <w:sz w:val="24"/>
          <w:szCs w:val="24"/>
          <w:u w:val="single"/>
        </w:rPr>
        <w:t xml:space="preserve">Question No. </w:t>
      </w:r>
      <w:bookmarkEnd w:id="4"/>
      <w:r w:rsidR="007A2D22" w:rsidRPr="00973082">
        <w:rPr>
          <w:rFonts w:ascii="Times New Roman" w:hAnsi="Times New Roman"/>
          <w:b/>
          <w:bCs/>
          <w:color w:val="auto"/>
          <w:sz w:val="24"/>
          <w:szCs w:val="24"/>
          <w:u w:val="single"/>
        </w:rPr>
        <w:t>9</w:t>
      </w:r>
      <w:bookmarkEnd w:id="5"/>
    </w:p>
    <w:p w14:paraId="50DAFB3E" w14:textId="50A957BC" w:rsidR="007A2D22" w:rsidRDefault="006B79F7" w:rsidP="00BB339C">
      <w:pPr>
        <w:pStyle w:val="BodyText4"/>
        <w:spacing w:after="240" w:line="360" w:lineRule="auto"/>
        <w:ind w:left="0" w:firstLine="0"/>
        <w:jc w:val="both"/>
        <w:rPr>
          <w:rFonts w:ascii="Times New Roman" w:hAnsi="Times New Roman" w:cs="Times New Roman"/>
          <w:sz w:val="24"/>
          <w:szCs w:val="24"/>
        </w:rPr>
      </w:pPr>
      <w:r>
        <w:rPr>
          <w:rFonts w:ascii="Times New Roman" w:hAnsi="Times New Roman" w:cs="Times New Roman"/>
          <w:b/>
          <w:bCs/>
          <w:sz w:val="24"/>
          <w:szCs w:val="24"/>
          <w:u w:val="single"/>
        </w:rPr>
        <w:t>Social Services</w:t>
      </w:r>
    </w:p>
    <w:p w14:paraId="7BE56711" w14:textId="7FAAB5D1" w:rsidR="00D3543B" w:rsidRPr="00D3543B" w:rsidRDefault="007A2D22" w:rsidP="004112AB">
      <w:pPr>
        <w:pStyle w:val="BodyText4"/>
        <w:spacing w:after="240" w:line="360" w:lineRule="auto"/>
        <w:ind w:left="0" w:firstLine="0"/>
        <w:jc w:val="both"/>
        <w:rPr>
          <w:rFonts w:ascii="Times New Roman" w:hAnsi="Times New Roman" w:cs="Times New Roman"/>
          <w:b/>
          <w:bCs/>
          <w:sz w:val="24"/>
          <w:szCs w:val="24"/>
          <w:u w:val="single"/>
        </w:rPr>
      </w:pPr>
      <w:r w:rsidRPr="00D3543B">
        <w:rPr>
          <w:rFonts w:ascii="Times New Roman" w:hAnsi="Times New Roman" w:cs="Times New Roman"/>
          <w:b/>
          <w:bCs/>
          <w:sz w:val="24"/>
          <w:szCs w:val="24"/>
          <w:u w:val="single"/>
        </w:rPr>
        <w:t>Inter-Ministerial Committee Reviewing the Social Rights</w:t>
      </w:r>
      <w:r w:rsidRPr="00D3543B">
        <w:rPr>
          <w:rFonts w:ascii="Times New Roman" w:hAnsi="Times New Roman" w:cs="Times New Roman"/>
          <w:b/>
          <w:bCs/>
          <w:sz w:val="24"/>
          <w:szCs w:val="24"/>
          <w:u w:val="single"/>
          <w:rtl/>
        </w:rPr>
        <w:t xml:space="preserve"> </w:t>
      </w:r>
      <w:r w:rsidRPr="00D3543B">
        <w:rPr>
          <w:rFonts w:ascii="Times New Roman" w:hAnsi="Times New Roman" w:cs="Times New Roman"/>
          <w:b/>
          <w:bCs/>
          <w:sz w:val="24"/>
          <w:szCs w:val="24"/>
          <w:u w:val="single"/>
        </w:rPr>
        <w:t xml:space="preserve">Granted to Migrants Who May Not be Returned to Their Countries of Origin </w:t>
      </w:r>
    </w:p>
    <w:p w14:paraId="2AAFE672" w14:textId="77777777" w:rsidR="007A2D22" w:rsidRPr="007A2D22" w:rsidRDefault="006B79F7" w:rsidP="002C2DEB">
      <w:pPr>
        <w:pStyle w:val="aa"/>
        <w:numPr>
          <w:ilvl w:val="0"/>
          <w:numId w:val="2"/>
        </w:numPr>
        <w:ind w:left="567" w:hanging="567"/>
        <w:contextualSpacing w:val="0"/>
      </w:pPr>
      <w:r w:rsidRPr="007A2D22">
        <w:t xml:space="preserve">In August 2017, an Inter-Ministerial Committee reviewing the social rights granted in Israel to migrants who may not be returned to their countries of origin was established, at the request of the Attorney General. The Inter-Ministerial Committee headed by the DG of PIA, included representatives of the relevant Ministries: the </w:t>
      </w:r>
      <w:r w:rsidRPr="007A2D22">
        <w:rPr>
          <w:color w:val="000000"/>
        </w:rPr>
        <w:t>MoLSAaSS</w:t>
      </w:r>
      <w:r w:rsidRPr="007A2D22">
        <w:t>, the MoH, the MoJ, the Ministry of Interior (MoI), the Ministry of Finance (MoF) and the Ministry of Construction and Housing. The Committee's main purpose was to examine the possibility of providing social, welfare and health services to migrants who may not be returned to their countries of origin.</w:t>
      </w:r>
    </w:p>
    <w:p w14:paraId="39287337" w14:textId="77777777" w:rsidR="007A2D22" w:rsidRPr="007A2D22" w:rsidRDefault="006B79F7" w:rsidP="002C2DEB">
      <w:pPr>
        <w:pStyle w:val="aa"/>
        <w:numPr>
          <w:ilvl w:val="0"/>
          <w:numId w:val="2"/>
        </w:numPr>
        <w:ind w:left="567" w:hanging="567"/>
        <w:contextualSpacing w:val="0"/>
        <w:rPr>
          <w:sz w:val="22"/>
          <w:szCs w:val="22"/>
          <w:rtl/>
        </w:rPr>
      </w:pPr>
      <w:r w:rsidRPr="007A2D22">
        <w:t xml:space="preserve">In July 2018, the Committee submitted its recommendations to the Ministers of LSAaSS and of Interior for examination. On February 28, 2019, the Minister of LSAaSS adopted the recommendations of the Committee concerning his </w:t>
      </w:r>
      <w:r w:rsidRPr="007A2D22">
        <w:lastRenderedPageBreak/>
        <w:t>Ministry. As part of this decision, the Minister ordered a partial provision of welfare services to migrants who may not be returned to their countries of origin in need of out-of-home placements: victims of domestic violence, persons with disabilities and persons in street situations. The budget to be allocated for this is 36 Million NIS (10 Million USD) (out of which 20 Million NIS (5.5 Million USD) is allocated to the MoLSAaSS). As part of these services, a special program was set up in order to provide various welfare services for child migrants at risk who may not be returned to their countries of origin.</w:t>
      </w:r>
    </w:p>
    <w:p w14:paraId="5FD8C99D" w14:textId="77777777" w:rsidR="007A2D22" w:rsidRPr="007A2D22" w:rsidRDefault="006B79F7" w:rsidP="002C2DEB">
      <w:pPr>
        <w:pStyle w:val="aa"/>
        <w:numPr>
          <w:ilvl w:val="0"/>
          <w:numId w:val="2"/>
        </w:numPr>
        <w:ind w:left="567" w:hanging="567"/>
        <w:contextualSpacing w:val="0"/>
      </w:pPr>
      <w:r w:rsidRPr="007A2D22">
        <w:t xml:space="preserve">A petition on this issue was filed to the HCJ and is pending (H.C.J. 8907/16 </w:t>
      </w:r>
      <w:r w:rsidRPr="007A2D22">
        <w:rPr>
          <w:i/>
          <w:iCs/>
          <w:color w:val="000000"/>
        </w:rPr>
        <w:t>Assaf - Aid Organization for Refugees and Asylum Seekers in Israel v.</w:t>
      </w:r>
      <w:r w:rsidRPr="007A2D22">
        <w:rPr>
          <w:i/>
          <w:iCs/>
        </w:rPr>
        <w:t xml:space="preserve"> The Minister of Labor, Social Affairs and Social Services</w:t>
      </w:r>
      <w:r w:rsidRPr="007A2D22">
        <w:t>).</w:t>
      </w:r>
      <w:r w:rsidRPr="007A2D22">
        <w:rPr>
          <w:b/>
          <w:bCs/>
        </w:rPr>
        <w:t xml:space="preserve"> </w:t>
      </w:r>
      <w:r w:rsidRPr="007A2D22">
        <w:t>In March 2019, the Government informed the HCJ that the Minister of LSAaSS agrees to the Inter-Ministerial Committee's recommendations to allocate funds (approx. 30 Million NIS (8.33 Million USD)) to secure social rights for certain groups of migrants who may not be returned to their countries of origin. Most recently (July 2019), the Government informed the HCJ that it is looking into alternatives for purchasing a designated health insurance for migrants who may not be returned to their countries of origin, i.e., purchasing existing insurance packages for them or providing them with medical services through a different arrangement.</w:t>
      </w:r>
    </w:p>
    <w:p w14:paraId="1ABB7490"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6" w:name="_Toc60141921"/>
      <w:r w:rsidRPr="00973082">
        <w:rPr>
          <w:rFonts w:ascii="Times New Roman" w:hAnsi="Times New Roman"/>
          <w:b/>
          <w:bCs/>
          <w:color w:val="auto"/>
          <w:sz w:val="24"/>
          <w:szCs w:val="24"/>
          <w:u w:val="single"/>
        </w:rPr>
        <w:t xml:space="preserve">Question No. </w:t>
      </w:r>
      <w:r w:rsidR="007A2D22" w:rsidRPr="00973082">
        <w:rPr>
          <w:rFonts w:ascii="Times New Roman" w:hAnsi="Times New Roman"/>
          <w:b/>
          <w:bCs/>
          <w:color w:val="auto"/>
          <w:sz w:val="24"/>
          <w:szCs w:val="24"/>
          <w:u w:val="single"/>
        </w:rPr>
        <w:t>10</w:t>
      </w:r>
      <w:bookmarkEnd w:id="6"/>
    </w:p>
    <w:p w14:paraId="24737AB3" w14:textId="741AFC94" w:rsidR="00901309" w:rsidRPr="00901309" w:rsidRDefault="006B79F7" w:rsidP="009D3DE1">
      <w:pPr>
        <w:pStyle w:val="BodyText4"/>
        <w:spacing w:after="240" w:line="360" w:lineRule="auto"/>
        <w:ind w:left="0" w:firstLine="0"/>
        <w:jc w:val="both"/>
        <w:rPr>
          <w:rFonts w:ascii="Times New Roman" w:hAnsi="Times New Roman" w:cs="Times New Roman"/>
          <w:sz w:val="24"/>
          <w:szCs w:val="24"/>
        </w:rPr>
      </w:pPr>
      <w:r>
        <w:rPr>
          <w:rFonts w:ascii="Times New Roman" w:hAnsi="Times New Roman" w:cs="Times New Roman"/>
          <w:b/>
          <w:bCs/>
          <w:sz w:val="24"/>
          <w:szCs w:val="24"/>
          <w:u w:val="single"/>
        </w:rPr>
        <w:t>Identification and tre</w:t>
      </w:r>
      <w:r w:rsidRPr="00901309">
        <w:rPr>
          <w:rFonts w:ascii="Times New Roman" w:hAnsi="Times New Roman" w:cs="Times New Roman"/>
          <w:b/>
          <w:bCs/>
          <w:sz w:val="24"/>
          <w:szCs w:val="24"/>
          <w:u w:val="single"/>
        </w:rPr>
        <w:t>atment of vulnerable persons seeking asylum in Israel</w:t>
      </w:r>
    </w:p>
    <w:p w14:paraId="7D36FC51" w14:textId="2F3E48F4" w:rsidR="00901309" w:rsidRPr="00901309" w:rsidRDefault="006B79F7" w:rsidP="00AB55D2">
      <w:pPr>
        <w:pStyle w:val="aa"/>
        <w:numPr>
          <w:ilvl w:val="0"/>
          <w:numId w:val="2"/>
        </w:numPr>
        <w:ind w:left="567" w:hanging="567"/>
        <w:contextualSpacing w:val="0"/>
      </w:pPr>
      <w:r w:rsidRPr="00901309">
        <w:t xml:space="preserve">The </w:t>
      </w:r>
      <w:r w:rsidR="00AB55D2">
        <w:t>Government of Israel</w:t>
      </w:r>
      <w:r w:rsidR="00AB55D2" w:rsidRPr="00901309">
        <w:t xml:space="preserve"> </w:t>
      </w:r>
      <w:r w:rsidRPr="00901309">
        <w:t>invests many efforts in making sure that TIP victims are identified. In addition, training for the purpose of identifying victims is conducted on a regular basis for all relevant staff members including IPS staff in detention facilities. Members of the Police, National Anti-Trafficking Coordinator (the "NATU"), Social affairs and relevant NGOs are involved in this training. The frequent training given to police officers in recent years have enhanced their ability to identify a TIP victim. Every piece of information is carefully examined, and only initial evidence (</w:t>
      </w:r>
      <w:r w:rsidRPr="00901309">
        <w:rPr>
          <w:i/>
          <w:iCs/>
        </w:rPr>
        <w:t>prima facie evidence</w:t>
      </w:r>
      <w:r w:rsidRPr="00901309">
        <w:t>) is required in order to recognize a person as a victim.</w:t>
      </w:r>
    </w:p>
    <w:p w14:paraId="417AA0B8" w14:textId="77777777" w:rsidR="00901309" w:rsidRPr="00901309" w:rsidRDefault="006B79F7" w:rsidP="002C2DEB">
      <w:pPr>
        <w:pStyle w:val="aa"/>
        <w:numPr>
          <w:ilvl w:val="0"/>
          <w:numId w:val="2"/>
        </w:numPr>
        <w:ind w:left="567" w:hanging="567"/>
        <w:contextualSpacing w:val="0"/>
      </w:pPr>
      <w:r w:rsidRPr="00901309">
        <w:t xml:space="preserve">Every TIP victim, identified as such, receives a B1 visa, (or the equivalent permit for Palestinian TIP victims), valid for the year of rehabilitation in the shelters. This visa can be extended upon PIA's discretion. </w:t>
      </w:r>
    </w:p>
    <w:p w14:paraId="18747EE6" w14:textId="77777777" w:rsidR="00901309" w:rsidRPr="00901309" w:rsidRDefault="006B79F7" w:rsidP="002C2DEB">
      <w:pPr>
        <w:pStyle w:val="aa"/>
        <w:numPr>
          <w:ilvl w:val="0"/>
          <w:numId w:val="2"/>
        </w:numPr>
        <w:ind w:left="567" w:hanging="567"/>
        <w:contextualSpacing w:val="0"/>
      </w:pPr>
      <w:r w:rsidRPr="00901309">
        <w:t xml:space="preserve">A TIP victim taking part in judicial proceedings is entitled to a B1 visa until their conclusion, </w:t>
      </w:r>
      <w:r w:rsidRPr="00901309">
        <w:rPr>
          <w:rFonts w:eastAsia="Times New Roman"/>
        </w:rPr>
        <w:t>following</w:t>
      </w:r>
      <w:r w:rsidRPr="00901309">
        <w:t xml:space="preserve"> which he/she may request another year for rehabilitation. </w:t>
      </w:r>
    </w:p>
    <w:p w14:paraId="4834FF0B" w14:textId="06A2EDFA" w:rsidR="00901309" w:rsidRPr="00901309" w:rsidRDefault="006B79F7" w:rsidP="002C2DEB">
      <w:pPr>
        <w:pStyle w:val="aa"/>
        <w:numPr>
          <w:ilvl w:val="0"/>
          <w:numId w:val="2"/>
        </w:numPr>
        <w:ind w:left="567" w:hanging="567"/>
        <w:contextualSpacing w:val="0"/>
      </w:pPr>
      <w:r w:rsidRPr="00901309">
        <w:t xml:space="preserve">In light of the above, the PIA Border Control staff, as well as other officials such as the </w:t>
      </w:r>
      <w:r w:rsidR="00CE58B3">
        <w:t>Detention Review Tribunal (</w:t>
      </w:r>
      <w:r w:rsidRPr="00901309">
        <w:t>DRT</w:t>
      </w:r>
      <w:r w:rsidR="00CE58B3">
        <w:t>)</w:t>
      </w:r>
      <w:r w:rsidRPr="00901309">
        <w:t xml:space="preserve"> staff, are specifically trained in order to ensure that all trafficking and slavery cases are </w:t>
      </w:r>
      <w:r w:rsidRPr="002C2DEB">
        <w:t>identified</w:t>
      </w:r>
      <w:r w:rsidRPr="00901309">
        <w:t xml:space="preserve">, despite inherent difficulties, and that suspected victims are not deported from Israel before their status as TIP victims is properly evaluated. Therefore, updated forms of trafficking and methods are routinely </w:t>
      </w:r>
      <w:r w:rsidRPr="00901309">
        <w:lastRenderedPageBreak/>
        <w:t>relayed to the Police and the SAO Anti-Trafficking coordinators. Special awareness is also noticeable in other areas of trafficking. For example, the authorities identified cases concerning persons with physical disabilities (deafness and speech impediment) that may have fallen victim to TIP for the purpose of labor, and in 2018, two (2) cases of servitude within the framework of a marriage where the women were brought from abroad (Ethiopian nationals) were identified and referred to the shelters.</w:t>
      </w:r>
    </w:p>
    <w:p w14:paraId="34291965" w14:textId="77777777" w:rsidR="00901309" w:rsidRPr="00901309" w:rsidRDefault="006B79F7" w:rsidP="002C2DEB">
      <w:pPr>
        <w:pStyle w:val="aa"/>
        <w:numPr>
          <w:ilvl w:val="0"/>
          <w:numId w:val="2"/>
        </w:numPr>
        <w:ind w:left="567" w:hanging="567"/>
        <w:contextualSpacing w:val="0"/>
      </w:pPr>
      <w:r w:rsidRPr="00901309">
        <w:rPr>
          <w:snapToGrid w:val="0"/>
        </w:rPr>
        <w:t xml:space="preserve">Once the rehabilitation period is over, the victims are offered to participate in </w:t>
      </w:r>
      <w:r w:rsidRPr="00901309">
        <w:t>the “Voluntary Return and Reintegration” Project. The project is funded by the PIA, and it offers a very broad aid package, including: travel arrangements and assistance at the airport in Israel and the country of origin, medical accompaniment, a cash grant of 100 USD for preliminary costs, assistance in the long term in the country of origin for the purpose of finding accommodation, starting a business, vocational training or integration in the labor market (a grant of up to 750 USD), all through the representatives of the IOM in the country of origin.</w:t>
      </w:r>
    </w:p>
    <w:p w14:paraId="27C00DB6" w14:textId="77777777" w:rsidR="00901309" w:rsidRPr="00901309" w:rsidRDefault="006B79F7" w:rsidP="00BB339C">
      <w:pPr>
        <w:rPr>
          <w:b/>
          <w:bCs/>
          <w:u w:val="single"/>
        </w:rPr>
      </w:pPr>
      <w:r w:rsidRPr="00901309">
        <w:rPr>
          <w:b/>
          <w:bCs/>
          <w:u w:val="single"/>
        </w:rPr>
        <w:t>The IPS referral procedure relating to TIP victims</w:t>
      </w:r>
    </w:p>
    <w:p w14:paraId="0DDAC6AD" w14:textId="77777777" w:rsidR="00901309" w:rsidRPr="00901309" w:rsidRDefault="006B79F7" w:rsidP="002C2DEB">
      <w:pPr>
        <w:pStyle w:val="aa"/>
        <w:numPr>
          <w:ilvl w:val="0"/>
          <w:numId w:val="2"/>
        </w:numPr>
        <w:ind w:left="567" w:hanging="567"/>
        <w:contextualSpacing w:val="0"/>
      </w:pPr>
      <w:r w:rsidRPr="00901309">
        <w:t xml:space="preserve">According to IPS procedure, </w:t>
      </w:r>
      <w:r w:rsidRPr="00901309">
        <w:rPr>
          <w:b/>
          <w:bCs/>
        </w:rPr>
        <w:t>every</w:t>
      </w:r>
      <w:r w:rsidRPr="00901309">
        <w:t xml:space="preserve"> IPS staff member who serves in a detention facility, and who suspects having encountered a TIP victim, is obligated to report this to the detention facilities' social worker, who is obliged to deliver the information to the LAA, for possible referral to the TIP shelters. All IPS staff in </w:t>
      </w:r>
      <w:r w:rsidR="009102B3">
        <w:t>"</w:t>
      </w:r>
      <w:r w:rsidRPr="00901309">
        <w:t>Giv'on</w:t>
      </w:r>
      <w:r w:rsidR="009102B3">
        <w:t>"</w:t>
      </w:r>
      <w:r w:rsidRPr="00901309">
        <w:t xml:space="preserve"> and </w:t>
      </w:r>
      <w:r w:rsidR="009102B3">
        <w:t>"</w:t>
      </w:r>
      <w:r w:rsidRPr="00901309">
        <w:t>Saharonim</w:t>
      </w:r>
      <w:r w:rsidR="009102B3">
        <w:t>"</w:t>
      </w:r>
      <w:r w:rsidRPr="00901309">
        <w:t xml:space="preserve"> facilities are familiar with this procedure and operate accordingly.</w:t>
      </w:r>
    </w:p>
    <w:p w14:paraId="1D04A03C" w14:textId="0EAFFA12" w:rsidR="00901309" w:rsidRPr="00901309" w:rsidRDefault="006B79F7" w:rsidP="002C2DEB">
      <w:pPr>
        <w:pStyle w:val="aa"/>
        <w:numPr>
          <w:ilvl w:val="0"/>
          <w:numId w:val="2"/>
        </w:numPr>
        <w:ind w:left="567" w:hanging="567"/>
        <w:contextualSpacing w:val="0"/>
      </w:pPr>
      <w:r w:rsidRPr="00901309">
        <w:t xml:space="preserve">On May 28, 2017, the IPS conducted a day of training concerning identification and treatment of TIP victims, under the title: "Crossing the Desert". The training was given to 86 staff members of the IPS, including commanders, wardens, social workers and medical staff, from the "Saharonim", "Giv'on" and "Holot" facilities. The participants were given lectures by </w:t>
      </w:r>
      <w:r w:rsidR="009746A3">
        <w:t xml:space="preserve">the </w:t>
      </w:r>
      <w:r w:rsidRPr="00901309">
        <w:t>NATU, the PIA and the Police Anti-Trafficking Coordinating Unit (PTC), as well as by the Hotline for Refugees and Migrants and UNHCR.</w:t>
      </w:r>
    </w:p>
    <w:p w14:paraId="5583D8EA" w14:textId="0BB6A947" w:rsidR="006567A6" w:rsidRPr="00901309" w:rsidRDefault="00901309" w:rsidP="009746A3">
      <w:pPr>
        <w:pStyle w:val="aa"/>
        <w:numPr>
          <w:ilvl w:val="0"/>
          <w:numId w:val="2"/>
        </w:numPr>
        <w:ind w:left="567" w:hanging="567"/>
        <w:contextualSpacing w:val="0"/>
      </w:pPr>
      <w:r w:rsidRPr="00901309">
        <w:lastRenderedPageBreak/>
        <w:t xml:space="preserve">In 2018, three (3) cases were referred </w:t>
      </w:r>
      <w:r w:rsidRPr="00901309">
        <w:rPr>
          <w:rFonts w:eastAsia="Times New Roman"/>
        </w:rPr>
        <w:t>to the shelters from</w:t>
      </w:r>
      <w:r w:rsidRPr="00901309">
        <w:t xml:space="preserve"> the </w:t>
      </w:r>
      <w:r w:rsidR="009102B3">
        <w:t>"</w:t>
      </w:r>
      <w:r w:rsidRPr="00901309">
        <w:t>Giv'on</w:t>
      </w:r>
      <w:r w:rsidR="009102B3">
        <w:t>"</w:t>
      </w:r>
      <w:r w:rsidRPr="00901309">
        <w:t xml:space="preserve"> </w:t>
      </w:r>
      <w:r w:rsidR="009746A3">
        <w:t>f</w:t>
      </w:r>
      <w:r w:rsidRPr="00901309">
        <w:t xml:space="preserve">acility. There were no recent referrals from the </w:t>
      </w:r>
      <w:r w:rsidR="009102B3">
        <w:t>"</w:t>
      </w:r>
      <w:r w:rsidRPr="00901309">
        <w:t>Holot</w:t>
      </w:r>
      <w:r w:rsidR="009102B3">
        <w:t>"</w:t>
      </w:r>
      <w:r w:rsidRPr="00901309">
        <w:t xml:space="preserve"> </w:t>
      </w:r>
      <w:r w:rsidR="009746A3">
        <w:t>f</w:t>
      </w:r>
      <w:r w:rsidRPr="00901309">
        <w:t>acility, as it stopped operating in March 2018.</w:t>
      </w:r>
    </w:p>
    <w:p w14:paraId="3E256EE9"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7" w:name="_Toc60141922"/>
      <w:r w:rsidRPr="00973082">
        <w:rPr>
          <w:rFonts w:ascii="Times New Roman" w:hAnsi="Times New Roman"/>
          <w:b/>
          <w:bCs/>
          <w:color w:val="auto"/>
          <w:sz w:val="24"/>
          <w:szCs w:val="24"/>
          <w:u w:val="single"/>
        </w:rPr>
        <w:t xml:space="preserve">Question No. </w:t>
      </w:r>
      <w:r w:rsidR="00901309" w:rsidRPr="00973082">
        <w:rPr>
          <w:rFonts w:ascii="Times New Roman" w:hAnsi="Times New Roman"/>
          <w:b/>
          <w:bCs/>
          <w:color w:val="auto"/>
          <w:sz w:val="24"/>
          <w:szCs w:val="24"/>
          <w:u w:val="single"/>
        </w:rPr>
        <w:t>11</w:t>
      </w:r>
      <w:bookmarkEnd w:id="7"/>
    </w:p>
    <w:p w14:paraId="3D1CBBAF" w14:textId="761A277A" w:rsidR="00CB6688" w:rsidRPr="00901309" w:rsidRDefault="006B79F7" w:rsidP="009746A3">
      <w:pPr>
        <w:jc w:val="center"/>
        <w:rPr>
          <w:b/>
          <w:bCs/>
          <w:u w:val="single"/>
        </w:rPr>
      </w:pPr>
      <w:r>
        <w:rPr>
          <w:b/>
          <w:bCs/>
          <w:u w:val="single"/>
        </w:rPr>
        <w:t xml:space="preserve">Table No. 1 - </w:t>
      </w:r>
      <w:r w:rsidRPr="00901309">
        <w:rPr>
          <w:b/>
          <w:bCs/>
          <w:u w:val="single"/>
        </w:rPr>
        <w:t xml:space="preserve">Asylum </w:t>
      </w:r>
      <w:r>
        <w:rPr>
          <w:b/>
          <w:bCs/>
          <w:u w:val="single"/>
        </w:rPr>
        <w:t>A</w:t>
      </w:r>
      <w:r w:rsidRPr="00901309">
        <w:rPr>
          <w:b/>
          <w:bCs/>
          <w:u w:val="single"/>
        </w:rPr>
        <w:t xml:space="preserve">pplications </w:t>
      </w:r>
      <w:r>
        <w:rPr>
          <w:b/>
          <w:bCs/>
          <w:u w:val="single"/>
        </w:rPr>
        <w:t>F</w:t>
      </w:r>
      <w:r w:rsidRPr="00901309">
        <w:rPr>
          <w:b/>
          <w:bCs/>
          <w:u w:val="single"/>
        </w:rPr>
        <w:t xml:space="preserve">iled </w:t>
      </w:r>
      <w:r>
        <w:rPr>
          <w:b/>
          <w:bCs/>
          <w:u w:val="single"/>
        </w:rPr>
        <w:t>between</w:t>
      </w:r>
      <w:r w:rsidRPr="00901309">
        <w:rPr>
          <w:b/>
          <w:bCs/>
          <w:u w:val="single"/>
        </w:rPr>
        <w:t xml:space="preserve"> September 2013 </w:t>
      </w:r>
      <w:r>
        <w:rPr>
          <w:b/>
          <w:bCs/>
          <w:u w:val="single"/>
        </w:rPr>
        <w:t>and</w:t>
      </w:r>
      <w:r w:rsidRPr="00901309">
        <w:rPr>
          <w:b/>
          <w:bCs/>
          <w:u w:val="single"/>
        </w:rPr>
        <w:t xml:space="preserve"> November 2019 (inclusive)</w:t>
      </w:r>
    </w:p>
    <w:tbl>
      <w:tblPr>
        <w:tblW w:w="8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43"/>
        <w:gridCol w:w="1701"/>
        <w:gridCol w:w="896"/>
        <w:gridCol w:w="897"/>
        <w:gridCol w:w="897"/>
        <w:gridCol w:w="896"/>
        <w:gridCol w:w="897"/>
        <w:gridCol w:w="897"/>
      </w:tblGrid>
      <w:tr w:rsidR="00960CEA" w14:paraId="4DEFCAD4" w14:textId="77777777" w:rsidTr="00A91F49">
        <w:trPr>
          <w:trHeight w:val="814"/>
          <w:jc w:val="center"/>
        </w:trPr>
        <w:tc>
          <w:tcPr>
            <w:tcW w:w="1043" w:type="dxa"/>
            <w:shd w:val="clear" w:color="auto" w:fill="D9D9D9"/>
            <w:noWrap/>
            <w:tcMar>
              <w:top w:w="0" w:type="dxa"/>
              <w:left w:w="108" w:type="dxa"/>
              <w:bottom w:w="0" w:type="dxa"/>
              <w:right w:w="108" w:type="dxa"/>
            </w:tcMar>
            <w:vAlign w:val="center"/>
            <w:hideMark/>
          </w:tcPr>
          <w:p w14:paraId="1258F6A7" w14:textId="77777777" w:rsidR="00CB6688" w:rsidRPr="000548C8" w:rsidRDefault="00CB6688" w:rsidP="00A91F49">
            <w:pPr>
              <w:spacing w:before="0" w:after="0" w:line="240" w:lineRule="auto"/>
              <w:ind w:left="-105" w:right="-106" w:firstLine="3"/>
              <w:jc w:val="center"/>
              <w:rPr>
                <w:b/>
                <w:bCs/>
                <w:sz w:val="22"/>
                <w:szCs w:val="22"/>
              </w:rPr>
            </w:pPr>
          </w:p>
        </w:tc>
        <w:tc>
          <w:tcPr>
            <w:tcW w:w="1701" w:type="dxa"/>
            <w:shd w:val="clear" w:color="auto" w:fill="D9D9D9"/>
            <w:noWrap/>
            <w:tcMar>
              <w:top w:w="0" w:type="dxa"/>
              <w:left w:w="108" w:type="dxa"/>
              <w:bottom w:w="0" w:type="dxa"/>
              <w:right w:w="108" w:type="dxa"/>
            </w:tcMar>
            <w:vAlign w:val="center"/>
            <w:hideMark/>
          </w:tcPr>
          <w:p w14:paraId="79FB227B" w14:textId="77777777" w:rsidR="00CB6688" w:rsidRPr="00F40477" w:rsidRDefault="006B79F7" w:rsidP="00A91F49">
            <w:pPr>
              <w:spacing w:before="0" w:after="0" w:line="240" w:lineRule="auto"/>
              <w:ind w:left="-105" w:right="-106" w:firstLine="3"/>
              <w:jc w:val="center"/>
              <w:rPr>
                <w:b/>
                <w:bCs/>
                <w:sz w:val="22"/>
                <w:szCs w:val="22"/>
              </w:rPr>
            </w:pPr>
            <w:r w:rsidRPr="00973082">
              <w:rPr>
                <w:b/>
                <w:bCs/>
                <w:sz w:val="22"/>
                <w:szCs w:val="22"/>
              </w:rPr>
              <w:t>2013 (from September)</w:t>
            </w:r>
          </w:p>
        </w:tc>
        <w:tc>
          <w:tcPr>
            <w:tcW w:w="896" w:type="dxa"/>
            <w:shd w:val="clear" w:color="auto" w:fill="D9D9D9"/>
            <w:noWrap/>
            <w:tcMar>
              <w:top w:w="0" w:type="dxa"/>
              <w:left w:w="108" w:type="dxa"/>
              <w:bottom w:w="0" w:type="dxa"/>
              <w:right w:w="108" w:type="dxa"/>
            </w:tcMar>
            <w:vAlign w:val="center"/>
            <w:hideMark/>
          </w:tcPr>
          <w:p w14:paraId="3266C344" w14:textId="77777777"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2014</w:t>
            </w:r>
          </w:p>
        </w:tc>
        <w:tc>
          <w:tcPr>
            <w:tcW w:w="897" w:type="dxa"/>
            <w:shd w:val="clear" w:color="auto" w:fill="D9D9D9"/>
            <w:noWrap/>
            <w:tcMar>
              <w:top w:w="0" w:type="dxa"/>
              <w:left w:w="108" w:type="dxa"/>
              <w:bottom w:w="0" w:type="dxa"/>
              <w:right w:w="108" w:type="dxa"/>
            </w:tcMar>
            <w:vAlign w:val="center"/>
            <w:hideMark/>
          </w:tcPr>
          <w:p w14:paraId="2B5DE7D6" w14:textId="77777777"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2015</w:t>
            </w:r>
          </w:p>
        </w:tc>
        <w:tc>
          <w:tcPr>
            <w:tcW w:w="897" w:type="dxa"/>
            <w:shd w:val="clear" w:color="auto" w:fill="D9D9D9"/>
            <w:noWrap/>
            <w:tcMar>
              <w:top w:w="0" w:type="dxa"/>
              <w:left w:w="108" w:type="dxa"/>
              <w:bottom w:w="0" w:type="dxa"/>
              <w:right w:w="108" w:type="dxa"/>
            </w:tcMar>
            <w:vAlign w:val="center"/>
            <w:hideMark/>
          </w:tcPr>
          <w:p w14:paraId="4C93D84E" w14:textId="77777777"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2016</w:t>
            </w:r>
          </w:p>
        </w:tc>
        <w:tc>
          <w:tcPr>
            <w:tcW w:w="896" w:type="dxa"/>
            <w:shd w:val="clear" w:color="auto" w:fill="D9D9D9"/>
            <w:noWrap/>
            <w:tcMar>
              <w:top w:w="0" w:type="dxa"/>
              <w:left w:w="108" w:type="dxa"/>
              <w:bottom w:w="0" w:type="dxa"/>
              <w:right w:w="108" w:type="dxa"/>
            </w:tcMar>
            <w:vAlign w:val="center"/>
            <w:hideMark/>
          </w:tcPr>
          <w:p w14:paraId="5EDE00D3" w14:textId="77777777"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2017</w:t>
            </w:r>
          </w:p>
        </w:tc>
        <w:tc>
          <w:tcPr>
            <w:tcW w:w="897" w:type="dxa"/>
            <w:shd w:val="clear" w:color="auto" w:fill="D9D9D9"/>
            <w:noWrap/>
            <w:tcMar>
              <w:top w:w="0" w:type="dxa"/>
              <w:left w:w="108" w:type="dxa"/>
              <w:bottom w:w="0" w:type="dxa"/>
              <w:right w:w="108" w:type="dxa"/>
            </w:tcMar>
            <w:vAlign w:val="center"/>
            <w:hideMark/>
          </w:tcPr>
          <w:p w14:paraId="05D28C5A" w14:textId="77777777"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2018</w:t>
            </w:r>
          </w:p>
        </w:tc>
        <w:tc>
          <w:tcPr>
            <w:tcW w:w="897" w:type="dxa"/>
            <w:shd w:val="clear" w:color="auto" w:fill="D9D9D9"/>
            <w:noWrap/>
            <w:tcMar>
              <w:top w:w="0" w:type="dxa"/>
              <w:left w:w="108" w:type="dxa"/>
              <w:bottom w:w="0" w:type="dxa"/>
              <w:right w:w="108" w:type="dxa"/>
            </w:tcMar>
            <w:vAlign w:val="center"/>
            <w:hideMark/>
          </w:tcPr>
          <w:p w14:paraId="795F092C" w14:textId="77777777"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2019</w:t>
            </w:r>
          </w:p>
        </w:tc>
      </w:tr>
      <w:tr w:rsidR="00960CEA" w14:paraId="15FFEE2D" w14:textId="77777777" w:rsidTr="00A91F49">
        <w:trPr>
          <w:trHeight w:val="570"/>
          <w:jc w:val="center"/>
        </w:trPr>
        <w:tc>
          <w:tcPr>
            <w:tcW w:w="1043" w:type="dxa"/>
            <w:shd w:val="clear" w:color="auto" w:fill="auto"/>
            <w:noWrap/>
            <w:tcMar>
              <w:top w:w="0" w:type="dxa"/>
              <w:left w:w="108" w:type="dxa"/>
              <w:bottom w:w="0" w:type="dxa"/>
              <w:right w:w="108" w:type="dxa"/>
            </w:tcMar>
            <w:vAlign w:val="center"/>
            <w:hideMark/>
          </w:tcPr>
          <w:p w14:paraId="03450BF3" w14:textId="77777777" w:rsidR="00CB6688" w:rsidRPr="000548C8" w:rsidRDefault="006B79F7" w:rsidP="00A91F49">
            <w:pPr>
              <w:spacing w:before="0" w:after="0" w:line="240" w:lineRule="auto"/>
              <w:ind w:left="-105" w:right="-106" w:firstLine="0"/>
              <w:jc w:val="center"/>
              <w:rPr>
                <w:b/>
                <w:bCs/>
                <w:sz w:val="22"/>
                <w:szCs w:val="22"/>
              </w:rPr>
            </w:pPr>
            <w:r w:rsidRPr="000548C8">
              <w:rPr>
                <w:b/>
                <w:bCs/>
                <w:sz w:val="22"/>
                <w:szCs w:val="22"/>
              </w:rPr>
              <w:t>Total</w:t>
            </w:r>
          </w:p>
        </w:tc>
        <w:tc>
          <w:tcPr>
            <w:tcW w:w="1701" w:type="dxa"/>
            <w:shd w:val="clear" w:color="auto" w:fill="auto"/>
            <w:noWrap/>
            <w:tcMar>
              <w:top w:w="0" w:type="dxa"/>
              <w:left w:w="108" w:type="dxa"/>
              <w:bottom w:w="0" w:type="dxa"/>
              <w:right w:w="108" w:type="dxa"/>
            </w:tcMar>
            <w:vAlign w:val="center"/>
            <w:hideMark/>
          </w:tcPr>
          <w:p w14:paraId="0AE81018" w14:textId="77777777" w:rsidR="00CB6688" w:rsidRPr="00973082" w:rsidRDefault="006B79F7" w:rsidP="00A91F49">
            <w:pPr>
              <w:spacing w:before="0" w:after="0" w:line="240" w:lineRule="auto"/>
              <w:ind w:left="-105" w:right="-106" w:firstLine="0"/>
              <w:jc w:val="center"/>
              <w:rPr>
                <w:sz w:val="22"/>
                <w:szCs w:val="22"/>
              </w:rPr>
            </w:pPr>
            <w:r w:rsidRPr="00973082">
              <w:rPr>
                <w:sz w:val="22"/>
                <w:szCs w:val="22"/>
              </w:rPr>
              <w:t>1,020</w:t>
            </w:r>
          </w:p>
        </w:tc>
        <w:tc>
          <w:tcPr>
            <w:tcW w:w="896" w:type="dxa"/>
            <w:shd w:val="clear" w:color="auto" w:fill="auto"/>
            <w:noWrap/>
            <w:tcMar>
              <w:top w:w="0" w:type="dxa"/>
              <w:left w:w="108" w:type="dxa"/>
              <w:bottom w:w="0" w:type="dxa"/>
              <w:right w:w="108" w:type="dxa"/>
            </w:tcMar>
            <w:vAlign w:val="center"/>
            <w:hideMark/>
          </w:tcPr>
          <w:p w14:paraId="03BE1FA6" w14:textId="77777777" w:rsidR="00CB6688" w:rsidRPr="00973082" w:rsidRDefault="006B79F7" w:rsidP="00A91F49">
            <w:pPr>
              <w:spacing w:before="0" w:after="0" w:line="240" w:lineRule="auto"/>
              <w:ind w:left="-105" w:right="-106" w:firstLine="0"/>
              <w:jc w:val="center"/>
              <w:rPr>
                <w:sz w:val="22"/>
                <w:szCs w:val="22"/>
              </w:rPr>
            </w:pPr>
            <w:r w:rsidRPr="00973082">
              <w:rPr>
                <w:sz w:val="22"/>
                <w:szCs w:val="22"/>
              </w:rPr>
              <w:t>2,679</w:t>
            </w:r>
          </w:p>
        </w:tc>
        <w:tc>
          <w:tcPr>
            <w:tcW w:w="897" w:type="dxa"/>
            <w:shd w:val="clear" w:color="auto" w:fill="auto"/>
            <w:noWrap/>
            <w:tcMar>
              <w:top w:w="0" w:type="dxa"/>
              <w:left w:w="108" w:type="dxa"/>
              <w:bottom w:w="0" w:type="dxa"/>
              <w:right w:w="108" w:type="dxa"/>
            </w:tcMar>
            <w:vAlign w:val="center"/>
            <w:hideMark/>
          </w:tcPr>
          <w:p w14:paraId="2FD0CCE2" w14:textId="77777777" w:rsidR="00CB6688" w:rsidRPr="00973082" w:rsidRDefault="006B79F7" w:rsidP="00A91F49">
            <w:pPr>
              <w:spacing w:before="0" w:after="0" w:line="240" w:lineRule="auto"/>
              <w:ind w:left="-105" w:right="-106" w:firstLine="0"/>
              <w:jc w:val="center"/>
              <w:rPr>
                <w:sz w:val="22"/>
                <w:szCs w:val="22"/>
              </w:rPr>
            </w:pPr>
            <w:r w:rsidRPr="00973082">
              <w:rPr>
                <w:sz w:val="22"/>
                <w:szCs w:val="22"/>
              </w:rPr>
              <w:t>7,274</w:t>
            </w:r>
          </w:p>
        </w:tc>
        <w:tc>
          <w:tcPr>
            <w:tcW w:w="897" w:type="dxa"/>
            <w:shd w:val="clear" w:color="auto" w:fill="auto"/>
            <w:noWrap/>
            <w:tcMar>
              <w:top w:w="0" w:type="dxa"/>
              <w:left w:w="108" w:type="dxa"/>
              <w:bottom w:w="0" w:type="dxa"/>
              <w:right w:w="108" w:type="dxa"/>
            </w:tcMar>
            <w:vAlign w:val="center"/>
            <w:hideMark/>
          </w:tcPr>
          <w:p w14:paraId="7850BD6A" w14:textId="77777777" w:rsidR="00CB6688" w:rsidRPr="00973082" w:rsidRDefault="006B79F7" w:rsidP="00A91F49">
            <w:pPr>
              <w:spacing w:before="0" w:after="0" w:line="240" w:lineRule="auto"/>
              <w:ind w:left="-105" w:right="-106" w:firstLine="0"/>
              <w:jc w:val="center"/>
              <w:rPr>
                <w:sz w:val="22"/>
                <w:szCs w:val="22"/>
              </w:rPr>
            </w:pPr>
            <w:r w:rsidRPr="00973082">
              <w:rPr>
                <w:sz w:val="22"/>
                <w:szCs w:val="22"/>
              </w:rPr>
              <w:t>14,842</w:t>
            </w:r>
          </w:p>
        </w:tc>
        <w:tc>
          <w:tcPr>
            <w:tcW w:w="896" w:type="dxa"/>
            <w:shd w:val="clear" w:color="auto" w:fill="auto"/>
            <w:noWrap/>
            <w:tcMar>
              <w:top w:w="0" w:type="dxa"/>
              <w:left w:w="108" w:type="dxa"/>
              <w:bottom w:w="0" w:type="dxa"/>
              <w:right w:w="108" w:type="dxa"/>
            </w:tcMar>
            <w:vAlign w:val="center"/>
            <w:hideMark/>
          </w:tcPr>
          <w:p w14:paraId="4C7F711C" w14:textId="77777777" w:rsidR="00CB6688" w:rsidRPr="00973082" w:rsidRDefault="006B79F7" w:rsidP="00A91F49">
            <w:pPr>
              <w:spacing w:before="0" w:after="0" w:line="240" w:lineRule="auto"/>
              <w:ind w:left="-105" w:right="-106" w:firstLine="0"/>
              <w:jc w:val="center"/>
              <w:rPr>
                <w:sz w:val="22"/>
                <w:szCs w:val="22"/>
              </w:rPr>
            </w:pPr>
            <w:r w:rsidRPr="00973082">
              <w:rPr>
                <w:sz w:val="22"/>
                <w:szCs w:val="22"/>
              </w:rPr>
              <w:t>14,783</w:t>
            </w:r>
          </w:p>
        </w:tc>
        <w:tc>
          <w:tcPr>
            <w:tcW w:w="897" w:type="dxa"/>
            <w:shd w:val="clear" w:color="auto" w:fill="auto"/>
            <w:noWrap/>
            <w:tcMar>
              <w:top w:w="0" w:type="dxa"/>
              <w:left w:w="108" w:type="dxa"/>
              <w:bottom w:w="0" w:type="dxa"/>
              <w:right w:w="108" w:type="dxa"/>
            </w:tcMar>
            <w:vAlign w:val="center"/>
            <w:hideMark/>
          </w:tcPr>
          <w:p w14:paraId="502324B3" w14:textId="77777777" w:rsidR="00CB6688" w:rsidRPr="00973082" w:rsidRDefault="006B79F7" w:rsidP="00A91F49">
            <w:pPr>
              <w:spacing w:before="0" w:after="0" w:line="240" w:lineRule="auto"/>
              <w:ind w:left="-105" w:right="-106" w:firstLine="0"/>
              <w:jc w:val="center"/>
              <w:rPr>
                <w:sz w:val="22"/>
                <w:szCs w:val="22"/>
              </w:rPr>
            </w:pPr>
            <w:r w:rsidRPr="00973082">
              <w:rPr>
                <w:sz w:val="22"/>
                <w:szCs w:val="22"/>
              </w:rPr>
              <w:t>16,259</w:t>
            </w:r>
          </w:p>
        </w:tc>
        <w:tc>
          <w:tcPr>
            <w:tcW w:w="897" w:type="dxa"/>
            <w:shd w:val="clear" w:color="auto" w:fill="auto"/>
            <w:noWrap/>
            <w:tcMar>
              <w:top w:w="0" w:type="dxa"/>
              <w:left w:w="108" w:type="dxa"/>
              <w:bottom w:w="0" w:type="dxa"/>
              <w:right w:w="108" w:type="dxa"/>
            </w:tcMar>
            <w:vAlign w:val="center"/>
            <w:hideMark/>
          </w:tcPr>
          <w:p w14:paraId="6F43C596" w14:textId="77777777" w:rsidR="00CB6688" w:rsidRPr="00973082" w:rsidRDefault="006B79F7" w:rsidP="00A91F49">
            <w:pPr>
              <w:spacing w:before="0" w:after="0" w:line="240" w:lineRule="auto"/>
              <w:ind w:left="-105" w:right="-106" w:firstLine="0"/>
              <w:jc w:val="center"/>
              <w:rPr>
                <w:sz w:val="22"/>
                <w:szCs w:val="22"/>
              </w:rPr>
            </w:pPr>
            <w:r w:rsidRPr="00973082">
              <w:rPr>
                <w:sz w:val="22"/>
                <w:szCs w:val="22"/>
              </w:rPr>
              <w:t>9,037</w:t>
            </w:r>
          </w:p>
        </w:tc>
      </w:tr>
    </w:tbl>
    <w:p w14:paraId="1660F05E" w14:textId="77777777" w:rsidR="00CB6688" w:rsidRPr="00BB339C" w:rsidRDefault="006B79F7" w:rsidP="00CB6688">
      <w:pPr>
        <w:spacing w:before="120" w:line="240" w:lineRule="auto"/>
        <w:rPr>
          <w:i/>
          <w:iCs/>
          <w:sz w:val="22"/>
          <w:szCs w:val="22"/>
          <w:rtl/>
        </w:rPr>
      </w:pPr>
      <w:r w:rsidRPr="00BB339C">
        <w:rPr>
          <w:i/>
          <w:iCs/>
          <w:sz w:val="22"/>
          <w:szCs w:val="22"/>
        </w:rPr>
        <w:t>Source: Population and Immigration Authority (PIA), 2019.</w:t>
      </w:r>
    </w:p>
    <w:p w14:paraId="1FF20C95" w14:textId="32E3D12B" w:rsidR="00CB6688" w:rsidRPr="00C418BA" w:rsidRDefault="006B79F7" w:rsidP="009746A3">
      <w:pPr>
        <w:jc w:val="center"/>
        <w:rPr>
          <w:b/>
          <w:bCs/>
          <w:u w:val="single"/>
        </w:rPr>
      </w:pPr>
      <w:r>
        <w:t xml:space="preserve"> </w:t>
      </w:r>
      <w:r>
        <w:rPr>
          <w:b/>
          <w:bCs/>
          <w:u w:val="single"/>
        </w:rPr>
        <w:t>Table No. 2 –</w:t>
      </w:r>
      <w:r w:rsidRPr="00C418BA">
        <w:rPr>
          <w:b/>
          <w:bCs/>
          <w:u w:val="single"/>
        </w:rPr>
        <w:t xml:space="preserve"> Number of Asylum Applications </w:t>
      </w:r>
      <w:r>
        <w:rPr>
          <w:b/>
          <w:bCs/>
          <w:u w:val="single"/>
        </w:rPr>
        <w:t>Filed</w:t>
      </w:r>
      <w:r w:rsidRPr="00C418BA">
        <w:rPr>
          <w:b/>
          <w:bCs/>
          <w:u w:val="single"/>
        </w:rPr>
        <w:t xml:space="preserve"> in Israel </w:t>
      </w:r>
      <w:r>
        <w:rPr>
          <w:b/>
          <w:bCs/>
          <w:u w:val="single"/>
        </w:rPr>
        <w:t>between</w:t>
      </w:r>
      <w:r w:rsidRPr="00C418BA">
        <w:rPr>
          <w:b/>
          <w:bCs/>
          <w:u w:val="single"/>
        </w:rPr>
        <w:t xml:space="preserve"> 2011 </w:t>
      </w:r>
      <w:r>
        <w:rPr>
          <w:b/>
          <w:bCs/>
          <w:u w:val="single"/>
        </w:rPr>
        <w:t>and</w:t>
      </w:r>
      <w:r w:rsidRPr="00C418BA">
        <w:rPr>
          <w:b/>
          <w:bCs/>
          <w:u w:val="single"/>
        </w:rPr>
        <w:t xml:space="preserve"> May 14, 2019</w:t>
      </w:r>
      <w:r>
        <w:rPr>
          <w:b/>
          <w:bCs/>
          <w:u w:val="single"/>
        </w:rPr>
        <w:t xml:space="preserve"> -</w:t>
      </w:r>
      <w:r w:rsidRPr="00C418BA">
        <w:rPr>
          <w:b/>
          <w:bCs/>
          <w:u w:val="single"/>
        </w:rPr>
        <w:t xml:space="preserve"> by Country</w:t>
      </w:r>
    </w:p>
    <w:tbl>
      <w:tblPr>
        <w:tblpPr w:leftFromText="180" w:rightFromText="180" w:bottomFromText="20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tblGrid>
      <w:tr w:rsidR="00960CEA" w14:paraId="02375F07" w14:textId="77777777" w:rsidTr="00A91F49">
        <w:trPr>
          <w:trHeight w:val="416"/>
          <w:tblHeader/>
        </w:trPr>
        <w:tc>
          <w:tcPr>
            <w:tcW w:w="33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D98014" w14:textId="688143E9"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State of Nationality</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1351D6" w14:textId="77777777"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Total</w:t>
            </w:r>
          </w:p>
        </w:tc>
      </w:tr>
      <w:tr w:rsidR="00960CEA" w14:paraId="38E866F4"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214552AE" w14:textId="77777777" w:rsidR="00CB6688" w:rsidRPr="00973082" w:rsidRDefault="006B79F7" w:rsidP="00A91F49">
            <w:pPr>
              <w:spacing w:before="0" w:after="0" w:line="240" w:lineRule="auto"/>
              <w:ind w:left="0" w:right="-106" w:firstLine="0"/>
              <w:rPr>
                <w:sz w:val="22"/>
                <w:szCs w:val="22"/>
              </w:rPr>
            </w:pPr>
            <w:r w:rsidRPr="00973082">
              <w:rPr>
                <w:sz w:val="22"/>
                <w:szCs w:val="22"/>
              </w:rPr>
              <w:t>Ukraine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B81AD75"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17,378</w:t>
            </w:r>
          </w:p>
        </w:tc>
      </w:tr>
      <w:tr w:rsidR="00960CEA" w14:paraId="585FE438"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46C26573" w14:textId="77777777" w:rsidR="00CB6688" w:rsidRPr="00973082" w:rsidRDefault="006B79F7" w:rsidP="00A91F49">
            <w:pPr>
              <w:spacing w:before="0" w:after="0" w:line="240" w:lineRule="auto"/>
              <w:ind w:left="0" w:right="-106" w:firstLine="0"/>
              <w:rPr>
                <w:sz w:val="22"/>
                <w:szCs w:val="22"/>
              </w:rPr>
            </w:pPr>
            <w:r w:rsidRPr="00973082">
              <w:rPr>
                <w:sz w:val="22"/>
                <w:szCs w:val="22"/>
              </w:rPr>
              <w:t>Eritrea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ABAB935"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16,132</w:t>
            </w:r>
          </w:p>
        </w:tc>
      </w:tr>
      <w:tr w:rsidR="00960CEA" w14:paraId="790370B6"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71C31A7F" w14:textId="77777777" w:rsidR="00CB6688" w:rsidRPr="00973082" w:rsidRDefault="006B79F7" w:rsidP="00A91F49">
            <w:pPr>
              <w:spacing w:before="0" w:after="0" w:line="240" w:lineRule="auto"/>
              <w:ind w:left="0" w:right="-106" w:firstLine="0"/>
              <w:rPr>
                <w:sz w:val="22"/>
                <w:szCs w:val="22"/>
              </w:rPr>
            </w:pPr>
            <w:r w:rsidRPr="00973082">
              <w:rPr>
                <w:sz w:val="22"/>
                <w:szCs w:val="22"/>
              </w:rPr>
              <w:t>Georgia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DC7864"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6,209</w:t>
            </w:r>
          </w:p>
        </w:tc>
      </w:tr>
      <w:tr w:rsidR="00960CEA" w14:paraId="22E3A156"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1407F4E6" w14:textId="77777777" w:rsidR="00CB6688" w:rsidRPr="00973082" w:rsidRDefault="006B79F7" w:rsidP="00A91F49">
            <w:pPr>
              <w:spacing w:before="0" w:after="0" w:line="240" w:lineRule="auto"/>
              <w:ind w:left="0" w:right="-106" w:firstLine="0"/>
              <w:rPr>
                <w:sz w:val="22"/>
                <w:szCs w:val="22"/>
              </w:rPr>
            </w:pPr>
            <w:r w:rsidRPr="00973082">
              <w:rPr>
                <w:sz w:val="22"/>
                <w:szCs w:val="22"/>
              </w:rPr>
              <w:t>Sudan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4ADBEC"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6,734</w:t>
            </w:r>
          </w:p>
        </w:tc>
      </w:tr>
      <w:tr w:rsidR="00960CEA" w14:paraId="1FC43FB3"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11B1275A" w14:textId="77777777" w:rsidR="00CB6688" w:rsidRPr="00973082" w:rsidRDefault="006B79F7" w:rsidP="00A91F49">
            <w:pPr>
              <w:spacing w:before="0" w:after="0" w:line="240" w:lineRule="auto"/>
              <w:ind w:left="0" w:right="-106" w:firstLine="0"/>
              <w:rPr>
                <w:sz w:val="22"/>
                <w:szCs w:val="22"/>
              </w:rPr>
            </w:pPr>
            <w:r w:rsidRPr="00973082">
              <w:rPr>
                <w:sz w:val="22"/>
                <w:szCs w:val="22"/>
              </w:rPr>
              <w:t>Russia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43F69A2"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5,047</w:t>
            </w:r>
          </w:p>
        </w:tc>
      </w:tr>
      <w:tr w:rsidR="00960CEA" w14:paraId="007ECFD7"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46CC7352" w14:textId="77777777" w:rsidR="00CB6688" w:rsidRPr="00973082" w:rsidRDefault="006B79F7" w:rsidP="00A91F49">
            <w:pPr>
              <w:spacing w:before="0" w:after="0" w:line="240" w:lineRule="auto"/>
              <w:ind w:left="0" w:right="-106" w:firstLine="0"/>
              <w:rPr>
                <w:sz w:val="22"/>
                <w:szCs w:val="22"/>
              </w:rPr>
            </w:pPr>
            <w:r w:rsidRPr="00973082">
              <w:rPr>
                <w:sz w:val="22"/>
                <w:szCs w:val="22"/>
              </w:rPr>
              <w:t>Nigeria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70DA98"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1,454</w:t>
            </w:r>
          </w:p>
        </w:tc>
      </w:tr>
      <w:tr w:rsidR="00960CEA" w14:paraId="0916A5AE"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1BF81DAF" w14:textId="77777777" w:rsidR="00CB6688" w:rsidRPr="00973082" w:rsidRDefault="006B79F7" w:rsidP="00A91F49">
            <w:pPr>
              <w:spacing w:before="0" w:after="0" w:line="240" w:lineRule="auto"/>
              <w:ind w:left="0" w:right="-106" w:firstLine="0"/>
              <w:rPr>
                <w:sz w:val="22"/>
                <w:szCs w:val="22"/>
              </w:rPr>
            </w:pPr>
            <w:r w:rsidRPr="00973082">
              <w:rPr>
                <w:sz w:val="22"/>
                <w:szCs w:val="22"/>
              </w:rPr>
              <w:t>Ethiopia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8978D5B"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1,249</w:t>
            </w:r>
          </w:p>
        </w:tc>
      </w:tr>
      <w:tr w:rsidR="00960CEA" w14:paraId="6C42A53A"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44DEB63A" w14:textId="77777777" w:rsidR="00CB6688" w:rsidRPr="00973082" w:rsidRDefault="006B79F7" w:rsidP="00A91F49">
            <w:pPr>
              <w:spacing w:before="0" w:after="0" w:line="240" w:lineRule="auto"/>
              <w:ind w:left="0" w:right="-106" w:firstLine="0"/>
              <w:rPr>
                <w:sz w:val="22"/>
                <w:szCs w:val="22"/>
              </w:rPr>
            </w:pPr>
            <w:r w:rsidRPr="00973082">
              <w:rPr>
                <w:sz w:val="22"/>
                <w:szCs w:val="22"/>
              </w:rPr>
              <w:t>India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019F22"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1,439</w:t>
            </w:r>
          </w:p>
        </w:tc>
      </w:tr>
      <w:tr w:rsidR="00960CEA" w14:paraId="75F0323C"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53C9A605" w14:textId="77777777" w:rsidR="00CB6688" w:rsidRPr="00973082" w:rsidRDefault="006B79F7" w:rsidP="00A91F49">
            <w:pPr>
              <w:spacing w:before="0" w:after="0" w:line="240" w:lineRule="auto"/>
              <w:ind w:left="0" w:right="-106" w:firstLine="0"/>
              <w:rPr>
                <w:sz w:val="22"/>
                <w:szCs w:val="22"/>
              </w:rPr>
            </w:pPr>
            <w:r w:rsidRPr="00973082">
              <w:rPr>
                <w:sz w:val="22"/>
                <w:szCs w:val="22"/>
              </w:rPr>
              <w:t>Philippines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F2E2B5"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61</w:t>
            </w:r>
          </w:p>
        </w:tc>
      </w:tr>
      <w:tr w:rsidR="00960CEA" w14:paraId="3E63605F"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1AC42B00" w14:textId="77777777" w:rsidR="00CB6688" w:rsidRPr="00973082" w:rsidRDefault="006B79F7" w:rsidP="00A91F49">
            <w:pPr>
              <w:spacing w:before="0" w:after="0" w:line="240" w:lineRule="auto"/>
              <w:ind w:left="0" w:right="-106" w:firstLine="0"/>
              <w:rPr>
                <w:sz w:val="22"/>
                <w:szCs w:val="22"/>
              </w:rPr>
            </w:pPr>
            <w:r w:rsidRPr="00973082">
              <w:rPr>
                <w:sz w:val="22"/>
                <w:szCs w:val="22"/>
              </w:rPr>
              <w:t>Moldova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B25492"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1,235</w:t>
            </w:r>
          </w:p>
        </w:tc>
      </w:tr>
      <w:tr w:rsidR="00960CEA" w14:paraId="157D1C6A"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0574F5C1" w14:textId="77777777" w:rsidR="00CB6688" w:rsidRPr="00973082" w:rsidRDefault="006B79F7" w:rsidP="00A91F49">
            <w:pPr>
              <w:spacing w:before="0" w:after="0" w:line="240" w:lineRule="auto"/>
              <w:ind w:left="0" w:right="-106" w:firstLine="0"/>
              <w:rPr>
                <w:sz w:val="22"/>
                <w:szCs w:val="22"/>
              </w:rPr>
            </w:pPr>
            <w:r w:rsidRPr="00973082">
              <w:rPr>
                <w:sz w:val="22"/>
                <w:szCs w:val="22"/>
              </w:rPr>
              <w:t>Sri Lanka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304AD66"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1,487</w:t>
            </w:r>
          </w:p>
        </w:tc>
      </w:tr>
      <w:tr w:rsidR="00960CEA" w14:paraId="45CE70F7"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7BB7D9CF" w14:textId="77777777" w:rsidR="00CB6688" w:rsidRPr="00973082" w:rsidRDefault="006B79F7" w:rsidP="00A91F49">
            <w:pPr>
              <w:spacing w:before="0" w:after="0" w:line="240" w:lineRule="auto"/>
              <w:ind w:left="0" w:right="-106" w:firstLine="0"/>
              <w:rPr>
                <w:sz w:val="22"/>
                <w:szCs w:val="22"/>
              </w:rPr>
            </w:pPr>
            <w:r w:rsidRPr="00973082">
              <w:rPr>
                <w:sz w:val="22"/>
                <w:szCs w:val="22"/>
              </w:rPr>
              <w:t>Ghana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2BC918"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730</w:t>
            </w:r>
          </w:p>
        </w:tc>
      </w:tr>
      <w:tr w:rsidR="00960CEA" w14:paraId="1D3EB78D"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1BD08601" w14:textId="77777777" w:rsidR="00CB6688" w:rsidRPr="00973082" w:rsidRDefault="006B79F7" w:rsidP="00A91F49">
            <w:pPr>
              <w:spacing w:before="0" w:after="0" w:line="240" w:lineRule="auto"/>
              <w:ind w:left="0" w:right="-106" w:firstLine="0"/>
              <w:rPr>
                <w:sz w:val="22"/>
                <w:szCs w:val="22"/>
              </w:rPr>
            </w:pPr>
            <w:r w:rsidRPr="00973082">
              <w:rPr>
                <w:sz w:val="22"/>
                <w:szCs w:val="22"/>
              </w:rPr>
              <w:t>Ivory Coast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9B198C6"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261</w:t>
            </w:r>
          </w:p>
        </w:tc>
      </w:tr>
      <w:tr w:rsidR="00960CEA" w14:paraId="0049D79F"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0A146AFA" w14:textId="77777777" w:rsidR="00CB6688" w:rsidRPr="00973082" w:rsidRDefault="006B79F7" w:rsidP="00A91F49">
            <w:pPr>
              <w:spacing w:before="0" w:after="0" w:line="240" w:lineRule="auto"/>
              <w:ind w:left="0" w:right="-106" w:firstLine="0"/>
              <w:rPr>
                <w:sz w:val="22"/>
                <w:szCs w:val="22"/>
              </w:rPr>
            </w:pPr>
            <w:r w:rsidRPr="00973082">
              <w:rPr>
                <w:sz w:val="22"/>
                <w:szCs w:val="22"/>
              </w:rPr>
              <w:t>Belarus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C58A8A0"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726</w:t>
            </w:r>
          </w:p>
        </w:tc>
      </w:tr>
      <w:tr w:rsidR="00960CEA" w14:paraId="2CC2620D"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2BE1ABE8" w14:textId="77777777" w:rsidR="00CB6688" w:rsidRPr="00973082" w:rsidRDefault="006B79F7" w:rsidP="00A91F49">
            <w:pPr>
              <w:spacing w:before="0" w:after="0" w:line="240" w:lineRule="auto"/>
              <w:ind w:left="0" w:right="-106" w:firstLine="0"/>
              <w:rPr>
                <w:sz w:val="22"/>
                <w:szCs w:val="22"/>
              </w:rPr>
            </w:pPr>
            <w:r w:rsidRPr="00973082">
              <w:rPr>
                <w:sz w:val="22"/>
                <w:szCs w:val="22"/>
              </w:rPr>
              <w:t>China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8C9F27"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234</w:t>
            </w:r>
          </w:p>
        </w:tc>
      </w:tr>
      <w:tr w:rsidR="00960CEA" w14:paraId="679DD156"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3838601E" w14:textId="77777777" w:rsidR="00CB6688" w:rsidRPr="00973082" w:rsidRDefault="006B79F7" w:rsidP="00A91F49">
            <w:pPr>
              <w:spacing w:before="0" w:after="0" w:line="240" w:lineRule="auto"/>
              <w:ind w:left="0" w:right="-106" w:firstLine="0"/>
              <w:rPr>
                <w:sz w:val="22"/>
                <w:szCs w:val="22"/>
              </w:rPr>
            </w:pPr>
            <w:r w:rsidRPr="00973082">
              <w:rPr>
                <w:sz w:val="22"/>
                <w:szCs w:val="22"/>
              </w:rPr>
              <w:t>Uzbekistan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5CC3F1B"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621</w:t>
            </w:r>
          </w:p>
        </w:tc>
      </w:tr>
      <w:tr w:rsidR="00960CEA" w14:paraId="486A2E5D"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2C74CAFA" w14:textId="77777777" w:rsidR="00CB6688" w:rsidRPr="00973082" w:rsidRDefault="006B79F7" w:rsidP="00A91F49">
            <w:pPr>
              <w:spacing w:before="0" w:after="0" w:line="240" w:lineRule="auto"/>
              <w:ind w:left="0" w:right="-106" w:firstLine="0"/>
              <w:rPr>
                <w:sz w:val="22"/>
                <w:szCs w:val="22"/>
              </w:rPr>
            </w:pPr>
            <w:r w:rsidRPr="00973082">
              <w:rPr>
                <w:sz w:val="22"/>
                <w:szCs w:val="22"/>
              </w:rPr>
              <w:t>South Africa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9BA088"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520</w:t>
            </w:r>
          </w:p>
        </w:tc>
      </w:tr>
      <w:tr w:rsidR="00960CEA" w14:paraId="48E79260"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2C817F07" w14:textId="77777777" w:rsidR="00CB6688" w:rsidRPr="00973082" w:rsidRDefault="006B79F7" w:rsidP="00A91F49">
            <w:pPr>
              <w:spacing w:before="0" w:after="0" w:line="240" w:lineRule="auto"/>
              <w:ind w:left="0" w:right="-106" w:firstLine="0"/>
              <w:rPr>
                <w:sz w:val="22"/>
                <w:szCs w:val="22"/>
              </w:rPr>
            </w:pPr>
            <w:r w:rsidRPr="00973082">
              <w:rPr>
                <w:sz w:val="22"/>
                <w:szCs w:val="22"/>
              </w:rPr>
              <w:t>Turkey</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EF2EFD4"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350</w:t>
            </w:r>
          </w:p>
        </w:tc>
      </w:tr>
      <w:tr w:rsidR="00960CEA" w14:paraId="34CCEEC5"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76E7382D" w14:textId="77777777" w:rsidR="00CB6688" w:rsidRPr="00973082" w:rsidRDefault="006B79F7" w:rsidP="00A91F49">
            <w:pPr>
              <w:spacing w:before="0" w:after="0" w:line="240" w:lineRule="auto"/>
              <w:ind w:left="0" w:right="-106" w:firstLine="0"/>
              <w:rPr>
                <w:sz w:val="22"/>
                <w:szCs w:val="22"/>
              </w:rPr>
            </w:pPr>
            <w:r w:rsidRPr="00973082">
              <w:rPr>
                <w:sz w:val="22"/>
                <w:szCs w:val="22"/>
              </w:rPr>
              <w:t>Nepal</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F63053E"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198</w:t>
            </w:r>
          </w:p>
        </w:tc>
      </w:tr>
      <w:tr w:rsidR="00960CEA" w14:paraId="734A1C92"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34F0CDD7" w14:textId="77777777" w:rsidR="00CB6688" w:rsidRPr="00973082" w:rsidRDefault="006B79F7" w:rsidP="00A91F49">
            <w:pPr>
              <w:spacing w:before="0" w:after="0" w:line="240" w:lineRule="auto"/>
              <w:ind w:left="0" w:right="-106" w:firstLine="0"/>
              <w:rPr>
                <w:sz w:val="22"/>
                <w:szCs w:val="22"/>
              </w:rPr>
            </w:pPr>
            <w:r w:rsidRPr="00973082">
              <w:rPr>
                <w:sz w:val="22"/>
                <w:szCs w:val="22"/>
              </w:rPr>
              <w:t>Thailand</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5157585"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39</w:t>
            </w:r>
          </w:p>
        </w:tc>
      </w:tr>
      <w:tr w:rsidR="00960CEA" w14:paraId="216460AF"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7D370226" w14:textId="77777777" w:rsidR="00CB6688" w:rsidRPr="00973082" w:rsidRDefault="006B79F7" w:rsidP="00A91F49">
            <w:pPr>
              <w:spacing w:before="0" w:after="0" w:line="240" w:lineRule="auto"/>
              <w:ind w:left="0" w:right="-106" w:firstLine="0"/>
              <w:rPr>
                <w:sz w:val="22"/>
                <w:szCs w:val="22"/>
              </w:rPr>
            </w:pPr>
            <w:r w:rsidRPr="00973082">
              <w:rPr>
                <w:sz w:val="22"/>
                <w:szCs w:val="22"/>
              </w:rPr>
              <w:t>Colombia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5A6869"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217</w:t>
            </w:r>
          </w:p>
        </w:tc>
      </w:tr>
      <w:tr w:rsidR="00960CEA" w14:paraId="23FF38D3"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22DDD991" w14:textId="77777777" w:rsidR="00CB6688" w:rsidRPr="00973082" w:rsidRDefault="006B79F7" w:rsidP="00A91F49">
            <w:pPr>
              <w:spacing w:before="0" w:after="0" w:line="240" w:lineRule="auto"/>
              <w:ind w:left="0" w:right="-106" w:firstLine="0"/>
              <w:rPr>
                <w:sz w:val="22"/>
                <w:szCs w:val="22"/>
              </w:rPr>
            </w:pPr>
            <w:r w:rsidRPr="00973082">
              <w:rPr>
                <w:sz w:val="22"/>
                <w:szCs w:val="22"/>
              </w:rPr>
              <w:t>Congo Rep. Demo.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F047CC"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162</w:t>
            </w:r>
          </w:p>
        </w:tc>
      </w:tr>
      <w:tr w:rsidR="00960CEA" w14:paraId="6DD3FB6A"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1133B6B8" w14:textId="77777777" w:rsidR="00CB6688" w:rsidRPr="00973082" w:rsidRDefault="006B79F7" w:rsidP="00A91F49">
            <w:pPr>
              <w:spacing w:before="0" w:after="0" w:line="240" w:lineRule="auto"/>
              <w:ind w:left="0" w:right="-106" w:firstLine="0"/>
              <w:rPr>
                <w:sz w:val="22"/>
                <w:szCs w:val="22"/>
              </w:rPr>
            </w:pPr>
            <w:r w:rsidRPr="00973082">
              <w:rPr>
                <w:sz w:val="22"/>
                <w:szCs w:val="22"/>
              </w:rPr>
              <w:t>South Sudan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F56FF0"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238</w:t>
            </w:r>
          </w:p>
        </w:tc>
      </w:tr>
      <w:tr w:rsidR="00960CEA" w14:paraId="41AA99EA"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7860F84E" w14:textId="77777777" w:rsidR="00CB6688" w:rsidRPr="00973082" w:rsidRDefault="006B79F7" w:rsidP="00A91F49">
            <w:pPr>
              <w:spacing w:before="0" w:after="0" w:line="240" w:lineRule="auto"/>
              <w:ind w:left="0" w:right="-106" w:firstLine="0"/>
              <w:rPr>
                <w:sz w:val="22"/>
                <w:szCs w:val="22"/>
              </w:rPr>
            </w:pPr>
            <w:r w:rsidRPr="00973082">
              <w:rPr>
                <w:sz w:val="22"/>
                <w:szCs w:val="22"/>
              </w:rPr>
              <w:t>Kazakhstan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B22D0A2"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230</w:t>
            </w:r>
          </w:p>
        </w:tc>
      </w:tr>
      <w:tr w:rsidR="00960CEA" w14:paraId="7BD0B96A"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48DF6F4A" w14:textId="77777777" w:rsidR="00CB6688" w:rsidRPr="00973082" w:rsidRDefault="006B79F7" w:rsidP="00A91F49">
            <w:pPr>
              <w:spacing w:before="0" w:after="0" w:line="240" w:lineRule="auto"/>
              <w:ind w:left="0" w:right="-106" w:firstLine="0"/>
              <w:rPr>
                <w:sz w:val="22"/>
                <w:szCs w:val="22"/>
              </w:rPr>
            </w:pPr>
            <w:r w:rsidRPr="00973082">
              <w:rPr>
                <w:sz w:val="22"/>
                <w:szCs w:val="22"/>
              </w:rPr>
              <w:t>Guinea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EBD3616"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96</w:t>
            </w:r>
          </w:p>
        </w:tc>
      </w:tr>
      <w:tr w:rsidR="00960CEA" w14:paraId="7461CA72"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11660608" w14:textId="77777777" w:rsidR="00CB6688" w:rsidRPr="00973082" w:rsidRDefault="006B79F7" w:rsidP="00A91F49">
            <w:pPr>
              <w:spacing w:before="0" w:after="0" w:line="240" w:lineRule="auto"/>
              <w:ind w:left="0" w:right="-106" w:firstLine="0"/>
              <w:rPr>
                <w:sz w:val="22"/>
                <w:szCs w:val="22"/>
              </w:rPr>
            </w:pPr>
            <w:r w:rsidRPr="00973082">
              <w:rPr>
                <w:sz w:val="22"/>
                <w:szCs w:val="22"/>
              </w:rPr>
              <w:t>Other countries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021163"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1,495</w:t>
            </w:r>
          </w:p>
        </w:tc>
      </w:tr>
      <w:tr w:rsidR="00960CEA" w14:paraId="0E5B99D2" w14:textId="77777777" w:rsidTr="00A91F49">
        <w:tc>
          <w:tcPr>
            <w:tcW w:w="3369" w:type="dxa"/>
            <w:tcBorders>
              <w:top w:val="single" w:sz="4" w:space="0" w:color="auto"/>
              <w:left w:val="single" w:sz="4" w:space="0" w:color="auto"/>
              <w:bottom w:val="single" w:sz="4" w:space="0" w:color="auto"/>
              <w:right w:val="single" w:sz="4" w:space="0" w:color="auto"/>
            </w:tcBorders>
            <w:vAlign w:val="center"/>
            <w:hideMark/>
          </w:tcPr>
          <w:p w14:paraId="66A05C31" w14:textId="77777777" w:rsidR="00CB6688" w:rsidRPr="00973082" w:rsidRDefault="006B79F7" w:rsidP="00A91F49">
            <w:pPr>
              <w:spacing w:before="0" w:after="0" w:line="240" w:lineRule="auto"/>
              <w:ind w:left="0" w:right="-106" w:firstLine="0"/>
              <w:rPr>
                <w:sz w:val="22"/>
                <w:szCs w:val="22"/>
              </w:rPr>
            </w:pPr>
            <w:r w:rsidRPr="00973082">
              <w:rPr>
                <w:sz w:val="22"/>
                <w:szCs w:val="22"/>
              </w:rPr>
              <w:lastRenderedPageBreak/>
              <w:t>Total applications submitted</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0FDA97B" w14:textId="77777777" w:rsidR="00CB6688" w:rsidRPr="00973082" w:rsidRDefault="006B79F7" w:rsidP="00A91F49">
            <w:pPr>
              <w:spacing w:before="0" w:after="0" w:line="240" w:lineRule="auto"/>
              <w:ind w:left="-105" w:right="-106" w:firstLine="0"/>
              <w:jc w:val="center"/>
              <w:rPr>
                <w:sz w:val="22"/>
                <w:szCs w:val="22"/>
              </w:rPr>
            </w:pPr>
            <w:r w:rsidRPr="000548C8">
              <w:rPr>
                <w:sz w:val="22"/>
                <w:szCs w:val="22"/>
              </w:rPr>
              <w:t>64,542</w:t>
            </w:r>
          </w:p>
        </w:tc>
      </w:tr>
    </w:tbl>
    <w:p w14:paraId="6B28C15D" w14:textId="77777777" w:rsidR="00CB6688" w:rsidRPr="00FD3B10" w:rsidRDefault="006B79F7" w:rsidP="00CB6688">
      <w:pPr>
        <w:spacing w:before="120" w:line="240" w:lineRule="auto"/>
        <w:rPr>
          <w:i/>
          <w:iCs/>
          <w:sz w:val="22"/>
          <w:szCs w:val="22"/>
          <w:rtl/>
        </w:rPr>
      </w:pPr>
      <w:r w:rsidRPr="00001040">
        <w:rPr>
          <w:rFonts w:eastAsia="Times New Roman"/>
        </w:rPr>
        <w:br w:type="textWrapping" w:clear="all"/>
      </w:r>
      <w:r w:rsidRPr="00FD3B10">
        <w:rPr>
          <w:i/>
          <w:iCs/>
          <w:sz w:val="22"/>
          <w:szCs w:val="22"/>
        </w:rPr>
        <w:t xml:space="preserve">Source: </w:t>
      </w:r>
      <w:r w:rsidRPr="00BB339C">
        <w:rPr>
          <w:i/>
          <w:iCs/>
          <w:sz w:val="22"/>
          <w:szCs w:val="22"/>
        </w:rPr>
        <w:t>Population and Immigration Authority (PIA)</w:t>
      </w:r>
      <w:r w:rsidRPr="00FD3B10">
        <w:rPr>
          <w:i/>
          <w:iCs/>
          <w:sz w:val="22"/>
          <w:szCs w:val="22"/>
        </w:rPr>
        <w:t>, 2019.</w:t>
      </w:r>
    </w:p>
    <w:p w14:paraId="158EEFD8" w14:textId="175C0B98" w:rsidR="00CB6688" w:rsidRPr="00C418BA" w:rsidRDefault="006B79F7" w:rsidP="009746A3">
      <w:pPr>
        <w:jc w:val="center"/>
        <w:rPr>
          <w:b/>
          <w:bCs/>
          <w:u w:val="single"/>
        </w:rPr>
      </w:pPr>
      <w:r w:rsidRPr="00936669">
        <w:rPr>
          <w:b/>
          <w:bCs/>
          <w:u w:val="single"/>
        </w:rPr>
        <w:t xml:space="preserve">Table No. </w:t>
      </w:r>
      <w:r>
        <w:rPr>
          <w:b/>
          <w:bCs/>
          <w:u w:val="single"/>
        </w:rPr>
        <w:t>3</w:t>
      </w:r>
      <w:r w:rsidRPr="00936669">
        <w:rPr>
          <w:b/>
          <w:bCs/>
          <w:u w:val="single"/>
        </w:rPr>
        <w:t xml:space="preserve"> – </w:t>
      </w:r>
      <w:r>
        <w:rPr>
          <w:b/>
          <w:bCs/>
          <w:u w:val="single"/>
        </w:rPr>
        <w:t>Countries to which Israel Extradited Detainees throughout the Reporting Period and the Countries of Nationality of the Detainees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51"/>
      </w:tblGrid>
      <w:tr w:rsidR="00960CEA" w14:paraId="6E3C1972" w14:textId="77777777" w:rsidTr="00A91F49">
        <w:trPr>
          <w:trHeight w:val="330"/>
          <w:tblHeader/>
          <w:jc w:val="center"/>
        </w:trPr>
        <w:tc>
          <w:tcPr>
            <w:tcW w:w="2689" w:type="dxa"/>
            <w:shd w:val="clear" w:color="auto" w:fill="D9D9D9"/>
            <w:vAlign w:val="center"/>
            <w:hideMark/>
          </w:tcPr>
          <w:p w14:paraId="2793EA0B" w14:textId="0A654040"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Requesting Countries</w:t>
            </w:r>
          </w:p>
        </w:tc>
        <w:tc>
          <w:tcPr>
            <w:tcW w:w="2851" w:type="dxa"/>
            <w:shd w:val="clear" w:color="auto" w:fill="D9D9D9"/>
            <w:vAlign w:val="center"/>
          </w:tcPr>
          <w:p w14:paraId="708660CA" w14:textId="77777777" w:rsidR="00CB6688" w:rsidRPr="00973082" w:rsidRDefault="006B79F7" w:rsidP="00A91F49">
            <w:pPr>
              <w:spacing w:before="0" w:after="0" w:line="240" w:lineRule="auto"/>
              <w:ind w:left="-105" w:right="-106" w:firstLine="3"/>
              <w:jc w:val="center"/>
              <w:rPr>
                <w:b/>
                <w:bCs/>
                <w:sz w:val="22"/>
                <w:szCs w:val="22"/>
              </w:rPr>
            </w:pPr>
            <w:r w:rsidRPr="00973082">
              <w:rPr>
                <w:b/>
                <w:bCs/>
                <w:sz w:val="22"/>
                <w:szCs w:val="22"/>
              </w:rPr>
              <w:t>Citizenship</w:t>
            </w:r>
          </w:p>
        </w:tc>
      </w:tr>
      <w:tr w:rsidR="00960CEA" w14:paraId="5557B071" w14:textId="77777777" w:rsidTr="00A91F49">
        <w:trPr>
          <w:jc w:val="center"/>
        </w:trPr>
        <w:tc>
          <w:tcPr>
            <w:tcW w:w="2689" w:type="dxa"/>
            <w:hideMark/>
          </w:tcPr>
          <w:p w14:paraId="12A91231" w14:textId="77777777" w:rsidR="00CB6688" w:rsidRPr="00973082" w:rsidRDefault="006B79F7" w:rsidP="00A91F49">
            <w:pPr>
              <w:spacing w:before="0" w:after="0" w:line="240" w:lineRule="auto"/>
              <w:ind w:left="0" w:right="-106" w:firstLine="0"/>
              <w:rPr>
                <w:sz w:val="22"/>
                <w:szCs w:val="22"/>
              </w:rPr>
            </w:pPr>
            <w:r w:rsidRPr="00973082">
              <w:rPr>
                <w:sz w:val="22"/>
                <w:szCs w:val="22"/>
              </w:rPr>
              <w:t>United States</w:t>
            </w:r>
          </w:p>
        </w:tc>
        <w:tc>
          <w:tcPr>
            <w:tcW w:w="2851" w:type="dxa"/>
          </w:tcPr>
          <w:p w14:paraId="7B2BAB4D" w14:textId="77777777" w:rsidR="00CB6688" w:rsidRPr="00973082" w:rsidRDefault="006B79F7" w:rsidP="00A91F49">
            <w:pPr>
              <w:spacing w:before="0" w:after="0" w:line="240" w:lineRule="auto"/>
              <w:ind w:left="0" w:right="-106" w:firstLine="0"/>
              <w:rPr>
                <w:sz w:val="22"/>
                <w:szCs w:val="22"/>
              </w:rPr>
            </w:pPr>
            <w:r w:rsidRPr="00973082">
              <w:rPr>
                <w:sz w:val="22"/>
                <w:szCs w:val="22"/>
              </w:rPr>
              <w:t>United States</w:t>
            </w:r>
          </w:p>
        </w:tc>
      </w:tr>
      <w:tr w:rsidR="00960CEA" w14:paraId="49101526" w14:textId="77777777" w:rsidTr="00A91F49">
        <w:trPr>
          <w:jc w:val="center"/>
        </w:trPr>
        <w:tc>
          <w:tcPr>
            <w:tcW w:w="2689" w:type="dxa"/>
            <w:hideMark/>
          </w:tcPr>
          <w:p w14:paraId="2018C87A" w14:textId="77777777" w:rsidR="00CB6688" w:rsidRPr="00973082" w:rsidRDefault="006B79F7" w:rsidP="00A91F49">
            <w:pPr>
              <w:spacing w:before="0" w:after="0" w:line="240" w:lineRule="auto"/>
              <w:ind w:left="0" w:right="-106" w:firstLine="0"/>
              <w:rPr>
                <w:sz w:val="22"/>
                <w:szCs w:val="22"/>
                <w:rtl/>
              </w:rPr>
            </w:pPr>
            <w:r w:rsidRPr="00973082">
              <w:rPr>
                <w:sz w:val="22"/>
                <w:szCs w:val="22"/>
              </w:rPr>
              <w:t>Spain</w:t>
            </w:r>
          </w:p>
        </w:tc>
        <w:tc>
          <w:tcPr>
            <w:tcW w:w="2851" w:type="dxa"/>
          </w:tcPr>
          <w:p w14:paraId="71CFB999" w14:textId="77777777" w:rsidR="00CB6688" w:rsidRPr="00973082" w:rsidRDefault="006B79F7" w:rsidP="00A91F49">
            <w:pPr>
              <w:spacing w:before="0" w:after="0" w:line="240" w:lineRule="auto"/>
              <w:ind w:left="0" w:right="-106" w:firstLine="0"/>
              <w:rPr>
                <w:sz w:val="22"/>
                <w:szCs w:val="22"/>
              </w:rPr>
            </w:pPr>
            <w:r w:rsidRPr="00973082">
              <w:rPr>
                <w:sz w:val="22"/>
                <w:szCs w:val="22"/>
              </w:rPr>
              <w:t>Netherlands</w:t>
            </w:r>
          </w:p>
        </w:tc>
      </w:tr>
      <w:tr w:rsidR="00960CEA" w14:paraId="0C5B5684" w14:textId="77777777" w:rsidTr="00A91F49">
        <w:trPr>
          <w:jc w:val="center"/>
        </w:trPr>
        <w:tc>
          <w:tcPr>
            <w:tcW w:w="2689" w:type="dxa"/>
            <w:hideMark/>
          </w:tcPr>
          <w:p w14:paraId="0908224F" w14:textId="77777777" w:rsidR="00CB6688" w:rsidRPr="00973082" w:rsidRDefault="006B79F7" w:rsidP="00A91F49">
            <w:pPr>
              <w:spacing w:before="0" w:after="0" w:line="240" w:lineRule="auto"/>
              <w:ind w:left="0" w:right="-106" w:firstLine="0"/>
              <w:rPr>
                <w:sz w:val="22"/>
                <w:szCs w:val="22"/>
              </w:rPr>
            </w:pPr>
            <w:r w:rsidRPr="00973082">
              <w:rPr>
                <w:sz w:val="22"/>
                <w:szCs w:val="22"/>
              </w:rPr>
              <w:t>Netherlands</w:t>
            </w:r>
          </w:p>
        </w:tc>
        <w:tc>
          <w:tcPr>
            <w:tcW w:w="2851" w:type="dxa"/>
          </w:tcPr>
          <w:p w14:paraId="1818D977" w14:textId="77777777" w:rsidR="00CB6688" w:rsidRPr="00973082" w:rsidRDefault="006B79F7" w:rsidP="00A91F49">
            <w:pPr>
              <w:spacing w:before="0" w:after="0" w:line="240" w:lineRule="auto"/>
              <w:ind w:left="0" w:right="-106" w:firstLine="0"/>
              <w:rPr>
                <w:sz w:val="22"/>
                <w:szCs w:val="22"/>
              </w:rPr>
            </w:pPr>
            <w:r w:rsidRPr="00973082">
              <w:rPr>
                <w:sz w:val="22"/>
                <w:szCs w:val="22"/>
              </w:rPr>
              <w:t>Russia</w:t>
            </w:r>
          </w:p>
        </w:tc>
      </w:tr>
      <w:tr w:rsidR="00960CEA" w14:paraId="70BC64AB" w14:textId="77777777" w:rsidTr="00A91F49">
        <w:trPr>
          <w:jc w:val="center"/>
        </w:trPr>
        <w:tc>
          <w:tcPr>
            <w:tcW w:w="2689" w:type="dxa"/>
            <w:hideMark/>
          </w:tcPr>
          <w:p w14:paraId="2712C6D8" w14:textId="77777777" w:rsidR="00CB6688" w:rsidRPr="00973082" w:rsidRDefault="006B79F7" w:rsidP="00A91F49">
            <w:pPr>
              <w:spacing w:before="0" w:after="0" w:line="240" w:lineRule="auto"/>
              <w:ind w:left="0" w:right="-106" w:firstLine="0"/>
              <w:rPr>
                <w:sz w:val="22"/>
                <w:szCs w:val="22"/>
              </w:rPr>
            </w:pPr>
            <w:r w:rsidRPr="00973082">
              <w:rPr>
                <w:sz w:val="22"/>
                <w:szCs w:val="22"/>
              </w:rPr>
              <w:t>Belgium</w:t>
            </w:r>
          </w:p>
        </w:tc>
        <w:tc>
          <w:tcPr>
            <w:tcW w:w="2851" w:type="dxa"/>
          </w:tcPr>
          <w:p w14:paraId="16630B7C" w14:textId="77777777" w:rsidR="00CB6688" w:rsidRPr="00973082" w:rsidRDefault="006B79F7" w:rsidP="00A91F49">
            <w:pPr>
              <w:spacing w:before="0" w:after="0" w:line="240" w:lineRule="auto"/>
              <w:ind w:left="0" w:right="-106" w:firstLine="0"/>
              <w:rPr>
                <w:sz w:val="22"/>
                <w:szCs w:val="22"/>
              </w:rPr>
            </w:pPr>
            <w:r w:rsidRPr="00973082">
              <w:rPr>
                <w:sz w:val="22"/>
                <w:szCs w:val="22"/>
              </w:rPr>
              <w:t>Ukraine</w:t>
            </w:r>
          </w:p>
        </w:tc>
      </w:tr>
      <w:tr w:rsidR="00960CEA" w14:paraId="60260FF6" w14:textId="77777777" w:rsidTr="00A91F49">
        <w:trPr>
          <w:jc w:val="center"/>
        </w:trPr>
        <w:tc>
          <w:tcPr>
            <w:tcW w:w="2689" w:type="dxa"/>
            <w:hideMark/>
          </w:tcPr>
          <w:p w14:paraId="066EDF0C" w14:textId="77777777" w:rsidR="00CB6688" w:rsidRPr="00973082" w:rsidRDefault="006B79F7" w:rsidP="00A91F49">
            <w:pPr>
              <w:spacing w:before="0" w:after="0" w:line="240" w:lineRule="auto"/>
              <w:ind w:left="0" w:right="-106" w:firstLine="0"/>
              <w:rPr>
                <w:sz w:val="22"/>
                <w:szCs w:val="22"/>
              </w:rPr>
            </w:pPr>
            <w:r w:rsidRPr="00973082">
              <w:rPr>
                <w:sz w:val="22"/>
                <w:szCs w:val="22"/>
              </w:rPr>
              <w:t>Russia</w:t>
            </w:r>
          </w:p>
        </w:tc>
        <w:tc>
          <w:tcPr>
            <w:tcW w:w="2851" w:type="dxa"/>
          </w:tcPr>
          <w:p w14:paraId="666F8AA0" w14:textId="77777777" w:rsidR="00CB6688" w:rsidRPr="00973082" w:rsidRDefault="006B79F7" w:rsidP="00A91F49">
            <w:pPr>
              <w:spacing w:before="0" w:after="0" w:line="240" w:lineRule="auto"/>
              <w:ind w:left="0" w:right="-106" w:firstLine="0"/>
              <w:rPr>
                <w:sz w:val="22"/>
                <w:szCs w:val="22"/>
              </w:rPr>
            </w:pPr>
            <w:r w:rsidRPr="00973082">
              <w:rPr>
                <w:sz w:val="22"/>
                <w:szCs w:val="22"/>
              </w:rPr>
              <w:t>UK</w:t>
            </w:r>
          </w:p>
        </w:tc>
      </w:tr>
      <w:tr w:rsidR="00960CEA" w14:paraId="2619B7C9" w14:textId="77777777" w:rsidTr="00A91F49">
        <w:trPr>
          <w:jc w:val="center"/>
        </w:trPr>
        <w:tc>
          <w:tcPr>
            <w:tcW w:w="2689" w:type="dxa"/>
            <w:hideMark/>
          </w:tcPr>
          <w:p w14:paraId="2F3F4987" w14:textId="77777777" w:rsidR="00CB6688" w:rsidRPr="00973082" w:rsidRDefault="006B79F7" w:rsidP="00A91F49">
            <w:pPr>
              <w:spacing w:before="0" w:after="0" w:line="240" w:lineRule="auto"/>
              <w:ind w:left="0" w:right="-106" w:firstLine="0"/>
              <w:rPr>
                <w:sz w:val="22"/>
                <w:szCs w:val="22"/>
              </w:rPr>
            </w:pPr>
            <w:r w:rsidRPr="00973082">
              <w:rPr>
                <w:sz w:val="22"/>
                <w:szCs w:val="22"/>
              </w:rPr>
              <w:t>Germany</w:t>
            </w:r>
          </w:p>
        </w:tc>
        <w:tc>
          <w:tcPr>
            <w:tcW w:w="2851" w:type="dxa"/>
          </w:tcPr>
          <w:p w14:paraId="29F48EDF" w14:textId="77777777" w:rsidR="00CB6688" w:rsidRPr="00973082" w:rsidRDefault="006B79F7" w:rsidP="00A91F49">
            <w:pPr>
              <w:spacing w:before="0" w:after="0" w:line="240" w:lineRule="auto"/>
              <w:ind w:left="0" w:right="-106" w:firstLine="0"/>
              <w:rPr>
                <w:sz w:val="22"/>
                <w:szCs w:val="22"/>
              </w:rPr>
            </w:pPr>
            <w:r w:rsidRPr="00973082">
              <w:rPr>
                <w:sz w:val="22"/>
                <w:szCs w:val="22"/>
              </w:rPr>
              <w:t>France</w:t>
            </w:r>
          </w:p>
        </w:tc>
      </w:tr>
      <w:tr w:rsidR="00960CEA" w14:paraId="59D432F6" w14:textId="77777777" w:rsidTr="00A91F49">
        <w:trPr>
          <w:jc w:val="center"/>
        </w:trPr>
        <w:tc>
          <w:tcPr>
            <w:tcW w:w="2689" w:type="dxa"/>
            <w:hideMark/>
          </w:tcPr>
          <w:p w14:paraId="43AC6B64" w14:textId="77777777" w:rsidR="00CB6688" w:rsidRPr="00973082" w:rsidRDefault="006B79F7" w:rsidP="00A91F49">
            <w:pPr>
              <w:spacing w:before="0" w:after="0" w:line="240" w:lineRule="auto"/>
              <w:ind w:left="0" w:right="-106" w:firstLine="0"/>
              <w:rPr>
                <w:sz w:val="22"/>
                <w:szCs w:val="22"/>
              </w:rPr>
            </w:pPr>
            <w:r w:rsidRPr="00973082">
              <w:rPr>
                <w:sz w:val="22"/>
                <w:szCs w:val="22"/>
              </w:rPr>
              <w:t>Ukraine</w:t>
            </w:r>
          </w:p>
        </w:tc>
        <w:tc>
          <w:tcPr>
            <w:tcW w:w="2851" w:type="dxa"/>
          </w:tcPr>
          <w:p w14:paraId="48A0BF35" w14:textId="77777777" w:rsidR="00CB6688" w:rsidRPr="00973082" w:rsidRDefault="006B79F7" w:rsidP="00A91F49">
            <w:pPr>
              <w:spacing w:before="0" w:after="0" w:line="240" w:lineRule="auto"/>
              <w:ind w:left="0" w:right="-106" w:firstLine="0"/>
              <w:rPr>
                <w:sz w:val="22"/>
                <w:szCs w:val="22"/>
              </w:rPr>
            </w:pPr>
            <w:r w:rsidRPr="00973082">
              <w:rPr>
                <w:sz w:val="22"/>
                <w:szCs w:val="22"/>
              </w:rPr>
              <w:t>Israel</w:t>
            </w:r>
          </w:p>
        </w:tc>
      </w:tr>
      <w:tr w:rsidR="00960CEA" w14:paraId="4F7D3F40" w14:textId="77777777" w:rsidTr="00A91F49">
        <w:trPr>
          <w:jc w:val="center"/>
        </w:trPr>
        <w:tc>
          <w:tcPr>
            <w:tcW w:w="2689" w:type="dxa"/>
            <w:hideMark/>
          </w:tcPr>
          <w:p w14:paraId="3CB3F7FC" w14:textId="77777777" w:rsidR="00CB6688" w:rsidRPr="00973082" w:rsidRDefault="006B79F7" w:rsidP="00A91F49">
            <w:pPr>
              <w:spacing w:before="0" w:after="0" w:line="240" w:lineRule="auto"/>
              <w:ind w:left="0" w:right="-106" w:firstLine="0"/>
              <w:rPr>
                <w:sz w:val="22"/>
                <w:szCs w:val="22"/>
              </w:rPr>
            </w:pPr>
            <w:r w:rsidRPr="00973082">
              <w:rPr>
                <w:sz w:val="22"/>
                <w:szCs w:val="22"/>
              </w:rPr>
              <w:t>UK</w:t>
            </w:r>
          </w:p>
        </w:tc>
        <w:tc>
          <w:tcPr>
            <w:tcW w:w="2851" w:type="dxa"/>
          </w:tcPr>
          <w:p w14:paraId="5F3D589C" w14:textId="77777777" w:rsidR="00CB6688" w:rsidRPr="00973082" w:rsidRDefault="006B79F7" w:rsidP="00A91F49">
            <w:pPr>
              <w:spacing w:before="0" w:after="0" w:line="240" w:lineRule="auto"/>
              <w:ind w:left="0" w:right="-106" w:firstLine="0"/>
              <w:rPr>
                <w:sz w:val="22"/>
                <w:szCs w:val="22"/>
              </w:rPr>
            </w:pPr>
            <w:r w:rsidRPr="00973082">
              <w:rPr>
                <w:sz w:val="22"/>
                <w:szCs w:val="22"/>
              </w:rPr>
              <w:t>The Palestinian Authority</w:t>
            </w:r>
          </w:p>
        </w:tc>
      </w:tr>
      <w:tr w:rsidR="00960CEA" w14:paraId="29BBD2A1" w14:textId="77777777" w:rsidTr="00A91F49">
        <w:trPr>
          <w:jc w:val="center"/>
        </w:trPr>
        <w:tc>
          <w:tcPr>
            <w:tcW w:w="2689" w:type="dxa"/>
            <w:hideMark/>
          </w:tcPr>
          <w:p w14:paraId="12F04748" w14:textId="77777777" w:rsidR="00CB6688" w:rsidRPr="00973082" w:rsidRDefault="006B79F7" w:rsidP="00A91F49">
            <w:pPr>
              <w:spacing w:before="0" w:after="0" w:line="240" w:lineRule="auto"/>
              <w:ind w:left="0" w:right="-106" w:firstLine="0"/>
              <w:rPr>
                <w:sz w:val="22"/>
                <w:szCs w:val="22"/>
              </w:rPr>
            </w:pPr>
            <w:r w:rsidRPr="00973082">
              <w:rPr>
                <w:sz w:val="22"/>
                <w:szCs w:val="22"/>
              </w:rPr>
              <w:t>France</w:t>
            </w:r>
          </w:p>
        </w:tc>
        <w:tc>
          <w:tcPr>
            <w:tcW w:w="2851" w:type="dxa"/>
          </w:tcPr>
          <w:p w14:paraId="26EB3E25" w14:textId="77777777" w:rsidR="00CB6688" w:rsidRPr="00973082" w:rsidRDefault="00CB6688" w:rsidP="00A91F49">
            <w:pPr>
              <w:spacing w:before="0" w:after="0" w:line="240" w:lineRule="auto"/>
              <w:ind w:left="0" w:right="-106" w:firstLine="0"/>
              <w:rPr>
                <w:sz w:val="22"/>
                <w:szCs w:val="22"/>
              </w:rPr>
            </w:pPr>
          </w:p>
        </w:tc>
      </w:tr>
    </w:tbl>
    <w:p w14:paraId="258C4561" w14:textId="77777777" w:rsidR="00CB6688" w:rsidRPr="009B7A44" w:rsidRDefault="006B79F7" w:rsidP="00CB6688">
      <w:pPr>
        <w:spacing w:before="120" w:line="240" w:lineRule="auto"/>
        <w:rPr>
          <w:i/>
          <w:iCs/>
          <w:sz w:val="22"/>
          <w:szCs w:val="22"/>
          <w:rtl/>
        </w:rPr>
      </w:pPr>
      <w:r w:rsidRPr="009B7A44">
        <w:rPr>
          <w:i/>
          <w:iCs/>
          <w:sz w:val="22"/>
          <w:szCs w:val="22"/>
        </w:rPr>
        <w:t xml:space="preserve">Source: </w:t>
      </w:r>
      <w:r>
        <w:rPr>
          <w:i/>
          <w:iCs/>
          <w:sz w:val="22"/>
          <w:szCs w:val="22"/>
        </w:rPr>
        <w:t>The Department of International Affairs at the State Attorney's Office, 2019.</w:t>
      </w:r>
      <w:r>
        <w:rPr>
          <w:rFonts w:hint="cs"/>
          <w:i/>
          <w:iCs/>
          <w:sz w:val="22"/>
          <w:szCs w:val="22"/>
          <w:rtl/>
        </w:rPr>
        <w:t xml:space="preserve"> </w:t>
      </w:r>
    </w:p>
    <w:p w14:paraId="114E5A61" w14:textId="5B0B5DBC" w:rsidR="00CB6688" w:rsidRPr="007707D3" w:rsidRDefault="006B79F7" w:rsidP="009746A3">
      <w:pPr>
        <w:jc w:val="center"/>
        <w:rPr>
          <w:b/>
          <w:bCs/>
          <w:u w:val="single"/>
        </w:rPr>
      </w:pPr>
      <w:r>
        <w:rPr>
          <w:b/>
          <w:bCs/>
          <w:u w:val="single"/>
        </w:rPr>
        <w:t>Table No. 4 –</w:t>
      </w:r>
      <w:r w:rsidRPr="009B7A44">
        <w:rPr>
          <w:b/>
          <w:bCs/>
          <w:u w:val="single"/>
        </w:rPr>
        <w:t xml:space="preserve"> </w:t>
      </w:r>
      <w:r w:rsidRPr="007707D3">
        <w:rPr>
          <w:b/>
          <w:bCs/>
          <w:u w:val="single"/>
        </w:rPr>
        <w:t xml:space="preserve">Number of </w:t>
      </w:r>
      <w:r>
        <w:rPr>
          <w:b/>
          <w:bCs/>
          <w:u w:val="single"/>
        </w:rPr>
        <w:t>P</w:t>
      </w:r>
      <w:r w:rsidRPr="007707D3">
        <w:rPr>
          <w:b/>
          <w:bCs/>
          <w:u w:val="single"/>
        </w:rPr>
        <w:t xml:space="preserve">ersons </w:t>
      </w:r>
      <w:r>
        <w:rPr>
          <w:b/>
          <w:bCs/>
          <w:u w:val="single"/>
        </w:rPr>
        <w:t>W</w:t>
      </w:r>
      <w:r w:rsidRPr="007707D3">
        <w:rPr>
          <w:b/>
          <w:bCs/>
          <w:u w:val="single"/>
        </w:rPr>
        <w:t xml:space="preserve">ho </w:t>
      </w:r>
      <w:r>
        <w:rPr>
          <w:b/>
          <w:bCs/>
          <w:u w:val="single"/>
        </w:rPr>
        <w:t>H</w:t>
      </w:r>
      <w:r w:rsidRPr="007707D3">
        <w:rPr>
          <w:b/>
          <w:bCs/>
          <w:u w:val="single"/>
        </w:rPr>
        <w:t xml:space="preserve">ave </w:t>
      </w:r>
      <w:r>
        <w:rPr>
          <w:b/>
          <w:bCs/>
          <w:u w:val="single"/>
        </w:rPr>
        <w:t>B</w:t>
      </w:r>
      <w:r w:rsidRPr="007707D3">
        <w:rPr>
          <w:b/>
          <w:bCs/>
          <w:u w:val="single"/>
        </w:rPr>
        <w:t xml:space="preserve">een </w:t>
      </w:r>
      <w:r>
        <w:rPr>
          <w:b/>
          <w:bCs/>
          <w:u w:val="single"/>
        </w:rPr>
        <w:t>R</w:t>
      </w:r>
      <w:r w:rsidRPr="007707D3">
        <w:rPr>
          <w:b/>
          <w:bCs/>
          <w:u w:val="single"/>
        </w:rPr>
        <w:t xml:space="preserve">eturned, </w:t>
      </w:r>
      <w:r>
        <w:rPr>
          <w:b/>
          <w:bCs/>
          <w:u w:val="single"/>
        </w:rPr>
        <w:t>E</w:t>
      </w:r>
      <w:r w:rsidRPr="007707D3">
        <w:rPr>
          <w:b/>
          <w:bCs/>
          <w:u w:val="single"/>
        </w:rPr>
        <w:t xml:space="preserve">xtradited or </w:t>
      </w:r>
      <w:r>
        <w:rPr>
          <w:b/>
          <w:bCs/>
          <w:u w:val="single"/>
        </w:rPr>
        <w:t>E</w:t>
      </w:r>
      <w:r w:rsidRPr="007707D3">
        <w:rPr>
          <w:b/>
          <w:bCs/>
          <w:u w:val="single"/>
        </w:rPr>
        <w:t xml:space="preserve">xpelled </w:t>
      </w:r>
      <w:r>
        <w:rPr>
          <w:b/>
          <w:bCs/>
          <w:u w:val="single"/>
        </w:rPr>
        <w:t>S</w:t>
      </w:r>
      <w:r w:rsidRPr="007707D3">
        <w:rPr>
          <w:b/>
          <w:bCs/>
          <w:u w:val="single"/>
        </w:rPr>
        <w:t xml:space="preserve">ince the Committee </w:t>
      </w:r>
      <w:r>
        <w:rPr>
          <w:b/>
          <w:bCs/>
          <w:u w:val="single"/>
        </w:rPr>
        <w:t>C</w:t>
      </w:r>
      <w:r w:rsidRPr="007707D3">
        <w:rPr>
          <w:b/>
          <w:bCs/>
          <w:u w:val="single"/>
        </w:rPr>
        <w:t xml:space="preserve">onsidered the State </w:t>
      </w:r>
      <w:r>
        <w:rPr>
          <w:b/>
          <w:bCs/>
          <w:u w:val="single"/>
        </w:rPr>
        <w:t>P</w:t>
      </w:r>
      <w:r w:rsidRPr="007707D3">
        <w:rPr>
          <w:b/>
          <w:bCs/>
          <w:u w:val="single"/>
        </w:rPr>
        <w:t xml:space="preserve">arty’s </w:t>
      </w:r>
      <w:r>
        <w:rPr>
          <w:b/>
          <w:bCs/>
          <w:u w:val="single"/>
        </w:rPr>
        <w:t>P</w:t>
      </w:r>
      <w:r w:rsidRPr="007707D3">
        <w:rPr>
          <w:b/>
          <w:bCs/>
          <w:u w:val="single"/>
        </w:rPr>
        <w:t xml:space="preserve">revious </w:t>
      </w:r>
      <w:r>
        <w:rPr>
          <w:b/>
          <w:bCs/>
          <w:u w:val="single"/>
        </w:rPr>
        <w:t>R</w:t>
      </w:r>
      <w:r w:rsidRPr="007707D3">
        <w:rPr>
          <w:b/>
          <w:bCs/>
          <w:u w:val="single"/>
        </w:rPr>
        <w:t xml:space="preserve">eport </w:t>
      </w:r>
      <w:r>
        <w:rPr>
          <w:b/>
          <w:bCs/>
          <w:u w:val="single"/>
        </w:rPr>
        <w:t>by</w:t>
      </w:r>
      <w:r w:rsidRPr="007707D3">
        <w:rPr>
          <w:b/>
          <w:bCs/>
          <w:u w:val="single"/>
        </w:rPr>
        <w:t xml:space="preserve"> </w:t>
      </w:r>
      <w:r>
        <w:rPr>
          <w:b/>
          <w:bCs/>
          <w:u w:val="single"/>
        </w:rPr>
        <w:t>N</w:t>
      </w:r>
      <w:r w:rsidRPr="007707D3">
        <w:rPr>
          <w:b/>
          <w:bCs/>
          <w:u w:val="single"/>
        </w:rPr>
        <w:t>ationality, 2016-2019, as of November 30, 2019</w:t>
      </w:r>
    </w:p>
    <w:tbl>
      <w:tblPr>
        <w:tblW w:w="8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60"/>
        <w:gridCol w:w="1644"/>
        <w:gridCol w:w="846"/>
        <w:gridCol w:w="846"/>
        <w:gridCol w:w="1740"/>
        <w:gridCol w:w="1438"/>
      </w:tblGrid>
      <w:tr w:rsidR="00960CEA" w14:paraId="07459F08" w14:textId="77777777" w:rsidTr="00A91F49">
        <w:trPr>
          <w:trHeight w:val="615"/>
          <w:tblHeader/>
          <w:jc w:val="center"/>
        </w:trPr>
        <w:tc>
          <w:tcPr>
            <w:tcW w:w="1860" w:type="dxa"/>
            <w:shd w:val="clear" w:color="auto" w:fill="D9D9D9"/>
            <w:noWrap/>
            <w:tcMar>
              <w:top w:w="0" w:type="dxa"/>
              <w:left w:w="108" w:type="dxa"/>
              <w:bottom w:w="0" w:type="dxa"/>
              <w:right w:w="108" w:type="dxa"/>
            </w:tcMar>
            <w:vAlign w:val="center"/>
            <w:hideMark/>
          </w:tcPr>
          <w:p w14:paraId="05EE014D" w14:textId="77777777" w:rsidR="00CB6688" w:rsidRPr="00973082" w:rsidRDefault="006B79F7" w:rsidP="00A91F49">
            <w:pPr>
              <w:spacing w:before="0" w:after="0" w:line="240" w:lineRule="auto"/>
              <w:ind w:left="57" w:right="57" w:firstLine="6"/>
              <w:jc w:val="center"/>
              <w:rPr>
                <w:b/>
                <w:bCs/>
                <w:sz w:val="22"/>
                <w:szCs w:val="22"/>
              </w:rPr>
            </w:pPr>
            <w:r w:rsidRPr="00973082">
              <w:rPr>
                <w:b/>
                <w:bCs/>
                <w:sz w:val="22"/>
                <w:szCs w:val="22"/>
              </w:rPr>
              <w:t>Country</w:t>
            </w:r>
          </w:p>
        </w:tc>
        <w:tc>
          <w:tcPr>
            <w:tcW w:w="1644" w:type="dxa"/>
            <w:shd w:val="clear" w:color="auto" w:fill="D9D9D9"/>
            <w:tcMar>
              <w:top w:w="0" w:type="dxa"/>
              <w:left w:w="108" w:type="dxa"/>
              <w:bottom w:w="0" w:type="dxa"/>
              <w:right w:w="108" w:type="dxa"/>
            </w:tcMar>
            <w:vAlign w:val="center"/>
            <w:hideMark/>
          </w:tcPr>
          <w:p w14:paraId="16B49415" w14:textId="77777777" w:rsidR="00CB6688" w:rsidRDefault="006B79F7" w:rsidP="00A91F49">
            <w:pPr>
              <w:spacing w:before="0" w:after="0" w:line="240" w:lineRule="auto"/>
              <w:ind w:left="57" w:right="57" w:firstLine="6"/>
              <w:jc w:val="center"/>
              <w:rPr>
                <w:b/>
                <w:bCs/>
                <w:sz w:val="22"/>
                <w:szCs w:val="22"/>
              </w:rPr>
            </w:pPr>
            <w:r w:rsidRPr="00973082">
              <w:rPr>
                <w:b/>
                <w:bCs/>
                <w:sz w:val="22"/>
                <w:szCs w:val="22"/>
              </w:rPr>
              <w:t xml:space="preserve">2016 </w:t>
            </w:r>
          </w:p>
          <w:p w14:paraId="28A1AA72" w14:textId="77777777" w:rsidR="00CB6688" w:rsidRPr="00973082" w:rsidRDefault="006B79F7" w:rsidP="00A91F49">
            <w:pPr>
              <w:spacing w:before="0" w:after="0" w:line="240" w:lineRule="auto"/>
              <w:ind w:left="57" w:right="57" w:firstLine="6"/>
              <w:jc w:val="center"/>
              <w:rPr>
                <w:b/>
                <w:bCs/>
                <w:sz w:val="22"/>
                <w:szCs w:val="22"/>
              </w:rPr>
            </w:pPr>
            <w:r w:rsidRPr="00973082">
              <w:rPr>
                <w:b/>
                <w:bCs/>
                <w:sz w:val="22"/>
                <w:szCs w:val="22"/>
              </w:rPr>
              <w:t>(from June)</w:t>
            </w:r>
          </w:p>
        </w:tc>
        <w:tc>
          <w:tcPr>
            <w:tcW w:w="846" w:type="dxa"/>
            <w:shd w:val="clear" w:color="auto" w:fill="D9D9D9"/>
            <w:tcMar>
              <w:top w:w="0" w:type="dxa"/>
              <w:left w:w="108" w:type="dxa"/>
              <w:bottom w:w="0" w:type="dxa"/>
              <w:right w:w="108" w:type="dxa"/>
            </w:tcMar>
            <w:vAlign w:val="center"/>
            <w:hideMark/>
          </w:tcPr>
          <w:p w14:paraId="5D148F75" w14:textId="77777777" w:rsidR="00CB6688" w:rsidRPr="00973082" w:rsidRDefault="006B79F7" w:rsidP="00A91F49">
            <w:pPr>
              <w:spacing w:before="0" w:after="0" w:line="240" w:lineRule="auto"/>
              <w:ind w:left="57" w:right="57" w:firstLine="6"/>
              <w:jc w:val="center"/>
              <w:rPr>
                <w:b/>
                <w:bCs/>
                <w:sz w:val="22"/>
                <w:szCs w:val="22"/>
              </w:rPr>
            </w:pPr>
            <w:r w:rsidRPr="00973082">
              <w:rPr>
                <w:b/>
                <w:bCs/>
                <w:sz w:val="22"/>
                <w:szCs w:val="22"/>
              </w:rPr>
              <w:t>2017</w:t>
            </w:r>
          </w:p>
        </w:tc>
        <w:tc>
          <w:tcPr>
            <w:tcW w:w="846" w:type="dxa"/>
            <w:shd w:val="clear" w:color="auto" w:fill="D9D9D9"/>
            <w:tcMar>
              <w:top w:w="0" w:type="dxa"/>
              <w:left w:w="108" w:type="dxa"/>
              <w:bottom w:w="0" w:type="dxa"/>
              <w:right w:w="108" w:type="dxa"/>
            </w:tcMar>
            <w:vAlign w:val="center"/>
            <w:hideMark/>
          </w:tcPr>
          <w:p w14:paraId="78D0769C" w14:textId="77777777" w:rsidR="00CB6688" w:rsidRPr="00973082" w:rsidRDefault="006B79F7" w:rsidP="00A91F49">
            <w:pPr>
              <w:spacing w:before="0" w:after="0" w:line="240" w:lineRule="auto"/>
              <w:ind w:left="57" w:right="57" w:firstLine="6"/>
              <w:jc w:val="center"/>
              <w:rPr>
                <w:b/>
                <w:bCs/>
                <w:sz w:val="22"/>
                <w:szCs w:val="22"/>
              </w:rPr>
            </w:pPr>
            <w:r w:rsidRPr="00973082">
              <w:rPr>
                <w:b/>
                <w:bCs/>
                <w:sz w:val="22"/>
                <w:szCs w:val="22"/>
              </w:rPr>
              <w:t>2018</w:t>
            </w:r>
          </w:p>
        </w:tc>
        <w:tc>
          <w:tcPr>
            <w:tcW w:w="1740" w:type="dxa"/>
            <w:shd w:val="clear" w:color="auto" w:fill="D9D9D9"/>
            <w:tcMar>
              <w:top w:w="0" w:type="dxa"/>
              <w:left w:w="108" w:type="dxa"/>
              <w:bottom w:w="0" w:type="dxa"/>
              <w:right w:w="108" w:type="dxa"/>
            </w:tcMar>
            <w:vAlign w:val="center"/>
            <w:hideMark/>
          </w:tcPr>
          <w:p w14:paraId="70632938" w14:textId="77777777" w:rsidR="00CB6688" w:rsidRDefault="006B79F7" w:rsidP="00A91F49">
            <w:pPr>
              <w:spacing w:before="0" w:after="0" w:line="240" w:lineRule="auto"/>
              <w:ind w:left="57" w:right="57" w:firstLine="6"/>
              <w:jc w:val="center"/>
              <w:rPr>
                <w:b/>
                <w:bCs/>
                <w:sz w:val="22"/>
                <w:szCs w:val="22"/>
              </w:rPr>
            </w:pPr>
            <w:r w:rsidRPr="00973082">
              <w:rPr>
                <w:b/>
                <w:bCs/>
                <w:sz w:val="22"/>
                <w:szCs w:val="22"/>
                <w:rtl/>
              </w:rPr>
              <w:t>2019</w:t>
            </w:r>
            <w:r w:rsidRPr="00973082">
              <w:rPr>
                <w:b/>
                <w:bCs/>
                <w:sz w:val="22"/>
                <w:szCs w:val="22"/>
              </w:rPr>
              <w:t xml:space="preserve"> </w:t>
            </w:r>
          </w:p>
          <w:p w14:paraId="27312E93" w14:textId="77777777" w:rsidR="00CB6688" w:rsidRPr="00973082" w:rsidRDefault="006B79F7" w:rsidP="00A91F49">
            <w:pPr>
              <w:spacing w:before="0" w:after="0" w:line="240" w:lineRule="auto"/>
              <w:ind w:left="57" w:right="57" w:firstLine="6"/>
              <w:jc w:val="center"/>
              <w:rPr>
                <w:b/>
                <w:bCs/>
                <w:sz w:val="22"/>
                <w:szCs w:val="22"/>
              </w:rPr>
            </w:pPr>
            <w:r w:rsidRPr="00973082">
              <w:rPr>
                <w:b/>
                <w:bCs/>
                <w:sz w:val="22"/>
                <w:szCs w:val="22"/>
              </w:rPr>
              <w:t>(until end of November)</w:t>
            </w:r>
          </w:p>
        </w:tc>
        <w:tc>
          <w:tcPr>
            <w:tcW w:w="1438" w:type="dxa"/>
            <w:shd w:val="clear" w:color="auto" w:fill="D9D9D9"/>
            <w:tcMar>
              <w:top w:w="0" w:type="dxa"/>
              <w:left w:w="108" w:type="dxa"/>
              <w:bottom w:w="0" w:type="dxa"/>
              <w:right w:w="108" w:type="dxa"/>
            </w:tcMar>
            <w:vAlign w:val="center"/>
            <w:hideMark/>
          </w:tcPr>
          <w:p w14:paraId="24D4802A" w14:textId="77777777" w:rsidR="00CB6688" w:rsidRPr="00973082" w:rsidRDefault="006B79F7" w:rsidP="00A91F49">
            <w:pPr>
              <w:spacing w:before="0" w:after="0" w:line="240" w:lineRule="auto"/>
              <w:ind w:left="57" w:right="57" w:firstLine="6"/>
              <w:jc w:val="center"/>
              <w:rPr>
                <w:b/>
                <w:bCs/>
                <w:sz w:val="22"/>
                <w:szCs w:val="22"/>
              </w:rPr>
            </w:pPr>
            <w:r w:rsidRPr="00973082">
              <w:rPr>
                <w:b/>
                <w:bCs/>
                <w:sz w:val="22"/>
                <w:szCs w:val="22"/>
              </w:rPr>
              <w:t>Total</w:t>
            </w:r>
          </w:p>
        </w:tc>
      </w:tr>
      <w:tr w:rsidR="00960CEA" w14:paraId="3E23B8B0"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14F2AC3B" w14:textId="77777777" w:rsidR="00CB6688" w:rsidRPr="00973082" w:rsidRDefault="006B79F7" w:rsidP="00A91F49">
            <w:pPr>
              <w:spacing w:before="0" w:after="0" w:line="240" w:lineRule="auto"/>
              <w:ind w:left="0" w:right="-106" w:firstLine="0"/>
              <w:rPr>
                <w:sz w:val="22"/>
                <w:szCs w:val="22"/>
              </w:rPr>
            </w:pPr>
            <w:r w:rsidRPr="00973082">
              <w:rPr>
                <w:sz w:val="22"/>
                <w:szCs w:val="22"/>
              </w:rPr>
              <w:t>Ukraine</w:t>
            </w:r>
          </w:p>
        </w:tc>
        <w:tc>
          <w:tcPr>
            <w:tcW w:w="1644" w:type="dxa"/>
            <w:noWrap/>
            <w:tcMar>
              <w:top w:w="0" w:type="dxa"/>
              <w:left w:w="108" w:type="dxa"/>
              <w:bottom w:w="0" w:type="dxa"/>
              <w:right w:w="108" w:type="dxa"/>
            </w:tcMar>
            <w:vAlign w:val="center"/>
            <w:hideMark/>
          </w:tcPr>
          <w:p w14:paraId="3CC6215C" w14:textId="77777777" w:rsidR="00CB6688" w:rsidRPr="00973082" w:rsidRDefault="006B79F7" w:rsidP="00A91F49">
            <w:pPr>
              <w:spacing w:before="0" w:after="0" w:line="240" w:lineRule="auto"/>
              <w:jc w:val="center"/>
              <w:rPr>
                <w:sz w:val="22"/>
                <w:szCs w:val="22"/>
              </w:rPr>
            </w:pPr>
            <w:r w:rsidRPr="00973082">
              <w:rPr>
                <w:sz w:val="22"/>
                <w:szCs w:val="22"/>
              </w:rPr>
              <w:t>821</w:t>
            </w:r>
          </w:p>
        </w:tc>
        <w:tc>
          <w:tcPr>
            <w:tcW w:w="846" w:type="dxa"/>
            <w:noWrap/>
            <w:tcMar>
              <w:top w:w="0" w:type="dxa"/>
              <w:left w:w="108" w:type="dxa"/>
              <w:bottom w:w="0" w:type="dxa"/>
              <w:right w:w="108" w:type="dxa"/>
            </w:tcMar>
            <w:vAlign w:val="center"/>
            <w:hideMark/>
          </w:tcPr>
          <w:p w14:paraId="17FA9CAB" w14:textId="77777777" w:rsidR="00CB6688" w:rsidRPr="00973082" w:rsidRDefault="006B79F7" w:rsidP="00A91F49">
            <w:pPr>
              <w:spacing w:before="0" w:after="0" w:line="240" w:lineRule="auto"/>
              <w:jc w:val="center"/>
              <w:rPr>
                <w:sz w:val="22"/>
                <w:szCs w:val="22"/>
              </w:rPr>
            </w:pPr>
            <w:r w:rsidRPr="00973082">
              <w:rPr>
                <w:sz w:val="22"/>
                <w:szCs w:val="22"/>
              </w:rPr>
              <w:t>3,361</w:t>
            </w:r>
          </w:p>
        </w:tc>
        <w:tc>
          <w:tcPr>
            <w:tcW w:w="846" w:type="dxa"/>
            <w:noWrap/>
            <w:tcMar>
              <w:top w:w="0" w:type="dxa"/>
              <w:left w:w="108" w:type="dxa"/>
              <w:bottom w:w="0" w:type="dxa"/>
              <w:right w:w="108" w:type="dxa"/>
            </w:tcMar>
            <w:vAlign w:val="center"/>
            <w:hideMark/>
          </w:tcPr>
          <w:p w14:paraId="04590239" w14:textId="77777777" w:rsidR="00CB6688" w:rsidRPr="00973082" w:rsidRDefault="006B79F7" w:rsidP="00A91F49">
            <w:pPr>
              <w:spacing w:before="0" w:after="0" w:line="240" w:lineRule="auto"/>
              <w:jc w:val="center"/>
              <w:rPr>
                <w:sz w:val="22"/>
                <w:szCs w:val="22"/>
              </w:rPr>
            </w:pPr>
            <w:r w:rsidRPr="00973082">
              <w:rPr>
                <w:sz w:val="22"/>
                <w:szCs w:val="22"/>
              </w:rPr>
              <w:t>4,725</w:t>
            </w:r>
          </w:p>
        </w:tc>
        <w:tc>
          <w:tcPr>
            <w:tcW w:w="1740" w:type="dxa"/>
            <w:noWrap/>
            <w:tcMar>
              <w:top w:w="0" w:type="dxa"/>
              <w:left w:w="108" w:type="dxa"/>
              <w:bottom w:w="0" w:type="dxa"/>
              <w:right w:w="108" w:type="dxa"/>
            </w:tcMar>
            <w:vAlign w:val="center"/>
            <w:hideMark/>
          </w:tcPr>
          <w:p w14:paraId="65B6FDBA" w14:textId="77777777" w:rsidR="00CB6688" w:rsidRPr="00973082" w:rsidRDefault="006B79F7" w:rsidP="00A91F49">
            <w:pPr>
              <w:spacing w:before="0" w:after="0" w:line="240" w:lineRule="auto"/>
              <w:jc w:val="center"/>
              <w:rPr>
                <w:sz w:val="22"/>
                <w:szCs w:val="22"/>
              </w:rPr>
            </w:pPr>
            <w:r w:rsidRPr="00973082">
              <w:rPr>
                <w:sz w:val="22"/>
                <w:szCs w:val="22"/>
              </w:rPr>
              <w:t>2,581</w:t>
            </w:r>
          </w:p>
        </w:tc>
        <w:tc>
          <w:tcPr>
            <w:tcW w:w="1438" w:type="dxa"/>
            <w:noWrap/>
            <w:tcMar>
              <w:top w:w="0" w:type="dxa"/>
              <w:left w:w="108" w:type="dxa"/>
              <w:bottom w:w="0" w:type="dxa"/>
              <w:right w:w="108" w:type="dxa"/>
            </w:tcMar>
            <w:vAlign w:val="center"/>
            <w:hideMark/>
          </w:tcPr>
          <w:p w14:paraId="3830AB2D" w14:textId="77777777" w:rsidR="00CB6688" w:rsidRPr="00973082" w:rsidRDefault="006B79F7" w:rsidP="00A91F49">
            <w:pPr>
              <w:spacing w:before="0" w:after="0" w:line="240" w:lineRule="auto"/>
              <w:jc w:val="center"/>
              <w:rPr>
                <w:b/>
                <w:bCs/>
                <w:sz w:val="22"/>
                <w:szCs w:val="22"/>
              </w:rPr>
            </w:pPr>
            <w:r w:rsidRPr="00973082">
              <w:rPr>
                <w:b/>
                <w:bCs/>
                <w:sz w:val="22"/>
                <w:szCs w:val="22"/>
              </w:rPr>
              <w:t>11,488</w:t>
            </w:r>
          </w:p>
        </w:tc>
      </w:tr>
      <w:tr w:rsidR="00960CEA" w14:paraId="24405E2D"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7B70FB85" w14:textId="77777777" w:rsidR="00CB6688" w:rsidRPr="00973082" w:rsidRDefault="006B79F7" w:rsidP="00A91F49">
            <w:pPr>
              <w:spacing w:before="0" w:after="0" w:line="240" w:lineRule="auto"/>
              <w:ind w:left="0" w:right="-106" w:firstLine="0"/>
              <w:rPr>
                <w:sz w:val="22"/>
                <w:szCs w:val="22"/>
              </w:rPr>
            </w:pPr>
            <w:r w:rsidRPr="00973082">
              <w:rPr>
                <w:sz w:val="22"/>
                <w:szCs w:val="22"/>
              </w:rPr>
              <w:t>Georgia</w:t>
            </w:r>
          </w:p>
        </w:tc>
        <w:tc>
          <w:tcPr>
            <w:tcW w:w="1644" w:type="dxa"/>
            <w:noWrap/>
            <w:tcMar>
              <w:top w:w="0" w:type="dxa"/>
              <w:left w:w="108" w:type="dxa"/>
              <w:bottom w:w="0" w:type="dxa"/>
              <w:right w:w="108" w:type="dxa"/>
            </w:tcMar>
            <w:vAlign w:val="center"/>
            <w:hideMark/>
          </w:tcPr>
          <w:p w14:paraId="386E1760" w14:textId="77777777" w:rsidR="00CB6688" w:rsidRPr="00973082" w:rsidRDefault="006B79F7" w:rsidP="00A91F49">
            <w:pPr>
              <w:spacing w:before="0" w:after="0" w:line="240" w:lineRule="auto"/>
              <w:jc w:val="center"/>
              <w:rPr>
                <w:sz w:val="22"/>
                <w:szCs w:val="22"/>
              </w:rPr>
            </w:pPr>
            <w:r w:rsidRPr="00973082">
              <w:rPr>
                <w:sz w:val="22"/>
                <w:szCs w:val="22"/>
              </w:rPr>
              <w:t>226</w:t>
            </w:r>
          </w:p>
        </w:tc>
        <w:tc>
          <w:tcPr>
            <w:tcW w:w="846" w:type="dxa"/>
            <w:noWrap/>
            <w:tcMar>
              <w:top w:w="0" w:type="dxa"/>
              <w:left w:w="108" w:type="dxa"/>
              <w:bottom w:w="0" w:type="dxa"/>
              <w:right w:w="108" w:type="dxa"/>
            </w:tcMar>
            <w:vAlign w:val="center"/>
            <w:hideMark/>
          </w:tcPr>
          <w:p w14:paraId="728393AA" w14:textId="77777777" w:rsidR="00CB6688" w:rsidRPr="00973082" w:rsidRDefault="006B79F7" w:rsidP="00A91F49">
            <w:pPr>
              <w:spacing w:before="0" w:after="0" w:line="240" w:lineRule="auto"/>
              <w:jc w:val="center"/>
              <w:rPr>
                <w:sz w:val="22"/>
                <w:szCs w:val="22"/>
              </w:rPr>
            </w:pPr>
            <w:r w:rsidRPr="00973082">
              <w:rPr>
                <w:sz w:val="22"/>
                <w:szCs w:val="22"/>
              </w:rPr>
              <w:t>844</w:t>
            </w:r>
          </w:p>
        </w:tc>
        <w:tc>
          <w:tcPr>
            <w:tcW w:w="846" w:type="dxa"/>
            <w:noWrap/>
            <w:tcMar>
              <w:top w:w="0" w:type="dxa"/>
              <w:left w:w="108" w:type="dxa"/>
              <w:bottom w:w="0" w:type="dxa"/>
              <w:right w:w="108" w:type="dxa"/>
            </w:tcMar>
            <w:vAlign w:val="center"/>
            <w:hideMark/>
          </w:tcPr>
          <w:p w14:paraId="3CC4E023" w14:textId="77777777" w:rsidR="00CB6688" w:rsidRPr="00973082" w:rsidRDefault="006B79F7" w:rsidP="00A91F49">
            <w:pPr>
              <w:spacing w:before="0" w:after="0" w:line="240" w:lineRule="auto"/>
              <w:jc w:val="center"/>
              <w:rPr>
                <w:sz w:val="22"/>
                <w:szCs w:val="22"/>
              </w:rPr>
            </w:pPr>
            <w:r w:rsidRPr="00973082">
              <w:rPr>
                <w:sz w:val="22"/>
                <w:szCs w:val="22"/>
              </w:rPr>
              <w:t>1,263</w:t>
            </w:r>
          </w:p>
        </w:tc>
        <w:tc>
          <w:tcPr>
            <w:tcW w:w="1740" w:type="dxa"/>
            <w:noWrap/>
            <w:tcMar>
              <w:top w:w="0" w:type="dxa"/>
              <w:left w:w="108" w:type="dxa"/>
              <w:bottom w:w="0" w:type="dxa"/>
              <w:right w:w="108" w:type="dxa"/>
            </w:tcMar>
            <w:vAlign w:val="center"/>
            <w:hideMark/>
          </w:tcPr>
          <w:p w14:paraId="67D77076" w14:textId="77777777" w:rsidR="00CB6688" w:rsidRPr="00973082" w:rsidRDefault="006B79F7" w:rsidP="00A91F49">
            <w:pPr>
              <w:spacing w:before="0" w:after="0" w:line="240" w:lineRule="auto"/>
              <w:jc w:val="center"/>
              <w:rPr>
                <w:sz w:val="22"/>
                <w:szCs w:val="22"/>
              </w:rPr>
            </w:pPr>
            <w:r w:rsidRPr="00973082">
              <w:rPr>
                <w:sz w:val="22"/>
                <w:szCs w:val="22"/>
              </w:rPr>
              <w:t>945</w:t>
            </w:r>
          </w:p>
        </w:tc>
        <w:tc>
          <w:tcPr>
            <w:tcW w:w="1438" w:type="dxa"/>
            <w:noWrap/>
            <w:tcMar>
              <w:top w:w="0" w:type="dxa"/>
              <w:left w:w="108" w:type="dxa"/>
              <w:bottom w:w="0" w:type="dxa"/>
              <w:right w:w="108" w:type="dxa"/>
            </w:tcMar>
            <w:vAlign w:val="center"/>
            <w:hideMark/>
          </w:tcPr>
          <w:p w14:paraId="4F023F39" w14:textId="77777777" w:rsidR="00CB6688" w:rsidRPr="00973082" w:rsidRDefault="006B79F7" w:rsidP="00A91F49">
            <w:pPr>
              <w:spacing w:before="0" w:after="0" w:line="240" w:lineRule="auto"/>
              <w:jc w:val="center"/>
              <w:rPr>
                <w:b/>
                <w:bCs/>
                <w:sz w:val="22"/>
                <w:szCs w:val="22"/>
              </w:rPr>
            </w:pPr>
            <w:r w:rsidRPr="00973082">
              <w:rPr>
                <w:b/>
                <w:bCs/>
                <w:sz w:val="22"/>
                <w:szCs w:val="22"/>
              </w:rPr>
              <w:t>3,278</w:t>
            </w:r>
          </w:p>
        </w:tc>
      </w:tr>
      <w:tr w:rsidR="00960CEA" w14:paraId="6E60DF12"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5469B079" w14:textId="77777777" w:rsidR="00CB6688" w:rsidRPr="00973082" w:rsidRDefault="006B79F7" w:rsidP="00A91F49">
            <w:pPr>
              <w:spacing w:before="0" w:after="0" w:line="240" w:lineRule="auto"/>
              <w:ind w:left="0" w:right="-106" w:firstLine="0"/>
              <w:rPr>
                <w:sz w:val="22"/>
                <w:szCs w:val="22"/>
              </w:rPr>
            </w:pPr>
            <w:r w:rsidRPr="00973082">
              <w:rPr>
                <w:sz w:val="22"/>
                <w:szCs w:val="22"/>
              </w:rPr>
              <w:t>Russia</w:t>
            </w:r>
          </w:p>
        </w:tc>
        <w:tc>
          <w:tcPr>
            <w:tcW w:w="1644" w:type="dxa"/>
            <w:noWrap/>
            <w:tcMar>
              <w:top w:w="0" w:type="dxa"/>
              <w:left w:w="108" w:type="dxa"/>
              <w:bottom w:w="0" w:type="dxa"/>
              <w:right w:w="108" w:type="dxa"/>
            </w:tcMar>
            <w:vAlign w:val="center"/>
            <w:hideMark/>
          </w:tcPr>
          <w:p w14:paraId="75A400C6" w14:textId="77777777" w:rsidR="00CB6688" w:rsidRPr="00973082" w:rsidRDefault="006B79F7" w:rsidP="00A91F49">
            <w:pPr>
              <w:spacing w:before="0" w:after="0" w:line="240" w:lineRule="auto"/>
              <w:jc w:val="center"/>
              <w:rPr>
                <w:sz w:val="22"/>
                <w:szCs w:val="22"/>
              </w:rPr>
            </w:pPr>
            <w:r w:rsidRPr="00973082">
              <w:rPr>
                <w:sz w:val="22"/>
                <w:szCs w:val="22"/>
              </w:rPr>
              <w:t>90</w:t>
            </w:r>
          </w:p>
        </w:tc>
        <w:tc>
          <w:tcPr>
            <w:tcW w:w="846" w:type="dxa"/>
            <w:noWrap/>
            <w:tcMar>
              <w:top w:w="0" w:type="dxa"/>
              <w:left w:w="108" w:type="dxa"/>
              <w:bottom w:w="0" w:type="dxa"/>
              <w:right w:w="108" w:type="dxa"/>
            </w:tcMar>
            <w:vAlign w:val="center"/>
            <w:hideMark/>
          </w:tcPr>
          <w:p w14:paraId="2FBE9E92" w14:textId="77777777" w:rsidR="00CB6688" w:rsidRPr="00973082" w:rsidRDefault="006B79F7" w:rsidP="00A91F49">
            <w:pPr>
              <w:spacing w:before="0" w:after="0" w:line="240" w:lineRule="auto"/>
              <w:jc w:val="center"/>
              <w:rPr>
                <w:sz w:val="22"/>
                <w:szCs w:val="22"/>
              </w:rPr>
            </w:pPr>
            <w:r w:rsidRPr="00973082">
              <w:rPr>
                <w:sz w:val="22"/>
                <w:szCs w:val="22"/>
              </w:rPr>
              <w:t>232</w:t>
            </w:r>
          </w:p>
        </w:tc>
        <w:tc>
          <w:tcPr>
            <w:tcW w:w="846" w:type="dxa"/>
            <w:noWrap/>
            <w:tcMar>
              <w:top w:w="0" w:type="dxa"/>
              <w:left w:w="108" w:type="dxa"/>
              <w:bottom w:w="0" w:type="dxa"/>
              <w:right w:w="108" w:type="dxa"/>
            </w:tcMar>
            <w:vAlign w:val="center"/>
            <w:hideMark/>
          </w:tcPr>
          <w:p w14:paraId="3ED61D95" w14:textId="77777777" w:rsidR="00CB6688" w:rsidRPr="00973082" w:rsidRDefault="006B79F7" w:rsidP="00A91F49">
            <w:pPr>
              <w:spacing w:before="0" w:after="0" w:line="240" w:lineRule="auto"/>
              <w:jc w:val="center"/>
              <w:rPr>
                <w:sz w:val="22"/>
                <w:szCs w:val="22"/>
              </w:rPr>
            </w:pPr>
            <w:r w:rsidRPr="00973082">
              <w:rPr>
                <w:sz w:val="22"/>
                <w:szCs w:val="22"/>
              </w:rPr>
              <w:t>539</w:t>
            </w:r>
          </w:p>
        </w:tc>
        <w:tc>
          <w:tcPr>
            <w:tcW w:w="1740" w:type="dxa"/>
            <w:noWrap/>
            <w:tcMar>
              <w:top w:w="0" w:type="dxa"/>
              <w:left w:w="108" w:type="dxa"/>
              <w:bottom w:w="0" w:type="dxa"/>
              <w:right w:w="108" w:type="dxa"/>
            </w:tcMar>
            <w:vAlign w:val="center"/>
            <w:hideMark/>
          </w:tcPr>
          <w:p w14:paraId="3739AF1A" w14:textId="77777777" w:rsidR="00CB6688" w:rsidRPr="00973082" w:rsidRDefault="006B79F7" w:rsidP="00A91F49">
            <w:pPr>
              <w:spacing w:before="0" w:after="0" w:line="240" w:lineRule="auto"/>
              <w:jc w:val="center"/>
              <w:rPr>
                <w:sz w:val="22"/>
                <w:szCs w:val="22"/>
              </w:rPr>
            </w:pPr>
            <w:r w:rsidRPr="00973082">
              <w:rPr>
                <w:sz w:val="22"/>
                <w:szCs w:val="22"/>
              </w:rPr>
              <w:t>785</w:t>
            </w:r>
          </w:p>
        </w:tc>
        <w:tc>
          <w:tcPr>
            <w:tcW w:w="1438" w:type="dxa"/>
            <w:noWrap/>
            <w:tcMar>
              <w:top w:w="0" w:type="dxa"/>
              <w:left w:w="108" w:type="dxa"/>
              <w:bottom w:w="0" w:type="dxa"/>
              <w:right w:w="108" w:type="dxa"/>
            </w:tcMar>
            <w:vAlign w:val="center"/>
            <w:hideMark/>
          </w:tcPr>
          <w:p w14:paraId="3AFF4758" w14:textId="77777777" w:rsidR="00CB6688" w:rsidRPr="00973082" w:rsidRDefault="006B79F7" w:rsidP="00A91F49">
            <w:pPr>
              <w:spacing w:before="0" w:after="0" w:line="240" w:lineRule="auto"/>
              <w:jc w:val="center"/>
              <w:rPr>
                <w:b/>
                <w:bCs/>
                <w:sz w:val="22"/>
                <w:szCs w:val="22"/>
              </w:rPr>
            </w:pPr>
            <w:r w:rsidRPr="00973082">
              <w:rPr>
                <w:b/>
                <w:bCs/>
                <w:sz w:val="22"/>
                <w:szCs w:val="22"/>
              </w:rPr>
              <w:t>1,646</w:t>
            </w:r>
          </w:p>
        </w:tc>
      </w:tr>
      <w:tr w:rsidR="00960CEA" w14:paraId="4F49C90E"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155AA928" w14:textId="77777777" w:rsidR="00CB6688" w:rsidRPr="00973082" w:rsidRDefault="006B79F7" w:rsidP="00A91F49">
            <w:pPr>
              <w:spacing w:before="0" w:after="0" w:line="240" w:lineRule="auto"/>
              <w:ind w:left="0" w:right="-106" w:firstLine="0"/>
              <w:rPr>
                <w:sz w:val="22"/>
                <w:szCs w:val="22"/>
              </w:rPr>
            </w:pPr>
            <w:r w:rsidRPr="00973082">
              <w:rPr>
                <w:sz w:val="22"/>
                <w:szCs w:val="22"/>
              </w:rPr>
              <w:t>Moldova</w:t>
            </w:r>
          </w:p>
        </w:tc>
        <w:tc>
          <w:tcPr>
            <w:tcW w:w="1644" w:type="dxa"/>
            <w:noWrap/>
            <w:tcMar>
              <w:top w:w="0" w:type="dxa"/>
              <w:left w:w="108" w:type="dxa"/>
              <w:bottom w:w="0" w:type="dxa"/>
              <w:right w:w="108" w:type="dxa"/>
            </w:tcMar>
            <w:vAlign w:val="center"/>
            <w:hideMark/>
          </w:tcPr>
          <w:p w14:paraId="5218217F"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79</w:t>
            </w:r>
          </w:p>
        </w:tc>
        <w:tc>
          <w:tcPr>
            <w:tcW w:w="846" w:type="dxa"/>
            <w:noWrap/>
            <w:tcMar>
              <w:top w:w="0" w:type="dxa"/>
              <w:left w:w="108" w:type="dxa"/>
              <w:bottom w:w="0" w:type="dxa"/>
              <w:right w:w="108" w:type="dxa"/>
            </w:tcMar>
            <w:vAlign w:val="center"/>
            <w:hideMark/>
          </w:tcPr>
          <w:p w14:paraId="02C9E74C"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277</w:t>
            </w:r>
          </w:p>
        </w:tc>
        <w:tc>
          <w:tcPr>
            <w:tcW w:w="846" w:type="dxa"/>
            <w:noWrap/>
            <w:tcMar>
              <w:top w:w="0" w:type="dxa"/>
              <w:left w:w="108" w:type="dxa"/>
              <w:bottom w:w="0" w:type="dxa"/>
              <w:right w:w="108" w:type="dxa"/>
            </w:tcMar>
            <w:vAlign w:val="center"/>
            <w:hideMark/>
          </w:tcPr>
          <w:p w14:paraId="16BB0024"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288</w:t>
            </w:r>
          </w:p>
        </w:tc>
        <w:tc>
          <w:tcPr>
            <w:tcW w:w="1740" w:type="dxa"/>
            <w:noWrap/>
            <w:tcMar>
              <w:top w:w="0" w:type="dxa"/>
              <w:left w:w="108" w:type="dxa"/>
              <w:bottom w:w="0" w:type="dxa"/>
              <w:right w:w="108" w:type="dxa"/>
            </w:tcMar>
            <w:vAlign w:val="center"/>
            <w:hideMark/>
          </w:tcPr>
          <w:p w14:paraId="1F011B08"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260</w:t>
            </w:r>
          </w:p>
        </w:tc>
        <w:tc>
          <w:tcPr>
            <w:tcW w:w="1438" w:type="dxa"/>
            <w:noWrap/>
            <w:tcMar>
              <w:top w:w="0" w:type="dxa"/>
              <w:left w:w="108" w:type="dxa"/>
              <w:bottom w:w="0" w:type="dxa"/>
              <w:right w:w="108" w:type="dxa"/>
            </w:tcMar>
            <w:vAlign w:val="center"/>
            <w:hideMark/>
          </w:tcPr>
          <w:p w14:paraId="0876C3FF"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904</w:t>
            </w:r>
          </w:p>
        </w:tc>
      </w:tr>
      <w:tr w:rsidR="00960CEA" w14:paraId="659291A2"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5CB2F97F" w14:textId="77777777" w:rsidR="00CB6688" w:rsidRPr="00973082" w:rsidRDefault="006B79F7" w:rsidP="00A91F49">
            <w:pPr>
              <w:spacing w:before="0" w:after="0" w:line="240" w:lineRule="auto"/>
              <w:ind w:left="0" w:right="-106" w:firstLine="0"/>
              <w:rPr>
                <w:sz w:val="22"/>
                <w:szCs w:val="22"/>
              </w:rPr>
            </w:pPr>
            <w:r w:rsidRPr="00973082">
              <w:rPr>
                <w:sz w:val="22"/>
                <w:szCs w:val="22"/>
              </w:rPr>
              <w:t>Thailand</w:t>
            </w:r>
          </w:p>
        </w:tc>
        <w:tc>
          <w:tcPr>
            <w:tcW w:w="1644" w:type="dxa"/>
            <w:noWrap/>
            <w:tcMar>
              <w:top w:w="0" w:type="dxa"/>
              <w:left w:w="108" w:type="dxa"/>
              <w:bottom w:w="0" w:type="dxa"/>
              <w:right w:w="108" w:type="dxa"/>
            </w:tcMar>
            <w:vAlign w:val="center"/>
            <w:hideMark/>
          </w:tcPr>
          <w:p w14:paraId="591A6E0D"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203</w:t>
            </w:r>
          </w:p>
        </w:tc>
        <w:tc>
          <w:tcPr>
            <w:tcW w:w="846" w:type="dxa"/>
            <w:noWrap/>
            <w:tcMar>
              <w:top w:w="0" w:type="dxa"/>
              <w:left w:w="108" w:type="dxa"/>
              <w:bottom w:w="0" w:type="dxa"/>
              <w:right w:w="108" w:type="dxa"/>
            </w:tcMar>
            <w:vAlign w:val="center"/>
            <w:hideMark/>
          </w:tcPr>
          <w:p w14:paraId="65FCDEA8"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252</w:t>
            </w:r>
          </w:p>
        </w:tc>
        <w:tc>
          <w:tcPr>
            <w:tcW w:w="846" w:type="dxa"/>
            <w:noWrap/>
            <w:tcMar>
              <w:top w:w="0" w:type="dxa"/>
              <w:left w:w="108" w:type="dxa"/>
              <w:bottom w:w="0" w:type="dxa"/>
              <w:right w:w="108" w:type="dxa"/>
            </w:tcMar>
            <w:vAlign w:val="center"/>
            <w:hideMark/>
          </w:tcPr>
          <w:p w14:paraId="30F6CF7D"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153</w:t>
            </w:r>
          </w:p>
        </w:tc>
        <w:tc>
          <w:tcPr>
            <w:tcW w:w="1740" w:type="dxa"/>
            <w:noWrap/>
            <w:tcMar>
              <w:top w:w="0" w:type="dxa"/>
              <w:left w:w="108" w:type="dxa"/>
              <w:bottom w:w="0" w:type="dxa"/>
              <w:right w:w="108" w:type="dxa"/>
            </w:tcMar>
            <w:vAlign w:val="center"/>
            <w:hideMark/>
          </w:tcPr>
          <w:p w14:paraId="0782BCF0"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195</w:t>
            </w:r>
          </w:p>
        </w:tc>
        <w:tc>
          <w:tcPr>
            <w:tcW w:w="1438" w:type="dxa"/>
            <w:noWrap/>
            <w:tcMar>
              <w:top w:w="0" w:type="dxa"/>
              <w:left w:w="108" w:type="dxa"/>
              <w:bottom w:w="0" w:type="dxa"/>
              <w:right w:w="108" w:type="dxa"/>
            </w:tcMar>
            <w:vAlign w:val="center"/>
            <w:hideMark/>
          </w:tcPr>
          <w:p w14:paraId="3D970473"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803</w:t>
            </w:r>
          </w:p>
        </w:tc>
      </w:tr>
      <w:tr w:rsidR="00960CEA" w14:paraId="63FA8023"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42E9D63C" w14:textId="77777777" w:rsidR="00CB6688" w:rsidRPr="00973082" w:rsidRDefault="006B79F7" w:rsidP="00A91F49">
            <w:pPr>
              <w:spacing w:before="0" w:after="0" w:line="240" w:lineRule="auto"/>
              <w:ind w:left="0" w:right="-106" w:firstLine="0"/>
              <w:rPr>
                <w:sz w:val="22"/>
                <w:szCs w:val="22"/>
              </w:rPr>
            </w:pPr>
            <w:r w:rsidRPr="00973082">
              <w:rPr>
                <w:sz w:val="22"/>
                <w:szCs w:val="22"/>
              </w:rPr>
              <w:t>Philippines</w:t>
            </w:r>
          </w:p>
        </w:tc>
        <w:tc>
          <w:tcPr>
            <w:tcW w:w="1644" w:type="dxa"/>
            <w:noWrap/>
            <w:tcMar>
              <w:top w:w="0" w:type="dxa"/>
              <w:left w:w="108" w:type="dxa"/>
              <w:bottom w:w="0" w:type="dxa"/>
              <w:right w:w="108" w:type="dxa"/>
            </w:tcMar>
            <w:vAlign w:val="center"/>
            <w:hideMark/>
          </w:tcPr>
          <w:p w14:paraId="1FCC823B"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87</w:t>
            </w:r>
          </w:p>
        </w:tc>
        <w:tc>
          <w:tcPr>
            <w:tcW w:w="846" w:type="dxa"/>
            <w:noWrap/>
            <w:tcMar>
              <w:top w:w="0" w:type="dxa"/>
              <w:left w:w="108" w:type="dxa"/>
              <w:bottom w:w="0" w:type="dxa"/>
              <w:right w:w="108" w:type="dxa"/>
            </w:tcMar>
            <w:vAlign w:val="center"/>
            <w:hideMark/>
          </w:tcPr>
          <w:p w14:paraId="03ACE163"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143</w:t>
            </w:r>
          </w:p>
        </w:tc>
        <w:tc>
          <w:tcPr>
            <w:tcW w:w="846" w:type="dxa"/>
            <w:noWrap/>
            <w:tcMar>
              <w:top w:w="0" w:type="dxa"/>
              <w:left w:w="108" w:type="dxa"/>
              <w:bottom w:w="0" w:type="dxa"/>
              <w:right w:w="108" w:type="dxa"/>
            </w:tcMar>
            <w:vAlign w:val="center"/>
            <w:hideMark/>
          </w:tcPr>
          <w:p w14:paraId="1A4F3F2D"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109</w:t>
            </w:r>
          </w:p>
        </w:tc>
        <w:tc>
          <w:tcPr>
            <w:tcW w:w="1740" w:type="dxa"/>
            <w:noWrap/>
            <w:tcMar>
              <w:top w:w="0" w:type="dxa"/>
              <w:left w:w="108" w:type="dxa"/>
              <w:bottom w:w="0" w:type="dxa"/>
              <w:right w:w="108" w:type="dxa"/>
            </w:tcMar>
            <w:vAlign w:val="center"/>
            <w:hideMark/>
          </w:tcPr>
          <w:p w14:paraId="6D375B44"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146</w:t>
            </w:r>
          </w:p>
        </w:tc>
        <w:tc>
          <w:tcPr>
            <w:tcW w:w="1438" w:type="dxa"/>
            <w:noWrap/>
            <w:tcMar>
              <w:top w:w="0" w:type="dxa"/>
              <w:left w:w="108" w:type="dxa"/>
              <w:bottom w:w="0" w:type="dxa"/>
              <w:right w:w="108" w:type="dxa"/>
            </w:tcMar>
            <w:vAlign w:val="center"/>
            <w:hideMark/>
          </w:tcPr>
          <w:p w14:paraId="7FB52933"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485</w:t>
            </w:r>
          </w:p>
        </w:tc>
      </w:tr>
      <w:tr w:rsidR="00960CEA" w14:paraId="21BC78BF"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1C12AD3D" w14:textId="77777777" w:rsidR="00CB6688" w:rsidRPr="00973082" w:rsidRDefault="006B79F7" w:rsidP="00A91F49">
            <w:pPr>
              <w:spacing w:before="0" w:after="0" w:line="240" w:lineRule="auto"/>
              <w:ind w:left="0" w:right="-106" w:firstLine="0"/>
              <w:rPr>
                <w:sz w:val="22"/>
                <w:szCs w:val="22"/>
              </w:rPr>
            </w:pPr>
            <w:r w:rsidRPr="00973082">
              <w:rPr>
                <w:sz w:val="22"/>
                <w:szCs w:val="22"/>
              </w:rPr>
              <w:t>China</w:t>
            </w:r>
          </w:p>
        </w:tc>
        <w:tc>
          <w:tcPr>
            <w:tcW w:w="1644" w:type="dxa"/>
            <w:noWrap/>
            <w:tcMar>
              <w:top w:w="0" w:type="dxa"/>
              <w:left w:w="108" w:type="dxa"/>
              <w:bottom w:w="0" w:type="dxa"/>
              <w:right w:w="108" w:type="dxa"/>
            </w:tcMar>
            <w:vAlign w:val="center"/>
            <w:hideMark/>
          </w:tcPr>
          <w:p w14:paraId="138CAD91"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55</w:t>
            </w:r>
          </w:p>
        </w:tc>
        <w:tc>
          <w:tcPr>
            <w:tcW w:w="846" w:type="dxa"/>
            <w:noWrap/>
            <w:tcMar>
              <w:top w:w="0" w:type="dxa"/>
              <w:left w:w="108" w:type="dxa"/>
              <w:bottom w:w="0" w:type="dxa"/>
              <w:right w:w="108" w:type="dxa"/>
            </w:tcMar>
            <w:vAlign w:val="center"/>
            <w:hideMark/>
          </w:tcPr>
          <w:p w14:paraId="16EB5431"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170</w:t>
            </w:r>
          </w:p>
        </w:tc>
        <w:tc>
          <w:tcPr>
            <w:tcW w:w="846" w:type="dxa"/>
            <w:noWrap/>
            <w:tcMar>
              <w:top w:w="0" w:type="dxa"/>
              <w:left w:w="108" w:type="dxa"/>
              <w:bottom w:w="0" w:type="dxa"/>
              <w:right w:w="108" w:type="dxa"/>
            </w:tcMar>
            <w:vAlign w:val="center"/>
            <w:hideMark/>
          </w:tcPr>
          <w:p w14:paraId="5D099E56"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124</w:t>
            </w:r>
          </w:p>
        </w:tc>
        <w:tc>
          <w:tcPr>
            <w:tcW w:w="1740" w:type="dxa"/>
            <w:noWrap/>
            <w:tcMar>
              <w:top w:w="0" w:type="dxa"/>
              <w:left w:w="108" w:type="dxa"/>
              <w:bottom w:w="0" w:type="dxa"/>
              <w:right w:w="108" w:type="dxa"/>
            </w:tcMar>
            <w:vAlign w:val="center"/>
            <w:hideMark/>
          </w:tcPr>
          <w:p w14:paraId="550C2E78"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102</w:t>
            </w:r>
          </w:p>
        </w:tc>
        <w:tc>
          <w:tcPr>
            <w:tcW w:w="1438" w:type="dxa"/>
            <w:noWrap/>
            <w:tcMar>
              <w:top w:w="0" w:type="dxa"/>
              <w:left w:w="108" w:type="dxa"/>
              <w:bottom w:w="0" w:type="dxa"/>
              <w:right w:w="108" w:type="dxa"/>
            </w:tcMar>
            <w:vAlign w:val="center"/>
            <w:hideMark/>
          </w:tcPr>
          <w:p w14:paraId="4F5F9AA5"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451</w:t>
            </w:r>
          </w:p>
        </w:tc>
      </w:tr>
      <w:tr w:rsidR="00960CEA" w14:paraId="33085631"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5670F1D4" w14:textId="77777777" w:rsidR="00CB6688" w:rsidRPr="00973082" w:rsidRDefault="006B79F7" w:rsidP="00A91F49">
            <w:pPr>
              <w:spacing w:before="0" w:after="0" w:line="240" w:lineRule="auto"/>
              <w:ind w:left="0" w:right="-106" w:firstLine="0"/>
              <w:rPr>
                <w:sz w:val="22"/>
                <w:szCs w:val="22"/>
              </w:rPr>
            </w:pPr>
            <w:r w:rsidRPr="00973082">
              <w:rPr>
                <w:sz w:val="22"/>
                <w:szCs w:val="22"/>
              </w:rPr>
              <w:t>India</w:t>
            </w:r>
          </w:p>
        </w:tc>
        <w:tc>
          <w:tcPr>
            <w:tcW w:w="1644" w:type="dxa"/>
            <w:noWrap/>
            <w:tcMar>
              <w:top w:w="0" w:type="dxa"/>
              <w:left w:w="108" w:type="dxa"/>
              <w:bottom w:w="0" w:type="dxa"/>
              <w:right w:w="108" w:type="dxa"/>
            </w:tcMar>
            <w:vAlign w:val="center"/>
            <w:hideMark/>
          </w:tcPr>
          <w:p w14:paraId="45FA45EE"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40</w:t>
            </w:r>
          </w:p>
        </w:tc>
        <w:tc>
          <w:tcPr>
            <w:tcW w:w="846" w:type="dxa"/>
            <w:noWrap/>
            <w:tcMar>
              <w:top w:w="0" w:type="dxa"/>
              <w:left w:w="108" w:type="dxa"/>
              <w:bottom w:w="0" w:type="dxa"/>
              <w:right w:w="108" w:type="dxa"/>
            </w:tcMar>
            <w:vAlign w:val="center"/>
            <w:hideMark/>
          </w:tcPr>
          <w:p w14:paraId="2D59953A"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74</w:t>
            </w:r>
          </w:p>
        </w:tc>
        <w:tc>
          <w:tcPr>
            <w:tcW w:w="846" w:type="dxa"/>
            <w:noWrap/>
            <w:tcMar>
              <w:top w:w="0" w:type="dxa"/>
              <w:left w:w="108" w:type="dxa"/>
              <w:bottom w:w="0" w:type="dxa"/>
              <w:right w:w="108" w:type="dxa"/>
            </w:tcMar>
            <w:vAlign w:val="center"/>
            <w:hideMark/>
          </w:tcPr>
          <w:p w14:paraId="60BE9CC6"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106</w:t>
            </w:r>
          </w:p>
        </w:tc>
        <w:tc>
          <w:tcPr>
            <w:tcW w:w="1740" w:type="dxa"/>
            <w:noWrap/>
            <w:tcMar>
              <w:top w:w="0" w:type="dxa"/>
              <w:left w:w="108" w:type="dxa"/>
              <w:bottom w:w="0" w:type="dxa"/>
              <w:right w:w="108" w:type="dxa"/>
            </w:tcMar>
            <w:vAlign w:val="center"/>
            <w:hideMark/>
          </w:tcPr>
          <w:p w14:paraId="0B913572"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120</w:t>
            </w:r>
          </w:p>
        </w:tc>
        <w:tc>
          <w:tcPr>
            <w:tcW w:w="1438" w:type="dxa"/>
            <w:noWrap/>
            <w:tcMar>
              <w:top w:w="0" w:type="dxa"/>
              <w:left w:w="108" w:type="dxa"/>
              <w:bottom w:w="0" w:type="dxa"/>
              <w:right w:w="108" w:type="dxa"/>
            </w:tcMar>
            <w:vAlign w:val="center"/>
            <w:hideMark/>
          </w:tcPr>
          <w:p w14:paraId="5CBBFDE6"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340</w:t>
            </w:r>
          </w:p>
        </w:tc>
      </w:tr>
      <w:tr w:rsidR="00960CEA" w14:paraId="3AD9BD2A"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61DF7662" w14:textId="77777777" w:rsidR="00CB6688" w:rsidRPr="00973082" w:rsidRDefault="006B79F7" w:rsidP="00A91F49">
            <w:pPr>
              <w:spacing w:before="0" w:after="0" w:line="240" w:lineRule="auto"/>
              <w:ind w:left="0" w:right="-106" w:firstLine="0"/>
              <w:rPr>
                <w:sz w:val="22"/>
                <w:szCs w:val="22"/>
              </w:rPr>
            </w:pPr>
            <w:r w:rsidRPr="00973082">
              <w:rPr>
                <w:sz w:val="22"/>
                <w:szCs w:val="22"/>
              </w:rPr>
              <w:t>Belarus</w:t>
            </w:r>
          </w:p>
        </w:tc>
        <w:tc>
          <w:tcPr>
            <w:tcW w:w="1644" w:type="dxa"/>
            <w:noWrap/>
            <w:tcMar>
              <w:top w:w="0" w:type="dxa"/>
              <w:left w:w="108" w:type="dxa"/>
              <w:bottom w:w="0" w:type="dxa"/>
              <w:right w:w="108" w:type="dxa"/>
            </w:tcMar>
            <w:vAlign w:val="center"/>
            <w:hideMark/>
          </w:tcPr>
          <w:p w14:paraId="54CD6C9C"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18</w:t>
            </w:r>
          </w:p>
        </w:tc>
        <w:tc>
          <w:tcPr>
            <w:tcW w:w="846" w:type="dxa"/>
            <w:noWrap/>
            <w:tcMar>
              <w:top w:w="0" w:type="dxa"/>
              <w:left w:w="108" w:type="dxa"/>
              <w:bottom w:w="0" w:type="dxa"/>
              <w:right w:w="108" w:type="dxa"/>
            </w:tcMar>
            <w:vAlign w:val="center"/>
            <w:hideMark/>
          </w:tcPr>
          <w:p w14:paraId="67CC82CC"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52</w:t>
            </w:r>
          </w:p>
        </w:tc>
        <w:tc>
          <w:tcPr>
            <w:tcW w:w="846" w:type="dxa"/>
            <w:noWrap/>
            <w:tcMar>
              <w:top w:w="0" w:type="dxa"/>
              <w:left w:w="108" w:type="dxa"/>
              <w:bottom w:w="0" w:type="dxa"/>
              <w:right w:w="108" w:type="dxa"/>
            </w:tcMar>
            <w:vAlign w:val="center"/>
            <w:hideMark/>
          </w:tcPr>
          <w:p w14:paraId="2BC2BC0E"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86</w:t>
            </w:r>
          </w:p>
        </w:tc>
        <w:tc>
          <w:tcPr>
            <w:tcW w:w="1740" w:type="dxa"/>
            <w:noWrap/>
            <w:tcMar>
              <w:top w:w="0" w:type="dxa"/>
              <w:left w:w="108" w:type="dxa"/>
              <w:bottom w:w="0" w:type="dxa"/>
              <w:right w:w="108" w:type="dxa"/>
            </w:tcMar>
            <w:vAlign w:val="center"/>
            <w:hideMark/>
          </w:tcPr>
          <w:p w14:paraId="68B526CC"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108</w:t>
            </w:r>
          </w:p>
        </w:tc>
        <w:tc>
          <w:tcPr>
            <w:tcW w:w="1438" w:type="dxa"/>
            <w:noWrap/>
            <w:tcMar>
              <w:top w:w="0" w:type="dxa"/>
              <w:left w:w="108" w:type="dxa"/>
              <w:bottom w:w="0" w:type="dxa"/>
              <w:right w:w="108" w:type="dxa"/>
            </w:tcMar>
            <w:vAlign w:val="center"/>
            <w:hideMark/>
          </w:tcPr>
          <w:p w14:paraId="089E456B"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264</w:t>
            </w:r>
          </w:p>
        </w:tc>
      </w:tr>
      <w:tr w:rsidR="00960CEA" w14:paraId="7C729550"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4E3ABCF0" w14:textId="77777777" w:rsidR="00CB6688" w:rsidRPr="00973082" w:rsidRDefault="006B79F7" w:rsidP="00A91F49">
            <w:pPr>
              <w:spacing w:before="0" w:after="0" w:line="240" w:lineRule="auto"/>
              <w:ind w:left="0" w:right="-106" w:firstLine="0"/>
              <w:rPr>
                <w:sz w:val="22"/>
                <w:szCs w:val="22"/>
              </w:rPr>
            </w:pPr>
            <w:r w:rsidRPr="00973082">
              <w:rPr>
                <w:sz w:val="22"/>
                <w:szCs w:val="22"/>
              </w:rPr>
              <w:t>Romania</w:t>
            </w:r>
          </w:p>
        </w:tc>
        <w:tc>
          <w:tcPr>
            <w:tcW w:w="1644" w:type="dxa"/>
            <w:noWrap/>
            <w:tcMar>
              <w:top w:w="0" w:type="dxa"/>
              <w:left w:w="108" w:type="dxa"/>
              <w:bottom w:w="0" w:type="dxa"/>
              <w:right w:w="108" w:type="dxa"/>
            </w:tcMar>
            <w:vAlign w:val="center"/>
            <w:hideMark/>
          </w:tcPr>
          <w:p w14:paraId="3E6F245F"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25</w:t>
            </w:r>
          </w:p>
        </w:tc>
        <w:tc>
          <w:tcPr>
            <w:tcW w:w="846" w:type="dxa"/>
            <w:noWrap/>
            <w:tcMar>
              <w:top w:w="0" w:type="dxa"/>
              <w:left w:w="108" w:type="dxa"/>
              <w:bottom w:w="0" w:type="dxa"/>
              <w:right w:w="108" w:type="dxa"/>
            </w:tcMar>
            <w:vAlign w:val="center"/>
            <w:hideMark/>
          </w:tcPr>
          <w:p w14:paraId="48D31A8A"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47</w:t>
            </w:r>
          </w:p>
        </w:tc>
        <w:tc>
          <w:tcPr>
            <w:tcW w:w="846" w:type="dxa"/>
            <w:noWrap/>
            <w:tcMar>
              <w:top w:w="0" w:type="dxa"/>
              <w:left w:w="108" w:type="dxa"/>
              <w:bottom w:w="0" w:type="dxa"/>
              <w:right w:w="108" w:type="dxa"/>
            </w:tcMar>
            <w:vAlign w:val="center"/>
            <w:hideMark/>
          </w:tcPr>
          <w:p w14:paraId="65AE0BA7"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61</w:t>
            </w:r>
          </w:p>
        </w:tc>
        <w:tc>
          <w:tcPr>
            <w:tcW w:w="1740" w:type="dxa"/>
            <w:noWrap/>
            <w:tcMar>
              <w:top w:w="0" w:type="dxa"/>
              <w:left w:w="108" w:type="dxa"/>
              <w:bottom w:w="0" w:type="dxa"/>
              <w:right w:w="108" w:type="dxa"/>
            </w:tcMar>
            <w:vAlign w:val="center"/>
            <w:hideMark/>
          </w:tcPr>
          <w:p w14:paraId="6101F89B"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41</w:t>
            </w:r>
          </w:p>
        </w:tc>
        <w:tc>
          <w:tcPr>
            <w:tcW w:w="1438" w:type="dxa"/>
            <w:noWrap/>
            <w:tcMar>
              <w:top w:w="0" w:type="dxa"/>
              <w:left w:w="108" w:type="dxa"/>
              <w:bottom w:w="0" w:type="dxa"/>
              <w:right w:w="108" w:type="dxa"/>
            </w:tcMar>
            <w:vAlign w:val="center"/>
            <w:hideMark/>
          </w:tcPr>
          <w:p w14:paraId="23AB4494"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174</w:t>
            </w:r>
          </w:p>
        </w:tc>
      </w:tr>
      <w:tr w:rsidR="00960CEA" w14:paraId="0BDA7D53"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52D71D11" w14:textId="77777777" w:rsidR="00CB6688" w:rsidRPr="00973082" w:rsidRDefault="006B79F7" w:rsidP="00A91F49">
            <w:pPr>
              <w:spacing w:before="0" w:after="0" w:line="240" w:lineRule="auto"/>
              <w:ind w:left="0" w:right="-106" w:firstLine="0"/>
              <w:rPr>
                <w:sz w:val="22"/>
                <w:szCs w:val="22"/>
              </w:rPr>
            </w:pPr>
            <w:r w:rsidRPr="00973082">
              <w:rPr>
                <w:sz w:val="22"/>
                <w:szCs w:val="22"/>
              </w:rPr>
              <w:t>Sri Lanka</w:t>
            </w:r>
          </w:p>
        </w:tc>
        <w:tc>
          <w:tcPr>
            <w:tcW w:w="1644" w:type="dxa"/>
            <w:noWrap/>
            <w:tcMar>
              <w:top w:w="0" w:type="dxa"/>
              <w:left w:w="108" w:type="dxa"/>
              <w:bottom w:w="0" w:type="dxa"/>
              <w:right w:w="108" w:type="dxa"/>
            </w:tcMar>
            <w:vAlign w:val="center"/>
            <w:hideMark/>
          </w:tcPr>
          <w:p w14:paraId="2182EA85"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17</w:t>
            </w:r>
          </w:p>
        </w:tc>
        <w:tc>
          <w:tcPr>
            <w:tcW w:w="846" w:type="dxa"/>
            <w:noWrap/>
            <w:tcMar>
              <w:top w:w="0" w:type="dxa"/>
              <w:left w:w="108" w:type="dxa"/>
              <w:bottom w:w="0" w:type="dxa"/>
              <w:right w:w="108" w:type="dxa"/>
            </w:tcMar>
            <w:vAlign w:val="center"/>
            <w:hideMark/>
          </w:tcPr>
          <w:p w14:paraId="366BC5E3"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34</w:t>
            </w:r>
          </w:p>
        </w:tc>
        <w:tc>
          <w:tcPr>
            <w:tcW w:w="846" w:type="dxa"/>
            <w:noWrap/>
            <w:tcMar>
              <w:top w:w="0" w:type="dxa"/>
              <w:left w:w="108" w:type="dxa"/>
              <w:bottom w:w="0" w:type="dxa"/>
              <w:right w:w="108" w:type="dxa"/>
            </w:tcMar>
            <w:vAlign w:val="center"/>
            <w:hideMark/>
          </w:tcPr>
          <w:p w14:paraId="5F935993"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54</w:t>
            </w:r>
          </w:p>
        </w:tc>
        <w:tc>
          <w:tcPr>
            <w:tcW w:w="1740" w:type="dxa"/>
            <w:noWrap/>
            <w:tcMar>
              <w:top w:w="0" w:type="dxa"/>
              <w:left w:w="108" w:type="dxa"/>
              <w:bottom w:w="0" w:type="dxa"/>
              <w:right w:w="108" w:type="dxa"/>
            </w:tcMar>
            <w:vAlign w:val="center"/>
            <w:hideMark/>
          </w:tcPr>
          <w:p w14:paraId="32E03A83"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61</w:t>
            </w:r>
          </w:p>
        </w:tc>
        <w:tc>
          <w:tcPr>
            <w:tcW w:w="1438" w:type="dxa"/>
            <w:noWrap/>
            <w:tcMar>
              <w:top w:w="0" w:type="dxa"/>
              <w:left w:w="108" w:type="dxa"/>
              <w:bottom w:w="0" w:type="dxa"/>
              <w:right w:w="108" w:type="dxa"/>
            </w:tcMar>
            <w:vAlign w:val="center"/>
            <w:hideMark/>
          </w:tcPr>
          <w:p w14:paraId="5F3192D2"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166</w:t>
            </w:r>
          </w:p>
        </w:tc>
      </w:tr>
      <w:tr w:rsidR="00960CEA" w14:paraId="72E8280B"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5806965E" w14:textId="77777777" w:rsidR="00CB6688" w:rsidRPr="00973082" w:rsidRDefault="006B79F7" w:rsidP="00A91F49">
            <w:pPr>
              <w:spacing w:before="0" w:after="0" w:line="240" w:lineRule="auto"/>
              <w:ind w:left="0" w:right="-106" w:firstLine="0"/>
              <w:rPr>
                <w:sz w:val="22"/>
                <w:szCs w:val="22"/>
              </w:rPr>
            </w:pPr>
            <w:r w:rsidRPr="00973082">
              <w:rPr>
                <w:sz w:val="22"/>
                <w:szCs w:val="22"/>
              </w:rPr>
              <w:t>Turkey</w:t>
            </w:r>
          </w:p>
        </w:tc>
        <w:tc>
          <w:tcPr>
            <w:tcW w:w="1644" w:type="dxa"/>
            <w:noWrap/>
            <w:tcMar>
              <w:top w:w="0" w:type="dxa"/>
              <w:left w:w="108" w:type="dxa"/>
              <w:bottom w:w="0" w:type="dxa"/>
              <w:right w:w="108" w:type="dxa"/>
            </w:tcMar>
            <w:vAlign w:val="center"/>
            <w:hideMark/>
          </w:tcPr>
          <w:p w14:paraId="0FC37D5A"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11</w:t>
            </w:r>
          </w:p>
        </w:tc>
        <w:tc>
          <w:tcPr>
            <w:tcW w:w="846" w:type="dxa"/>
            <w:noWrap/>
            <w:tcMar>
              <w:top w:w="0" w:type="dxa"/>
              <w:left w:w="108" w:type="dxa"/>
              <w:bottom w:w="0" w:type="dxa"/>
              <w:right w:w="108" w:type="dxa"/>
            </w:tcMar>
            <w:vAlign w:val="center"/>
            <w:hideMark/>
          </w:tcPr>
          <w:p w14:paraId="59AC9A12"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20</w:t>
            </w:r>
          </w:p>
        </w:tc>
        <w:tc>
          <w:tcPr>
            <w:tcW w:w="846" w:type="dxa"/>
            <w:noWrap/>
            <w:tcMar>
              <w:top w:w="0" w:type="dxa"/>
              <w:left w:w="108" w:type="dxa"/>
              <w:bottom w:w="0" w:type="dxa"/>
              <w:right w:w="108" w:type="dxa"/>
            </w:tcMar>
            <w:vAlign w:val="center"/>
            <w:hideMark/>
          </w:tcPr>
          <w:p w14:paraId="4D9F7D1B"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35</w:t>
            </w:r>
          </w:p>
        </w:tc>
        <w:tc>
          <w:tcPr>
            <w:tcW w:w="1740" w:type="dxa"/>
            <w:noWrap/>
            <w:tcMar>
              <w:top w:w="0" w:type="dxa"/>
              <w:left w:w="108" w:type="dxa"/>
              <w:bottom w:w="0" w:type="dxa"/>
              <w:right w:w="108" w:type="dxa"/>
            </w:tcMar>
            <w:vAlign w:val="center"/>
            <w:hideMark/>
          </w:tcPr>
          <w:p w14:paraId="7A8F431B"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100</w:t>
            </w:r>
          </w:p>
        </w:tc>
        <w:tc>
          <w:tcPr>
            <w:tcW w:w="1438" w:type="dxa"/>
            <w:noWrap/>
            <w:tcMar>
              <w:top w:w="0" w:type="dxa"/>
              <w:left w:w="108" w:type="dxa"/>
              <w:bottom w:w="0" w:type="dxa"/>
              <w:right w:w="108" w:type="dxa"/>
            </w:tcMar>
            <w:vAlign w:val="center"/>
            <w:hideMark/>
          </w:tcPr>
          <w:p w14:paraId="650E5BE4"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166</w:t>
            </w:r>
          </w:p>
        </w:tc>
      </w:tr>
      <w:tr w:rsidR="00960CEA" w14:paraId="6EFFD054"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4F55359E" w14:textId="77777777" w:rsidR="00CB6688" w:rsidRPr="00973082" w:rsidRDefault="006B79F7" w:rsidP="00A91F49">
            <w:pPr>
              <w:spacing w:before="0" w:after="0" w:line="240" w:lineRule="auto"/>
              <w:ind w:left="0" w:right="-106" w:firstLine="0"/>
              <w:rPr>
                <w:sz w:val="22"/>
                <w:szCs w:val="22"/>
              </w:rPr>
            </w:pPr>
            <w:r w:rsidRPr="00973082">
              <w:rPr>
                <w:sz w:val="22"/>
                <w:szCs w:val="22"/>
              </w:rPr>
              <w:t>Uzbekistan</w:t>
            </w:r>
          </w:p>
        </w:tc>
        <w:tc>
          <w:tcPr>
            <w:tcW w:w="1644" w:type="dxa"/>
            <w:noWrap/>
            <w:tcMar>
              <w:top w:w="0" w:type="dxa"/>
              <w:left w:w="108" w:type="dxa"/>
              <w:bottom w:w="0" w:type="dxa"/>
              <w:right w:w="108" w:type="dxa"/>
            </w:tcMar>
            <w:vAlign w:val="center"/>
            <w:hideMark/>
          </w:tcPr>
          <w:p w14:paraId="12F6BF8D"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15</w:t>
            </w:r>
          </w:p>
        </w:tc>
        <w:tc>
          <w:tcPr>
            <w:tcW w:w="846" w:type="dxa"/>
            <w:noWrap/>
            <w:tcMar>
              <w:top w:w="0" w:type="dxa"/>
              <w:left w:w="108" w:type="dxa"/>
              <w:bottom w:w="0" w:type="dxa"/>
              <w:right w:w="108" w:type="dxa"/>
            </w:tcMar>
            <w:vAlign w:val="center"/>
            <w:hideMark/>
          </w:tcPr>
          <w:p w14:paraId="1F1F2CD6"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23</w:t>
            </w:r>
          </w:p>
        </w:tc>
        <w:tc>
          <w:tcPr>
            <w:tcW w:w="846" w:type="dxa"/>
            <w:noWrap/>
            <w:tcMar>
              <w:top w:w="0" w:type="dxa"/>
              <w:left w:w="108" w:type="dxa"/>
              <w:bottom w:w="0" w:type="dxa"/>
              <w:right w:w="108" w:type="dxa"/>
            </w:tcMar>
            <w:vAlign w:val="center"/>
            <w:hideMark/>
          </w:tcPr>
          <w:p w14:paraId="0A07D274"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37</w:t>
            </w:r>
          </w:p>
        </w:tc>
        <w:tc>
          <w:tcPr>
            <w:tcW w:w="1740" w:type="dxa"/>
            <w:noWrap/>
            <w:tcMar>
              <w:top w:w="0" w:type="dxa"/>
              <w:left w:w="108" w:type="dxa"/>
              <w:bottom w:w="0" w:type="dxa"/>
              <w:right w:w="108" w:type="dxa"/>
            </w:tcMar>
            <w:vAlign w:val="center"/>
            <w:hideMark/>
          </w:tcPr>
          <w:p w14:paraId="69217545"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65</w:t>
            </w:r>
          </w:p>
        </w:tc>
        <w:tc>
          <w:tcPr>
            <w:tcW w:w="1438" w:type="dxa"/>
            <w:noWrap/>
            <w:tcMar>
              <w:top w:w="0" w:type="dxa"/>
              <w:left w:w="108" w:type="dxa"/>
              <w:bottom w:w="0" w:type="dxa"/>
              <w:right w:w="108" w:type="dxa"/>
            </w:tcMar>
            <w:vAlign w:val="center"/>
            <w:hideMark/>
          </w:tcPr>
          <w:p w14:paraId="439CBCB2"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140</w:t>
            </w:r>
          </w:p>
        </w:tc>
      </w:tr>
      <w:tr w:rsidR="00960CEA" w14:paraId="1801ED21"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66E81449" w14:textId="77777777" w:rsidR="00CB6688" w:rsidRPr="00973082" w:rsidRDefault="006B79F7" w:rsidP="00A91F49">
            <w:pPr>
              <w:spacing w:before="0" w:after="0" w:line="240" w:lineRule="auto"/>
              <w:ind w:left="0" w:right="-106" w:firstLine="0"/>
              <w:rPr>
                <w:sz w:val="22"/>
                <w:szCs w:val="22"/>
              </w:rPr>
            </w:pPr>
            <w:r w:rsidRPr="00973082">
              <w:rPr>
                <w:sz w:val="22"/>
                <w:szCs w:val="22"/>
              </w:rPr>
              <w:t>Nigeria</w:t>
            </w:r>
          </w:p>
        </w:tc>
        <w:tc>
          <w:tcPr>
            <w:tcW w:w="1644" w:type="dxa"/>
            <w:noWrap/>
            <w:tcMar>
              <w:top w:w="0" w:type="dxa"/>
              <w:left w:w="108" w:type="dxa"/>
              <w:bottom w:w="0" w:type="dxa"/>
              <w:right w:w="108" w:type="dxa"/>
            </w:tcMar>
            <w:vAlign w:val="center"/>
            <w:hideMark/>
          </w:tcPr>
          <w:p w14:paraId="705F1267"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22</w:t>
            </w:r>
          </w:p>
        </w:tc>
        <w:tc>
          <w:tcPr>
            <w:tcW w:w="846" w:type="dxa"/>
            <w:noWrap/>
            <w:tcMar>
              <w:top w:w="0" w:type="dxa"/>
              <w:left w:w="108" w:type="dxa"/>
              <w:bottom w:w="0" w:type="dxa"/>
              <w:right w:w="108" w:type="dxa"/>
            </w:tcMar>
            <w:vAlign w:val="center"/>
            <w:hideMark/>
          </w:tcPr>
          <w:p w14:paraId="0A51EA1D"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42</w:t>
            </w:r>
          </w:p>
        </w:tc>
        <w:tc>
          <w:tcPr>
            <w:tcW w:w="846" w:type="dxa"/>
            <w:noWrap/>
            <w:tcMar>
              <w:top w:w="0" w:type="dxa"/>
              <w:left w:w="108" w:type="dxa"/>
              <w:bottom w:w="0" w:type="dxa"/>
              <w:right w:w="108" w:type="dxa"/>
            </w:tcMar>
            <w:vAlign w:val="center"/>
            <w:hideMark/>
          </w:tcPr>
          <w:p w14:paraId="038F1535"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31</w:t>
            </w:r>
          </w:p>
        </w:tc>
        <w:tc>
          <w:tcPr>
            <w:tcW w:w="1740" w:type="dxa"/>
            <w:noWrap/>
            <w:tcMar>
              <w:top w:w="0" w:type="dxa"/>
              <w:left w:w="108" w:type="dxa"/>
              <w:bottom w:w="0" w:type="dxa"/>
              <w:right w:w="108" w:type="dxa"/>
            </w:tcMar>
            <w:vAlign w:val="center"/>
            <w:hideMark/>
          </w:tcPr>
          <w:p w14:paraId="232D4E59"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33</w:t>
            </w:r>
          </w:p>
        </w:tc>
        <w:tc>
          <w:tcPr>
            <w:tcW w:w="1438" w:type="dxa"/>
            <w:noWrap/>
            <w:tcMar>
              <w:top w:w="0" w:type="dxa"/>
              <w:left w:w="108" w:type="dxa"/>
              <w:bottom w:w="0" w:type="dxa"/>
              <w:right w:w="108" w:type="dxa"/>
            </w:tcMar>
            <w:vAlign w:val="center"/>
            <w:hideMark/>
          </w:tcPr>
          <w:p w14:paraId="1C2379BC"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128</w:t>
            </w:r>
          </w:p>
        </w:tc>
      </w:tr>
      <w:tr w:rsidR="00960CEA" w14:paraId="46A92387"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1CF2B793" w14:textId="77777777" w:rsidR="00CB6688" w:rsidRPr="00973082" w:rsidRDefault="006B79F7" w:rsidP="00A91F49">
            <w:pPr>
              <w:spacing w:before="0" w:after="0" w:line="240" w:lineRule="auto"/>
              <w:ind w:left="0" w:right="-106" w:firstLine="0"/>
              <w:rPr>
                <w:sz w:val="22"/>
                <w:szCs w:val="22"/>
              </w:rPr>
            </w:pPr>
            <w:r w:rsidRPr="00973082">
              <w:rPr>
                <w:sz w:val="22"/>
                <w:szCs w:val="22"/>
              </w:rPr>
              <w:t>Colombia</w:t>
            </w:r>
          </w:p>
        </w:tc>
        <w:tc>
          <w:tcPr>
            <w:tcW w:w="1644" w:type="dxa"/>
            <w:noWrap/>
            <w:tcMar>
              <w:top w:w="0" w:type="dxa"/>
              <w:left w:w="108" w:type="dxa"/>
              <w:bottom w:w="0" w:type="dxa"/>
              <w:right w:w="108" w:type="dxa"/>
            </w:tcMar>
            <w:vAlign w:val="center"/>
            <w:hideMark/>
          </w:tcPr>
          <w:p w14:paraId="267938CD"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22</w:t>
            </w:r>
          </w:p>
        </w:tc>
        <w:tc>
          <w:tcPr>
            <w:tcW w:w="846" w:type="dxa"/>
            <w:noWrap/>
            <w:tcMar>
              <w:top w:w="0" w:type="dxa"/>
              <w:left w:w="108" w:type="dxa"/>
              <w:bottom w:w="0" w:type="dxa"/>
              <w:right w:w="108" w:type="dxa"/>
            </w:tcMar>
            <w:vAlign w:val="center"/>
            <w:hideMark/>
          </w:tcPr>
          <w:p w14:paraId="1384E55F"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20</w:t>
            </w:r>
          </w:p>
        </w:tc>
        <w:tc>
          <w:tcPr>
            <w:tcW w:w="846" w:type="dxa"/>
            <w:noWrap/>
            <w:tcMar>
              <w:top w:w="0" w:type="dxa"/>
              <w:left w:w="108" w:type="dxa"/>
              <w:bottom w:w="0" w:type="dxa"/>
              <w:right w:w="108" w:type="dxa"/>
            </w:tcMar>
            <w:vAlign w:val="center"/>
            <w:hideMark/>
          </w:tcPr>
          <w:p w14:paraId="6C601944"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47</w:t>
            </w:r>
          </w:p>
        </w:tc>
        <w:tc>
          <w:tcPr>
            <w:tcW w:w="1740" w:type="dxa"/>
            <w:noWrap/>
            <w:tcMar>
              <w:top w:w="0" w:type="dxa"/>
              <w:left w:w="108" w:type="dxa"/>
              <w:bottom w:w="0" w:type="dxa"/>
              <w:right w:w="108" w:type="dxa"/>
            </w:tcMar>
            <w:vAlign w:val="center"/>
            <w:hideMark/>
          </w:tcPr>
          <w:p w14:paraId="3DB648E7"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39</w:t>
            </w:r>
          </w:p>
        </w:tc>
        <w:tc>
          <w:tcPr>
            <w:tcW w:w="1438" w:type="dxa"/>
            <w:noWrap/>
            <w:tcMar>
              <w:top w:w="0" w:type="dxa"/>
              <w:left w:w="108" w:type="dxa"/>
              <w:bottom w:w="0" w:type="dxa"/>
              <w:right w:w="108" w:type="dxa"/>
            </w:tcMar>
            <w:vAlign w:val="center"/>
            <w:hideMark/>
          </w:tcPr>
          <w:p w14:paraId="1517A1DC"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128</w:t>
            </w:r>
          </w:p>
        </w:tc>
      </w:tr>
      <w:tr w:rsidR="00960CEA" w14:paraId="534D1B4F"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61C4CB22" w14:textId="77777777" w:rsidR="00CB6688" w:rsidRPr="00973082" w:rsidRDefault="006B79F7" w:rsidP="00A91F49">
            <w:pPr>
              <w:spacing w:before="0" w:after="0" w:line="240" w:lineRule="auto"/>
              <w:ind w:left="0" w:right="-106" w:firstLine="0"/>
              <w:rPr>
                <w:sz w:val="22"/>
                <w:szCs w:val="22"/>
              </w:rPr>
            </w:pPr>
            <w:r w:rsidRPr="00973082">
              <w:rPr>
                <w:sz w:val="22"/>
                <w:szCs w:val="22"/>
              </w:rPr>
              <w:t>Ethiopia</w:t>
            </w:r>
          </w:p>
        </w:tc>
        <w:tc>
          <w:tcPr>
            <w:tcW w:w="1644" w:type="dxa"/>
            <w:noWrap/>
            <w:tcMar>
              <w:top w:w="0" w:type="dxa"/>
              <w:left w:w="108" w:type="dxa"/>
              <w:bottom w:w="0" w:type="dxa"/>
              <w:right w:w="108" w:type="dxa"/>
            </w:tcMar>
            <w:vAlign w:val="center"/>
            <w:hideMark/>
          </w:tcPr>
          <w:p w14:paraId="55B1B011"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30</w:t>
            </w:r>
          </w:p>
        </w:tc>
        <w:tc>
          <w:tcPr>
            <w:tcW w:w="846" w:type="dxa"/>
            <w:noWrap/>
            <w:tcMar>
              <w:top w:w="0" w:type="dxa"/>
              <w:left w:w="108" w:type="dxa"/>
              <w:bottom w:w="0" w:type="dxa"/>
              <w:right w:w="108" w:type="dxa"/>
            </w:tcMar>
            <w:vAlign w:val="center"/>
            <w:hideMark/>
          </w:tcPr>
          <w:p w14:paraId="1CBC586A"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40</w:t>
            </w:r>
          </w:p>
        </w:tc>
        <w:tc>
          <w:tcPr>
            <w:tcW w:w="846" w:type="dxa"/>
            <w:noWrap/>
            <w:tcMar>
              <w:top w:w="0" w:type="dxa"/>
              <w:left w:w="108" w:type="dxa"/>
              <w:bottom w:w="0" w:type="dxa"/>
              <w:right w:w="108" w:type="dxa"/>
            </w:tcMar>
            <w:vAlign w:val="center"/>
            <w:hideMark/>
          </w:tcPr>
          <w:p w14:paraId="0098A4FE"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17</w:t>
            </w:r>
          </w:p>
        </w:tc>
        <w:tc>
          <w:tcPr>
            <w:tcW w:w="1740" w:type="dxa"/>
            <w:noWrap/>
            <w:tcMar>
              <w:top w:w="0" w:type="dxa"/>
              <w:left w:w="108" w:type="dxa"/>
              <w:bottom w:w="0" w:type="dxa"/>
              <w:right w:w="108" w:type="dxa"/>
            </w:tcMar>
            <w:vAlign w:val="center"/>
            <w:hideMark/>
          </w:tcPr>
          <w:p w14:paraId="7AFE4683"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22</w:t>
            </w:r>
          </w:p>
        </w:tc>
        <w:tc>
          <w:tcPr>
            <w:tcW w:w="1438" w:type="dxa"/>
            <w:noWrap/>
            <w:tcMar>
              <w:top w:w="0" w:type="dxa"/>
              <w:left w:w="108" w:type="dxa"/>
              <w:bottom w:w="0" w:type="dxa"/>
              <w:right w:w="108" w:type="dxa"/>
            </w:tcMar>
            <w:vAlign w:val="center"/>
            <w:hideMark/>
          </w:tcPr>
          <w:p w14:paraId="07E4102C"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109</w:t>
            </w:r>
          </w:p>
        </w:tc>
      </w:tr>
      <w:tr w:rsidR="00960CEA" w14:paraId="059D7E3E"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501D8FCC" w14:textId="77777777" w:rsidR="00CB6688" w:rsidRPr="00973082" w:rsidRDefault="006B79F7" w:rsidP="00A91F49">
            <w:pPr>
              <w:spacing w:before="0" w:after="0" w:line="240" w:lineRule="auto"/>
              <w:ind w:left="0" w:right="-106" w:firstLine="0"/>
              <w:rPr>
                <w:sz w:val="22"/>
                <w:szCs w:val="22"/>
              </w:rPr>
            </w:pPr>
            <w:r w:rsidRPr="00973082">
              <w:rPr>
                <w:sz w:val="22"/>
                <w:szCs w:val="22"/>
              </w:rPr>
              <w:t>Nepal</w:t>
            </w:r>
          </w:p>
        </w:tc>
        <w:tc>
          <w:tcPr>
            <w:tcW w:w="1644" w:type="dxa"/>
            <w:noWrap/>
            <w:tcMar>
              <w:top w:w="0" w:type="dxa"/>
              <w:left w:w="108" w:type="dxa"/>
              <w:bottom w:w="0" w:type="dxa"/>
              <w:right w:w="108" w:type="dxa"/>
            </w:tcMar>
            <w:vAlign w:val="center"/>
            <w:hideMark/>
          </w:tcPr>
          <w:p w14:paraId="192266BE"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28</w:t>
            </w:r>
          </w:p>
        </w:tc>
        <w:tc>
          <w:tcPr>
            <w:tcW w:w="846" w:type="dxa"/>
            <w:noWrap/>
            <w:tcMar>
              <w:top w:w="0" w:type="dxa"/>
              <w:left w:w="108" w:type="dxa"/>
              <w:bottom w:w="0" w:type="dxa"/>
              <w:right w:w="108" w:type="dxa"/>
            </w:tcMar>
            <w:vAlign w:val="center"/>
            <w:hideMark/>
          </w:tcPr>
          <w:p w14:paraId="57CC5480"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29</w:t>
            </w:r>
          </w:p>
        </w:tc>
        <w:tc>
          <w:tcPr>
            <w:tcW w:w="846" w:type="dxa"/>
            <w:noWrap/>
            <w:tcMar>
              <w:top w:w="0" w:type="dxa"/>
              <w:left w:w="108" w:type="dxa"/>
              <w:bottom w:w="0" w:type="dxa"/>
              <w:right w:w="108" w:type="dxa"/>
            </w:tcMar>
            <w:vAlign w:val="center"/>
            <w:hideMark/>
          </w:tcPr>
          <w:p w14:paraId="54D2854B"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18</w:t>
            </w:r>
          </w:p>
        </w:tc>
        <w:tc>
          <w:tcPr>
            <w:tcW w:w="1740" w:type="dxa"/>
            <w:noWrap/>
            <w:tcMar>
              <w:top w:w="0" w:type="dxa"/>
              <w:left w:w="108" w:type="dxa"/>
              <w:bottom w:w="0" w:type="dxa"/>
              <w:right w:w="108" w:type="dxa"/>
            </w:tcMar>
            <w:vAlign w:val="center"/>
            <w:hideMark/>
          </w:tcPr>
          <w:p w14:paraId="2B50836F"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34</w:t>
            </w:r>
          </w:p>
        </w:tc>
        <w:tc>
          <w:tcPr>
            <w:tcW w:w="1438" w:type="dxa"/>
            <w:noWrap/>
            <w:tcMar>
              <w:top w:w="0" w:type="dxa"/>
              <w:left w:w="108" w:type="dxa"/>
              <w:bottom w:w="0" w:type="dxa"/>
              <w:right w:w="108" w:type="dxa"/>
            </w:tcMar>
            <w:vAlign w:val="center"/>
            <w:hideMark/>
          </w:tcPr>
          <w:p w14:paraId="4ACF1676"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109</w:t>
            </w:r>
          </w:p>
        </w:tc>
      </w:tr>
      <w:tr w:rsidR="00960CEA" w14:paraId="2202C0F2"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0600CE0B" w14:textId="77777777" w:rsidR="00CB6688" w:rsidRPr="00973082" w:rsidRDefault="006B79F7" w:rsidP="00A91F49">
            <w:pPr>
              <w:spacing w:before="0" w:after="0" w:line="240" w:lineRule="auto"/>
              <w:ind w:left="0" w:right="-106" w:firstLine="0"/>
              <w:rPr>
                <w:sz w:val="22"/>
                <w:szCs w:val="22"/>
              </w:rPr>
            </w:pPr>
            <w:r w:rsidRPr="00973082">
              <w:rPr>
                <w:sz w:val="22"/>
                <w:szCs w:val="22"/>
              </w:rPr>
              <w:t>Vietnam</w:t>
            </w:r>
          </w:p>
        </w:tc>
        <w:tc>
          <w:tcPr>
            <w:tcW w:w="1644" w:type="dxa"/>
            <w:noWrap/>
            <w:tcMar>
              <w:top w:w="0" w:type="dxa"/>
              <w:left w:w="108" w:type="dxa"/>
              <w:bottom w:w="0" w:type="dxa"/>
              <w:right w:w="108" w:type="dxa"/>
            </w:tcMar>
            <w:vAlign w:val="center"/>
            <w:hideMark/>
          </w:tcPr>
          <w:p w14:paraId="67ED3457"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30</w:t>
            </w:r>
          </w:p>
        </w:tc>
        <w:tc>
          <w:tcPr>
            <w:tcW w:w="846" w:type="dxa"/>
            <w:noWrap/>
            <w:tcMar>
              <w:top w:w="0" w:type="dxa"/>
              <w:left w:w="108" w:type="dxa"/>
              <w:bottom w:w="0" w:type="dxa"/>
              <w:right w:w="108" w:type="dxa"/>
            </w:tcMar>
            <w:vAlign w:val="center"/>
            <w:hideMark/>
          </w:tcPr>
          <w:p w14:paraId="11FDDE3A"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22</w:t>
            </w:r>
          </w:p>
        </w:tc>
        <w:tc>
          <w:tcPr>
            <w:tcW w:w="846" w:type="dxa"/>
            <w:noWrap/>
            <w:tcMar>
              <w:top w:w="0" w:type="dxa"/>
              <w:left w:w="108" w:type="dxa"/>
              <w:bottom w:w="0" w:type="dxa"/>
              <w:right w:w="108" w:type="dxa"/>
            </w:tcMar>
            <w:vAlign w:val="center"/>
            <w:hideMark/>
          </w:tcPr>
          <w:p w14:paraId="53430AC5"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34</w:t>
            </w:r>
          </w:p>
        </w:tc>
        <w:tc>
          <w:tcPr>
            <w:tcW w:w="1740" w:type="dxa"/>
            <w:noWrap/>
            <w:tcMar>
              <w:top w:w="0" w:type="dxa"/>
              <w:left w:w="108" w:type="dxa"/>
              <w:bottom w:w="0" w:type="dxa"/>
              <w:right w:w="108" w:type="dxa"/>
            </w:tcMar>
            <w:vAlign w:val="center"/>
            <w:hideMark/>
          </w:tcPr>
          <w:p w14:paraId="4E010E25"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15</w:t>
            </w:r>
          </w:p>
        </w:tc>
        <w:tc>
          <w:tcPr>
            <w:tcW w:w="1438" w:type="dxa"/>
            <w:noWrap/>
            <w:tcMar>
              <w:top w:w="0" w:type="dxa"/>
              <w:left w:w="108" w:type="dxa"/>
              <w:bottom w:w="0" w:type="dxa"/>
              <w:right w:w="108" w:type="dxa"/>
            </w:tcMar>
            <w:vAlign w:val="center"/>
            <w:hideMark/>
          </w:tcPr>
          <w:p w14:paraId="19886E78"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101</w:t>
            </w:r>
          </w:p>
        </w:tc>
      </w:tr>
      <w:tr w:rsidR="00960CEA" w14:paraId="72E54D04"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5EB0C51A" w14:textId="77777777" w:rsidR="00CB6688" w:rsidRPr="00973082" w:rsidRDefault="006B79F7" w:rsidP="00A91F49">
            <w:pPr>
              <w:spacing w:before="0" w:after="0" w:line="240" w:lineRule="auto"/>
              <w:ind w:left="0" w:right="-106" w:firstLine="0"/>
              <w:rPr>
                <w:sz w:val="22"/>
                <w:szCs w:val="22"/>
              </w:rPr>
            </w:pPr>
            <w:r w:rsidRPr="00973082">
              <w:rPr>
                <w:sz w:val="22"/>
                <w:szCs w:val="22"/>
              </w:rPr>
              <w:t>Other countries</w:t>
            </w:r>
          </w:p>
        </w:tc>
        <w:tc>
          <w:tcPr>
            <w:tcW w:w="1644" w:type="dxa"/>
            <w:noWrap/>
            <w:tcMar>
              <w:top w:w="0" w:type="dxa"/>
              <w:left w:w="108" w:type="dxa"/>
              <w:bottom w:w="0" w:type="dxa"/>
              <w:right w:w="108" w:type="dxa"/>
            </w:tcMar>
            <w:vAlign w:val="center"/>
            <w:hideMark/>
          </w:tcPr>
          <w:p w14:paraId="3E865155"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135</w:t>
            </w:r>
          </w:p>
        </w:tc>
        <w:tc>
          <w:tcPr>
            <w:tcW w:w="846" w:type="dxa"/>
            <w:noWrap/>
            <w:tcMar>
              <w:top w:w="0" w:type="dxa"/>
              <w:left w:w="108" w:type="dxa"/>
              <w:bottom w:w="0" w:type="dxa"/>
              <w:right w:w="108" w:type="dxa"/>
            </w:tcMar>
            <w:vAlign w:val="center"/>
            <w:hideMark/>
          </w:tcPr>
          <w:p w14:paraId="41EB1062"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159</w:t>
            </w:r>
          </w:p>
        </w:tc>
        <w:tc>
          <w:tcPr>
            <w:tcW w:w="846" w:type="dxa"/>
            <w:noWrap/>
            <w:tcMar>
              <w:top w:w="0" w:type="dxa"/>
              <w:left w:w="108" w:type="dxa"/>
              <w:bottom w:w="0" w:type="dxa"/>
              <w:right w:w="108" w:type="dxa"/>
            </w:tcMar>
            <w:vAlign w:val="center"/>
            <w:hideMark/>
          </w:tcPr>
          <w:p w14:paraId="71E045A8"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230</w:t>
            </w:r>
          </w:p>
        </w:tc>
        <w:tc>
          <w:tcPr>
            <w:tcW w:w="1740" w:type="dxa"/>
            <w:noWrap/>
            <w:tcMar>
              <w:top w:w="0" w:type="dxa"/>
              <w:left w:w="108" w:type="dxa"/>
              <w:bottom w:w="0" w:type="dxa"/>
              <w:right w:w="108" w:type="dxa"/>
            </w:tcMar>
            <w:vAlign w:val="center"/>
            <w:hideMark/>
          </w:tcPr>
          <w:p w14:paraId="43DD37DD" w14:textId="77777777" w:rsidR="00CB6688" w:rsidRPr="00973082" w:rsidRDefault="006B79F7" w:rsidP="00A91F49">
            <w:pPr>
              <w:spacing w:before="0" w:after="0" w:line="240" w:lineRule="auto"/>
              <w:ind w:left="-168" w:right="-106" w:firstLine="0"/>
              <w:jc w:val="center"/>
              <w:rPr>
                <w:sz w:val="22"/>
                <w:szCs w:val="22"/>
              </w:rPr>
            </w:pPr>
            <w:r w:rsidRPr="00973082">
              <w:rPr>
                <w:sz w:val="22"/>
                <w:szCs w:val="22"/>
              </w:rPr>
              <w:t>316</w:t>
            </w:r>
          </w:p>
        </w:tc>
        <w:tc>
          <w:tcPr>
            <w:tcW w:w="1438" w:type="dxa"/>
            <w:noWrap/>
            <w:tcMar>
              <w:top w:w="0" w:type="dxa"/>
              <w:left w:w="108" w:type="dxa"/>
              <w:bottom w:w="0" w:type="dxa"/>
              <w:right w:w="108" w:type="dxa"/>
            </w:tcMar>
            <w:vAlign w:val="center"/>
            <w:hideMark/>
          </w:tcPr>
          <w:p w14:paraId="18B5009D"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840</w:t>
            </w:r>
          </w:p>
        </w:tc>
      </w:tr>
      <w:tr w:rsidR="00960CEA" w14:paraId="74D28223" w14:textId="77777777" w:rsidTr="00A91F49">
        <w:trPr>
          <w:trHeight w:val="300"/>
          <w:jc w:val="center"/>
        </w:trPr>
        <w:tc>
          <w:tcPr>
            <w:tcW w:w="1860" w:type="dxa"/>
            <w:shd w:val="clear" w:color="auto" w:fill="FFFFFF"/>
            <w:noWrap/>
            <w:tcMar>
              <w:top w:w="0" w:type="dxa"/>
              <w:left w:w="108" w:type="dxa"/>
              <w:bottom w:w="0" w:type="dxa"/>
              <w:right w:w="108" w:type="dxa"/>
            </w:tcMar>
            <w:vAlign w:val="center"/>
            <w:hideMark/>
          </w:tcPr>
          <w:p w14:paraId="61C88551" w14:textId="77777777" w:rsidR="00CB6688" w:rsidRPr="00027EAF" w:rsidRDefault="006B79F7" w:rsidP="00A91F49">
            <w:pPr>
              <w:spacing w:before="0" w:after="0" w:line="240" w:lineRule="auto"/>
              <w:ind w:left="0" w:right="-106" w:firstLine="0"/>
              <w:rPr>
                <w:b/>
                <w:bCs/>
                <w:sz w:val="22"/>
                <w:szCs w:val="22"/>
              </w:rPr>
            </w:pPr>
            <w:r w:rsidRPr="00027EAF">
              <w:rPr>
                <w:b/>
                <w:bCs/>
                <w:sz w:val="22"/>
                <w:szCs w:val="22"/>
              </w:rPr>
              <w:lastRenderedPageBreak/>
              <w:t>Total</w:t>
            </w:r>
          </w:p>
        </w:tc>
        <w:tc>
          <w:tcPr>
            <w:tcW w:w="1644" w:type="dxa"/>
            <w:noWrap/>
            <w:tcMar>
              <w:top w:w="0" w:type="dxa"/>
              <w:left w:w="108" w:type="dxa"/>
              <w:bottom w:w="0" w:type="dxa"/>
              <w:right w:w="108" w:type="dxa"/>
            </w:tcMar>
            <w:vAlign w:val="center"/>
            <w:hideMark/>
          </w:tcPr>
          <w:p w14:paraId="64AF5FCC"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1,954</w:t>
            </w:r>
          </w:p>
        </w:tc>
        <w:tc>
          <w:tcPr>
            <w:tcW w:w="846" w:type="dxa"/>
            <w:noWrap/>
            <w:tcMar>
              <w:top w:w="0" w:type="dxa"/>
              <w:left w:w="108" w:type="dxa"/>
              <w:bottom w:w="0" w:type="dxa"/>
              <w:right w:w="108" w:type="dxa"/>
            </w:tcMar>
            <w:vAlign w:val="center"/>
            <w:hideMark/>
          </w:tcPr>
          <w:p w14:paraId="36FAFA1D"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5,841</w:t>
            </w:r>
          </w:p>
        </w:tc>
        <w:tc>
          <w:tcPr>
            <w:tcW w:w="846" w:type="dxa"/>
            <w:noWrap/>
            <w:tcMar>
              <w:top w:w="0" w:type="dxa"/>
              <w:left w:w="108" w:type="dxa"/>
              <w:bottom w:w="0" w:type="dxa"/>
              <w:right w:w="108" w:type="dxa"/>
            </w:tcMar>
            <w:vAlign w:val="center"/>
            <w:hideMark/>
          </w:tcPr>
          <w:p w14:paraId="5559FEAE"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7,957</w:t>
            </w:r>
          </w:p>
        </w:tc>
        <w:tc>
          <w:tcPr>
            <w:tcW w:w="1740" w:type="dxa"/>
            <w:noWrap/>
            <w:tcMar>
              <w:top w:w="0" w:type="dxa"/>
              <w:left w:w="108" w:type="dxa"/>
              <w:bottom w:w="0" w:type="dxa"/>
              <w:right w:w="108" w:type="dxa"/>
            </w:tcMar>
            <w:vAlign w:val="center"/>
            <w:hideMark/>
          </w:tcPr>
          <w:p w14:paraId="788C325F"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5,968</w:t>
            </w:r>
          </w:p>
        </w:tc>
        <w:tc>
          <w:tcPr>
            <w:tcW w:w="1438" w:type="dxa"/>
            <w:noWrap/>
            <w:tcMar>
              <w:top w:w="0" w:type="dxa"/>
              <w:left w:w="108" w:type="dxa"/>
              <w:bottom w:w="0" w:type="dxa"/>
              <w:right w:w="108" w:type="dxa"/>
            </w:tcMar>
            <w:vAlign w:val="center"/>
            <w:hideMark/>
          </w:tcPr>
          <w:p w14:paraId="35756C8F" w14:textId="77777777" w:rsidR="00CB6688" w:rsidRPr="00027EAF" w:rsidRDefault="006B79F7" w:rsidP="00A91F49">
            <w:pPr>
              <w:spacing w:before="0" w:after="0" w:line="240" w:lineRule="auto"/>
              <w:ind w:left="-168" w:right="-106" w:firstLine="0"/>
              <w:jc w:val="center"/>
              <w:rPr>
                <w:b/>
                <w:bCs/>
                <w:sz w:val="22"/>
                <w:szCs w:val="22"/>
              </w:rPr>
            </w:pPr>
            <w:r w:rsidRPr="00027EAF">
              <w:rPr>
                <w:b/>
                <w:bCs/>
                <w:sz w:val="22"/>
                <w:szCs w:val="22"/>
              </w:rPr>
              <w:t>21,720</w:t>
            </w:r>
          </w:p>
        </w:tc>
      </w:tr>
    </w:tbl>
    <w:p w14:paraId="4AD770E6" w14:textId="77777777" w:rsidR="00FD3B10" w:rsidRPr="00D34240" w:rsidRDefault="00CB6688" w:rsidP="00CB6688">
      <w:pPr>
        <w:spacing w:before="120" w:line="240" w:lineRule="auto"/>
        <w:rPr>
          <w:i/>
          <w:iCs/>
          <w:sz w:val="22"/>
          <w:szCs w:val="22"/>
          <w:rtl/>
        </w:rPr>
      </w:pPr>
      <w:r w:rsidRPr="00FD3B10">
        <w:rPr>
          <w:i/>
          <w:iCs/>
          <w:sz w:val="22"/>
          <w:szCs w:val="22"/>
        </w:rPr>
        <w:t xml:space="preserve">Source: </w:t>
      </w:r>
      <w:r w:rsidRPr="00D34240">
        <w:rPr>
          <w:i/>
          <w:iCs/>
          <w:sz w:val="22"/>
          <w:szCs w:val="22"/>
        </w:rPr>
        <w:t>Population and Immigration Authority, 2019.</w:t>
      </w:r>
    </w:p>
    <w:p w14:paraId="46130EE1" w14:textId="037A3E36" w:rsidR="00001040" w:rsidRPr="00001040" w:rsidRDefault="006B79F7" w:rsidP="009746A3">
      <w:r w:rsidRPr="00001040">
        <w:rPr>
          <w:b/>
          <w:bCs/>
          <w:u w:val="single"/>
        </w:rPr>
        <w:t>Safe Relocation to Third Countries</w:t>
      </w:r>
      <w:r w:rsidRPr="00001040">
        <w:t xml:space="preserve"> </w:t>
      </w:r>
    </w:p>
    <w:p w14:paraId="642EBA15" w14:textId="77777777" w:rsidR="00001040" w:rsidRPr="00001040" w:rsidRDefault="006B79F7" w:rsidP="001F52F8">
      <w:pPr>
        <w:pStyle w:val="aa"/>
        <w:numPr>
          <w:ilvl w:val="0"/>
          <w:numId w:val="2"/>
        </w:numPr>
        <w:ind w:left="567" w:hanging="567"/>
        <w:contextualSpacing w:val="0"/>
        <w:rPr>
          <w:bCs/>
        </w:rPr>
      </w:pPr>
      <w:r w:rsidRPr="00001040">
        <w:t>The AG conditioned legal approval of the safe relocation in safe third countries policy on the following criteria:</w:t>
      </w:r>
    </w:p>
    <w:p w14:paraId="6FA5AA7E" w14:textId="77777777" w:rsidR="00001040" w:rsidRPr="00001040" w:rsidRDefault="006B79F7" w:rsidP="00BB339C">
      <w:pPr>
        <w:numPr>
          <w:ilvl w:val="0"/>
          <w:numId w:val="4"/>
        </w:numPr>
        <w:rPr>
          <w:bCs/>
        </w:rPr>
      </w:pPr>
      <w:r w:rsidRPr="00001040">
        <w:t>There are no wars or general disturbances taking place in the third countries.</w:t>
      </w:r>
    </w:p>
    <w:p w14:paraId="418A8F12" w14:textId="77777777" w:rsidR="00001040" w:rsidRPr="00001040" w:rsidRDefault="006B79F7" w:rsidP="00BB339C">
      <w:pPr>
        <w:numPr>
          <w:ilvl w:val="0"/>
          <w:numId w:val="4"/>
        </w:numPr>
        <w:rPr>
          <w:bCs/>
        </w:rPr>
      </w:pPr>
      <w:r w:rsidRPr="00001040">
        <w:t xml:space="preserve">No UNHCR recommendations exist against relocation to the third countries. </w:t>
      </w:r>
    </w:p>
    <w:p w14:paraId="7B9F8392" w14:textId="77777777" w:rsidR="00001040" w:rsidRPr="00001040" w:rsidRDefault="006B79F7" w:rsidP="00BB339C">
      <w:pPr>
        <w:numPr>
          <w:ilvl w:val="0"/>
          <w:numId w:val="4"/>
        </w:numPr>
        <w:rPr>
          <w:bCs/>
        </w:rPr>
      </w:pPr>
      <w:r w:rsidRPr="00001040">
        <w:t>The life and freedom of the individual are not at risk in the third countries based on race, religion, nationality or membership in a particular social or political group.</w:t>
      </w:r>
    </w:p>
    <w:p w14:paraId="318776AB" w14:textId="77777777" w:rsidR="00001040" w:rsidRPr="00001040" w:rsidRDefault="006B79F7" w:rsidP="00BB339C">
      <w:pPr>
        <w:numPr>
          <w:ilvl w:val="0"/>
          <w:numId w:val="4"/>
        </w:numPr>
        <w:rPr>
          <w:bCs/>
        </w:rPr>
      </w:pPr>
      <w:r w:rsidRPr="00001040">
        <w:t xml:space="preserve">Relocated individuals in the third countries will have access to the asylum procedure or enjoy temporary protection, or, at the very least, these countries are obligated to abide by the </w:t>
      </w:r>
      <w:r w:rsidRPr="00001040">
        <w:rPr>
          <w:i/>
          <w:iCs/>
        </w:rPr>
        <w:t>non-refoulement</w:t>
      </w:r>
      <w:r w:rsidRPr="00001040">
        <w:t xml:space="preserve"> principle.</w:t>
      </w:r>
    </w:p>
    <w:p w14:paraId="34E05710" w14:textId="77777777" w:rsidR="00001040" w:rsidRPr="00001040" w:rsidRDefault="006B79F7" w:rsidP="00BB339C">
      <w:pPr>
        <w:numPr>
          <w:ilvl w:val="0"/>
          <w:numId w:val="4"/>
        </w:numPr>
        <w:rPr>
          <w:bCs/>
        </w:rPr>
      </w:pPr>
      <w:r w:rsidRPr="00001040">
        <w:t>Torture or cruel and degrading treatments are prohibited in the third countries.</w:t>
      </w:r>
    </w:p>
    <w:p w14:paraId="1D78CB98" w14:textId="77777777" w:rsidR="00001040" w:rsidRPr="00001040" w:rsidRDefault="006B79F7" w:rsidP="00BB339C">
      <w:pPr>
        <w:numPr>
          <w:ilvl w:val="0"/>
          <w:numId w:val="4"/>
        </w:numPr>
      </w:pPr>
      <w:r w:rsidRPr="00001040">
        <w:t>The third countries are obligated to allow the relocated individuals means to live in a dignified manner, or at least the possibility to stay and work for a living.</w:t>
      </w:r>
      <w:r w:rsidRPr="00001040">
        <w:rPr>
          <w:bCs/>
        </w:rPr>
        <w:t xml:space="preserve"> </w:t>
      </w:r>
    </w:p>
    <w:p w14:paraId="3E274456" w14:textId="3964FB9E" w:rsidR="008B2BE3" w:rsidRPr="00973082" w:rsidRDefault="006B79F7" w:rsidP="009746A3">
      <w:pPr>
        <w:pStyle w:val="BodyText4"/>
        <w:spacing w:after="240" w:line="360" w:lineRule="auto"/>
        <w:ind w:left="360" w:firstLine="0"/>
        <w:rPr>
          <w:rFonts w:ascii="Times New Roman" w:hAnsi="Times New Roman" w:cs="Times New Roman"/>
          <w:sz w:val="24"/>
          <w:szCs w:val="24"/>
          <w:lang w:val="en-GB"/>
        </w:rPr>
      </w:pPr>
      <w:r w:rsidRPr="00973082">
        <w:rPr>
          <w:rFonts w:ascii="Times New Roman" w:eastAsia="Calibri" w:hAnsi="Times New Roman" w:cs="Times New Roman"/>
          <w:b/>
          <w:bCs/>
          <w:sz w:val="24"/>
          <w:szCs w:val="24"/>
          <w:u w:val="single"/>
        </w:rPr>
        <w:t>Table No. 5 - Voluntary Departures to Sudan, Eritrea and Other African Countries between 2015-2019</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6"/>
        <w:gridCol w:w="850"/>
        <w:gridCol w:w="709"/>
        <w:gridCol w:w="709"/>
        <w:gridCol w:w="598"/>
        <w:gridCol w:w="709"/>
        <w:gridCol w:w="851"/>
        <w:gridCol w:w="850"/>
        <w:gridCol w:w="851"/>
        <w:gridCol w:w="992"/>
        <w:gridCol w:w="961"/>
      </w:tblGrid>
      <w:tr w:rsidR="00960CEA" w14:paraId="79EE2BFA" w14:textId="77777777" w:rsidTr="008E5A4A">
        <w:trPr>
          <w:cantSplit/>
          <w:trHeight w:val="1266"/>
          <w:jc w:val="center"/>
        </w:trPr>
        <w:tc>
          <w:tcPr>
            <w:tcW w:w="846" w:type="dxa"/>
            <w:vMerge w:val="restart"/>
            <w:shd w:val="clear" w:color="auto" w:fill="D9D9D9"/>
            <w:noWrap/>
            <w:tcMar>
              <w:top w:w="0" w:type="dxa"/>
              <w:left w:w="108" w:type="dxa"/>
              <w:bottom w:w="0" w:type="dxa"/>
              <w:right w:w="108" w:type="dxa"/>
            </w:tcMar>
            <w:vAlign w:val="center"/>
            <w:hideMark/>
          </w:tcPr>
          <w:p w14:paraId="037560FA" w14:textId="77777777" w:rsidR="008B2BE3" w:rsidRPr="000548C8" w:rsidRDefault="006B79F7" w:rsidP="008E5A4A">
            <w:pPr>
              <w:spacing w:before="0" w:after="0" w:line="240" w:lineRule="auto"/>
              <w:ind w:left="-71" w:firstLine="0"/>
              <w:jc w:val="center"/>
              <w:rPr>
                <w:b/>
                <w:bCs/>
                <w:sz w:val="22"/>
                <w:szCs w:val="22"/>
              </w:rPr>
            </w:pPr>
            <w:r w:rsidRPr="00973082">
              <w:rPr>
                <w:b/>
                <w:bCs/>
                <w:sz w:val="22"/>
                <w:szCs w:val="22"/>
              </w:rPr>
              <w:t>Year</w:t>
            </w:r>
          </w:p>
        </w:tc>
        <w:tc>
          <w:tcPr>
            <w:tcW w:w="2866" w:type="dxa"/>
            <w:gridSpan w:val="4"/>
            <w:shd w:val="clear" w:color="auto" w:fill="D9D9D9"/>
            <w:noWrap/>
            <w:tcMar>
              <w:top w:w="0" w:type="dxa"/>
              <w:left w:w="108" w:type="dxa"/>
              <w:bottom w:w="0" w:type="dxa"/>
              <w:right w:w="108" w:type="dxa"/>
            </w:tcMar>
            <w:vAlign w:val="center"/>
            <w:hideMark/>
          </w:tcPr>
          <w:p w14:paraId="4916001B" w14:textId="77777777" w:rsidR="008B2BE3" w:rsidRPr="00973082" w:rsidRDefault="006B79F7" w:rsidP="008E5A4A">
            <w:pPr>
              <w:spacing w:before="0" w:after="0" w:line="240" w:lineRule="auto"/>
              <w:ind w:left="-71" w:firstLine="0"/>
              <w:jc w:val="center"/>
              <w:rPr>
                <w:b/>
                <w:bCs/>
                <w:sz w:val="22"/>
                <w:szCs w:val="22"/>
              </w:rPr>
            </w:pPr>
            <w:r w:rsidRPr="00973082">
              <w:rPr>
                <w:b/>
                <w:bCs/>
                <w:sz w:val="22"/>
                <w:szCs w:val="22"/>
              </w:rPr>
              <w:t>Sudan</w:t>
            </w:r>
          </w:p>
        </w:tc>
        <w:tc>
          <w:tcPr>
            <w:tcW w:w="3261" w:type="dxa"/>
            <w:gridSpan w:val="4"/>
            <w:shd w:val="clear" w:color="auto" w:fill="D9D9D9"/>
            <w:noWrap/>
            <w:tcMar>
              <w:top w:w="0" w:type="dxa"/>
              <w:left w:w="108" w:type="dxa"/>
              <w:bottom w:w="0" w:type="dxa"/>
              <w:right w:w="108" w:type="dxa"/>
            </w:tcMar>
            <w:vAlign w:val="center"/>
            <w:hideMark/>
          </w:tcPr>
          <w:p w14:paraId="6C0EE8DE" w14:textId="77777777" w:rsidR="008B2BE3" w:rsidRPr="00973082" w:rsidRDefault="006B79F7" w:rsidP="008E5A4A">
            <w:pPr>
              <w:spacing w:before="0" w:after="0" w:line="240" w:lineRule="auto"/>
              <w:ind w:left="-71" w:firstLine="0"/>
              <w:jc w:val="center"/>
              <w:rPr>
                <w:b/>
                <w:bCs/>
                <w:sz w:val="22"/>
                <w:szCs w:val="22"/>
              </w:rPr>
            </w:pPr>
            <w:r w:rsidRPr="00973082">
              <w:rPr>
                <w:b/>
                <w:bCs/>
                <w:sz w:val="22"/>
                <w:szCs w:val="22"/>
              </w:rPr>
              <w:t>Eritrea</w:t>
            </w:r>
          </w:p>
        </w:tc>
        <w:tc>
          <w:tcPr>
            <w:tcW w:w="992" w:type="dxa"/>
            <w:shd w:val="clear" w:color="auto" w:fill="D9D9D9"/>
            <w:tcMar>
              <w:top w:w="0" w:type="dxa"/>
              <w:left w:w="108" w:type="dxa"/>
              <w:bottom w:w="0" w:type="dxa"/>
              <w:right w:w="108" w:type="dxa"/>
            </w:tcMar>
            <w:textDirection w:val="tbRl"/>
            <w:vAlign w:val="center"/>
            <w:hideMark/>
          </w:tcPr>
          <w:p w14:paraId="13087D6B" w14:textId="72159C03" w:rsidR="008B2BE3" w:rsidRPr="00973082" w:rsidRDefault="006B79F7" w:rsidP="009746A3">
            <w:pPr>
              <w:spacing w:before="0" w:after="0" w:line="240" w:lineRule="auto"/>
              <w:ind w:left="57" w:right="57" w:firstLine="0"/>
              <w:jc w:val="center"/>
              <w:rPr>
                <w:b/>
                <w:bCs/>
                <w:sz w:val="22"/>
                <w:szCs w:val="22"/>
              </w:rPr>
            </w:pPr>
            <w:r w:rsidRPr="00973082">
              <w:rPr>
                <w:b/>
                <w:bCs/>
                <w:sz w:val="22"/>
                <w:szCs w:val="22"/>
              </w:rPr>
              <w:t>Other African Countries</w:t>
            </w:r>
          </w:p>
        </w:tc>
        <w:tc>
          <w:tcPr>
            <w:tcW w:w="961" w:type="dxa"/>
            <w:vMerge w:val="restart"/>
            <w:shd w:val="clear" w:color="auto" w:fill="D9D9D9"/>
            <w:tcMar>
              <w:top w:w="0" w:type="dxa"/>
              <w:left w:w="108" w:type="dxa"/>
              <w:bottom w:w="0" w:type="dxa"/>
              <w:right w:w="108" w:type="dxa"/>
            </w:tcMar>
            <w:vAlign w:val="center"/>
            <w:hideMark/>
          </w:tcPr>
          <w:p w14:paraId="47C03395" w14:textId="77777777" w:rsidR="008B2BE3" w:rsidRPr="00027EAF" w:rsidRDefault="006B79F7" w:rsidP="008E5A4A">
            <w:pPr>
              <w:spacing w:before="0" w:after="0" w:line="240" w:lineRule="auto"/>
              <w:ind w:left="0" w:firstLine="17"/>
              <w:jc w:val="center"/>
              <w:rPr>
                <w:b/>
                <w:bCs/>
                <w:sz w:val="22"/>
                <w:szCs w:val="22"/>
              </w:rPr>
            </w:pPr>
            <w:r w:rsidRPr="00027EAF">
              <w:rPr>
                <w:b/>
                <w:bCs/>
                <w:sz w:val="22"/>
                <w:szCs w:val="22"/>
              </w:rPr>
              <w:t>Total Africa</w:t>
            </w:r>
          </w:p>
          <w:p w14:paraId="3387C06F" w14:textId="77777777" w:rsidR="008B2BE3" w:rsidRPr="00973082" w:rsidRDefault="008B2BE3" w:rsidP="008E5A4A">
            <w:pPr>
              <w:spacing w:before="0" w:after="0" w:line="240" w:lineRule="auto"/>
              <w:ind w:left="-76"/>
              <w:jc w:val="center"/>
              <w:rPr>
                <w:b/>
                <w:bCs/>
                <w:sz w:val="22"/>
                <w:szCs w:val="22"/>
              </w:rPr>
            </w:pPr>
          </w:p>
        </w:tc>
      </w:tr>
      <w:tr w:rsidR="00960CEA" w14:paraId="3ED897B4" w14:textId="77777777" w:rsidTr="008E5A4A">
        <w:trPr>
          <w:cantSplit/>
          <w:trHeight w:val="1839"/>
          <w:jc w:val="center"/>
        </w:trPr>
        <w:tc>
          <w:tcPr>
            <w:tcW w:w="846" w:type="dxa"/>
            <w:vMerge/>
            <w:shd w:val="clear" w:color="auto" w:fill="D9D9D9"/>
            <w:noWrap/>
            <w:tcMar>
              <w:top w:w="0" w:type="dxa"/>
              <w:left w:w="108" w:type="dxa"/>
              <w:bottom w:w="0" w:type="dxa"/>
              <w:right w:w="108" w:type="dxa"/>
            </w:tcMar>
            <w:vAlign w:val="bottom"/>
            <w:hideMark/>
          </w:tcPr>
          <w:p w14:paraId="411A04DD" w14:textId="77777777" w:rsidR="008B2BE3" w:rsidRPr="000548C8" w:rsidRDefault="008B2BE3" w:rsidP="008E5A4A">
            <w:pPr>
              <w:spacing w:before="0" w:after="0" w:line="240" w:lineRule="auto"/>
              <w:ind w:left="-71" w:firstLine="0"/>
              <w:jc w:val="center"/>
              <w:rPr>
                <w:b/>
                <w:bCs/>
                <w:sz w:val="22"/>
                <w:szCs w:val="22"/>
                <w:rtl/>
              </w:rPr>
            </w:pPr>
          </w:p>
        </w:tc>
        <w:tc>
          <w:tcPr>
            <w:tcW w:w="850" w:type="dxa"/>
            <w:shd w:val="clear" w:color="auto" w:fill="D9D9D9"/>
            <w:tcMar>
              <w:top w:w="0" w:type="dxa"/>
              <w:left w:w="108" w:type="dxa"/>
              <w:bottom w:w="0" w:type="dxa"/>
              <w:right w:w="108" w:type="dxa"/>
            </w:tcMar>
            <w:textDirection w:val="tbRl"/>
            <w:vAlign w:val="center"/>
            <w:hideMark/>
          </w:tcPr>
          <w:p w14:paraId="1E39739F" w14:textId="77777777" w:rsidR="008B2BE3" w:rsidRPr="00973082" w:rsidRDefault="006B79F7" w:rsidP="008E5A4A">
            <w:pPr>
              <w:spacing w:before="0" w:after="0" w:line="240" w:lineRule="auto"/>
              <w:ind w:left="57" w:right="57" w:firstLine="0"/>
              <w:jc w:val="center"/>
              <w:rPr>
                <w:b/>
                <w:bCs/>
                <w:sz w:val="22"/>
                <w:szCs w:val="22"/>
              </w:rPr>
            </w:pPr>
            <w:r w:rsidRPr="00973082">
              <w:rPr>
                <w:b/>
                <w:bCs/>
                <w:sz w:val="22"/>
                <w:szCs w:val="22"/>
              </w:rPr>
              <w:t>Return to country of origin</w:t>
            </w:r>
          </w:p>
        </w:tc>
        <w:tc>
          <w:tcPr>
            <w:tcW w:w="709" w:type="dxa"/>
            <w:shd w:val="clear" w:color="auto" w:fill="D9D9D9"/>
            <w:tcMar>
              <w:top w:w="0" w:type="dxa"/>
              <w:left w:w="108" w:type="dxa"/>
              <w:bottom w:w="0" w:type="dxa"/>
              <w:right w:w="108" w:type="dxa"/>
            </w:tcMar>
            <w:textDirection w:val="tbRl"/>
            <w:vAlign w:val="center"/>
            <w:hideMark/>
          </w:tcPr>
          <w:p w14:paraId="1D154C5E" w14:textId="77777777" w:rsidR="008B2BE3" w:rsidRPr="00973082" w:rsidRDefault="006B79F7" w:rsidP="008E5A4A">
            <w:pPr>
              <w:spacing w:before="0" w:after="0" w:line="240" w:lineRule="auto"/>
              <w:ind w:left="57" w:right="57" w:firstLine="0"/>
              <w:jc w:val="center"/>
              <w:rPr>
                <w:b/>
                <w:bCs/>
                <w:sz w:val="22"/>
                <w:szCs w:val="22"/>
              </w:rPr>
            </w:pPr>
            <w:r w:rsidRPr="00973082">
              <w:rPr>
                <w:b/>
                <w:bCs/>
                <w:sz w:val="22"/>
                <w:szCs w:val="22"/>
              </w:rPr>
              <w:t>Departure to third countries</w:t>
            </w:r>
          </w:p>
        </w:tc>
        <w:tc>
          <w:tcPr>
            <w:tcW w:w="709" w:type="dxa"/>
            <w:shd w:val="clear" w:color="auto" w:fill="D9D9D9"/>
            <w:tcMar>
              <w:top w:w="0" w:type="dxa"/>
              <w:left w:w="108" w:type="dxa"/>
              <w:bottom w:w="0" w:type="dxa"/>
              <w:right w:w="108" w:type="dxa"/>
            </w:tcMar>
            <w:textDirection w:val="tbRl"/>
            <w:vAlign w:val="center"/>
            <w:hideMark/>
          </w:tcPr>
          <w:p w14:paraId="551F6F10" w14:textId="77777777" w:rsidR="008B2BE3" w:rsidRDefault="006B79F7" w:rsidP="008E5A4A">
            <w:pPr>
              <w:spacing w:before="0" w:after="0" w:line="240" w:lineRule="auto"/>
              <w:ind w:left="57" w:right="57" w:firstLine="0"/>
              <w:jc w:val="center"/>
              <w:rPr>
                <w:b/>
                <w:bCs/>
                <w:sz w:val="22"/>
                <w:szCs w:val="22"/>
              </w:rPr>
            </w:pPr>
            <w:r w:rsidRPr="00973082">
              <w:rPr>
                <w:b/>
                <w:bCs/>
                <w:sz w:val="22"/>
                <w:szCs w:val="22"/>
              </w:rPr>
              <w:t>Other</w:t>
            </w:r>
          </w:p>
          <w:p w14:paraId="31F4AC81" w14:textId="77777777" w:rsidR="008B2BE3" w:rsidRPr="00973082" w:rsidRDefault="006B79F7" w:rsidP="008E5A4A">
            <w:pPr>
              <w:spacing w:before="0" w:after="0" w:line="240" w:lineRule="auto"/>
              <w:ind w:left="57" w:right="57" w:firstLine="0"/>
              <w:jc w:val="center"/>
              <w:rPr>
                <w:b/>
                <w:bCs/>
                <w:sz w:val="22"/>
                <w:szCs w:val="22"/>
              </w:rPr>
            </w:pPr>
            <w:r w:rsidRPr="00973082">
              <w:rPr>
                <w:b/>
                <w:bCs/>
                <w:sz w:val="22"/>
                <w:szCs w:val="22"/>
              </w:rPr>
              <w:t>destinations</w:t>
            </w:r>
          </w:p>
        </w:tc>
        <w:tc>
          <w:tcPr>
            <w:tcW w:w="598" w:type="dxa"/>
            <w:shd w:val="clear" w:color="auto" w:fill="D9D9D9"/>
            <w:tcMar>
              <w:top w:w="0" w:type="dxa"/>
              <w:left w:w="108" w:type="dxa"/>
              <w:bottom w:w="0" w:type="dxa"/>
              <w:right w:w="108" w:type="dxa"/>
            </w:tcMar>
            <w:textDirection w:val="tbRl"/>
            <w:vAlign w:val="center"/>
            <w:hideMark/>
          </w:tcPr>
          <w:p w14:paraId="128A95BA" w14:textId="77777777" w:rsidR="008B2BE3" w:rsidRPr="00973082" w:rsidRDefault="006B79F7" w:rsidP="008E5A4A">
            <w:pPr>
              <w:spacing w:before="0" w:after="0" w:line="240" w:lineRule="auto"/>
              <w:ind w:left="57" w:right="57" w:firstLine="0"/>
              <w:jc w:val="center"/>
              <w:rPr>
                <w:b/>
                <w:bCs/>
                <w:sz w:val="22"/>
                <w:szCs w:val="22"/>
              </w:rPr>
            </w:pPr>
            <w:r w:rsidRPr="00973082">
              <w:rPr>
                <w:b/>
                <w:bCs/>
                <w:sz w:val="22"/>
                <w:szCs w:val="22"/>
              </w:rPr>
              <w:t>Total</w:t>
            </w:r>
          </w:p>
        </w:tc>
        <w:tc>
          <w:tcPr>
            <w:tcW w:w="709" w:type="dxa"/>
            <w:shd w:val="clear" w:color="auto" w:fill="D9D9D9"/>
            <w:tcMar>
              <w:top w:w="0" w:type="dxa"/>
              <w:left w:w="108" w:type="dxa"/>
              <w:bottom w:w="0" w:type="dxa"/>
              <w:right w:w="108" w:type="dxa"/>
            </w:tcMar>
            <w:textDirection w:val="tbRl"/>
            <w:vAlign w:val="center"/>
            <w:hideMark/>
          </w:tcPr>
          <w:p w14:paraId="699EB146" w14:textId="77777777" w:rsidR="008B2BE3" w:rsidRPr="00973082" w:rsidRDefault="006B79F7" w:rsidP="008E5A4A">
            <w:pPr>
              <w:spacing w:before="0" w:after="0" w:line="240" w:lineRule="auto"/>
              <w:ind w:left="57" w:right="57" w:firstLine="0"/>
              <w:jc w:val="center"/>
              <w:rPr>
                <w:b/>
                <w:bCs/>
                <w:sz w:val="22"/>
                <w:szCs w:val="22"/>
              </w:rPr>
            </w:pPr>
            <w:r w:rsidRPr="00973082">
              <w:rPr>
                <w:b/>
                <w:bCs/>
                <w:sz w:val="22"/>
                <w:szCs w:val="22"/>
              </w:rPr>
              <w:t>Return to country of origin</w:t>
            </w:r>
          </w:p>
        </w:tc>
        <w:tc>
          <w:tcPr>
            <w:tcW w:w="851" w:type="dxa"/>
            <w:shd w:val="clear" w:color="auto" w:fill="D9D9D9"/>
            <w:tcMar>
              <w:top w:w="0" w:type="dxa"/>
              <w:left w:w="108" w:type="dxa"/>
              <w:bottom w:w="0" w:type="dxa"/>
              <w:right w:w="108" w:type="dxa"/>
            </w:tcMar>
            <w:textDirection w:val="tbRl"/>
            <w:vAlign w:val="center"/>
            <w:hideMark/>
          </w:tcPr>
          <w:p w14:paraId="0803A6D2" w14:textId="77777777" w:rsidR="008B2BE3" w:rsidRPr="00973082" w:rsidRDefault="006B79F7" w:rsidP="008E5A4A">
            <w:pPr>
              <w:spacing w:before="0" w:after="0" w:line="240" w:lineRule="auto"/>
              <w:ind w:left="57" w:right="57" w:firstLine="0"/>
              <w:jc w:val="center"/>
              <w:rPr>
                <w:b/>
                <w:bCs/>
                <w:sz w:val="22"/>
                <w:szCs w:val="22"/>
              </w:rPr>
            </w:pPr>
            <w:r w:rsidRPr="00973082">
              <w:rPr>
                <w:b/>
                <w:bCs/>
                <w:sz w:val="22"/>
                <w:szCs w:val="22"/>
              </w:rPr>
              <w:t>Departure to third countries</w:t>
            </w:r>
          </w:p>
        </w:tc>
        <w:tc>
          <w:tcPr>
            <w:tcW w:w="850" w:type="dxa"/>
            <w:shd w:val="clear" w:color="auto" w:fill="D9D9D9"/>
            <w:tcMar>
              <w:top w:w="0" w:type="dxa"/>
              <w:left w:w="108" w:type="dxa"/>
              <w:bottom w:w="0" w:type="dxa"/>
              <w:right w:w="108" w:type="dxa"/>
            </w:tcMar>
            <w:textDirection w:val="tbRl"/>
            <w:vAlign w:val="center"/>
            <w:hideMark/>
          </w:tcPr>
          <w:p w14:paraId="0F237858" w14:textId="77777777" w:rsidR="008B2BE3" w:rsidRPr="00973082" w:rsidRDefault="006B79F7" w:rsidP="008E5A4A">
            <w:pPr>
              <w:spacing w:before="0" w:after="0" w:line="240" w:lineRule="auto"/>
              <w:ind w:left="57" w:right="57" w:firstLine="0"/>
              <w:jc w:val="center"/>
              <w:rPr>
                <w:b/>
                <w:bCs/>
                <w:sz w:val="22"/>
                <w:szCs w:val="22"/>
              </w:rPr>
            </w:pPr>
            <w:r w:rsidRPr="00973082">
              <w:rPr>
                <w:b/>
                <w:bCs/>
                <w:sz w:val="22"/>
                <w:szCs w:val="22"/>
              </w:rPr>
              <w:t>Other destinations</w:t>
            </w:r>
          </w:p>
        </w:tc>
        <w:tc>
          <w:tcPr>
            <w:tcW w:w="851" w:type="dxa"/>
            <w:shd w:val="clear" w:color="auto" w:fill="D9D9D9"/>
            <w:tcMar>
              <w:top w:w="0" w:type="dxa"/>
              <w:left w:w="108" w:type="dxa"/>
              <w:bottom w:w="0" w:type="dxa"/>
              <w:right w:w="108" w:type="dxa"/>
            </w:tcMar>
            <w:textDirection w:val="tbRl"/>
            <w:vAlign w:val="center"/>
            <w:hideMark/>
          </w:tcPr>
          <w:p w14:paraId="5ECC8855" w14:textId="77777777" w:rsidR="008B2BE3" w:rsidRPr="00973082" w:rsidRDefault="006B79F7" w:rsidP="008E5A4A">
            <w:pPr>
              <w:spacing w:before="0" w:after="0" w:line="240" w:lineRule="auto"/>
              <w:ind w:left="57" w:right="57" w:firstLine="0"/>
              <w:jc w:val="center"/>
              <w:rPr>
                <w:b/>
                <w:bCs/>
                <w:sz w:val="22"/>
                <w:szCs w:val="22"/>
              </w:rPr>
            </w:pPr>
            <w:r w:rsidRPr="00973082">
              <w:rPr>
                <w:b/>
                <w:bCs/>
                <w:sz w:val="22"/>
                <w:szCs w:val="22"/>
              </w:rPr>
              <w:t>Total</w:t>
            </w:r>
          </w:p>
        </w:tc>
        <w:tc>
          <w:tcPr>
            <w:tcW w:w="992" w:type="dxa"/>
            <w:shd w:val="clear" w:color="auto" w:fill="D9D9D9"/>
            <w:tcMar>
              <w:top w:w="0" w:type="dxa"/>
              <w:left w:w="108" w:type="dxa"/>
              <w:bottom w:w="0" w:type="dxa"/>
              <w:right w:w="108" w:type="dxa"/>
            </w:tcMar>
            <w:textDirection w:val="tbRl"/>
            <w:vAlign w:val="center"/>
            <w:hideMark/>
          </w:tcPr>
          <w:p w14:paraId="6796FFD7" w14:textId="77777777" w:rsidR="008B2BE3" w:rsidRPr="00973082" w:rsidRDefault="006B79F7" w:rsidP="008E5A4A">
            <w:pPr>
              <w:spacing w:before="0" w:after="0" w:line="240" w:lineRule="auto"/>
              <w:ind w:left="57" w:firstLine="0"/>
              <w:jc w:val="center"/>
              <w:rPr>
                <w:b/>
                <w:bCs/>
                <w:sz w:val="22"/>
                <w:szCs w:val="22"/>
              </w:rPr>
            </w:pPr>
            <w:r w:rsidRPr="00973082">
              <w:rPr>
                <w:b/>
                <w:bCs/>
                <w:sz w:val="22"/>
                <w:szCs w:val="22"/>
              </w:rPr>
              <w:t>Total</w:t>
            </w:r>
          </w:p>
        </w:tc>
        <w:tc>
          <w:tcPr>
            <w:tcW w:w="961" w:type="dxa"/>
            <w:vMerge/>
            <w:shd w:val="clear" w:color="auto" w:fill="D9D9D9"/>
            <w:tcMar>
              <w:top w:w="0" w:type="dxa"/>
              <w:left w:w="108" w:type="dxa"/>
              <w:bottom w:w="0" w:type="dxa"/>
              <w:right w:w="108" w:type="dxa"/>
            </w:tcMar>
            <w:vAlign w:val="center"/>
            <w:hideMark/>
          </w:tcPr>
          <w:p w14:paraId="26E1C894" w14:textId="77777777" w:rsidR="008B2BE3" w:rsidRPr="00973082" w:rsidRDefault="008B2BE3" w:rsidP="008E5A4A">
            <w:pPr>
              <w:spacing w:before="0" w:after="0" w:line="240" w:lineRule="auto"/>
              <w:rPr>
                <w:b/>
                <w:bCs/>
                <w:sz w:val="22"/>
                <w:szCs w:val="22"/>
              </w:rPr>
            </w:pPr>
          </w:p>
        </w:tc>
      </w:tr>
      <w:tr w:rsidR="00960CEA" w14:paraId="1AA74980" w14:textId="77777777" w:rsidTr="008E5A4A">
        <w:trPr>
          <w:trHeight w:val="57"/>
          <w:jc w:val="center"/>
        </w:trPr>
        <w:tc>
          <w:tcPr>
            <w:tcW w:w="846" w:type="dxa"/>
            <w:shd w:val="clear" w:color="auto" w:fill="FFFFFF"/>
            <w:noWrap/>
            <w:tcMar>
              <w:top w:w="0" w:type="dxa"/>
              <w:left w:w="108" w:type="dxa"/>
              <w:bottom w:w="0" w:type="dxa"/>
              <w:right w:w="108" w:type="dxa"/>
            </w:tcMar>
            <w:vAlign w:val="center"/>
            <w:hideMark/>
          </w:tcPr>
          <w:p w14:paraId="1640A83D" w14:textId="77777777" w:rsidR="008B2BE3" w:rsidRPr="001F52F8" w:rsidRDefault="006B79F7" w:rsidP="008E5A4A">
            <w:pPr>
              <w:spacing w:before="0" w:after="0" w:line="240" w:lineRule="auto"/>
              <w:ind w:left="-100" w:right="-105" w:firstLine="19"/>
              <w:jc w:val="center"/>
              <w:rPr>
                <w:sz w:val="22"/>
                <w:szCs w:val="22"/>
                <w:rtl/>
              </w:rPr>
            </w:pPr>
            <w:r w:rsidRPr="001F52F8">
              <w:rPr>
                <w:sz w:val="22"/>
                <w:szCs w:val="22"/>
              </w:rPr>
              <w:lastRenderedPageBreak/>
              <w:t>2015</w:t>
            </w:r>
          </w:p>
        </w:tc>
        <w:tc>
          <w:tcPr>
            <w:tcW w:w="850" w:type="dxa"/>
            <w:shd w:val="clear" w:color="auto" w:fill="FFFFFF"/>
            <w:noWrap/>
            <w:tcMar>
              <w:top w:w="0" w:type="dxa"/>
              <w:left w:w="108" w:type="dxa"/>
              <w:bottom w:w="0" w:type="dxa"/>
              <w:right w:w="108" w:type="dxa"/>
            </w:tcMar>
            <w:vAlign w:val="center"/>
            <w:hideMark/>
          </w:tcPr>
          <w:p w14:paraId="4982E974"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133</w:t>
            </w:r>
          </w:p>
        </w:tc>
        <w:tc>
          <w:tcPr>
            <w:tcW w:w="709" w:type="dxa"/>
            <w:shd w:val="clear" w:color="auto" w:fill="FFFFFF"/>
            <w:noWrap/>
            <w:tcMar>
              <w:top w:w="0" w:type="dxa"/>
              <w:left w:w="108" w:type="dxa"/>
              <w:bottom w:w="0" w:type="dxa"/>
              <w:right w:w="108" w:type="dxa"/>
            </w:tcMar>
            <w:vAlign w:val="center"/>
            <w:hideMark/>
          </w:tcPr>
          <w:p w14:paraId="3E42D0F2"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449</w:t>
            </w:r>
          </w:p>
        </w:tc>
        <w:tc>
          <w:tcPr>
            <w:tcW w:w="709" w:type="dxa"/>
            <w:shd w:val="clear" w:color="auto" w:fill="FFFFFF"/>
            <w:noWrap/>
            <w:tcMar>
              <w:top w:w="0" w:type="dxa"/>
              <w:left w:w="108" w:type="dxa"/>
              <w:bottom w:w="0" w:type="dxa"/>
              <w:right w:w="108" w:type="dxa"/>
            </w:tcMar>
            <w:vAlign w:val="center"/>
            <w:hideMark/>
          </w:tcPr>
          <w:p w14:paraId="2456AA88"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18</w:t>
            </w:r>
          </w:p>
        </w:tc>
        <w:tc>
          <w:tcPr>
            <w:tcW w:w="598" w:type="dxa"/>
            <w:shd w:val="clear" w:color="auto" w:fill="FFFFFF"/>
            <w:noWrap/>
            <w:tcMar>
              <w:top w:w="0" w:type="dxa"/>
              <w:left w:w="108" w:type="dxa"/>
              <w:bottom w:w="0" w:type="dxa"/>
              <w:right w:w="108" w:type="dxa"/>
            </w:tcMar>
            <w:vAlign w:val="center"/>
            <w:hideMark/>
          </w:tcPr>
          <w:p w14:paraId="2BD8FC59"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600</w:t>
            </w:r>
          </w:p>
        </w:tc>
        <w:tc>
          <w:tcPr>
            <w:tcW w:w="709" w:type="dxa"/>
            <w:shd w:val="clear" w:color="auto" w:fill="FFFFFF"/>
            <w:noWrap/>
            <w:tcMar>
              <w:top w:w="0" w:type="dxa"/>
              <w:left w:w="108" w:type="dxa"/>
              <w:bottom w:w="0" w:type="dxa"/>
              <w:right w:w="108" w:type="dxa"/>
            </w:tcMar>
            <w:vAlign w:val="center"/>
            <w:hideMark/>
          </w:tcPr>
          <w:p w14:paraId="3E55AD1C"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953</w:t>
            </w:r>
          </w:p>
        </w:tc>
        <w:tc>
          <w:tcPr>
            <w:tcW w:w="851" w:type="dxa"/>
            <w:shd w:val="clear" w:color="auto" w:fill="FFFFFF"/>
            <w:noWrap/>
            <w:tcMar>
              <w:top w:w="0" w:type="dxa"/>
              <w:left w:w="108" w:type="dxa"/>
              <w:bottom w:w="0" w:type="dxa"/>
              <w:right w:w="108" w:type="dxa"/>
            </w:tcMar>
            <w:vAlign w:val="center"/>
            <w:hideMark/>
          </w:tcPr>
          <w:p w14:paraId="77DEEFA6"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1,058</w:t>
            </w:r>
          </w:p>
        </w:tc>
        <w:tc>
          <w:tcPr>
            <w:tcW w:w="850" w:type="dxa"/>
            <w:shd w:val="clear" w:color="auto" w:fill="FFFFFF"/>
            <w:noWrap/>
            <w:tcMar>
              <w:top w:w="0" w:type="dxa"/>
              <w:left w:w="108" w:type="dxa"/>
              <w:bottom w:w="0" w:type="dxa"/>
              <w:right w:w="108" w:type="dxa"/>
            </w:tcMar>
            <w:vAlign w:val="center"/>
            <w:hideMark/>
          </w:tcPr>
          <w:p w14:paraId="3E9CA366"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469</w:t>
            </w:r>
          </w:p>
        </w:tc>
        <w:tc>
          <w:tcPr>
            <w:tcW w:w="851" w:type="dxa"/>
            <w:shd w:val="clear" w:color="auto" w:fill="FFFFFF"/>
            <w:noWrap/>
            <w:tcMar>
              <w:top w:w="0" w:type="dxa"/>
              <w:left w:w="108" w:type="dxa"/>
              <w:bottom w:w="0" w:type="dxa"/>
              <w:right w:w="108" w:type="dxa"/>
            </w:tcMar>
            <w:vAlign w:val="center"/>
            <w:hideMark/>
          </w:tcPr>
          <w:p w14:paraId="1A354FB5"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2,480</w:t>
            </w:r>
          </w:p>
        </w:tc>
        <w:tc>
          <w:tcPr>
            <w:tcW w:w="992" w:type="dxa"/>
            <w:shd w:val="clear" w:color="auto" w:fill="FFFFFF"/>
            <w:noWrap/>
            <w:tcMar>
              <w:top w:w="0" w:type="dxa"/>
              <w:left w:w="108" w:type="dxa"/>
              <w:bottom w:w="0" w:type="dxa"/>
              <w:right w:w="108" w:type="dxa"/>
            </w:tcMar>
            <w:vAlign w:val="center"/>
            <w:hideMark/>
          </w:tcPr>
          <w:p w14:paraId="0A3F8975"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301</w:t>
            </w:r>
          </w:p>
        </w:tc>
        <w:tc>
          <w:tcPr>
            <w:tcW w:w="961" w:type="dxa"/>
            <w:shd w:val="clear" w:color="auto" w:fill="FFFFFF"/>
            <w:noWrap/>
            <w:tcMar>
              <w:top w:w="0" w:type="dxa"/>
              <w:left w:w="108" w:type="dxa"/>
              <w:bottom w:w="0" w:type="dxa"/>
              <w:right w:w="108" w:type="dxa"/>
            </w:tcMar>
            <w:vAlign w:val="center"/>
            <w:hideMark/>
          </w:tcPr>
          <w:p w14:paraId="4288F18B"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3,381</w:t>
            </w:r>
          </w:p>
        </w:tc>
      </w:tr>
      <w:tr w:rsidR="00960CEA" w14:paraId="1569819B" w14:textId="77777777" w:rsidTr="008E5A4A">
        <w:trPr>
          <w:trHeight w:val="57"/>
          <w:jc w:val="center"/>
        </w:trPr>
        <w:tc>
          <w:tcPr>
            <w:tcW w:w="846" w:type="dxa"/>
            <w:shd w:val="clear" w:color="auto" w:fill="FFFFFF"/>
            <w:noWrap/>
            <w:tcMar>
              <w:top w:w="0" w:type="dxa"/>
              <w:left w:w="108" w:type="dxa"/>
              <w:bottom w:w="0" w:type="dxa"/>
              <w:right w:w="108" w:type="dxa"/>
            </w:tcMar>
            <w:vAlign w:val="center"/>
            <w:hideMark/>
          </w:tcPr>
          <w:p w14:paraId="1EBB6B79" w14:textId="77777777" w:rsidR="008B2BE3" w:rsidRPr="001F52F8" w:rsidRDefault="006B79F7" w:rsidP="008E5A4A">
            <w:pPr>
              <w:spacing w:before="0" w:after="0" w:line="240" w:lineRule="auto"/>
              <w:ind w:left="-100" w:right="-105" w:firstLine="19"/>
              <w:jc w:val="center"/>
              <w:rPr>
                <w:sz w:val="22"/>
                <w:szCs w:val="22"/>
                <w:rtl/>
              </w:rPr>
            </w:pPr>
            <w:r w:rsidRPr="001F52F8">
              <w:rPr>
                <w:sz w:val="22"/>
                <w:szCs w:val="22"/>
              </w:rPr>
              <w:t>2016</w:t>
            </w:r>
          </w:p>
        </w:tc>
        <w:tc>
          <w:tcPr>
            <w:tcW w:w="850" w:type="dxa"/>
            <w:shd w:val="clear" w:color="auto" w:fill="FFFFFF"/>
            <w:noWrap/>
            <w:tcMar>
              <w:top w:w="0" w:type="dxa"/>
              <w:left w:w="108" w:type="dxa"/>
              <w:bottom w:w="0" w:type="dxa"/>
              <w:right w:w="108" w:type="dxa"/>
            </w:tcMar>
            <w:vAlign w:val="center"/>
            <w:hideMark/>
          </w:tcPr>
          <w:p w14:paraId="1716CEBC"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102</w:t>
            </w:r>
          </w:p>
        </w:tc>
        <w:tc>
          <w:tcPr>
            <w:tcW w:w="709" w:type="dxa"/>
            <w:shd w:val="clear" w:color="auto" w:fill="FFFFFF"/>
            <w:noWrap/>
            <w:tcMar>
              <w:top w:w="0" w:type="dxa"/>
              <w:left w:w="108" w:type="dxa"/>
              <w:bottom w:w="0" w:type="dxa"/>
              <w:right w:w="108" w:type="dxa"/>
            </w:tcMar>
            <w:vAlign w:val="center"/>
            <w:hideMark/>
          </w:tcPr>
          <w:p w14:paraId="6105CA9A"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272</w:t>
            </w:r>
          </w:p>
        </w:tc>
        <w:tc>
          <w:tcPr>
            <w:tcW w:w="709" w:type="dxa"/>
            <w:shd w:val="clear" w:color="auto" w:fill="FFFFFF"/>
            <w:noWrap/>
            <w:tcMar>
              <w:top w:w="0" w:type="dxa"/>
              <w:left w:w="108" w:type="dxa"/>
              <w:bottom w:w="0" w:type="dxa"/>
              <w:right w:w="108" w:type="dxa"/>
            </w:tcMar>
            <w:vAlign w:val="center"/>
            <w:hideMark/>
          </w:tcPr>
          <w:p w14:paraId="363A5AA6"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16</w:t>
            </w:r>
          </w:p>
        </w:tc>
        <w:tc>
          <w:tcPr>
            <w:tcW w:w="598" w:type="dxa"/>
            <w:shd w:val="clear" w:color="auto" w:fill="FFFFFF"/>
            <w:noWrap/>
            <w:tcMar>
              <w:top w:w="0" w:type="dxa"/>
              <w:left w:w="108" w:type="dxa"/>
              <w:bottom w:w="0" w:type="dxa"/>
              <w:right w:w="108" w:type="dxa"/>
            </w:tcMar>
            <w:vAlign w:val="center"/>
            <w:hideMark/>
          </w:tcPr>
          <w:p w14:paraId="77B470F0"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390</w:t>
            </w:r>
          </w:p>
        </w:tc>
        <w:tc>
          <w:tcPr>
            <w:tcW w:w="709" w:type="dxa"/>
            <w:shd w:val="clear" w:color="auto" w:fill="FFFFFF"/>
            <w:noWrap/>
            <w:tcMar>
              <w:top w:w="0" w:type="dxa"/>
              <w:left w:w="108" w:type="dxa"/>
              <w:bottom w:w="0" w:type="dxa"/>
              <w:right w:w="108" w:type="dxa"/>
            </w:tcMar>
            <w:vAlign w:val="center"/>
            <w:hideMark/>
          </w:tcPr>
          <w:p w14:paraId="605D90D6"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734</w:t>
            </w:r>
          </w:p>
        </w:tc>
        <w:tc>
          <w:tcPr>
            <w:tcW w:w="851" w:type="dxa"/>
            <w:shd w:val="clear" w:color="auto" w:fill="FFFFFF"/>
            <w:noWrap/>
            <w:tcMar>
              <w:top w:w="0" w:type="dxa"/>
              <w:left w:w="108" w:type="dxa"/>
              <w:bottom w:w="0" w:type="dxa"/>
              <w:right w:w="108" w:type="dxa"/>
            </w:tcMar>
            <w:vAlign w:val="center"/>
            <w:hideMark/>
          </w:tcPr>
          <w:p w14:paraId="008A4015"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564</w:t>
            </w:r>
          </w:p>
        </w:tc>
        <w:tc>
          <w:tcPr>
            <w:tcW w:w="850" w:type="dxa"/>
            <w:shd w:val="clear" w:color="auto" w:fill="FFFFFF"/>
            <w:noWrap/>
            <w:tcMar>
              <w:top w:w="0" w:type="dxa"/>
              <w:left w:w="108" w:type="dxa"/>
              <w:bottom w:w="0" w:type="dxa"/>
              <w:right w:w="108" w:type="dxa"/>
            </w:tcMar>
            <w:vAlign w:val="center"/>
            <w:hideMark/>
          </w:tcPr>
          <w:p w14:paraId="52C90D0A"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1,331</w:t>
            </w:r>
          </w:p>
        </w:tc>
        <w:tc>
          <w:tcPr>
            <w:tcW w:w="851" w:type="dxa"/>
            <w:shd w:val="clear" w:color="auto" w:fill="FFFFFF"/>
            <w:noWrap/>
            <w:tcMar>
              <w:top w:w="0" w:type="dxa"/>
              <w:left w:w="108" w:type="dxa"/>
              <w:bottom w:w="0" w:type="dxa"/>
              <w:right w:w="108" w:type="dxa"/>
            </w:tcMar>
            <w:vAlign w:val="center"/>
            <w:hideMark/>
          </w:tcPr>
          <w:p w14:paraId="0606274F"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2,629</w:t>
            </w:r>
          </w:p>
        </w:tc>
        <w:tc>
          <w:tcPr>
            <w:tcW w:w="992" w:type="dxa"/>
            <w:shd w:val="clear" w:color="auto" w:fill="FFFFFF"/>
            <w:noWrap/>
            <w:tcMar>
              <w:top w:w="0" w:type="dxa"/>
              <w:left w:w="108" w:type="dxa"/>
              <w:bottom w:w="0" w:type="dxa"/>
              <w:right w:w="108" w:type="dxa"/>
            </w:tcMar>
            <w:vAlign w:val="center"/>
            <w:hideMark/>
          </w:tcPr>
          <w:p w14:paraId="351EA524"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227</w:t>
            </w:r>
          </w:p>
        </w:tc>
        <w:tc>
          <w:tcPr>
            <w:tcW w:w="961" w:type="dxa"/>
            <w:shd w:val="clear" w:color="auto" w:fill="FFFFFF"/>
            <w:noWrap/>
            <w:tcMar>
              <w:top w:w="0" w:type="dxa"/>
              <w:left w:w="108" w:type="dxa"/>
              <w:bottom w:w="0" w:type="dxa"/>
              <w:right w:w="108" w:type="dxa"/>
            </w:tcMar>
            <w:vAlign w:val="center"/>
            <w:hideMark/>
          </w:tcPr>
          <w:p w14:paraId="73B22CB1"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3,246</w:t>
            </w:r>
          </w:p>
        </w:tc>
      </w:tr>
      <w:tr w:rsidR="00960CEA" w14:paraId="458C386A" w14:textId="77777777" w:rsidTr="008E5A4A">
        <w:trPr>
          <w:trHeight w:val="621"/>
          <w:jc w:val="center"/>
        </w:trPr>
        <w:tc>
          <w:tcPr>
            <w:tcW w:w="846" w:type="dxa"/>
            <w:shd w:val="clear" w:color="auto" w:fill="FFFFFF"/>
            <w:noWrap/>
            <w:tcMar>
              <w:top w:w="0" w:type="dxa"/>
              <w:left w:w="108" w:type="dxa"/>
              <w:bottom w:w="0" w:type="dxa"/>
              <w:right w:w="108" w:type="dxa"/>
            </w:tcMar>
            <w:vAlign w:val="center"/>
            <w:hideMark/>
          </w:tcPr>
          <w:p w14:paraId="0B9DE22A" w14:textId="77777777" w:rsidR="008B2BE3" w:rsidRPr="001F52F8" w:rsidRDefault="006B79F7" w:rsidP="008E5A4A">
            <w:pPr>
              <w:spacing w:before="0" w:after="0" w:line="240" w:lineRule="auto"/>
              <w:ind w:left="-100" w:right="-105" w:firstLine="19"/>
              <w:jc w:val="center"/>
              <w:rPr>
                <w:sz w:val="22"/>
                <w:szCs w:val="22"/>
                <w:rtl/>
              </w:rPr>
            </w:pPr>
            <w:r w:rsidRPr="001F52F8">
              <w:rPr>
                <w:sz w:val="22"/>
                <w:szCs w:val="22"/>
              </w:rPr>
              <w:t>2017</w:t>
            </w:r>
          </w:p>
        </w:tc>
        <w:tc>
          <w:tcPr>
            <w:tcW w:w="850" w:type="dxa"/>
            <w:shd w:val="clear" w:color="auto" w:fill="FFFFFF"/>
            <w:noWrap/>
            <w:tcMar>
              <w:top w:w="0" w:type="dxa"/>
              <w:left w:w="108" w:type="dxa"/>
              <w:bottom w:w="0" w:type="dxa"/>
              <w:right w:w="108" w:type="dxa"/>
            </w:tcMar>
            <w:vAlign w:val="center"/>
            <w:hideMark/>
          </w:tcPr>
          <w:p w14:paraId="42FA2A58"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91</w:t>
            </w:r>
          </w:p>
        </w:tc>
        <w:tc>
          <w:tcPr>
            <w:tcW w:w="709" w:type="dxa"/>
            <w:shd w:val="clear" w:color="auto" w:fill="FFFFFF"/>
            <w:noWrap/>
            <w:tcMar>
              <w:top w:w="0" w:type="dxa"/>
              <w:left w:w="108" w:type="dxa"/>
              <w:bottom w:w="0" w:type="dxa"/>
              <w:right w:w="108" w:type="dxa"/>
            </w:tcMar>
            <w:vAlign w:val="center"/>
            <w:hideMark/>
          </w:tcPr>
          <w:p w14:paraId="12373795"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113</w:t>
            </w:r>
          </w:p>
        </w:tc>
        <w:tc>
          <w:tcPr>
            <w:tcW w:w="709" w:type="dxa"/>
            <w:shd w:val="clear" w:color="auto" w:fill="FFFFFF"/>
            <w:noWrap/>
            <w:tcMar>
              <w:top w:w="0" w:type="dxa"/>
              <w:left w:w="108" w:type="dxa"/>
              <w:bottom w:w="0" w:type="dxa"/>
              <w:right w:w="108" w:type="dxa"/>
            </w:tcMar>
            <w:vAlign w:val="center"/>
            <w:hideMark/>
          </w:tcPr>
          <w:p w14:paraId="6B5BF8C9"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29</w:t>
            </w:r>
          </w:p>
        </w:tc>
        <w:tc>
          <w:tcPr>
            <w:tcW w:w="598" w:type="dxa"/>
            <w:shd w:val="clear" w:color="auto" w:fill="FFFFFF"/>
            <w:noWrap/>
            <w:tcMar>
              <w:top w:w="0" w:type="dxa"/>
              <w:left w:w="108" w:type="dxa"/>
              <w:bottom w:w="0" w:type="dxa"/>
              <w:right w:w="108" w:type="dxa"/>
            </w:tcMar>
            <w:vAlign w:val="center"/>
            <w:hideMark/>
          </w:tcPr>
          <w:p w14:paraId="426436EC"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233</w:t>
            </w:r>
          </w:p>
        </w:tc>
        <w:tc>
          <w:tcPr>
            <w:tcW w:w="709" w:type="dxa"/>
            <w:shd w:val="clear" w:color="auto" w:fill="FFFFFF"/>
            <w:noWrap/>
            <w:tcMar>
              <w:top w:w="0" w:type="dxa"/>
              <w:left w:w="108" w:type="dxa"/>
              <w:bottom w:w="0" w:type="dxa"/>
              <w:right w:w="108" w:type="dxa"/>
            </w:tcMar>
            <w:vAlign w:val="center"/>
            <w:hideMark/>
          </w:tcPr>
          <w:p w14:paraId="199BD7F9"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468</w:t>
            </w:r>
          </w:p>
        </w:tc>
        <w:tc>
          <w:tcPr>
            <w:tcW w:w="851" w:type="dxa"/>
            <w:shd w:val="clear" w:color="auto" w:fill="FFFFFF"/>
            <w:noWrap/>
            <w:tcMar>
              <w:top w:w="0" w:type="dxa"/>
              <w:left w:w="108" w:type="dxa"/>
              <w:bottom w:w="0" w:type="dxa"/>
              <w:right w:w="108" w:type="dxa"/>
            </w:tcMar>
            <w:vAlign w:val="center"/>
            <w:hideMark/>
          </w:tcPr>
          <w:p w14:paraId="0AB935F0"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561</w:t>
            </w:r>
          </w:p>
        </w:tc>
        <w:tc>
          <w:tcPr>
            <w:tcW w:w="850" w:type="dxa"/>
            <w:shd w:val="clear" w:color="auto" w:fill="FFFFFF"/>
            <w:noWrap/>
            <w:tcMar>
              <w:top w:w="0" w:type="dxa"/>
              <w:left w:w="108" w:type="dxa"/>
              <w:bottom w:w="0" w:type="dxa"/>
              <w:right w:w="108" w:type="dxa"/>
            </w:tcMar>
            <w:vAlign w:val="center"/>
            <w:hideMark/>
          </w:tcPr>
          <w:p w14:paraId="7E5700CA"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1,866</w:t>
            </w:r>
          </w:p>
        </w:tc>
        <w:tc>
          <w:tcPr>
            <w:tcW w:w="851" w:type="dxa"/>
            <w:shd w:val="clear" w:color="auto" w:fill="FFFFFF"/>
            <w:noWrap/>
            <w:tcMar>
              <w:top w:w="0" w:type="dxa"/>
              <w:left w:w="108" w:type="dxa"/>
              <w:bottom w:w="0" w:type="dxa"/>
              <w:right w:w="108" w:type="dxa"/>
            </w:tcMar>
            <w:vAlign w:val="center"/>
            <w:hideMark/>
          </w:tcPr>
          <w:p w14:paraId="6AC645F5"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2,895</w:t>
            </w:r>
          </w:p>
        </w:tc>
        <w:tc>
          <w:tcPr>
            <w:tcW w:w="992" w:type="dxa"/>
            <w:shd w:val="clear" w:color="auto" w:fill="FFFFFF"/>
            <w:noWrap/>
            <w:tcMar>
              <w:top w:w="0" w:type="dxa"/>
              <w:left w:w="108" w:type="dxa"/>
              <w:bottom w:w="0" w:type="dxa"/>
              <w:right w:w="108" w:type="dxa"/>
            </w:tcMar>
            <w:vAlign w:val="center"/>
            <w:hideMark/>
          </w:tcPr>
          <w:p w14:paraId="5376BC84"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247</w:t>
            </w:r>
          </w:p>
        </w:tc>
        <w:tc>
          <w:tcPr>
            <w:tcW w:w="961" w:type="dxa"/>
            <w:shd w:val="clear" w:color="auto" w:fill="FFFFFF"/>
            <w:noWrap/>
            <w:tcMar>
              <w:top w:w="0" w:type="dxa"/>
              <w:left w:w="108" w:type="dxa"/>
              <w:bottom w:w="0" w:type="dxa"/>
              <w:right w:w="108" w:type="dxa"/>
            </w:tcMar>
            <w:vAlign w:val="center"/>
            <w:hideMark/>
          </w:tcPr>
          <w:p w14:paraId="0D2AFF2E"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3,375</w:t>
            </w:r>
          </w:p>
        </w:tc>
      </w:tr>
      <w:tr w:rsidR="00960CEA" w14:paraId="607B1C00" w14:textId="77777777" w:rsidTr="008E5A4A">
        <w:trPr>
          <w:trHeight w:val="57"/>
          <w:jc w:val="center"/>
        </w:trPr>
        <w:tc>
          <w:tcPr>
            <w:tcW w:w="846" w:type="dxa"/>
            <w:shd w:val="clear" w:color="auto" w:fill="FFFFFF"/>
            <w:noWrap/>
            <w:tcMar>
              <w:top w:w="0" w:type="dxa"/>
              <w:left w:w="108" w:type="dxa"/>
              <w:bottom w:w="0" w:type="dxa"/>
              <w:right w:w="108" w:type="dxa"/>
            </w:tcMar>
            <w:vAlign w:val="center"/>
            <w:hideMark/>
          </w:tcPr>
          <w:p w14:paraId="2F5D16E5" w14:textId="77777777" w:rsidR="008B2BE3" w:rsidRPr="001F52F8" w:rsidRDefault="006B79F7" w:rsidP="008E5A4A">
            <w:pPr>
              <w:spacing w:before="0" w:after="0" w:line="240" w:lineRule="auto"/>
              <w:ind w:left="-100" w:right="-105" w:firstLine="19"/>
              <w:jc w:val="center"/>
              <w:rPr>
                <w:sz w:val="22"/>
                <w:szCs w:val="22"/>
                <w:rtl/>
              </w:rPr>
            </w:pPr>
            <w:r w:rsidRPr="001F52F8">
              <w:rPr>
                <w:sz w:val="22"/>
                <w:szCs w:val="22"/>
              </w:rPr>
              <w:t>2018</w:t>
            </w:r>
          </w:p>
        </w:tc>
        <w:tc>
          <w:tcPr>
            <w:tcW w:w="850" w:type="dxa"/>
            <w:shd w:val="clear" w:color="auto" w:fill="FFFFFF"/>
            <w:noWrap/>
            <w:tcMar>
              <w:top w:w="0" w:type="dxa"/>
              <w:left w:w="108" w:type="dxa"/>
              <w:bottom w:w="0" w:type="dxa"/>
              <w:right w:w="108" w:type="dxa"/>
            </w:tcMar>
            <w:vAlign w:val="center"/>
            <w:hideMark/>
          </w:tcPr>
          <w:p w14:paraId="2144279C"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49</w:t>
            </w:r>
          </w:p>
        </w:tc>
        <w:tc>
          <w:tcPr>
            <w:tcW w:w="709" w:type="dxa"/>
            <w:shd w:val="clear" w:color="auto" w:fill="FFFFFF"/>
            <w:noWrap/>
            <w:tcMar>
              <w:top w:w="0" w:type="dxa"/>
              <w:left w:w="108" w:type="dxa"/>
              <w:bottom w:w="0" w:type="dxa"/>
              <w:right w:w="108" w:type="dxa"/>
            </w:tcMar>
            <w:vAlign w:val="center"/>
            <w:hideMark/>
          </w:tcPr>
          <w:p w14:paraId="4EB04C09"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87</w:t>
            </w:r>
          </w:p>
        </w:tc>
        <w:tc>
          <w:tcPr>
            <w:tcW w:w="709" w:type="dxa"/>
            <w:shd w:val="clear" w:color="auto" w:fill="FFFFFF"/>
            <w:noWrap/>
            <w:tcMar>
              <w:top w:w="0" w:type="dxa"/>
              <w:left w:w="108" w:type="dxa"/>
              <w:bottom w:w="0" w:type="dxa"/>
              <w:right w:w="108" w:type="dxa"/>
            </w:tcMar>
            <w:vAlign w:val="center"/>
            <w:hideMark/>
          </w:tcPr>
          <w:p w14:paraId="5C61D03B"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20</w:t>
            </w:r>
          </w:p>
        </w:tc>
        <w:tc>
          <w:tcPr>
            <w:tcW w:w="598" w:type="dxa"/>
            <w:shd w:val="clear" w:color="auto" w:fill="FFFFFF"/>
            <w:noWrap/>
            <w:tcMar>
              <w:top w:w="0" w:type="dxa"/>
              <w:left w:w="108" w:type="dxa"/>
              <w:bottom w:w="0" w:type="dxa"/>
              <w:right w:w="108" w:type="dxa"/>
            </w:tcMar>
            <w:vAlign w:val="center"/>
            <w:hideMark/>
          </w:tcPr>
          <w:p w14:paraId="2F7E54E8"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156</w:t>
            </w:r>
          </w:p>
        </w:tc>
        <w:tc>
          <w:tcPr>
            <w:tcW w:w="709" w:type="dxa"/>
            <w:shd w:val="clear" w:color="auto" w:fill="FFFFFF"/>
            <w:noWrap/>
            <w:tcMar>
              <w:top w:w="0" w:type="dxa"/>
              <w:left w:w="108" w:type="dxa"/>
              <w:bottom w:w="0" w:type="dxa"/>
              <w:right w:w="108" w:type="dxa"/>
            </w:tcMar>
            <w:vAlign w:val="center"/>
            <w:hideMark/>
          </w:tcPr>
          <w:p w14:paraId="1C8C0A38"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297</w:t>
            </w:r>
          </w:p>
        </w:tc>
        <w:tc>
          <w:tcPr>
            <w:tcW w:w="851" w:type="dxa"/>
            <w:shd w:val="clear" w:color="auto" w:fill="FFFFFF"/>
            <w:noWrap/>
            <w:tcMar>
              <w:top w:w="0" w:type="dxa"/>
              <w:left w:w="108" w:type="dxa"/>
              <w:bottom w:w="0" w:type="dxa"/>
              <w:right w:w="108" w:type="dxa"/>
            </w:tcMar>
            <w:vAlign w:val="center"/>
            <w:hideMark/>
          </w:tcPr>
          <w:p w14:paraId="4370DA30"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272</w:t>
            </w:r>
          </w:p>
        </w:tc>
        <w:tc>
          <w:tcPr>
            <w:tcW w:w="850" w:type="dxa"/>
            <w:shd w:val="clear" w:color="auto" w:fill="FFFFFF"/>
            <w:noWrap/>
            <w:tcMar>
              <w:top w:w="0" w:type="dxa"/>
              <w:left w:w="108" w:type="dxa"/>
              <w:bottom w:w="0" w:type="dxa"/>
              <w:right w:w="108" w:type="dxa"/>
            </w:tcMar>
            <w:vAlign w:val="center"/>
            <w:hideMark/>
          </w:tcPr>
          <w:p w14:paraId="5B6F4717"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1,701</w:t>
            </w:r>
          </w:p>
        </w:tc>
        <w:tc>
          <w:tcPr>
            <w:tcW w:w="851" w:type="dxa"/>
            <w:shd w:val="clear" w:color="auto" w:fill="FFFFFF"/>
            <w:noWrap/>
            <w:tcMar>
              <w:top w:w="0" w:type="dxa"/>
              <w:left w:w="108" w:type="dxa"/>
              <w:bottom w:w="0" w:type="dxa"/>
              <w:right w:w="108" w:type="dxa"/>
            </w:tcMar>
            <w:vAlign w:val="center"/>
            <w:hideMark/>
          </w:tcPr>
          <w:p w14:paraId="57072D86" w14:textId="77777777" w:rsidR="008B2BE3" w:rsidRPr="001F52F8" w:rsidRDefault="006B79F7" w:rsidP="008E5A4A">
            <w:pPr>
              <w:spacing w:before="0" w:after="0" w:line="240" w:lineRule="auto"/>
              <w:ind w:left="-107" w:right="-105" w:firstLine="19"/>
              <w:jc w:val="center"/>
              <w:rPr>
                <w:sz w:val="22"/>
                <w:szCs w:val="22"/>
              </w:rPr>
            </w:pPr>
            <w:r w:rsidRPr="001F52F8">
              <w:rPr>
                <w:sz w:val="22"/>
                <w:szCs w:val="22"/>
              </w:rPr>
              <w:t>2,270</w:t>
            </w:r>
          </w:p>
        </w:tc>
        <w:tc>
          <w:tcPr>
            <w:tcW w:w="992" w:type="dxa"/>
            <w:shd w:val="clear" w:color="auto" w:fill="FFFFFF"/>
            <w:noWrap/>
            <w:tcMar>
              <w:top w:w="0" w:type="dxa"/>
              <w:left w:w="108" w:type="dxa"/>
              <w:bottom w:w="0" w:type="dxa"/>
              <w:right w:w="108" w:type="dxa"/>
            </w:tcMar>
            <w:vAlign w:val="center"/>
            <w:hideMark/>
          </w:tcPr>
          <w:p w14:paraId="496A444C"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241</w:t>
            </w:r>
          </w:p>
        </w:tc>
        <w:tc>
          <w:tcPr>
            <w:tcW w:w="961" w:type="dxa"/>
            <w:shd w:val="clear" w:color="auto" w:fill="FFFFFF"/>
            <w:noWrap/>
            <w:tcMar>
              <w:top w:w="0" w:type="dxa"/>
              <w:left w:w="108" w:type="dxa"/>
              <w:bottom w:w="0" w:type="dxa"/>
              <w:right w:w="108" w:type="dxa"/>
            </w:tcMar>
            <w:vAlign w:val="center"/>
            <w:hideMark/>
          </w:tcPr>
          <w:p w14:paraId="0CCAF08D"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2,667</w:t>
            </w:r>
          </w:p>
        </w:tc>
      </w:tr>
      <w:tr w:rsidR="00960CEA" w14:paraId="6FF62B9F" w14:textId="77777777" w:rsidTr="008E5A4A">
        <w:trPr>
          <w:cantSplit/>
          <w:trHeight w:val="732"/>
          <w:jc w:val="center"/>
        </w:trPr>
        <w:tc>
          <w:tcPr>
            <w:tcW w:w="846" w:type="dxa"/>
            <w:shd w:val="clear" w:color="auto" w:fill="FFFFFF"/>
            <w:noWrap/>
            <w:tcMar>
              <w:top w:w="0" w:type="dxa"/>
              <w:left w:w="108" w:type="dxa"/>
              <w:bottom w:w="0" w:type="dxa"/>
              <w:right w:w="108" w:type="dxa"/>
            </w:tcMar>
            <w:vAlign w:val="center"/>
            <w:hideMark/>
          </w:tcPr>
          <w:p w14:paraId="6DEE107A" w14:textId="77777777" w:rsidR="008B2BE3" w:rsidRPr="001F52F8" w:rsidRDefault="006B79F7" w:rsidP="008E5A4A">
            <w:pPr>
              <w:spacing w:before="0" w:after="0" w:line="240" w:lineRule="auto"/>
              <w:ind w:left="-100" w:right="-105" w:firstLine="19"/>
              <w:jc w:val="center"/>
              <w:rPr>
                <w:sz w:val="22"/>
                <w:szCs w:val="22"/>
                <w:rtl/>
              </w:rPr>
            </w:pPr>
            <w:r w:rsidRPr="001F52F8">
              <w:rPr>
                <w:sz w:val="22"/>
                <w:szCs w:val="22"/>
              </w:rPr>
              <w:t>2019 (Nov. 30th)</w:t>
            </w:r>
          </w:p>
        </w:tc>
        <w:tc>
          <w:tcPr>
            <w:tcW w:w="850" w:type="dxa"/>
            <w:shd w:val="clear" w:color="auto" w:fill="FFFFFF"/>
            <w:noWrap/>
            <w:tcMar>
              <w:top w:w="0" w:type="dxa"/>
              <w:left w:w="108" w:type="dxa"/>
              <w:bottom w:w="0" w:type="dxa"/>
              <w:right w:w="108" w:type="dxa"/>
            </w:tcMar>
            <w:vAlign w:val="center"/>
            <w:hideMark/>
          </w:tcPr>
          <w:p w14:paraId="60FB0869"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72</w:t>
            </w:r>
          </w:p>
        </w:tc>
        <w:tc>
          <w:tcPr>
            <w:tcW w:w="709" w:type="dxa"/>
            <w:shd w:val="clear" w:color="auto" w:fill="FFFFFF"/>
            <w:noWrap/>
            <w:tcMar>
              <w:top w:w="0" w:type="dxa"/>
              <w:left w:w="108" w:type="dxa"/>
              <w:bottom w:w="0" w:type="dxa"/>
              <w:right w:w="108" w:type="dxa"/>
            </w:tcMar>
            <w:vAlign w:val="center"/>
            <w:hideMark/>
          </w:tcPr>
          <w:p w14:paraId="197E9A29"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60</w:t>
            </w:r>
          </w:p>
        </w:tc>
        <w:tc>
          <w:tcPr>
            <w:tcW w:w="709" w:type="dxa"/>
            <w:shd w:val="clear" w:color="auto" w:fill="FFFFFF"/>
            <w:noWrap/>
            <w:tcMar>
              <w:top w:w="0" w:type="dxa"/>
              <w:left w:w="108" w:type="dxa"/>
              <w:bottom w:w="0" w:type="dxa"/>
              <w:right w:w="108" w:type="dxa"/>
            </w:tcMar>
            <w:vAlign w:val="center"/>
            <w:hideMark/>
          </w:tcPr>
          <w:p w14:paraId="28ECCD98"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50</w:t>
            </w:r>
          </w:p>
        </w:tc>
        <w:tc>
          <w:tcPr>
            <w:tcW w:w="598" w:type="dxa"/>
            <w:shd w:val="clear" w:color="auto" w:fill="FFFFFF"/>
            <w:noWrap/>
            <w:tcMar>
              <w:top w:w="0" w:type="dxa"/>
              <w:left w:w="108" w:type="dxa"/>
              <w:bottom w:w="0" w:type="dxa"/>
              <w:right w:w="108" w:type="dxa"/>
            </w:tcMar>
            <w:vAlign w:val="center"/>
            <w:hideMark/>
          </w:tcPr>
          <w:p w14:paraId="1F980AA0"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182</w:t>
            </w:r>
          </w:p>
        </w:tc>
        <w:tc>
          <w:tcPr>
            <w:tcW w:w="709" w:type="dxa"/>
            <w:shd w:val="clear" w:color="auto" w:fill="FFFFFF"/>
            <w:noWrap/>
            <w:tcMar>
              <w:top w:w="0" w:type="dxa"/>
              <w:left w:w="108" w:type="dxa"/>
              <w:bottom w:w="0" w:type="dxa"/>
              <w:right w:w="108" w:type="dxa"/>
            </w:tcMar>
            <w:vAlign w:val="center"/>
            <w:hideMark/>
          </w:tcPr>
          <w:p w14:paraId="26DC5DC4"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350</w:t>
            </w:r>
          </w:p>
        </w:tc>
        <w:tc>
          <w:tcPr>
            <w:tcW w:w="851" w:type="dxa"/>
            <w:shd w:val="clear" w:color="auto" w:fill="FFFFFF"/>
            <w:noWrap/>
            <w:tcMar>
              <w:top w:w="0" w:type="dxa"/>
              <w:left w:w="108" w:type="dxa"/>
              <w:bottom w:w="0" w:type="dxa"/>
              <w:right w:w="108" w:type="dxa"/>
            </w:tcMar>
            <w:vAlign w:val="center"/>
            <w:hideMark/>
          </w:tcPr>
          <w:p w14:paraId="6F05E02C"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298</w:t>
            </w:r>
          </w:p>
        </w:tc>
        <w:tc>
          <w:tcPr>
            <w:tcW w:w="850" w:type="dxa"/>
            <w:shd w:val="clear" w:color="auto" w:fill="FFFFFF"/>
            <w:noWrap/>
            <w:tcMar>
              <w:top w:w="0" w:type="dxa"/>
              <w:left w:w="108" w:type="dxa"/>
              <w:bottom w:w="0" w:type="dxa"/>
              <w:right w:w="108" w:type="dxa"/>
            </w:tcMar>
            <w:vAlign w:val="center"/>
            <w:hideMark/>
          </w:tcPr>
          <w:p w14:paraId="4F75EC1F" w14:textId="77777777" w:rsidR="008B2BE3" w:rsidRPr="00973082" w:rsidRDefault="006B79F7" w:rsidP="008E5A4A">
            <w:pPr>
              <w:spacing w:before="0" w:after="0" w:line="240" w:lineRule="auto"/>
              <w:ind w:left="-100" w:right="-105" w:firstLine="19"/>
              <w:jc w:val="center"/>
              <w:rPr>
                <w:sz w:val="22"/>
                <w:szCs w:val="22"/>
              </w:rPr>
            </w:pPr>
            <w:r w:rsidRPr="00973082">
              <w:rPr>
                <w:sz w:val="22"/>
                <w:szCs w:val="22"/>
              </w:rPr>
              <w:t>1,315</w:t>
            </w:r>
          </w:p>
        </w:tc>
        <w:tc>
          <w:tcPr>
            <w:tcW w:w="851" w:type="dxa"/>
            <w:shd w:val="clear" w:color="auto" w:fill="FFFFFF"/>
            <w:noWrap/>
            <w:tcMar>
              <w:top w:w="0" w:type="dxa"/>
              <w:left w:w="108" w:type="dxa"/>
              <w:bottom w:w="0" w:type="dxa"/>
              <w:right w:w="108" w:type="dxa"/>
            </w:tcMar>
            <w:vAlign w:val="center"/>
            <w:hideMark/>
          </w:tcPr>
          <w:p w14:paraId="79F05014"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1,963</w:t>
            </w:r>
          </w:p>
        </w:tc>
        <w:tc>
          <w:tcPr>
            <w:tcW w:w="992" w:type="dxa"/>
            <w:shd w:val="clear" w:color="auto" w:fill="FFFFFF"/>
            <w:noWrap/>
            <w:tcMar>
              <w:top w:w="0" w:type="dxa"/>
              <w:left w:w="108" w:type="dxa"/>
              <w:bottom w:w="0" w:type="dxa"/>
              <w:right w:w="108" w:type="dxa"/>
            </w:tcMar>
            <w:vAlign w:val="center"/>
            <w:hideMark/>
          </w:tcPr>
          <w:p w14:paraId="133D01E9"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238</w:t>
            </w:r>
          </w:p>
        </w:tc>
        <w:tc>
          <w:tcPr>
            <w:tcW w:w="961" w:type="dxa"/>
            <w:shd w:val="clear" w:color="auto" w:fill="FFFFFF"/>
            <w:noWrap/>
            <w:tcMar>
              <w:top w:w="0" w:type="dxa"/>
              <w:left w:w="108" w:type="dxa"/>
              <w:bottom w:w="0" w:type="dxa"/>
              <w:right w:w="108" w:type="dxa"/>
            </w:tcMar>
            <w:vAlign w:val="center"/>
            <w:hideMark/>
          </w:tcPr>
          <w:p w14:paraId="267EF7D3" w14:textId="77777777" w:rsidR="008B2BE3" w:rsidRPr="001F52F8" w:rsidRDefault="006B79F7" w:rsidP="008E5A4A">
            <w:pPr>
              <w:spacing w:before="0" w:after="0" w:line="240" w:lineRule="auto"/>
              <w:ind w:left="-100" w:right="-105" w:firstLine="19"/>
              <w:jc w:val="center"/>
              <w:rPr>
                <w:sz w:val="22"/>
                <w:szCs w:val="22"/>
              </w:rPr>
            </w:pPr>
            <w:r w:rsidRPr="001F52F8">
              <w:rPr>
                <w:sz w:val="22"/>
                <w:szCs w:val="22"/>
              </w:rPr>
              <w:t>2,383</w:t>
            </w:r>
          </w:p>
        </w:tc>
      </w:tr>
    </w:tbl>
    <w:p w14:paraId="51F46806" w14:textId="77777777" w:rsidR="008B2BE3" w:rsidRPr="00D34240" w:rsidRDefault="006B79F7" w:rsidP="008B2BE3">
      <w:pPr>
        <w:spacing w:before="120" w:line="240" w:lineRule="auto"/>
        <w:ind w:left="360" w:firstLine="0"/>
        <w:rPr>
          <w:i/>
          <w:iCs/>
          <w:sz w:val="22"/>
          <w:szCs w:val="22"/>
          <w:rtl/>
        </w:rPr>
      </w:pPr>
      <w:r w:rsidRPr="00FD3B10">
        <w:rPr>
          <w:i/>
          <w:iCs/>
          <w:sz w:val="22"/>
          <w:szCs w:val="22"/>
        </w:rPr>
        <w:t xml:space="preserve">Source: </w:t>
      </w:r>
      <w:r w:rsidRPr="00D34240">
        <w:rPr>
          <w:i/>
          <w:iCs/>
          <w:sz w:val="22"/>
          <w:szCs w:val="22"/>
        </w:rPr>
        <w:t>Population and Immigration Authority (PIA), 2019.</w:t>
      </w:r>
    </w:p>
    <w:p w14:paraId="2847925C" w14:textId="12BA9BC6" w:rsidR="008B2BE3" w:rsidRPr="009746A3" w:rsidRDefault="006B79F7" w:rsidP="009746A3">
      <w:pPr>
        <w:ind w:left="360" w:firstLine="0"/>
        <w:jc w:val="center"/>
        <w:rPr>
          <w:b/>
          <w:bCs/>
          <w:u w:val="single"/>
          <w:rtl/>
          <w:lang w:bidi="ar-SA"/>
        </w:rPr>
      </w:pPr>
      <w:r w:rsidRPr="009F0699">
        <w:rPr>
          <w:b/>
          <w:bCs/>
          <w:u w:val="single"/>
        </w:rPr>
        <w:t xml:space="preserve">Table No. </w:t>
      </w:r>
      <w:r>
        <w:rPr>
          <w:b/>
          <w:bCs/>
          <w:u w:val="single"/>
        </w:rPr>
        <w:t>6</w:t>
      </w:r>
      <w:r w:rsidRPr="009F0699">
        <w:rPr>
          <w:b/>
          <w:bCs/>
          <w:u w:val="single"/>
        </w:rPr>
        <w:t xml:space="preserve"> - Data Regarding Voluntary Departure of Persons Who Entered Israel Illegally 2012-2018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675"/>
        <w:gridCol w:w="738"/>
        <w:gridCol w:w="736"/>
        <w:gridCol w:w="640"/>
        <w:gridCol w:w="674"/>
        <w:gridCol w:w="777"/>
        <w:gridCol w:w="839"/>
        <w:gridCol w:w="756"/>
        <w:gridCol w:w="965"/>
        <w:gridCol w:w="815"/>
      </w:tblGrid>
      <w:tr w:rsidR="00960CEA" w14:paraId="391BF60D" w14:textId="77777777" w:rsidTr="008E5A4A">
        <w:trPr>
          <w:cantSplit/>
          <w:trHeight w:val="1134"/>
        </w:trPr>
        <w:tc>
          <w:tcPr>
            <w:tcW w:w="681" w:type="dxa"/>
            <w:vMerge w:val="restart"/>
            <w:shd w:val="clear" w:color="auto" w:fill="D9D9D9"/>
            <w:vAlign w:val="center"/>
          </w:tcPr>
          <w:p w14:paraId="5CC6A7A4" w14:textId="77777777" w:rsidR="008B2BE3" w:rsidRPr="00CA141A" w:rsidRDefault="006B79F7" w:rsidP="008E5A4A">
            <w:pPr>
              <w:spacing w:before="0" w:after="0" w:line="240" w:lineRule="auto"/>
              <w:ind w:left="-136" w:right="-100" w:firstLine="1"/>
              <w:jc w:val="center"/>
              <w:rPr>
                <w:b/>
                <w:bCs/>
                <w:sz w:val="22"/>
                <w:szCs w:val="22"/>
              </w:rPr>
            </w:pPr>
            <w:r w:rsidRPr="00CA141A">
              <w:rPr>
                <w:b/>
                <w:bCs/>
                <w:sz w:val="22"/>
                <w:szCs w:val="22"/>
              </w:rPr>
              <w:t>Year</w:t>
            </w:r>
          </w:p>
        </w:tc>
        <w:tc>
          <w:tcPr>
            <w:tcW w:w="2789" w:type="dxa"/>
            <w:gridSpan w:val="4"/>
            <w:shd w:val="clear" w:color="auto" w:fill="D9D9D9"/>
            <w:vAlign w:val="center"/>
          </w:tcPr>
          <w:p w14:paraId="4C1A1EB6" w14:textId="77777777" w:rsidR="008B2BE3" w:rsidRPr="00CA141A" w:rsidRDefault="006B79F7" w:rsidP="008E5A4A">
            <w:pPr>
              <w:spacing w:before="0" w:after="0" w:line="240" w:lineRule="auto"/>
              <w:ind w:left="-136" w:right="-100" w:firstLine="1"/>
              <w:jc w:val="center"/>
              <w:rPr>
                <w:b/>
                <w:bCs/>
                <w:sz w:val="22"/>
                <w:szCs w:val="22"/>
              </w:rPr>
            </w:pPr>
            <w:r w:rsidRPr="00CA141A">
              <w:rPr>
                <w:b/>
                <w:bCs/>
                <w:sz w:val="22"/>
                <w:szCs w:val="22"/>
              </w:rPr>
              <w:t>Sudan</w:t>
            </w:r>
          </w:p>
        </w:tc>
        <w:tc>
          <w:tcPr>
            <w:tcW w:w="3046" w:type="dxa"/>
            <w:gridSpan w:val="4"/>
            <w:shd w:val="clear" w:color="auto" w:fill="D9D9D9"/>
            <w:vAlign w:val="center"/>
          </w:tcPr>
          <w:p w14:paraId="211907AF" w14:textId="77777777" w:rsidR="008B2BE3" w:rsidRPr="00CA141A" w:rsidRDefault="006B79F7" w:rsidP="008E5A4A">
            <w:pPr>
              <w:spacing w:before="0" w:after="0" w:line="240" w:lineRule="auto"/>
              <w:ind w:left="-136" w:right="-100" w:firstLine="1"/>
              <w:jc w:val="center"/>
              <w:rPr>
                <w:b/>
                <w:bCs/>
                <w:sz w:val="22"/>
                <w:szCs w:val="22"/>
              </w:rPr>
            </w:pPr>
            <w:r w:rsidRPr="00CA141A">
              <w:rPr>
                <w:b/>
                <w:bCs/>
                <w:sz w:val="22"/>
                <w:szCs w:val="22"/>
              </w:rPr>
              <w:t>Eritrea</w:t>
            </w:r>
          </w:p>
        </w:tc>
        <w:tc>
          <w:tcPr>
            <w:tcW w:w="965" w:type="dxa"/>
            <w:shd w:val="clear" w:color="auto" w:fill="D9D9D9"/>
            <w:textDirection w:val="tbRl"/>
            <w:vAlign w:val="center"/>
          </w:tcPr>
          <w:p w14:paraId="584876B3" w14:textId="1BF6ADCF" w:rsidR="008B2BE3" w:rsidRPr="00CA141A" w:rsidRDefault="006B79F7" w:rsidP="008E5A4A">
            <w:pPr>
              <w:spacing w:before="0" w:after="0" w:line="240" w:lineRule="auto"/>
              <w:ind w:left="57" w:right="57" w:firstLine="0"/>
              <w:jc w:val="center"/>
              <w:rPr>
                <w:b/>
                <w:bCs/>
                <w:sz w:val="22"/>
                <w:szCs w:val="22"/>
              </w:rPr>
            </w:pPr>
            <w:r w:rsidRPr="00CA141A">
              <w:rPr>
                <w:b/>
                <w:bCs/>
                <w:sz w:val="22"/>
                <w:szCs w:val="22"/>
              </w:rPr>
              <w:t>Other African Countries</w:t>
            </w:r>
          </w:p>
        </w:tc>
        <w:tc>
          <w:tcPr>
            <w:tcW w:w="815" w:type="dxa"/>
            <w:vMerge w:val="restart"/>
            <w:shd w:val="clear" w:color="auto" w:fill="D9D9D9"/>
            <w:vAlign w:val="center"/>
          </w:tcPr>
          <w:p w14:paraId="6EFE9EB8" w14:textId="77777777" w:rsidR="008B2BE3" w:rsidRPr="00CA141A" w:rsidRDefault="006B79F7" w:rsidP="008E5A4A">
            <w:pPr>
              <w:spacing w:before="0" w:after="0" w:line="240" w:lineRule="auto"/>
              <w:ind w:left="-136" w:right="-100" w:firstLine="1"/>
              <w:jc w:val="center"/>
              <w:rPr>
                <w:b/>
                <w:bCs/>
                <w:sz w:val="22"/>
                <w:szCs w:val="22"/>
              </w:rPr>
            </w:pPr>
            <w:r w:rsidRPr="00CA141A">
              <w:rPr>
                <w:b/>
                <w:bCs/>
                <w:sz w:val="22"/>
                <w:szCs w:val="22"/>
              </w:rPr>
              <w:t>Total Africa</w:t>
            </w:r>
          </w:p>
        </w:tc>
      </w:tr>
      <w:tr w:rsidR="00960CEA" w14:paraId="1A3752CC" w14:textId="77777777" w:rsidTr="008E5A4A">
        <w:trPr>
          <w:cantSplit/>
          <w:trHeight w:val="1791"/>
        </w:trPr>
        <w:tc>
          <w:tcPr>
            <w:tcW w:w="681" w:type="dxa"/>
            <w:vMerge/>
            <w:shd w:val="clear" w:color="auto" w:fill="auto"/>
          </w:tcPr>
          <w:p w14:paraId="00BB1849" w14:textId="77777777" w:rsidR="008B2BE3" w:rsidRPr="00CA141A" w:rsidRDefault="008B2BE3" w:rsidP="008E5A4A">
            <w:pPr>
              <w:spacing w:before="0" w:after="0" w:line="240" w:lineRule="auto"/>
              <w:ind w:left="-136" w:right="-100" w:firstLine="1"/>
              <w:jc w:val="center"/>
              <w:rPr>
                <w:b/>
                <w:bCs/>
                <w:sz w:val="22"/>
                <w:szCs w:val="22"/>
              </w:rPr>
            </w:pPr>
          </w:p>
        </w:tc>
        <w:tc>
          <w:tcPr>
            <w:tcW w:w="675" w:type="dxa"/>
            <w:shd w:val="clear" w:color="auto" w:fill="D9D9D9"/>
            <w:textDirection w:val="tbRl"/>
            <w:vAlign w:val="center"/>
          </w:tcPr>
          <w:p w14:paraId="249F478B" w14:textId="77777777" w:rsidR="008B2BE3" w:rsidRPr="00CA141A" w:rsidRDefault="006B79F7" w:rsidP="008E5A4A">
            <w:pPr>
              <w:spacing w:before="0" w:after="0" w:line="240" w:lineRule="auto"/>
              <w:ind w:left="57" w:right="57" w:firstLine="0"/>
              <w:jc w:val="center"/>
              <w:rPr>
                <w:b/>
                <w:bCs/>
                <w:sz w:val="22"/>
                <w:szCs w:val="22"/>
              </w:rPr>
            </w:pPr>
            <w:r w:rsidRPr="00CA141A">
              <w:rPr>
                <w:b/>
                <w:bCs/>
                <w:sz w:val="22"/>
                <w:szCs w:val="22"/>
              </w:rPr>
              <w:t>Return to country of origin</w:t>
            </w:r>
          </w:p>
        </w:tc>
        <w:tc>
          <w:tcPr>
            <w:tcW w:w="738" w:type="dxa"/>
            <w:shd w:val="clear" w:color="auto" w:fill="D9D9D9"/>
            <w:textDirection w:val="tbRl"/>
            <w:vAlign w:val="center"/>
          </w:tcPr>
          <w:p w14:paraId="0D885A9E" w14:textId="77777777" w:rsidR="008B2BE3" w:rsidRPr="00CA141A" w:rsidRDefault="006B79F7" w:rsidP="008E5A4A">
            <w:pPr>
              <w:spacing w:before="0" w:after="0" w:line="240" w:lineRule="auto"/>
              <w:ind w:left="57" w:right="57" w:firstLine="0"/>
              <w:jc w:val="center"/>
              <w:rPr>
                <w:b/>
                <w:bCs/>
                <w:sz w:val="22"/>
                <w:szCs w:val="22"/>
              </w:rPr>
            </w:pPr>
            <w:r w:rsidRPr="00CA141A">
              <w:rPr>
                <w:b/>
                <w:bCs/>
                <w:sz w:val="22"/>
                <w:szCs w:val="22"/>
              </w:rPr>
              <w:t>Departure to third country</w:t>
            </w:r>
          </w:p>
        </w:tc>
        <w:tc>
          <w:tcPr>
            <w:tcW w:w="736" w:type="dxa"/>
            <w:shd w:val="clear" w:color="auto" w:fill="D9D9D9"/>
            <w:textDirection w:val="tbRl"/>
            <w:vAlign w:val="center"/>
          </w:tcPr>
          <w:p w14:paraId="43092A70" w14:textId="77777777" w:rsidR="008B2BE3" w:rsidRPr="00CA141A" w:rsidRDefault="006B79F7" w:rsidP="008E5A4A">
            <w:pPr>
              <w:spacing w:before="0" w:after="0" w:line="240" w:lineRule="auto"/>
              <w:ind w:left="57" w:right="57" w:firstLine="0"/>
              <w:jc w:val="center"/>
              <w:rPr>
                <w:b/>
                <w:bCs/>
                <w:sz w:val="22"/>
                <w:szCs w:val="22"/>
              </w:rPr>
            </w:pPr>
            <w:r w:rsidRPr="00CA141A">
              <w:rPr>
                <w:b/>
                <w:bCs/>
                <w:sz w:val="22"/>
                <w:szCs w:val="22"/>
              </w:rPr>
              <w:t>Other destinations</w:t>
            </w:r>
          </w:p>
        </w:tc>
        <w:tc>
          <w:tcPr>
            <w:tcW w:w="640" w:type="dxa"/>
            <w:shd w:val="clear" w:color="auto" w:fill="D9D9D9"/>
            <w:textDirection w:val="tbRl"/>
            <w:vAlign w:val="center"/>
          </w:tcPr>
          <w:p w14:paraId="51ADF460" w14:textId="77777777" w:rsidR="008B2BE3" w:rsidRPr="00CA141A" w:rsidRDefault="006B79F7" w:rsidP="008E5A4A">
            <w:pPr>
              <w:spacing w:before="0" w:after="0" w:line="240" w:lineRule="auto"/>
              <w:ind w:left="57" w:right="57" w:firstLine="0"/>
              <w:jc w:val="center"/>
              <w:rPr>
                <w:b/>
                <w:bCs/>
                <w:sz w:val="22"/>
                <w:szCs w:val="22"/>
                <w:rtl/>
              </w:rPr>
            </w:pPr>
            <w:r w:rsidRPr="00CA141A">
              <w:rPr>
                <w:b/>
                <w:bCs/>
                <w:sz w:val="22"/>
                <w:szCs w:val="22"/>
              </w:rPr>
              <w:t>Total</w:t>
            </w:r>
          </w:p>
        </w:tc>
        <w:tc>
          <w:tcPr>
            <w:tcW w:w="674" w:type="dxa"/>
            <w:shd w:val="clear" w:color="auto" w:fill="D9D9D9"/>
            <w:textDirection w:val="tbRl"/>
            <w:vAlign w:val="center"/>
          </w:tcPr>
          <w:p w14:paraId="1984D567" w14:textId="77777777" w:rsidR="008B2BE3" w:rsidRPr="00CA141A" w:rsidRDefault="006B79F7" w:rsidP="008E5A4A">
            <w:pPr>
              <w:spacing w:before="0" w:after="0" w:line="240" w:lineRule="auto"/>
              <w:ind w:left="57" w:right="57" w:firstLine="0"/>
              <w:jc w:val="center"/>
              <w:rPr>
                <w:b/>
                <w:bCs/>
                <w:sz w:val="22"/>
                <w:szCs w:val="22"/>
              </w:rPr>
            </w:pPr>
            <w:r w:rsidRPr="00CA141A">
              <w:rPr>
                <w:b/>
                <w:bCs/>
                <w:sz w:val="22"/>
                <w:szCs w:val="22"/>
              </w:rPr>
              <w:t>Return to country of origin</w:t>
            </w:r>
          </w:p>
        </w:tc>
        <w:tc>
          <w:tcPr>
            <w:tcW w:w="777" w:type="dxa"/>
            <w:shd w:val="clear" w:color="auto" w:fill="D9D9D9"/>
            <w:textDirection w:val="tbRl"/>
            <w:vAlign w:val="center"/>
          </w:tcPr>
          <w:p w14:paraId="17FB91AF" w14:textId="77777777" w:rsidR="008B2BE3" w:rsidRPr="00CA141A" w:rsidRDefault="006B79F7" w:rsidP="008E5A4A">
            <w:pPr>
              <w:spacing w:before="0" w:after="0" w:line="240" w:lineRule="auto"/>
              <w:ind w:left="57" w:right="57" w:firstLine="0"/>
              <w:jc w:val="center"/>
              <w:rPr>
                <w:b/>
                <w:bCs/>
                <w:sz w:val="22"/>
                <w:szCs w:val="22"/>
              </w:rPr>
            </w:pPr>
            <w:r w:rsidRPr="00CA141A">
              <w:rPr>
                <w:b/>
                <w:bCs/>
                <w:sz w:val="22"/>
                <w:szCs w:val="22"/>
              </w:rPr>
              <w:t>Departure to third country</w:t>
            </w:r>
          </w:p>
        </w:tc>
        <w:tc>
          <w:tcPr>
            <w:tcW w:w="839" w:type="dxa"/>
            <w:shd w:val="clear" w:color="auto" w:fill="D9D9D9"/>
            <w:textDirection w:val="tbRl"/>
            <w:vAlign w:val="center"/>
          </w:tcPr>
          <w:p w14:paraId="2910A212" w14:textId="77777777" w:rsidR="008B2BE3" w:rsidRPr="00CA141A" w:rsidRDefault="006B79F7" w:rsidP="008E5A4A">
            <w:pPr>
              <w:spacing w:before="0" w:after="0" w:line="240" w:lineRule="auto"/>
              <w:ind w:left="57" w:right="57" w:firstLine="0"/>
              <w:jc w:val="center"/>
              <w:rPr>
                <w:b/>
                <w:bCs/>
                <w:sz w:val="22"/>
                <w:szCs w:val="22"/>
              </w:rPr>
            </w:pPr>
            <w:r w:rsidRPr="00CA141A">
              <w:rPr>
                <w:b/>
                <w:bCs/>
                <w:sz w:val="22"/>
                <w:szCs w:val="22"/>
              </w:rPr>
              <w:t>Other destinations</w:t>
            </w:r>
          </w:p>
        </w:tc>
        <w:tc>
          <w:tcPr>
            <w:tcW w:w="756" w:type="dxa"/>
            <w:shd w:val="clear" w:color="auto" w:fill="D9D9D9"/>
            <w:textDirection w:val="tbRl"/>
            <w:vAlign w:val="center"/>
          </w:tcPr>
          <w:p w14:paraId="7E26488E" w14:textId="77777777" w:rsidR="008B2BE3" w:rsidRPr="00CA141A" w:rsidRDefault="006B79F7" w:rsidP="008E5A4A">
            <w:pPr>
              <w:spacing w:before="0" w:after="0" w:line="240" w:lineRule="auto"/>
              <w:ind w:left="57" w:right="57" w:firstLine="0"/>
              <w:jc w:val="center"/>
              <w:rPr>
                <w:b/>
                <w:bCs/>
                <w:sz w:val="22"/>
                <w:szCs w:val="22"/>
              </w:rPr>
            </w:pPr>
            <w:r w:rsidRPr="00CA141A">
              <w:rPr>
                <w:b/>
                <w:bCs/>
                <w:sz w:val="22"/>
                <w:szCs w:val="22"/>
              </w:rPr>
              <w:t>Total</w:t>
            </w:r>
          </w:p>
        </w:tc>
        <w:tc>
          <w:tcPr>
            <w:tcW w:w="965" w:type="dxa"/>
            <w:shd w:val="clear" w:color="auto" w:fill="D9D9D9"/>
            <w:textDirection w:val="tbRl"/>
            <w:vAlign w:val="center"/>
          </w:tcPr>
          <w:p w14:paraId="1DBA5C62" w14:textId="77777777" w:rsidR="008B2BE3" w:rsidRPr="00CA141A" w:rsidRDefault="006B79F7" w:rsidP="008E5A4A">
            <w:pPr>
              <w:spacing w:before="0" w:after="0" w:line="240" w:lineRule="auto"/>
              <w:ind w:left="57" w:right="57" w:firstLine="0"/>
              <w:jc w:val="center"/>
              <w:rPr>
                <w:b/>
                <w:bCs/>
                <w:sz w:val="22"/>
                <w:szCs w:val="22"/>
              </w:rPr>
            </w:pPr>
            <w:r w:rsidRPr="00CA141A">
              <w:rPr>
                <w:b/>
                <w:bCs/>
                <w:sz w:val="22"/>
                <w:szCs w:val="22"/>
              </w:rPr>
              <w:t>Total</w:t>
            </w:r>
          </w:p>
        </w:tc>
        <w:tc>
          <w:tcPr>
            <w:tcW w:w="815" w:type="dxa"/>
            <w:vMerge/>
            <w:shd w:val="clear" w:color="auto" w:fill="auto"/>
          </w:tcPr>
          <w:p w14:paraId="1176EB8E" w14:textId="77777777" w:rsidR="008B2BE3" w:rsidRPr="00CA141A" w:rsidRDefault="008B2BE3" w:rsidP="008E5A4A">
            <w:pPr>
              <w:spacing w:before="0" w:after="0" w:line="240" w:lineRule="auto"/>
              <w:rPr>
                <w:sz w:val="22"/>
                <w:szCs w:val="22"/>
              </w:rPr>
            </w:pPr>
          </w:p>
        </w:tc>
      </w:tr>
      <w:tr w:rsidR="00960CEA" w14:paraId="17B90459" w14:textId="77777777" w:rsidTr="008E5A4A">
        <w:tc>
          <w:tcPr>
            <w:tcW w:w="681" w:type="dxa"/>
            <w:shd w:val="clear" w:color="auto" w:fill="auto"/>
            <w:vAlign w:val="center"/>
          </w:tcPr>
          <w:p w14:paraId="57701607" w14:textId="77777777" w:rsidR="008B2BE3" w:rsidRPr="00CA141A" w:rsidRDefault="006B79F7" w:rsidP="008E5A4A">
            <w:pPr>
              <w:spacing w:before="0" w:after="0" w:line="240" w:lineRule="auto"/>
              <w:jc w:val="center"/>
              <w:rPr>
                <w:b/>
                <w:bCs/>
                <w:sz w:val="22"/>
                <w:szCs w:val="22"/>
              </w:rPr>
            </w:pPr>
            <w:r w:rsidRPr="00CA141A">
              <w:rPr>
                <w:b/>
                <w:bCs/>
                <w:sz w:val="22"/>
                <w:szCs w:val="22"/>
                <w:rtl/>
              </w:rPr>
              <w:t>2012</w:t>
            </w:r>
          </w:p>
        </w:tc>
        <w:tc>
          <w:tcPr>
            <w:tcW w:w="2149" w:type="dxa"/>
            <w:gridSpan w:val="3"/>
            <w:shd w:val="clear" w:color="auto" w:fill="auto"/>
            <w:vAlign w:val="center"/>
          </w:tcPr>
          <w:p w14:paraId="0209F40C" w14:textId="77777777" w:rsidR="008B2BE3" w:rsidRPr="00CA141A" w:rsidRDefault="006B79F7" w:rsidP="008E5A4A">
            <w:pPr>
              <w:spacing w:before="0" w:after="0" w:line="240" w:lineRule="auto"/>
              <w:jc w:val="center"/>
              <w:rPr>
                <w:sz w:val="22"/>
                <w:szCs w:val="22"/>
                <w:rtl/>
              </w:rPr>
            </w:pPr>
            <w:r w:rsidRPr="00CA141A">
              <w:rPr>
                <w:sz w:val="22"/>
                <w:szCs w:val="22"/>
              </w:rPr>
              <w:t>No data</w:t>
            </w:r>
          </w:p>
        </w:tc>
        <w:tc>
          <w:tcPr>
            <w:tcW w:w="640" w:type="dxa"/>
            <w:shd w:val="clear" w:color="auto" w:fill="auto"/>
          </w:tcPr>
          <w:p w14:paraId="52E41A3E"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392</w:t>
            </w:r>
          </w:p>
        </w:tc>
        <w:tc>
          <w:tcPr>
            <w:tcW w:w="2290" w:type="dxa"/>
            <w:gridSpan w:val="3"/>
            <w:shd w:val="clear" w:color="auto" w:fill="auto"/>
            <w:vAlign w:val="center"/>
          </w:tcPr>
          <w:p w14:paraId="13CFAAF9" w14:textId="77777777" w:rsidR="008B2BE3" w:rsidRPr="00CA141A" w:rsidRDefault="006B79F7" w:rsidP="008E5A4A">
            <w:pPr>
              <w:spacing w:before="0" w:after="0" w:line="240" w:lineRule="auto"/>
              <w:jc w:val="center"/>
              <w:rPr>
                <w:sz w:val="22"/>
                <w:szCs w:val="22"/>
                <w:rtl/>
              </w:rPr>
            </w:pPr>
            <w:r w:rsidRPr="00CA141A">
              <w:rPr>
                <w:sz w:val="22"/>
                <w:szCs w:val="22"/>
              </w:rPr>
              <w:t>No data</w:t>
            </w:r>
          </w:p>
        </w:tc>
        <w:tc>
          <w:tcPr>
            <w:tcW w:w="756" w:type="dxa"/>
            <w:shd w:val="clear" w:color="auto" w:fill="auto"/>
            <w:vAlign w:val="center"/>
          </w:tcPr>
          <w:p w14:paraId="20DED2E6"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69</w:t>
            </w:r>
          </w:p>
        </w:tc>
        <w:tc>
          <w:tcPr>
            <w:tcW w:w="965" w:type="dxa"/>
            <w:shd w:val="clear" w:color="auto" w:fill="auto"/>
            <w:vAlign w:val="center"/>
          </w:tcPr>
          <w:p w14:paraId="1F4D7D20"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1,640</w:t>
            </w:r>
          </w:p>
        </w:tc>
        <w:tc>
          <w:tcPr>
            <w:tcW w:w="815" w:type="dxa"/>
            <w:shd w:val="clear" w:color="auto" w:fill="auto"/>
            <w:vAlign w:val="center"/>
          </w:tcPr>
          <w:p w14:paraId="7AC5F79C" w14:textId="77777777" w:rsidR="008B2BE3" w:rsidRPr="00CA141A" w:rsidRDefault="006B79F7" w:rsidP="008E5A4A">
            <w:pPr>
              <w:spacing w:before="0" w:after="0" w:line="240" w:lineRule="auto"/>
              <w:ind w:left="-103" w:right="-87" w:firstLine="1"/>
              <w:jc w:val="center"/>
              <w:rPr>
                <w:b/>
                <w:bCs/>
                <w:sz w:val="22"/>
                <w:szCs w:val="22"/>
              </w:rPr>
            </w:pPr>
            <w:r w:rsidRPr="00CA141A">
              <w:rPr>
                <w:b/>
                <w:bCs/>
                <w:sz w:val="22"/>
                <w:szCs w:val="22"/>
              </w:rPr>
              <w:t>2,101</w:t>
            </w:r>
          </w:p>
        </w:tc>
      </w:tr>
      <w:tr w:rsidR="00960CEA" w14:paraId="42F81CB4" w14:textId="77777777" w:rsidTr="008E5A4A">
        <w:tc>
          <w:tcPr>
            <w:tcW w:w="681" w:type="dxa"/>
            <w:shd w:val="clear" w:color="auto" w:fill="auto"/>
            <w:vAlign w:val="center"/>
          </w:tcPr>
          <w:p w14:paraId="2FE89ABB" w14:textId="77777777" w:rsidR="008B2BE3" w:rsidRPr="00CA141A" w:rsidRDefault="006B79F7" w:rsidP="008E5A4A">
            <w:pPr>
              <w:spacing w:before="0" w:after="0" w:line="240" w:lineRule="auto"/>
              <w:jc w:val="center"/>
              <w:rPr>
                <w:b/>
                <w:bCs/>
                <w:sz w:val="22"/>
                <w:szCs w:val="22"/>
              </w:rPr>
            </w:pPr>
            <w:r w:rsidRPr="00CA141A">
              <w:rPr>
                <w:b/>
                <w:bCs/>
                <w:sz w:val="22"/>
                <w:szCs w:val="22"/>
                <w:rtl/>
              </w:rPr>
              <w:t>2013</w:t>
            </w:r>
          </w:p>
        </w:tc>
        <w:tc>
          <w:tcPr>
            <w:tcW w:w="2149" w:type="dxa"/>
            <w:gridSpan w:val="3"/>
            <w:shd w:val="clear" w:color="auto" w:fill="auto"/>
            <w:vAlign w:val="center"/>
          </w:tcPr>
          <w:p w14:paraId="0984CDF4" w14:textId="77777777" w:rsidR="008B2BE3" w:rsidRPr="00CA141A" w:rsidRDefault="006B79F7" w:rsidP="008E5A4A">
            <w:pPr>
              <w:spacing w:before="0" w:after="0" w:line="240" w:lineRule="auto"/>
              <w:jc w:val="center"/>
              <w:rPr>
                <w:sz w:val="22"/>
                <w:szCs w:val="22"/>
                <w:rtl/>
              </w:rPr>
            </w:pPr>
            <w:r w:rsidRPr="00CA141A">
              <w:rPr>
                <w:sz w:val="22"/>
                <w:szCs w:val="22"/>
              </w:rPr>
              <w:t>No data</w:t>
            </w:r>
          </w:p>
        </w:tc>
        <w:tc>
          <w:tcPr>
            <w:tcW w:w="640" w:type="dxa"/>
            <w:shd w:val="clear" w:color="auto" w:fill="auto"/>
          </w:tcPr>
          <w:p w14:paraId="46DDD132" w14:textId="77777777" w:rsidR="008B2BE3" w:rsidRPr="00CA141A" w:rsidRDefault="006B79F7" w:rsidP="008E5A4A">
            <w:pPr>
              <w:spacing w:before="0" w:after="0" w:line="240" w:lineRule="auto"/>
              <w:ind w:left="-136" w:right="-100" w:firstLine="1"/>
              <w:jc w:val="center"/>
              <w:rPr>
                <w:b/>
                <w:bCs/>
                <w:sz w:val="22"/>
                <w:szCs w:val="22"/>
              </w:rPr>
            </w:pPr>
            <w:r w:rsidRPr="00CA141A">
              <w:rPr>
                <w:b/>
                <w:bCs/>
                <w:sz w:val="22"/>
                <w:szCs w:val="22"/>
              </w:rPr>
              <w:t>1,687</w:t>
            </w:r>
          </w:p>
        </w:tc>
        <w:tc>
          <w:tcPr>
            <w:tcW w:w="2290" w:type="dxa"/>
            <w:gridSpan w:val="3"/>
            <w:shd w:val="clear" w:color="auto" w:fill="auto"/>
            <w:vAlign w:val="center"/>
          </w:tcPr>
          <w:p w14:paraId="46AF56E9" w14:textId="77777777" w:rsidR="008B2BE3" w:rsidRPr="00CA141A" w:rsidRDefault="006B79F7" w:rsidP="008E5A4A">
            <w:pPr>
              <w:spacing w:before="0" w:after="0" w:line="240" w:lineRule="auto"/>
              <w:jc w:val="center"/>
              <w:rPr>
                <w:sz w:val="22"/>
                <w:szCs w:val="22"/>
                <w:rtl/>
              </w:rPr>
            </w:pPr>
            <w:r w:rsidRPr="00CA141A">
              <w:rPr>
                <w:sz w:val="22"/>
                <w:szCs w:val="22"/>
              </w:rPr>
              <w:t>No data</w:t>
            </w:r>
          </w:p>
        </w:tc>
        <w:tc>
          <w:tcPr>
            <w:tcW w:w="756" w:type="dxa"/>
            <w:shd w:val="clear" w:color="auto" w:fill="auto"/>
            <w:vAlign w:val="center"/>
          </w:tcPr>
          <w:p w14:paraId="4FA60A20"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268</w:t>
            </w:r>
          </w:p>
        </w:tc>
        <w:tc>
          <w:tcPr>
            <w:tcW w:w="965" w:type="dxa"/>
            <w:shd w:val="clear" w:color="auto" w:fill="auto"/>
            <w:vAlign w:val="center"/>
          </w:tcPr>
          <w:p w14:paraId="2FDF5387"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657</w:t>
            </w:r>
          </w:p>
        </w:tc>
        <w:tc>
          <w:tcPr>
            <w:tcW w:w="815" w:type="dxa"/>
            <w:shd w:val="clear" w:color="auto" w:fill="auto"/>
            <w:vAlign w:val="center"/>
          </w:tcPr>
          <w:p w14:paraId="25943D15"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2,612</w:t>
            </w:r>
          </w:p>
        </w:tc>
      </w:tr>
      <w:tr w:rsidR="00960CEA" w14:paraId="6DCA2EAB" w14:textId="77777777" w:rsidTr="008E5A4A">
        <w:tc>
          <w:tcPr>
            <w:tcW w:w="681" w:type="dxa"/>
            <w:shd w:val="clear" w:color="auto" w:fill="auto"/>
            <w:vAlign w:val="center"/>
          </w:tcPr>
          <w:p w14:paraId="43720992" w14:textId="77777777" w:rsidR="008B2BE3" w:rsidRPr="00CA141A" w:rsidRDefault="006B79F7" w:rsidP="008E5A4A">
            <w:pPr>
              <w:spacing w:before="0" w:after="0" w:line="240" w:lineRule="auto"/>
              <w:jc w:val="center"/>
              <w:rPr>
                <w:b/>
                <w:bCs/>
                <w:sz w:val="22"/>
                <w:szCs w:val="22"/>
                <w:rtl/>
              </w:rPr>
            </w:pPr>
            <w:r w:rsidRPr="00CA141A">
              <w:rPr>
                <w:b/>
                <w:bCs/>
                <w:sz w:val="22"/>
                <w:szCs w:val="22"/>
                <w:rtl/>
              </w:rPr>
              <w:t>2014</w:t>
            </w:r>
          </w:p>
        </w:tc>
        <w:tc>
          <w:tcPr>
            <w:tcW w:w="675" w:type="dxa"/>
            <w:shd w:val="clear" w:color="auto" w:fill="auto"/>
            <w:vAlign w:val="center"/>
          </w:tcPr>
          <w:p w14:paraId="08E5FA43"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3,658</w:t>
            </w:r>
          </w:p>
        </w:tc>
        <w:tc>
          <w:tcPr>
            <w:tcW w:w="738" w:type="dxa"/>
            <w:shd w:val="clear" w:color="auto" w:fill="auto"/>
            <w:vAlign w:val="center"/>
          </w:tcPr>
          <w:p w14:paraId="79BE961B"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454</w:t>
            </w:r>
          </w:p>
        </w:tc>
        <w:tc>
          <w:tcPr>
            <w:tcW w:w="736" w:type="dxa"/>
            <w:shd w:val="clear" w:color="auto" w:fill="auto"/>
            <w:vAlign w:val="center"/>
          </w:tcPr>
          <w:p w14:paraId="1F918BBD"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0</w:t>
            </w:r>
          </w:p>
        </w:tc>
        <w:tc>
          <w:tcPr>
            <w:tcW w:w="640" w:type="dxa"/>
            <w:shd w:val="clear" w:color="auto" w:fill="auto"/>
          </w:tcPr>
          <w:p w14:paraId="2DAA83F0"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4,112</w:t>
            </w:r>
          </w:p>
        </w:tc>
        <w:tc>
          <w:tcPr>
            <w:tcW w:w="674" w:type="dxa"/>
            <w:shd w:val="clear" w:color="auto" w:fill="auto"/>
            <w:vAlign w:val="center"/>
          </w:tcPr>
          <w:p w14:paraId="01946376"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1,052</w:t>
            </w:r>
          </w:p>
        </w:tc>
        <w:tc>
          <w:tcPr>
            <w:tcW w:w="777" w:type="dxa"/>
            <w:shd w:val="clear" w:color="auto" w:fill="auto"/>
            <w:vAlign w:val="center"/>
          </w:tcPr>
          <w:p w14:paraId="34B84E1B"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639</w:t>
            </w:r>
          </w:p>
        </w:tc>
        <w:tc>
          <w:tcPr>
            <w:tcW w:w="839" w:type="dxa"/>
            <w:shd w:val="clear" w:color="auto" w:fill="auto"/>
            <w:vAlign w:val="center"/>
          </w:tcPr>
          <w:p w14:paraId="1D992A0B"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0</w:t>
            </w:r>
          </w:p>
        </w:tc>
        <w:tc>
          <w:tcPr>
            <w:tcW w:w="756" w:type="dxa"/>
            <w:shd w:val="clear" w:color="auto" w:fill="auto"/>
            <w:vAlign w:val="center"/>
          </w:tcPr>
          <w:p w14:paraId="17EEAADF"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1,691</w:t>
            </w:r>
          </w:p>
        </w:tc>
        <w:tc>
          <w:tcPr>
            <w:tcW w:w="965" w:type="dxa"/>
            <w:shd w:val="clear" w:color="auto" w:fill="auto"/>
            <w:vAlign w:val="center"/>
          </w:tcPr>
          <w:p w14:paraId="3A1DF80E"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611</w:t>
            </w:r>
          </w:p>
        </w:tc>
        <w:tc>
          <w:tcPr>
            <w:tcW w:w="815" w:type="dxa"/>
            <w:shd w:val="clear" w:color="auto" w:fill="auto"/>
            <w:vAlign w:val="center"/>
          </w:tcPr>
          <w:p w14:paraId="2AC1F469"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6,414</w:t>
            </w:r>
          </w:p>
        </w:tc>
      </w:tr>
      <w:tr w:rsidR="00960CEA" w14:paraId="14D6E86F" w14:textId="77777777" w:rsidTr="008E5A4A">
        <w:tc>
          <w:tcPr>
            <w:tcW w:w="681" w:type="dxa"/>
            <w:shd w:val="clear" w:color="auto" w:fill="auto"/>
            <w:vAlign w:val="center"/>
          </w:tcPr>
          <w:p w14:paraId="006D3DC0" w14:textId="77777777" w:rsidR="008B2BE3" w:rsidRPr="00CA141A" w:rsidRDefault="006B79F7" w:rsidP="008E5A4A">
            <w:pPr>
              <w:spacing w:before="0" w:after="0" w:line="240" w:lineRule="auto"/>
              <w:jc w:val="center"/>
              <w:rPr>
                <w:b/>
                <w:bCs/>
                <w:sz w:val="22"/>
                <w:szCs w:val="22"/>
                <w:rtl/>
              </w:rPr>
            </w:pPr>
            <w:r w:rsidRPr="00CA141A">
              <w:rPr>
                <w:b/>
                <w:bCs/>
                <w:sz w:val="22"/>
                <w:szCs w:val="22"/>
                <w:rtl/>
              </w:rPr>
              <w:t>2015</w:t>
            </w:r>
          </w:p>
        </w:tc>
        <w:tc>
          <w:tcPr>
            <w:tcW w:w="675" w:type="dxa"/>
            <w:shd w:val="clear" w:color="auto" w:fill="auto"/>
            <w:vAlign w:val="center"/>
          </w:tcPr>
          <w:p w14:paraId="79E6AA51"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133</w:t>
            </w:r>
          </w:p>
        </w:tc>
        <w:tc>
          <w:tcPr>
            <w:tcW w:w="738" w:type="dxa"/>
            <w:shd w:val="clear" w:color="auto" w:fill="auto"/>
            <w:vAlign w:val="center"/>
          </w:tcPr>
          <w:p w14:paraId="2120CEC7"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449</w:t>
            </w:r>
          </w:p>
        </w:tc>
        <w:tc>
          <w:tcPr>
            <w:tcW w:w="736" w:type="dxa"/>
            <w:shd w:val="clear" w:color="auto" w:fill="auto"/>
            <w:vAlign w:val="center"/>
          </w:tcPr>
          <w:p w14:paraId="02A97626"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18</w:t>
            </w:r>
          </w:p>
        </w:tc>
        <w:tc>
          <w:tcPr>
            <w:tcW w:w="640" w:type="dxa"/>
            <w:shd w:val="clear" w:color="auto" w:fill="auto"/>
          </w:tcPr>
          <w:p w14:paraId="3A2638B7"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600</w:t>
            </w:r>
          </w:p>
        </w:tc>
        <w:tc>
          <w:tcPr>
            <w:tcW w:w="674" w:type="dxa"/>
            <w:shd w:val="clear" w:color="auto" w:fill="auto"/>
            <w:vAlign w:val="center"/>
          </w:tcPr>
          <w:p w14:paraId="675AA510"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953</w:t>
            </w:r>
          </w:p>
        </w:tc>
        <w:tc>
          <w:tcPr>
            <w:tcW w:w="777" w:type="dxa"/>
            <w:shd w:val="clear" w:color="auto" w:fill="auto"/>
            <w:vAlign w:val="center"/>
          </w:tcPr>
          <w:p w14:paraId="1B7B4CD4"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1,058</w:t>
            </w:r>
          </w:p>
        </w:tc>
        <w:tc>
          <w:tcPr>
            <w:tcW w:w="839" w:type="dxa"/>
            <w:shd w:val="clear" w:color="auto" w:fill="auto"/>
            <w:vAlign w:val="center"/>
          </w:tcPr>
          <w:p w14:paraId="643F17B6"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469</w:t>
            </w:r>
          </w:p>
        </w:tc>
        <w:tc>
          <w:tcPr>
            <w:tcW w:w="756" w:type="dxa"/>
            <w:shd w:val="clear" w:color="auto" w:fill="auto"/>
            <w:vAlign w:val="center"/>
          </w:tcPr>
          <w:p w14:paraId="637D91E2"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2,480</w:t>
            </w:r>
          </w:p>
        </w:tc>
        <w:tc>
          <w:tcPr>
            <w:tcW w:w="965" w:type="dxa"/>
            <w:shd w:val="clear" w:color="auto" w:fill="auto"/>
            <w:vAlign w:val="center"/>
          </w:tcPr>
          <w:p w14:paraId="6352731A"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301</w:t>
            </w:r>
          </w:p>
        </w:tc>
        <w:tc>
          <w:tcPr>
            <w:tcW w:w="815" w:type="dxa"/>
            <w:shd w:val="clear" w:color="auto" w:fill="auto"/>
            <w:vAlign w:val="center"/>
          </w:tcPr>
          <w:p w14:paraId="6D168AC7"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3,381</w:t>
            </w:r>
          </w:p>
        </w:tc>
      </w:tr>
      <w:tr w:rsidR="00960CEA" w14:paraId="10B38C8A" w14:textId="77777777" w:rsidTr="008E5A4A">
        <w:tc>
          <w:tcPr>
            <w:tcW w:w="681" w:type="dxa"/>
            <w:shd w:val="clear" w:color="auto" w:fill="auto"/>
            <w:vAlign w:val="center"/>
          </w:tcPr>
          <w:p w14:paraId="139FB2C8" w14:textId="77777777" w:rsidR="008B2BE3" w:rsidRPr="00CA141A" w:rsidRDefault="006B79F7" w:rsidP="008E5A4A">
            <w:pPr>
              <w:spacing w:before="0" w:after="0" w:line="240" w:lineRule="auto"/>
              <w:jc w:val="center"/>
              <w:rPr>
                <w:b/>
                <w:bCs/>
                <w:sz w:val="22"/>
                <w:szCs w:val="22"/>
                <w:rtl/>
              </w:rPr>
            </w:pPr>
            <w:r w:rsidRPr="00CA141A">
              <w:rPr>
                <w:b/>
                <w:bCs/>
                <w:sz w:val="22"/>
                <w:szCs w:val="22"/>
                <w:rtl/>
              </w:rPr>
              <w:t>2016</w:t>
            </w:r>
          </w:p>
        </w:tc>
        <w:tc>
          <w:tcPr>
            <w:tcW w:w="675" w:type="dxa"/>
            <w:shd w:val="clear" w:color="auto" w:fill="auto"/>
            <w:vAlign w:val="center"/>
          </w:tcPr>
          <w:p w14:paraId="709A6EEE"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102</w:t>
            </w:r>
          </w:p>
        </w:tc>
        <w:tc>
          <w:tcPr>
            <w:tcW w:w="738" w:type="dxa"/>
            <w:shd w:val="clear" w:color="auto" w:fill="auto"/>
            <w:vAlign w:val="center"/>
          </w:tcPr>
          <w:p w14:paraId="6F9E9D37"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272</w:t>
            </w:r>
          </w:p>
        </w:tc>
        <w:tc>
          <w:tcPr>
            <w:tcW w:w="736" w:type="dxa"/>
            <w:shd w:val="clear" w:color="auto" w:fill="auto"/>
            <w:vAlign w:val="center"/>
          </w:tcPr>
          <w:p w14:paraId="33023174"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16</w:t>
            </w:r>
          </w:p>
        </w:tc>
        <w:tc>
          <w:tcPr>
            <w:tcW w:w="640" w:type="dxa"/>
            <w:shd w:val="clear" w:color="auto" w:fill="auto"/>
          </w:tcPr>
          <w:p w14:paraId="76300D53"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390</w:t>
            </w:r>
          </w:p>
        </w:tc>
        <w:tc>
          <w:tcPr>
            <w:tcW w:w="674" w:type="dxa"/>
            <w:shd w:val="clear" w:color="auto" w:fill="auto"/>
            <w:vAlign w:val="center"/>
          </w:tcPr>
          <w:p w14:paraId="2C7C0F5B"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734</w:t>
            </w:r>
          </w:p>
        </w:tc>
        <w:tc>
          <w:tcPr>
            <w:tcW w:w="777" w:type="dxa"/>
            <w:shd w:val="clear" w:color="auto" w:fill="auto"/>
            <w:vAlign w:val="center"/>
          </w:tcPr>
          <w:p w14:paraId="2E65E69C"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564</w:t>
            </w:r>
          </w:p>
        </w:tc>
        <w:tc>
          <w:tcPr>
            <w:tcW w:w="839" w:type="dxa"/>
            <w:shd w:val="clear" w:color="auto" w:fill="auto"/>
            <w:vAlign w:val="center"/>
          </w:tcPr>
          <w:p w14:paraId="164CAC44"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1,331</w:t>
            </w:r>
          </w:p>
        </w:tc>
        <w:tc>
          <w:tcPr>
            <w:tcW w:w="756" w:type="dxa"/>
            <w:shd w:val="clear" w:color="auto" w:fill="auto"/>
            <w:vAlign w:val="center"/>
          </w:tcPr>
          <w:p w14:paraId="16796C05"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2,629</w:t>
            </w:r>
          </w:p>
        </w:tc>
        <w:tc>
          <w:tcPr>
            <w:tcW w:w="965" w:type="dxa"/>
            <w:shd w:val="clear" w:color="auto" w:fill="auto"/>
            <w:vAlign w:val="center"/>
          </w:tcPr>
          <w:p w14:paraId="4B31C1F3"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227</w:t>
            </w:r>
          </w:p>
        </w:tc>
        <w:tc>
          <w:tcPr>
            <w:tcW w:w="815" w:type="dxa"/>
            <w:shd w:val="clear" w:color="auto" w:fill="auto"/>
            <w:vAlign w:val="center"/>
          </w:tcPr>
          <w:p w14:paraId="4EEA61B7"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3,246</w:t>
            </w:r>
          </w:p>
        </w:tc>
      </w:tr>
      <w:tr w:rsidR="00960CEA" w14:paraId="5B441631" w14:textId="77777777" w:rsidTr="008E5A4A">
        <w:tc>
          <w:tcPr>
            <w:tcW w:w="681" w:type="dxa"/>
            <w:shd w:val="clear" w:color="auto" w:fill="auto"/>
            <w:vAlign w:val="center"/>
          </w:tcPr>
          <w:p w14:paraId="5323428E" w14:textId="77777777" w:rsidR="008B2BE3" w:rsidRPr="00CA141A" w:rsidRDefault="006B79F7" w:rsidP="008E5A4A">
            <w:pPr>
              <w:spacing w:before="0" w:after="0" w:line="240" w:lineRule="auto"/>
              <w:jc w:val="center"/>
              <w:rPr>
                <w:b/>
                <w:bCs/>
                <w:sz w:val="22"/>
                <w:szCs w:val="22"/>
                <w:rtl/>
              </w:rPr>
            </w:pPr>
            <w:r w:rsidRPr="00CA141A">
              <w:rPr>
                <w:b/>
                <w:bCs/>
                <w:sz w:val="22"/>
                <w:szCs w:val="22"/>
                <w:rtl/>
              </w:rPr>
              <w:t>2017</w:t>
            </w:r>
          </w:p>
        </w:tc>
        <w:tc>
          <w:tcPr>
            <w:tcW w:w="675" w:type="dxa"/>
            <w:shd w:val="clear" w:color="auto" w:fill="auto"/>
            <w:vAlign w:val="center"/>
          </w:tcPr>
          <w:p w14:paraId="0ABD12D0"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91</w:t>
            </w:r>
          </w:p>
        </w:tc>
        <w:tc>
          <w:tcPr>
            <w:tcW w:w="738" w:type="dxa"/>
            <w:shd w:val="clear" w:color="auto" w:fill="auto"/>
            <w:vAlign w:val="center"/>
          </w:tcPr>
          <w:p w14:paraId="12876525"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113</w:t>
            </w:r>
          </w:p>
        </w:tc>
        <w:tc>
          <w:tcPr>
            <w:tcW w:w="736" w:type="dxa"/>
            <w:shd w:val="clear" w:color="auto" w:fill="auto"/>
            <w:vAlign w:val="center"/>
          </w:tcPr>
          <w:p w14:paraId="6F3FFD07"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29</w:t>
            </w:r>
          </w:p>
        </w:tc>
        <w:tc>
          <w:tcPr>
            <w:tcW w:w="640" w:type="dxa"/>
            <w:shd w:val="clear" w:color="auto" w:fill="auto"/>
          </w:tcPr>
          <w:p w14:paraId="04DAE56A"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233</w:t>
            </w:r>
          </w:p>
        </w:tc>
        <w:tc>
          <w:tcPr>
            <w:tcW w:w="674" w:type="dxa"/>
            <w:shd w:val="clear" w:color="auto" w:fill="auto"/>
            <w:vAlign w:val="center"/>
          </w:tcPr>
          <w:p w14:paraId="5C9FCE53"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468</w:t>
            </w:r>
          </w:p>
        </w:tc>
        <w:tc>
          <w:tcPr>
            <w:tcW w:w="777" w:type="dxa"/>
            <w:shd w:val="clear" w:color="auto" w:fill="auto"/>
            <w:vAlign w:val="center"/>
          </w:tcPr>
          <w:p w14:paraId="79BB368B"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561</w:t>
            </w:r>
          </w:p>
        </w:tc>
        <w:tc>
          <w:tcPr>
            <w:tcW w:w="839" w:type="dxa"/>
            <w:shd w:val="clear" w:color="auto" w:fill="auto"/>
            <w:vAlign w:val="center"/>
          </w:tcPr>
          <w:p w14:paraId="1E285E05"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1,866</w:t>
            </w:r>
          </w:p>
        </w:tc>
        <w:tc>
          <w:tcPr>
            <w:tcW w:w="756" w:type="dxa"/>
            <w:shd w:val="clear" w:color="auto" w:fill="auto"/>
            <w:vAlign w:val="center"/>
          </w:tcPr>
          <w:p w14:paraId="0DABB279"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2,895</w:t>
            </w:r>
          </w:p>
        </w:tc>
        <w:tc>
          <w:tcPr>
            <w:tcW w:w="965" w:type="dxa"/>
            <w:shd w:val="clear" w:color="auto" w:fill="auto"/>
            <w:vAlign w:val="center"/>
          </w:tcPr>
          <w:p w14:paraId="0EEA7878"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247</w:t>
            </w:r>
          </w:p>
        </w:tc>
        <w:tc>
          <w:tcPr>
            <w:tcW w:w="815" w:type="dxa"/>
            <w:shd w:val="clear" w:color="auto" w:fill="auto"/>
            <w:vAlign w:val="center"/>
          </w:tcPr>
          <w:p w14:paraId="541C4306"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3,375</w:t>
            </w:r>
          </w:p>
        </w:tc>
      </w:tr>
      <w:tr w:rsidR="00960CEA" w14:paraId="5AABB60C" w14:textId="77777777" w:rsidTr="008E5A4A">
        <w:tc>
          <w:tcPr>
            <w:tcW w:w="681" w:type="dxa"/>
            <w:shd w:val="clear" w:color="auto" w:fill="auto"/>
            <w:vAlign w:val="center"/>
          </w:tcPr>
          <w:p w14:paraId="5E144DE9" w14:textId="77777777" w:rsidR="008B2BE3" w:rsidRPr="00CA141A" w:rsidRDefault="006B79F7" w:rsidP="008E5A4A">
            <w:pPr>
              <w:spacing w:before="0" w:after="0" w:line="240" w:lineRule="auto"/>
              <w:jc w:val="center"/>
              <w:rPr>
                <w:b/>
                <w:bCs/>
                <w:sz w:val="22"/>
                <w:szCs w:val="22"/>
              </w:rPr>
            </w:pPr>
            <w:r w:rsidRPr="00CA141A">
              <w:rPr>
                <w:b/>
                <w:bCs/>
                <w:sz w:val="22"/>
                <w:szCs w:val="22"/>
                <w:rtl/>
              </w:rPr>
              <w:t>2018</w:t>
            </w:r>
          </w:p>
        </w:tc>
        <w:tc>
          <w:tcPr>
            <w:tcW w:w="675" w:type="dxa"/>
            <w:shd w:val="clear" w:color="auto" w:fill="auto"/>
            <w:vAlign w:val="center"/>
          </w:tcPr>
          <w:p w14:paraId="4BFDC400"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49</w:t>
            </w:r>
          </w:p>
        </w:tc>
        <w:tc>
          <w:tcPr>
            <w:tcW w:w="738" w:type="dxa"/>
            <w:shd w:val="clear" w:color="auto" w:fill="auto"/>
            <w:vAlign w:val="center"/>
          </w:tcPr>
          <w:p w14:paraId="61552477"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87</w:t>
            </w:r>
          </w:p>
        </w:tc>
        <w:tc>
          <w:tcPr>
            <w:tcW w:w="736" w:type="dxa"/>
            <w:shd w:val="clear" w:color="auto" w:fill="auto"/>
            <w:vAlign w:val="center"/>
          </w:tcPr>
          <w:p w14:paraId="1A64DBB9"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20</w:t>
            </w:r>
          </w:p>
        </w:tc>
        <w:tc>
          <w:tcPr>
            <w:tcW w:w="640" w:type="dxa"/>
            <w:shd w:val="clear" w:color="auto" w:fill="auto"/>
          </w:tcPr>
          <w:p w14:paraId="2A4E10AA"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156</w:t>
            </w:r>
          </w:p>
        </w:tc>
        <w:tc>
          <w:tcPr>
            <w:tcW w:w="674" w:type="dxa"/>
            <w:shd w:val="clear" w:color="auto" w:fill="auto"/>
            <w:vAlign w:val="center"/>
          </w:tcPr>
          <w:p w14:paraId="0FE2160A"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297</w:t>
            </w:r>
          </w:p>
        </w:tc>
        <w:tc>
          <w:tcPr>
            <w:tcW w:w="777" w:type="dxa"/>
            <w:shd w:val="clear" w:color="auto" w:fill="auto"/>
            <w:vAlign w:val="center"/>
          </w:tcPr>
          <w:p w14:paraId="6F742DA9"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272</w:t>
            </w:r>
          </w:p>
        </w:tc>
        <w:tc>
          <w:tcPr>
            <w:tcW w:w="839" w:type="dxa"/>
            <w:shd w:val="clear" w:color="auto" w:fill="auto"/>
            <w:vAlign w:val="center"/>
          </w:tcPr>
          <w:p w14:paraId="570896CB" w14:textId="77777777" w:rsidR="008B2BE3" w:rsidRPr="00CA141A" w:rsidRDefault="006B79F7" w:rsidP="008E5A4A">
            <w:pPr>
              <w:spacing w:before="0" w:after="0" w:line="240" w:lineRule="auto"/>
              <w:ind w:left="-136" w:right="-100" w:firstLine="1"/>
              <w:jc w:val="center"/>
              <w:rPr>
                <w:sz w:val="22"/>
                <w:szCs w:val="22"/>
                <w:rtl/>
              </w:rPr>
            </w:pPr>
            <w:r w:rsidRPr="00CA141A">
              <w:rPr>
                <w:sz w:val="22"/>
                <w:szCs w:val="22"/>
              </w:rPr>
              <w:t>1,701</w:t>
            </w:r>
          </w:p>
        </w:tc>
        <w:tc>
          <w:tcPr>
            <w:tcW w:w="756" w:type="dxa"/>
            <w:shd w:val="clear" w:color="auto" w:fill="auto"/>
            <w:vAlign w:val="center"/>
          </w:tcPr>
          <w:p w14:paraId="7F8DC0E2" w14:textId="77777777" w:rsidR="008B2BE3" w:rsidRPr="00CA141A" w:rsidRDefault="006B79F7" w:rsidP="008E5A4A">
            <w:pPr>
              <w:spacing w:before="0" w:after="0" w:line="240" w:lineRule="auto"/>
              <w:ind w:left="-136" w:right="-100" w:firstLine="1"/>
              <w:jc w:val="center"/>
              <w:rPr>
                <w:b/>
                <w:bCs/>
                <w:sz w:val="22"/>
                <w:szCs w:val="22"/>
                <w:rtl/>
              </w:rPr>
            </w:pPr>
            <w:r w:rsidRPr="00CA141A">
              <w:rPr>
                <w:b/>
                <w:bCs/>
                <w:sz w:val="22"/>
                <w:szCs w:val="22"/>
              </w:rPr>
              <w:t>2,270</w:t>
            </w:r>
          </w:p>
        </w:tc>
        <w:tc>
          <w:tcPr>
            <w:tcW w:w="965" w:type="dxa"/>
            <w:shd w:val="clear" w:color="auto" w:fill="auto"/>
            <w:vAlign w:val="center"/>
          </w:tcPr>
          <w:p w14:paraId="7C2DA7D1"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241</w:t>
            </w:r>
          </w:p>
        </w:tc>
        <w:tc>
          <w:tcPr>
            <w:tcW w:w="815" w:type="dxa"/>
            <w:shd w:val="clear" w:color="auto" w:fill="auto"/>
            <w:vAlign w:val="center"/>
          </w:tcPr>
          <w:p w14:paraId="7E8BF7BB" w14:textId="77777777" w:rsidR="008B2BE3" w:rsidRPr="00CA141A" w:rsidRDefault="006B79F7" w:rsidP="008E5A4A">
            <w:pPr>
              <w:spacing w:before="0" w:after="0" w:line="240" w:lineRule="auto"/>
              <w:ind w:left="-103" w:right="-87" w:firstLine="1"/>
              <w:jc w:val="center"/>
              <w:rPr>
                <w:b/>
                <w:bCs/>
                <w:sz w:val="22"/>
                <w:szCs w:val="22"/>
                <w:rtl/>
              </w:rPr>
            </w:pPr>
            <w:r w:rsidRPr="00CA141A">
              <w:rPr>
                <w:b/>
                <w:bCs/>
                <w:sz w:val="22"/>
                <w:szCs w:val="22"/>
              </w:rPr>
              <w:t>2,667</w:t>
            </w:r>
          </w:p>
        </w:tc>
      </w:tr>
    </w:tbl>
    <w:p w14:paraId="0873C09B" w14:textId="77777777" w:rsidR="00FD3B10" w:rsidRPr="00D34240" w:rsidRDefault="008B2BE3" w:rsidP="008B2BE3">
      <w:pPr>
        <w:spacing w:before="120" w:line="240" w:lineRule="auto"/>
        <w:ind w:left="360" w:firstLine="0"/>
        <w:rPr>
          <w:i/>
          <w:iCs/>
          <w:sz w:val="22"/>
          <w:szCs w:val="22"/>
          <w:rtl/>
        </w:rPr>
      </w:pPr>
      <w:r w:rsidRPr="00FD3B10">
        <w:rPr>
          <w:i/>
          <w:iCs/>
          <w:sz w:val="22"/>
          <w:szCs w:val="22"/>
        </w:rPr>
        <w:t xml:space="preserve">Source: </w:t>
      </w:r>
      <w:r w:rsidRPr="00D34240">
        <w:rPr>
          <w:i/>
          <w:iCs/>
          <w:sz w:val="22"/>
          <w:szCs w:val="22"/>
        </w:rPr>
        <w:t>Population and Immigration Authority (PIA), 2019.</w:t>
      </w:r>
    </w:p>
    <w:p w14:paraId="5BB0B068"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8" w:name="_Toc60141923"/>
      <w:r w:rsidRPr="00973082">
        <w:rPr>
          <w:rFonts w:ascii="Times New Roman" w:hAnsi="Times New Roman"/>
          <w:b/>
          <w:bCs/>
          <w:color w:val="auto"/>
          <w:sz w:val="24"/>
          <w:szCs w:val="24"/>
          <w:u w:val="single"/>
        </w:rPr>
        <w:t xml:space="preserve">Question No. </w:t>
      </w:r>
      <w:r w:rsidR="00C005F8" w:rsidRPr="00973082">
        <w:rPr>
          <w:rFonts w:ascii="Times New Roman" w:hAnsi="Times New Roman"/>
          <w:b/>
          <w:bCs/>
          <w:color w:val="auto"/>
          <w:sz w:val="24"/>
          <w:szCs w:val="24"/>
          <w:u w:val="single"/>
        </w:rPr>
        <w:t>17</w:t>
      </w:r>
      <w:bookmarkEnd w:id="8"/>
    </w:p>
    <w:p w14:paraId="246C652B" w14:textId="77777777" w:rsidR="00C005F8" w:rsidRDefault="006B79F7" w:rsidP="00BB339C">
      <w:pPr>
        <w:ind w:right="-91"/>
        <w:rPr>
          <w:b/>
          <w:bCs/>
          <w:snapToGrid w:val="0"/>
          <w:u w:val="single"/>
        </w:rPr>
      </w:pPr>
      <w:r>
        <w:rPr>
          <w:b/>
          <w:bCs/>
          <w:snapToGrid w:val="0"/>
          <w:u w:val="single"/>
        </w:rPr>
        <w:t>The IDF</w:t>
      </w:r>
    </w:p>
    <w:p w14:paraId="6D71DEDC" w14:textId="77777777" w:rsidR="00C005F8" w:rsidRPr="00C005F8" w:rsidRDefault="006B79F7" w:rsidP="001F52F8">
      <w:pPr>
        <w:pStyle w:val="aa"/>
        <w:numPr>
          <w:ilvl w:val="0"/>
          <w:numId w:val="2"/>
        </w:numPr>
        <w:ind w:left="567" w:hanging="567"/>
        <w:contextualSpacing w:val="0"/>
      </w:pPr>
      <w:r w:rsidRPr="00C005F8">
        <w:t>With regard to human rights content, special emphasis is placed on legal obligations towards civilian populations, such as the prohibition against using civilian population for military purposes, the rights of prisoners and detainees, the prohibition against using threats and physical force during questioning in the field, the principle of equality, etc.</w:t>
      </w:r>
    </w:p>
    <w:p w14:paraId="447F9F9F" w14:textId="4104EC6B" w:rsidR="00C005F8" w:rsidRPr="00C005F8" w:rsidRDefault="006B79F7" w:rsidP="00F2276B">
      <w:pPr>
        <w:pStyle w:val="aa"/>
        <w:numPr>
          <w:ilvl w:val="0"/>
          <w:numId w:val="2"/>
        </w:numPr>
        <w:ind w:left="567" w:hanging="567"/>
        <w:contextualSpacing w:val="0"/>
      </w:pPr>
      <w:r w:rsidRPr="00FD3B10">
        <w:t>In addition, specialized professional ethics training is provided to the Military Police officers in the Military Police School's core courses, which include</w:t>
      </w:r>
      <w:r w:rsidRPr="00313EF2">
        <w:t xml:space="preserve">: </w:t>
      </w:r>
      <w:r w:rsidRPr="00313EF2">
        <w:lastRenderedPageBreak/>
        <w:t>inmates' instructors course, escort commanders course and intelligence and investigations coordinators course. Following are examples for these courses' contents:</w:t>
      </w:r>
      <w:r w:rsidR="009F0699" w:rsidRPr="00313EF2">
        <w:t xml:space="preserve"> </w:t>
      </w:r>
      <w:r w:rsidR="00F2276B">
        <w:t>d</w:t>
      </w:r>
      <w:r w:rsidR="009F0699" w:rsidRPr="00313EF2">
        <w:t xml:space="preserve">etention and escort instructors participate in </w:t>
      </w:r>
      <w:r w:rsidR="00F2276B">
        <w:t>d</w:t>
      </w:r>
      <w:r w:rsidR="009F0699" w:rsidRPr="00313EF2">
        <w:t xml:space="preserve">uties and rights of the inmate training, </w:t>
      </w:r>
      <w:r w:rsidR="00F2276B">
        <w:t>c</w:t>
      </w:r>
      <w:r w:rsidR="009F0699" w:rsidRPr="00313EF2">
        <w:t xml:space="preserve">ontrol and monitoring of force training, </w:t>
      </w:r>
      <w:r w:rsidR="00F2276B">
        <w:t>t</w:t>
      </w:r>
      <w:r w:rsidR="009F0699" w:rsidRPr="00313EF2">
        <w:t>reatment of defiant soldier (</w:t>
      </w:r>
      <w:r w:rsidR="009F0699" w:rsidRPr="00BB339C">
        <w:t>according to the Directive of the Chief Military Police Officer – 1201</w:t>
      </w:r>
      <w:r w:rsidR="009F0699" w:rsidRPr="00FD3B10">
        <w:t xml:space="preserve">) course, </w:t>
      </w:r>
      <w:r w:rsidR="00F2276B">
        <w:t>c</w:t>
      </w:r>
      <w:r w:rsidR="009F0699" w:rsidRPr="00FD3B10">
        <w:t>oping with stressful situation training and an ethics course. Intelligence and investigation coordinator</w:t>
      </w:r>
      <w:r w:rsidR="009F0699" w:rsidRPr="00313EF2">
        <w:t>s undergo trainings on basic Law: Human Dignity and</w:t>
      </w:r>
      <w:r w:rsidR="009F0699" w:rsidRPr="0013391C">
        <w:t xml:space="preserve"> Liberty a</w:t>
      </w:r>
      <w:r w:rsidR="009F0699" w:rsidRPr="009F0699">
        <w:t xml:space="preserve">nd on </w:t>
      </w:r>
      <w:r w:rsidR="00F2276B">
        <w:t>q</w:t>
      </w:r>
      <w:r w:rsidR="009F0699" w:rsidRPr="009F0699">
        <w:t>uestioning simulations (</w:t>
      </w:r>
      <w:r w:rsidR="009F0699" w:rsidRPr="0013391C">
        <w:t>handling cases and exceptions)</w:t>
      </w:r>
      <w:r w:rsidR="0013391C">
        <w:t>.</w:t>
      </w:r>
    </w:p>
    <w:p w14:paraId="6F1B80C8" w14:textId="77777777" w:rsidR="00C005F8" w:rsidRDefault="006B79F7" w:rsidP="00BB339C">
      <w:pPr>
        <w:ind w:right="-91"/>
        <w:rPr>
          <w:b/>
          <w:bCs/>
          <w:snapToGrid w:val="0"/>
          <w:u w:val="single"/>
        </w:rPr>
      </w:pPr>
      <w:r>
        <w:rPr>
          <w:b/>
          <w:bCs/>
          <w:snapToGrid w:val="0"/>
          <w:u w:val="single"/>
        </w:rPr>
        <w:t>The Institute of Legal Training for Attorneys and Legal Advisers in the MoJ</w:t>
      </w:r>
    </w:p>
    <w:p w14:paraId="0D2879B0" w14:textId="741673AC" w:rsidR="00C005F8" w:rsidRDefault="006B79F7" w:rsidP="000D1C1B">
      <w:pPr>
        <w:pStyle w:val="aa"/>
        <w:numPr>
          <w:ilvl w:val="0"/>
          <w:numId w:val="2"/>
        </w:numPr>
        <w:ind w:left="567" w:hanging="567"/>
        <w:contextualSpacing w:val="0"/>
        <w:rPr>
          <w:rFonts w:ascii="Calibri" w:hAnsi="Calibri" w:cs="Arial"/>
        </w:rPr>
      </w:pPr>
      <w:r w:rsidRPr="00C005F8">
        <w:t xml:space="preserve">In recent years, training has focused on the following issues: equal rights for persons with disabilities (2016 and 2017), </w:t>
      </w:r>
      <w:r w:rsidR="00F2276B">
        <w:t>TIP</w:t>
      </w:r>
      <w:r w:rsidRPr="00C005F8">
        <w:t xml:space="preserve"> (2016 and 2015), the Arab population in Israel (2015), human rights in international law (2014, 2015, 2016, 2017, 2018 and 2019), equality (2014 and 2016), women's rights, equality and LGBT rights (2017), rights of crime victims (three (3) training days throughout 2019), people with disabilities in criminal procedures (2019) and minors and adolescents in the justice system (2019). Additional such seminars were conducted during 2018, for example: transparency v. privacy (2018), meet the Israeli society - Israelis of Ethiopian descent, the Arab </w:t>
      </w:r>
      <w:r w:rsidR="00F2276B">
        <w:t>c</w:t>
      </w:r>
      <w:r w:rsidRPr="00C005F8">
        <w:t>ommunity in Israel, persons from the former USSR, ultra-</w:t>
      </w:r>
      <w:r w:rsidR="000D1C1B">
        <w:t>O</w:t>
      </w:r>
      <w:r w:rsidRPr="00C005F8">
        <w:t>rthodox Jews and persons with disabilities. There are additional seminars on topics such as freedom of speech versus incitement, social rights, etc.</w:t>
      </w:r>
    </w:p>
    <w:p w14:paraId="64D10052" w14:textId="77777777" w:rsidR="00C005F8" w:rsidRDefault="006B79F7" w:rsidP="00BB339C">
      <w:pPr>
        <w:ind w:right="-91"/>
        <w:rPr>
          <w:b/>
          <w:bCs/>
          <w:snapToGrid w:val="0"/>
          <w:u w:val="single"/>
        </w:rPr>
      </w:pPr>
      <w:r>
        <w:rPr>
          <w:b/>
          <w:bCs/>
          <w:snapToGrid w:val="0"/>
          <w:u w:val="single"/>
        </w:rPr>
        <w:t xml:space="preserve">The Institute of Advanced Judicial Studies </w:t>
      </w:r>
    </w:p>
    <w:p w14:paraId="41062A26" w14:textId="77777777" w:rsidR="00C005F8" w:rsidRPr="00C005F8" w:rsidRDefault="006B79F7" w:rsidP="001F52F8">
      <w:pPr>
        <w:pStyle w:val="aa"/>
        <w:numPr>
          <w:ilvl w:val="0"/>
          <w:numId w:val="2"/>
        </w:numPr>
        <w:ind w:left="567" w:hanging="567"/>
        <w:contextualSpacing w:val="0"/>
      </w:pPr>
      <w:r>
        <w:t xml:space="preserve">The Institute provides training to judges on a wide variety of topics, including: </w:t>
      </w:r>
      <w:r w:rsidRPr="00C005F8">
        <w:t xml:space="preserve">seminars on domestic violence (2015 and 2016), sex offences and </w:t>
      </w:r>
      <w:r w:rsidRPr="00C005F8">
        <w:rPr>
          <w:snapToGrid w:val="0"/>
        </w:rPr>
        <w:t>TIP (2015, 2016, 2017, 2018 and 2019)</w:t>
      </w:r>
      <w:r w:rsidRPr="00C005F8">
        <w:t xml:space="preserve">, persons with mental disabilities </w:t>
      </w:r>
      <w:r w:rsidRPr="00C005F8">
        <w:rPr>
          <w:snapToGrid w:val="0"/>
        </w:rPr>
        <w:t>(2015 and 2017)</w:t>
      </w:r>
      <w:r w:rsidRPr="00C005F8">
        <w:t xml:space="preserve">, children's rights (2015, 2016, 2017 and 2018), women in prostitution (2016 and 2017), refugees and asylum seekers' rights (2015, 2019), and several seminars on detainees' rights and relevant issues, such as prisoner rehabilitation, suspended sentences, requests prior to indictment, detention, community courts, the right to fair trial, constitutional and administrative claims, investigation, documentation and punishment (2019). </w:t>
      </w:r>
    </w:p>
    <w:p w14:paraId="248BBDE9" w14:textId="70836ACC" w:rsidR="00C005F8" w:rsidRPr="00C005F8" w:rsidRDefault="006B79F7" w:rsidP="00F2276B">
      <w:pPr>
        <w:pStyle w:val="aa"/>
        <w:numPr>
          <w:ilvl w:val="0"/>
          <w:numId w:val="2"/>
        </w:numPr>
        <w:ind w:left="567" w:hanging="567"/>
        <w:contextualSpacing w:val="0"/>
      </w:pPr>
      <w:r w:rsidRPr="00C005F8">
        <w:lastRenderedPageBreak/>
        <w:t xml:space="preserve">Additionally, in 2020 a seminar on advanced questions in detention law took place, which included topics such as the rights of detainees and their living conditions, electronic monitoring, mental illnesses in detainees, etc., as well as a seminar on criminology and alternative forms of punishment, which included topics such as therapeutic jurisprudence, changes in punishment policy, house arrest, etc. Other seminar topics include racism and discrimination and human rights </w:t>
      </w:r>
      <w:r w:rsidR="00F2276B">
        <w:t>in</w:t>
      </w:r>
      <w:r w:rsidR="00F2276B" w:rsidRPr="00C005F8">
        <w:t xml:space="preserve"> </w:t>
      </w:r>
      <w:r w:rsidRPr="00C005F8">
        <w:t xml:space="preserve">the criminal </w:t>
      </w:r>
      <w:r w:rsidR="00F2276B">
        <w:t>procedure</w:t>
      </w:r>
      <w:r w:rsidRPr="00C005F8">
        <w:t>.</w:t>
      </w:r>
    </w:p>
    <w:p w14:paraId="20015FC6"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9" w:name="_Toc60141924"/>
      <w:r w:rsidRPr="00973082">
        <w:rPr>
          <w:rFonts w:ascii="Times New Roman" w:hAnsi="Times New Roman"/>
          <w:b/>
          <w:bCs/>
          <w:color w:val="auto"/>
          <w:sz w:val="24"/>
          <w:szCs w:val="24"/>
          <w:u w:val="single"/>
        </w:rPr>
        <w:t xml:space="preserve">Question No. </w:t>
      </w:r>
      <w:r w:rsidR="00E90CF3" w:rsidRPr="00973082">
        <w:rPr>
          <w:rFonts w:ascii="Times New Roman" w:hAnsi="Times New Roman"/>
          <w:b/>
          <w:bCs/>
          <w:color w:val="auto"/>
          <w:sz w:val="24"/>
          <w:szCs w:val="24"/>
          <w:u w:val="single"/>
        </w:rPr>
        <w:t>18</w:t>
      </w:r>
      <w:bookmarkEnd w:id="9"/>
    </w:p>
    <w:p w14:paraId="6FC3F762" w14:textId="4D476E05" w:rsidR="00CB6688" w:rsidRPr="0013391C" w:rsidRDefault="006B79F7" w:rsidP="00F2276B">
      <w:pPr>
        <w:ind w:left="360" w:firstLine="0"/>
        <w:jc w:val="center"/>
        <w:rPr>
          <w:b/>
          <w:bCs/>
          <w:u w:val="single"/>
        </w:rPr>
      </w:pPr>
      <w:r w:rsidRPr="0013391C">
        <w:rPr>
          <w:b/>
          <w:bCs/>
          <w:u w:val="single"/>
        </w:rPr>
        <w:t xml:space="preserve">Table No. </w:t>
      </w:r>
      <w:r>
        <w:rPr>
          <w:b/>
          <w:bCs/>
          <w:u w:val="single"/>
        </w:rPr>
        <w:t>7</w:t>
      </w:r>
      <w:r w:rsidRPr="0013391C">
        <w:rPr>
          <w:b/>
          <w:bCs/>
          <w:u w:val="single"/>
        </w:rPr>
        <w:t xml:space="preserve"> – </w:t>
      </w:r>
      <w:r>
        <w:rPr>
          <w:b/>
          <w:bCs/>
          <w:u w:val="single"/>
        </w:rPr>
        <w:t>Seminars</w:t>
      </w:r>
      <w:r w:rsidRPr="0013391C">
        <w:rPr>
          <w:b/>
          <w:bCs/>
          <w:u w:val="single"/>
        </w:rPr>
        <w:t xml:space="preserve"> </w:t>
      </w:r>
      <w:r w:rsidRPr="000C238D">
        <w:rPr>
          <w:b/>
          <w:bCs/>
          <w:u w:val="single"/>
        </w:rPr>
        <w:t>Offered</w:t>
      </w:r>
      <w:r w:rsidRPr="0013391C">
        <w:rPr>
          <w:b/>
          <w:bCs/>
          <w:u w:val="single"/>
        </w:rPr>
        <w:t xml:space="preserve"> by the Institute of Legal Training for Attorneys and Legal Advisers in the MoJ to </w:t>
      </w:r>
      <w:r w:rsidRPr="00F51AAE">
        <w:rPr>
          <w:b/>
          <w:bCs/>
          <w:u w:val="single"/>
        </w:rPr>
        <w:t>civil service</w:t>
      </w:r>
      <w:r w:rsidRPr="00A914EB">
        <w:rPr>
          <w:b/>
          <w:bCs/>
          <w:u w:val="single"/>
        </w:rPr>
        <w:t xml:space="preserve"> </w:t>
      </w:r>
      <w:r w:rsidRPr="0013391C">
        <w:rPr>
          <w:b/>
          <w:bCs/>
          <w:u w:val="single"/>
        </w:rPr>
        <w:t>attorneys and legal advisors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65"/>
        <w:gridCol w:w="2757"/>
        <w:gridCol w:w="2764"/>
      </w:tblGrid>
      <w:tr w:rsidR="00960CEA" w14:paraId="0CD060B5" w14:textId="77777777" w:rsidTr="00A91F49">
        <w:trPr>
          <w:trHeight w:val="453"/>
          <w:tblHeader/>
          <w:jc w:val="center"/>
        </w:trPr>
        <w:tc>
          <w:tcPr>
            <w:tcW w:w="2765" w:type="dxa"/>
            <w:shd w:val="clear" w:color="auto" w:fill="D9D9D9"/>
            <w:tcMar>
              <w:top w:w="0" w:type="dxa"/>
              <w:left w:w="108" w:type="dxa"/>
              <w:bottom w:w="0" w:type="dxa"/>
              <w:right w:w="108" w:type="dxa"/>
            </w:tcMar>
            <w:vAlign w:val="center"/>
            <w:hideMark/>
          </w:tcPr>
          <w:p w14:paraId="4BF65D3E" w14:textId="76497682" w:rsidR="00CB6688" w:rsidRPr="0013391C" w:rsidRDefault="006B79F7" w:rsidP="00F2276B">
            <w:pPr>
              <w:spacing w:before="0" w:after="0" w:line="240" w:lineRule="auto"/>
              <w:ind w:left="-44" w:firstLine="0"/>
              <w:jc w:val="center"/>
              <w:rPr>
                <w:b/>
                <w:bCs/>
                <w:sz w:val="22"/>
                <w:szCs w:val="22"/>
              </w:rPr>
            </w:pPr>
            <w:r>
              <w:rPr>
                <w:b/>
                <w:bCs/>
                <w:sz w:val="22"/>
                <w:szCs w:val="22"/>
              </w:rPr>
              <w:t>Seminar's Topic</w:t>
            </w:r>
          </w:p>
        </w:tc>
        <w:tc>
          <w:tcPr>
            <w:tcW w:w="2757" w:type="dxa"/>
            <w:shd w:val="clear" w:color="auto" w:fill="D9D9D9"/>
            <w:tcMar>
              <w:top w:w="0" w:type="dxa"/>
              <w:left w:w="108" w:type="dxa"/>
              <w:bottom w:w="0" w:type="dxa"/>
              <w:right w:w="108" w:type="dxa"/>
            </w:tcMar>
            <w:vAlign w:val="center"/>
            <w:hideMark/>
          </w:tcPr>
          <w:p w14:paraId="4563EA11" w14:textId="77777777" w:rsidR="00CB6688" w:rsidRPr="0013391C" w:rsidRDefault="006B79F7" w:rsidP="00A91F49">
            <w:pPr>
              <w:spacing w:before="0" w:after="0" w:line="240" w:lineRule="auto"/>
              <w:ind w:left="-44" w:firstLine="0"/>
              <w:jc w:val="center"/>
              <w:rPr>
                <w:b/>
                <w:bCs/>
                <w:sz w:val="22"/>
                <w:szCs w:val="22"/>
              </w:rPr>
            </w:pPr>
            <w:r w:rsidRPr="0013391C">
              <w:rPr>
                <w:b/>
                <w:bCs/>
                <w:sz w:val="22"/>
                <w:szCs w:val="22"/>
              </w:rPr>
              <w:t>Date</w:t>
            </w:r>
          </w:p>
        </w:tc>
        <w:tc>
          <w:tcPr>
            <w:tcW w:w="2764" w:type="dxa"/>
            <w:shd w:val="clear" w:color="auto" w:fill="D9D9D9"/>
            <w:tcMar>
              <w:top w:w="0" w:type="dxa"/>
              <w:left w:w="108" w:type="dxa"/>
              <w:bottom w:w="0" w:type="dxa"/>
              <w:right w:w="108" w:type="dxa"/>
            </w:tcMar>
            <w:vAlign w:val="center"/>
            <w:hideMark/>
          </w:tcPr>
          <w:p w14:paraId="25176026" w14:textId="77777777" w:rsidR="00CB6688" w:rsidRPr="0013391C" w:rsidRDefault="006B79F7" w:rsidP="00A91F49">
            <w:pPr>
              <w:spacing w:before="0" w:after="0" w:line="240" w:lineRule="auto"/>
              <w:ind w:left="-44" w:firstLine="0"/>
              <w:jc w:val="center"/>
              <w:rPr>
                <w:b/>
                <w:bCs/>
                <w:sz w:val="22"/>
                <w:szCs w:val="22"/>
              </w:rPr>
            </w:pPr>
            <w:r w:rsidRPr="0013391C">
              <w:rPr>
                <w:b/>
                <w:bCs/>
                <w:sz w:val="22"/>
                <w:szCs w:val="22"/>
              </w:rPr>
              <w:t>Number of participants</w:t>
            </w:r>
          </w:p>
        </w:tc>
      </w:tr>
      <w:tr w:rsidR="00960CEA" w14:paraId="6930BF88" w14:textId="77777777" w:rsidTr="00A91F49">
        <w:trPr>
          <w:trHeight w:val="379"/>
          <w:jc w:val="center"/>
        </w:trPr>
        <w:tc>
          <w:tcPr>
            <w:tcW w:w="2765" w:type="dxa"/>
            <w:tcMar>
              <w:top w:w="0" w:type="dxa"/>
              <w:left w:w="108" w:type="dxa"/>
              <w:bottom w:w="0" w:type="dxa"/>
              <w:right w:w="108" w:type="dxa"/>
            </w:tcMar>
            <w:vAlign w:val="center"/>
            <w:hideMark/>
          </w:tcPr>
          <w:p w14:paraId="311ABD7F" w14:textId="77777777" w:rsidR="00CB6688" w:rsidRPr="0013391C" w:rsidRDefault="006B79F7" w:rsidP="00A91F49">
            <w:pPr>
              <w:spacing w:before="0" w:after="0" w:line="240" w:lineRule="auto"/>
              <w:ind w:left="24" w:hanging="24"/>
              <w:jc w:val="left"/>
              <w:rPr>
                <w:sz w:val="22"/>
                <w:szCs w:val="22"/>
              </w:rPr>
            </w:pPr>
            <w:r w:rsidRPr="0013391C">
              <w:rPr>
                <w:sz w:val="22"/>
                <w:szCs w:val="22"/>
              </w:rPr>
              <w:t>Victims of Crime Seminar (Attorney General's Office)</w:t>
            </w:r>
          </w:p>
        </w:tc>
        <w:tc>
          <w:tcPr>
            <w:tcW w:w="2757" w:type="dxa"/>
            <w:tcMar>
              <w:top w:w="0" w:type="dxa"/>
              <w:left w:w="108" w:type="dxa"/>
              <w:bottom w:w="0" w:type="dxa"/>
              <w:right w:w="108" w:type="dxa"/>
            </w:tcMar>
            <w:vAlign w:val="center"/>
            <w:hideMark/>
          </w:tcPr>
          <w:p w14:paraId="69E47E63" w14:textId="77777777" w:rsidR="00CB6688" w:rsidRPr="0013391C" w:rsidRDefault="006B79F7" w:rsidP="00A91F49">
            <w:pPr>
              <w:spacing w:before="0" w:after="0" w:line="240" w:lineRule="auto"/>
              <w:ind w:left="-105" w:firstLine="12"/>
              <w:jc w:val="center"/>
              <w:rPr>
                <w:sz w:val="22"/>
                <w:szCs w:val="22"/>
              </w:rPr>
            </w:pPr>
            <w:r w:rsidRPr="0013391C">
              <w:rPr>
                <w:sz w:val="22"/>
                <w:szCs w:val="22"/>
              </w:rPr>
              <w:t>March 16, 2017</w:t>
            </w:r>
          </w:p>
        </w:tc>
        <w:tc>
          <w:tcPr>
            <w:tcW w:w="2764" w:type="dxa"/>
            <w:tcMar>
              <w:top w:w="0" w:type="dxa"/>
              <w:left w:w="108" w:type="dxa"/>
              <w:bottom w:w="0" w:type="dxa"/>
              <w:right w:w="108" w:type="dxa"/>
            </w:tcMar>
            <w:vAlign w:val="center"/>
            <w:hideMark/>
          </w:tcPr>
          <w:p w14:paraId="7DD18037" w14:textId="77777777" w:rsidR="00CB6688" w:rsidRPr="0013391C" w:rsidRDefault="006B79F7" w:rsidP="00A91F49">
            <w:pPr>
              <w:spacing w:before="0" w:after="0" w:line="240" w:lineRule="auto"/>
              <w:ind w:left="-105" w:firstLine="12"/>
              <w:jc w:val="center"/>
              <w:rPr>
                <w:sz w:val="22"/>
                <w:szCs w:val="22"/>
              </w:rPr>
            </w:pPr>
            <w:r w:rsidRPr="0013391C">
              <w:rPr>
                <w:sz w:val="22"/>
                <w:szCs w:val="22"/>
                <w:rtl/>
              </w:rPr>
              <w:t>55</w:t>
            </w:r>
          </w:p>
        </w:tc>
      </w:tr>
      <w:tr w:rsidR="00960CEA" w14:paraId="5D9FF0FD" w14:textId="77777777" w:rsidTr="00A91F49">
        <w:trPr>
          <w:trHeight w:val="379"/>
          <w:jc w:val="center"/>
        </w:trPr>
        <w:tc>
          <w:tcPr>
            <w:tcW w:w="2765" w:type="dxa"/>
            <w:tcMar>
              <w:top w:w="0" w:type="dxa"/>
              <w:left w:w="108" w:type="dxa"/>
              <w:bottom w:w="0" w:type="dxa"/>
              <w:right w:w="108" w:type="dxa"/>
            </w:tcMar>
            <w:vAlign w:val="center"/>
            <w:hideMark/>
          </w:tcPr>
          <w:p w14:paraId="0E30A07F" w14:textId="77777777" w:rsidR="00CB6688" w:rsidRPr="0013391C" w:rsidRDefault="006B79F7" w:rsidP="00A91F49">
            <w:pPr>
              <w:spacing w:before="0" w:after="0" w:line="240" w:lineRule="auto"/>
              <w:ind w:left="24" w:hanging="24"/>
              <w:jc w:val="left"/>
              <w:rPr>
                <w:sz w:val="22"/>
                <w:szCs w:val="22"/>
              </w:rPr>
            </w:pPr>
            <w:r w:rsidRPr="0013391C">
              <w:rPr>
                <w:sz w:val="22"/>
                <w:szCs w:val="22"/>
              </w:rPr>
              <w:t>Witness Questioning Seminar – Civil (Attorney General's Office)</w:t>
            </w:r>
          </w:p>
        </w:tc>
        <w:tc>
          <w:tcPr>
            <w:tcW w:w="2757" w:type="dxa"/>
            <w:tcMar>
              <w:top w:w="0" w:type="dxa"/>
              <w:left w:w="108" w:type="dxa"/>
              <w:bottom w:w="0" w:type="dxa"/>
              <w:right w:w="108" w:type="dxa"/>
            </w:tcMar>
            <w:vAlign w:val="center"/>
            <w:hideMark/>
          </w:tcPr>
          <w:p w14:paraId="7A89E4AD" w14:textId="77777777" w:rsidR="00CB6688" w:rsidRPr="0013391C" w:rsidRDefault="006B79F7" w:rsidP="00A91F49">
            <w:pPr>
              <w:spacing w:before="0" w:after="0" w:line="240" w:lineRule="auto"/>
              <w:ind w:left="-105" w:firstLine="12"/>
              <w:jc w:val="center"/>
              <w:rPr>
                <w:sz w:val="22"/>
                <w:szCs w:val="22"/>
              </w:rPr>
            </w:pPr>
            <w:r w:rsidRPr="0013391C">
              <w:rPr>
                <w:sz w:val="22"/>
                <w:szCs w:val="22"/>
              </w:rPr>
              <w:t>May 16, 2017</w:t>
            </w:r>
          </w:p>
        </w:tc>
        <w:tc>
          <w:tcPr>
            <w:tcW w:w="2764" w:type="dxa"/>
            <w:tcMar>
              <w:top w:w="0" w:type="dxa"/>
              <w:left w:w="108" w:type="dxa"/>
              <w:bottom w:w="0" w:type="dxa"/>
              <w:right w:w="108" w:type="dxa"/>
            </w:tcMar>
            <w:vAlign w:val="center"/>
            <w:hideMark/>
          </w:tcPr>
          <w:p w14:paraId="1716B810" w14:textId="77777777" w:rsidR="00CB6688" w:rsidRPr="0013391C" w:rsidRDefault="006B79F7" w:rsidP="00A91F49">
            <w:pPr>
              <w:spacing w:before="0" w:after="0" w:line="240" w:lineRule="auto"/>
              <w:ind w:left="-105" w:firstLine="12"/>
              <w:jc w:val="center"/>
              <w:rPr>
                <w:sz w:val="22"/>
                <w:szCs w:val="22"/>
              </w:rPr>
            </w:pPr>
            <w:r w:rsidRPr="0013391C">
              <w:rPr>
                <w:sz w:val="22"/>
                <w:szCs w:val="22"/>
                <w:rtl/>
              </w:rPr>
              <w:t>55</w:t>
            </w:r>
          </w:p>
        </w:tc>
      </w:tr>
      <w:tr w:rsidR="00960CEA" w14:paraId="0DB9B4A4" w14:textId="77777777" w:rsidTr="00A91F49">
        <w:trPr>
          <w:trHeight w:val="379"/>
          <w:jc w:val="center"/>
        </w:trPr>
        <w:tc>
          <w:tcPr>
            <w:tcW w:w="2765" w:type="dxa"/>
            <w:tcMar>
              <w:top w:w="0" w:type="dxa"/>
              <w:left w:w="108" w:type="dxa"/>
              <w:bottom w:w="0" w:type="dxa"/>
              <w:right w:w="108" w:type="dxa"/>
            </w:tcMar>
            <w:vAlign w:val="center"/>
            <w:hideMark/>
          </w:tcPr>
          <w:p w14:paraId="5BECF612" w14:textId="77777777" w:rsidR="00CB6688" w:rsidRPr="0013391C" w:rsidRDefault="006B79F7" w:rsidP="00A91F49">
            <w:pPr>
              <w:spacing w:before="0" w:after="0" w:line="240" w:lineRule="auto"/>
              <w:ind w:left="24" w:hanging="24"/>
              <w:jc w:val="left"/>
              <w:rPr>
                <w:sz w:val="22"/>
                <w:szCs w:val="22"/>
              </w:rPr>
            </w:pPr>
            <w:r w:rsidRPr="0013391C">
              <w:rPr>
                <w:sz w:val="22"/>
                <w:szCs w:val="22"/>
              </w:rPr>
              <w:t>Victims of Crime</w:t>
            </w:r>
          </w:p>
        </w:tc>
        <w:tc>
          <w:tcPr>
            <w:tcW w:w="2757" w:type="dxa"/>
            <w:tcMar>
              <w:top w:w="0" w:type="dxa"/>
              <w:left w:w="108" w:type="dxa"/>
              <w:bottom w:w="0" w:type="dxa"/>
              <w:right w:w="108" w:type="dxa"/>
            </w:tcMar>
            <w:vAlign w:val="center"/>
            <w:hideMark/>
          </w:tcPr>
          <w:p w14:paraId="2CA8FA6A" w14:textId="77777777" w:rsidR="00CB6688" w:rsidRPr="0013391C" w:rsidRDefault="006B79F7" w:rsidP="00A91F49">
            <w:pPr>
              <w:spacing w:before="0" w:after="0" w:line="240" w:lineRule="auto"/>
              <w:ind w:left="-105" w:firstLine="12"/>
              <w:jc w:val="center"/>
              <w:rPr>
                <w:sz w:val="22"/>
                <w:szCs w:val="22"/>
              </w:rPr>
            </w:pPr>
            <w:r w:rsidRPr="0013391C">
              <w:rPr>
                <w:sz w:val="22"/>
                <w:szCs w:val="22"/>
              </w:rPr>
              <w:t>July 18, 2017</w:t>
            </w:r>
          </w:p>
        </w:tc>
        <w:tc>
          <w:tcPr>
            <w:tcW w:w="2764" w:type="dxa"/>
            <w:tcMar>
              <w:top w:w="0" w:type="dxa"/>
              <w:left w:w="108" w:type="dxa"/>
              <w:bottom w:w="0" w:type="dxa"/>
              <w:right w:w="108" w:type="dxa"/>
            </w:tcMar>
            <w:vAlign w:val="center"/>
            <w:hideMark/>
          </w:tcPr>
          <w:p w14:paraId="699B813B" w14:textId="77777777" w:rsidR="00CB6688" w:rsidRPr="0013391C" w:rsidRDefault="006B79F7" w:rsidP="00A91F49">
            <w:pPr>
              <w:spacing w:before="0" w:after="0" w:line="240" w:lineRule="auto"/>
              <w:ind w:left="-105" w:firstLine="12"/>
              <w:jc w:val="center"/>
              <w:rPr>
                <w:sz w:val="22"/>
                <w:szCs w:val="22"/>
              </w:rPr>
            </w:pPr>
            <w:r w:rsidRPr="0013391C">
              <w:rPr>
                <w:sz w:val="22"/>
                <w:szCs w:val="22"/>
                <w:rtl/>
              </w:rPr>
              <w:t>100</w:t>
            </w:r>
          </w:p>
        </w:tc>
      </w:tr>
      <w:tr w:rsidR="00960CEA" w14:paraId="3A7E5CC6" w14:textId="77777777" w:rsidTr="00A91F49">
        <w:trPr>
          <w:trHeight w:val="379"/>
          <w:jc w:val="center"/>
        </w:trPr>
        <w:tc>
          <w:tcPr>
            <w:tcW w:w="2765" w:type="dxa"/>
            <w:tcMar>
              <w:top w:w="0" w:type="dxa"/>
              <w:left w:w="108" w:type="dxa"/>
              <w:bottom w:w="0" w:type="dxa"/>
              <w:right w:w="108" w:type="dxa"/>
            </w:tcMar>
            <w:vAlign w:val="center"/>
            <w:hideMark/>
          </w:tcPr>
          <w:p w14:paraId="2853A2E3" w14:textId="77777777" w:rsidR="00CB6688" w:rsidRPr="0013391C" w:rsidRDefault="006B79F7" w:rsidP="00A91F49">
            <w:pPr>
              <w:spacing w:before="0" w:after="0" w:line="240" w:lineRule="auto"/>
              <w:ind w:left="24" w:hanging="24"/>
              <w:jc w:val="left"/>
              <w:rPr>
                <w:sz w:val="22"/>
                <w:szCs w:val="22"/>
              </w:rPr>
            </w:pPr>
            <w:r w:rsidRPr="0013391C">
              <w:rPr>
                <w:sz w:val="22"/>
                <w:szCs w:val="22"/>
              </w:rPr>
              <w:t>'Haruv' in depth - Minors and Victims of Crime</w:t>
            </w:r>
          </w:p>
        </w:tc>
        <w:tc>
          <w:tcPr>
            <w:tcW w:w="2757" w:type="dxa"/>
            <w:tcMar>
              <w:top w:w="0" w:type="dxa"/>
              <w:left w:w="108" w:type="dxa"/>
              <w:bottom w:w="0" w:type="dxa"/>
              <w:right w:w="108" w:type="dxa"/>
            </w:tcMar>
            <w:vAlign w:val="center"/>
            <w:hideMark/>
          </w:tcPr>
          <w:p w14:paraId="2B9CB7DB" w14:textId="77777777" w:rsidR="00CB6688" w:rsidRPr="0013391C" w:rsidRDefault="006B79F7" w:rsidP="00A91F49">
            <w:pPr>
              <w:spacing w:before="0" w:after="0" w:line="240" w:lineRule="auto"/>
              <w:ind w:left="-105" w:firstLine="12"/>
              <w:jc w:val="center"/>
              <w:rPr>
                <w:sz w:val="22"/>
                <w:szCs w:val="22"/>
              </w:rPr>
            </w:pPr>
            <w:r w:rsidRPr="0013391C">
              <w:rPr>
                <w:sz w:val="22"/>
                <w:szCs w:val="22"/>
              </w:rPr>
              <w:t>July 23, 2018</w:t>
            </w:r>
          </w:p>
        </w:tc>
        <w:tc>
          <w:tcPr>
            <w:tcW w:w="2764" w:type="dxa"/>
            <w:tcMar>
              <w:top w:w="0" w:type="dxa"/>
              <w:left w:w="108" w:type="dxa"/>
              <w:bottom w:w="0" w:type="dxa"/>
              <w:right w:w="108" w:type="dxa"/>
            </w:tcMar>
            <w:vAlign w:val="center"/>
            <w:hideMark/>
          </w:tcPr>
          <w:p w14:paraId="36461AC9" w14:textId="77777777" w:rsidR="00CB6688" w:rsidRPr="0013391C" w:rsidRDefault="006B79F7" w:rsidP="00A91F49">
            <w:pPr>
              <w:spacing w:before="0" w:after="0" w:line="240" w:lineRule="auto"/>
              <w:ind w:left="-105" w:firstLine="12"/>
              <w:jc w:val="center"/>
              <w:rPr>
                <w:sz w:val="22"/>
                <w:szCs w:val="22"/>
                <w:rtl/>
              </w:rPr>
            </w:pPr>
            <w:r w:rsidRPr="0013391C">
              <w:rPr>
                <w:sz w:val="22"/>
                <w:szCs w:val="22"/>
                <w:rtl/>
              </w:rPr>
              <w:t>30</w:t>
            </w:r>
          </w:p>
        </w:tc>
      </w:tr>
      <w:tr w:rsidR="00960CEA" w14:paraId="49E9E6F0" w14:textId="77777777" w:rsidTr="00A91F49">
        <w:trPr>
          <w:trHeight w:val="379"/>
          <w:jc w:val="center"/>
        </w:trPr>
        <w:tc>
          <w:tcPr>
            <w:tcW w:w="2765" w:type="dxa"/>
            <w:tcMar>
              <w:top w:w="0" w:type="dxa"/>
              <w:left w:w="108" w:type="dxa"/>
              <w:bottom w:w="0" w:type="dxa"/>
              <w:right w:w="108" w:type="dxa"/>
            </w:tcMar>
            <w:vAlign w:val="center"/>
            <w:hideMark/>
          </w:tcPr>
          <w:p w14:paraId="1CB9E3E9" w14:textId="77777777" w:rsidR="00CB6688" w:rsidRPr="0013391C" w:rsidRDefault="006B79F7" w:rsidP="00A91F49">
            <w:pPr>
              <w:spacing w:before="0" w:after="0" w:line="240" w:lineRule="auto"/>
              <w:ind w:left="24" w:hanging="24"/>
              <w:jc w:val="left"/>
              <w:rPr>
                <w:sz w:val="22"/>
                <w:szCs w:val="22"/>
              </w:rPr>
            </w:pPr>
            <w:r w:rsidRPr="0013391C">
              <w:rPr>
                <w:sz w:val="22"/>
                <w:szCs w:val="22"/>
              </w:rPr>
              <w:t>Witness Questioning Workshop</w:t>
            </w:r>
          </w:p>
        </w:tc>
        <w:tc>
          <w:tcPr>
            <w:tcW w:w="2757" w:type="dxa"/>
            <w:tcMar>
              <w:top w:w="0" w:type="dxa"/>
              <w:left w:w="108" w:type="dxa"/>
              <w:bottom w:w="0" w:type="dxa"/>
              <w:right w:w="108" w:type="dxa"/>
            </w:tcMar>
            <w:vAlign w:val="center"/>
            <w:hideMark/>
          </w:tcPr>
          <w:p w14:paraId="22691C2A" w14:textId="77777777" w:rsidR="00CB6688" w:rsidRPr="0013391C" w:rsidRDefault="006B79F7" w:rsidP="00A91F49">
            <w:pPr>
              <w:spacing w:before="0" w:after="0" w:line="240" w:lineRule="auto"/>
              <w:ind w:left="-105" w:firstLine="12"/>
              <w:jc w:val="center"/>
              <w:rPr>
                <w:sz w:val="22"/>
                <w:szCs w:val="22"/>
              </w:rPr>
            </w:pPr>
            <w:r w:rsidRPr="0013391C">
              <w:rPr>
                <w:sz w:val="22"/>
                <w:szCs w:val="22"/>
              </w:rPr>
              <w:t>3 workshops per year</w:t>
            </w:r>
          </w:p>
        </w:tc>
        <w:tc>
          <w:tcPr>
            <w:tcW w:w="2764" w:type="dxa"/>
            <w:tcMar>
              <w:top w:w="0" w:type="dxa"/>
              <w:left w:w="108" w:type="dxa"/>
              <w:bottom w:w="0" w:type="dxa"/>
              <w:right w:w="108" w:type="dxa"/>
            </w:tcMar>
            <w:vAlign w:val="center"/>
            <w:hideMark/>
          </w:tcPr>
          <w:p w14:paraId="356A4BC7" w14:textId="77777777" w:rsidR="00CB6688" w:rsidRPr="0013391C" w:rsidRDefault="006B79F7" w:rsidP="00A91F49">
            <w:pPr>
              <w:spacing w:before="0" w:after="0" w:line="240" w:lineRule="auto"/>
              <w:ind w:left="-105" w:firstLine="12"/>
              <w:jc w:val="center"/>
              <w:rPr>
                <w:sz w:val="22"/>
                <w:szCs w:val="22"/>
              </w:rPr>
            </w:pPr>
            <w:r>
              <w:rPr>
                <w:sz w:val="22"/>
                <w:szCs w:val="22"/>
              </w:rPr>
              <w:t>100</w:t>
            </w:r>
          </w:p>
        </w:tc>
      </w:tr>
      <w:tr w:rsidR="00960CEA" w14:paraId="47F8D6CB" w14:textId="77777777" w:rsidTr="00A91F49">
        <w:trPr>
          <w:trHeight w:val="379"/>
          <w:jc w:val="center"/>
        </w:trPr>
        <w:tc>
          <w:tcPr>
            <w:tcW w:w="2765" w:type="dxa"/>
            <w:tcMar>
              <w:top w:w="0" w:type="dxa"/>
              <w:left w:w="108" w:type="dxa"/>
              <w:bottom w:w="0" w:type="dxa"/>
              <w:right w:w="108" w:type="dxa"/>
            </w:tcMar>
            <w:vAlign w:val="center"/>
            <w:hideMark/>
          </w:tcPr>
          <w:p w14:paraId="2D4D5044" w14:textId="77777777" w:rsidR="00CB6688" w:rsidRPr="0013391C" w:rsidRDefault="006B79F7" w:rsidP="00A91F49">
            <w:pPr>
              <w:spacing w:before="0" w:after="0" w:line="240" w:lineRule="auto"/>
              <w:ind w:left="24" w:hanging="24"/>
              <w:jc w:val="left"/>
              <w:rPr>
                <w:sz w:val="22"/>
                <w:szCs w:val="22"/>
              </w:rPr>
            </w:pPr>
            <w:r w:rsidRPr="0013391C">
              <w:rPr>
                <w:sz w:val="22"/>
                <w:szCs w:val="22"/>
              </w:rPr>
              <w:t>Victims of Crime</w:t>
            </w:r>
          </w:p>
        </w:tc>
        <w:tc>
          <w:tcPr>
            <w:tcW w:w="2757" w:type="dxa"/>
            <w:tcMar>
              <w:top w:w="0" w:type="dxa"/>
              <w:left w:w="108" w:type="dxa"/>
              <w:bottom w:w="0" w:type="dxa"/>
              <w:right w:w="108" w:type="dxa"/>
            </w:tcMar>
            <w:vAlign w:val="center"/>
            <w:hideMark/>
          </w:tcPr>
          <w:p w14:paraId="0A0D1AB2" w14:textId="77777777" w:rsidR="00CB6688" w:rsidRPr="0013391C" w:rsidRDefault="006B79F7" w:rsidP="00A91F49">
            <w:pPr>
              <w:spacing w:before="0" w:after="0" w:line="240" w:lineRule="auto"/>
              <w:ind w:left="-105" w:firstLine="12"/>
              <w:jc w:val="center"/>
              <w:rPr>
                <w:sz w:val="22"/>
                <w:szCs w:val="22"/>
              </w:rPr>
            </w:pPr>
            <w:r w:rsidRPr="0013391C">
              <w:rPr>
                <w:sz w:val="22"/>
                <w:szCs w:val="22"/>
              </w:rPr>
              <w:t>February 21, 2019</w:t>
            </w:r>
          </w:p>
        </w:tc>
        <w:tc>
          <w:tcPr>
            <w:tcW w:w="2764" w:type="dxa"/>
            <w:tcMar>
              <w:top w:w="0" w:type="dxa"/>
              <w:left w:w="108" w:type="dxa"/>
              <w:bottom w:w="0" w:type="dxa"/>
              <w:right w:w="108" w:type="dxa"/>
            </w:tcMar>
            <w:vAlign w:val="center"/>
            <w:hideMark/>
          </w:tcPr>
          <w:p w14:paraId="33C5D7E9" w14:textId="77777777" w:rsidR="00CB6688" w:rsidRPr="0013391C" w:rsidRDefault="006B79F7" w:rsidP="00A91F49">
            <w:pPr>
              <w:spacing w:before="0" w:after="0" w:line="240" w:lineRule="auto"/>
              <w:ind w:left="-105" w:firstLine="12"/>
              <w:jc w:val="center"/>
              <w:rPr>
                <w:sz w:val="22"/>
                <w:szCs w:val="22"/>
              </w:rPr>
            </w:pPr>
            <w:r w:rsidRPr="0013391C">
              <w:rPr>
                <w:sz w:val="22"/>
                <w:szCs w:val="22"/>
                <w:rtl/>
              </w:rPr>
              <w:t>100</w:t>
            </w:r>
          </w:p>
        </w:tc>
      </w:tr>
      <w:tr w:rsidR="00960CEA" w14:paraId="510C1021" w14:textId="77777777" w:rsidTr="00A91F49">
        <w:trPr>
          <w:trHeight w:val="379"/>
          <w:jc w:val="center"/>
        </w:trPr>
        <w:tc>
          <w:tcPr>
            <w:tcW w:w="2765" w:type="dxa"/>
            <w:tcMar>
              <w:top w:w="0" w:type="dxa"/>
              <w:left w:w="108" w:type="dxa"/>
              <w:bottom w:w="0" w:type="dxa"/>
              <w:right w:w="108" w:type="dxa"/>
            </w:tcMar>
            <w:vAlign w:val="center"/>
            <w:hideMark/>
          </w:tcPr>
          <w:p w14:paraId="3054F8B9" w14:textId="77777777" w:rsidR="00CB6688" w:rsidRPr="0013391C" w:rsidRDefault="006B79F7" w:rsidP="00A91F49">
            <w:pPr>
              <w:spacing w:before="0" w:after="0" w:line="240" w:lineRule="auto"/>
              <w:ind w:left="24" w:hanging="24"/>
              <w:jc w:val="left"/>
              <w:rPr>
                <w:sz w:val="22"/>
                <w:szCs w:val="22"/>
              </w:rPr>
            </w:pPr>
            <w:r w:rsidRPr="0013391C">
              <w:rPr>
                <w:sz w:val="22"/>
                <w:szCs w:val="22"/>
              </w:rPr>
              <w:t>Victims of Crime – in depth (Attorney General's Office)</w:t>
            </w:r>
          </w:p>
        </w:tc>
        <w:tc>
          <w:tcPr>
            <w:tcW w:w="2757" w:type="dxa"/>
            <w:tcMar>
              <w:top w:w="0" w:type="dxa"/>
              <w:left w:w="108" w:type="dxa"/>
              <w:bottom w:w="0" w:type="dxa"/>
              <w:right w:w="108" w:type="dxa"/>
            </w:tcMar>
            <w:vAlign w:val="center"/>
            <w:hideMark/>
          </w:tcPr>
          <w:p w14:paraId="46D695EB" w14:textId="77777777" w:rsidR="00CB6688" w:rsidRPr="0013391C" w:rsidRDefault="006B79F7" w:rsidP="00A91F49">
            <w:pPr>
              <w:spacing w:before="0" w:after="0" w:line="240" w:lineRule="auto"/>
              <w:ind w:left="-105" w:firstLine="12"/>
              <w:jc w:val="center"/>
              <w:rPr>
                <w:sz w:val="22"/>
                <w:szCs w:val="22"/>
              </w:rPr>
            </w:pPr>
            <w:r w:rsidRPr="0013391C">
              <w:rPr>
                <w:sz w:val="22"/>
                <w:szCs w:val="22"/>
              </w:rPr>
              <w:t>April 3, 2019</w:t>
            </w:r>
          </w:p>
        </w:tc>
        <w:tc>
          <w:tcPr>
            <w:tcW w:w="2764" w:type="dxa"/>
            <w:tcMar>
              <w:top w:w="0" w:type="dxa"/>
              <w:left w:w="108" w:type="dxa"/>
              <w:bottom w:w="0" w:type="dxa"/>
              <w:right w:w="108" w:type="dxa"/>
            </w:tcMar>
            <w:vAlign w:val="center"/>
            <w:hideMark/>
          </w:tcPr>
          <w:p w14:paraId="31422181" w14:textId="77777777" w:rsidR="00CB6688" w:rsidRPr="0013391C" w:rsidRDefault="006B79F7" w:rsidP="00A91F49">
            <w:pPr>
              <w:spacing w:before="0" w:after="0" w:line="240" w:lineRule="auto"/>
              <w:ind w:left="-105" w:firstLine="12"/>
              <w:jc w:val="center"/>
              <w:rPr>
                <w:sz w:val="22"/>
                <w:szCs w:val="22"/>
              </w:rPr>
            </w:pPr>
            <w:r w:rsidRPr="0013391C">
              <w:rPr>
                <w:sz w:val="22"/>
                <w:szCs w:val="22"/>
                <w:rtl/>
              </w:rPr>
              <w:t>40</w:t>
            </w:r>
          </w:p>
        </w:tc>
      </w:tr>
      <w:tr w:rsidR="00960CEA" w14:paraId="5A23D0DC" w14:textId="77777777" w:rsidTr="00A91F49">
        <w:trPr>
          <w:trHeight w:val="379"/>
          <w:jc w:val="center"/>
        </w:trPr>
        <w:tc>
          <w:tcPr>
            <w:tcW w:w="2765" w:type="dxa"/>
            <w:tcMar>
              <w:top w:w="0" w:type="dxa"/>
              <w:left w:w="108" w:type="dxa"/>
              <w:bottom w:w="0" w:type="dxa"/>
              <w:right w:w="108" w:type="dxa"/>
            </w:tcMar>
            <w:vAlign w:val="center"/>
            <w:hideMark/>
          </w:tcPr>
          <w:p w14:paraId="56D399A7" w14:textId="77777777" w:rsidR="00CB6688" w:rsidRPr="0013391C" w:rsidRDefault="006B79F7" w:rsidP="00A91F49">
            <w:pPr>
              <w:spacing w:before="0" w:after="0" w:line="240" w:lineRule="auto"/>
              <w:ind w:left="24" w:hanging="24"/>
              <w:jc w:val="left"/>
              <w:rPr>
                <w:sz w:val="22"/>
                <w:szCs w:val="22"/>
              </w:rPr>
            </w:pPr>
            <w:r w:rsidRPr="0013391C">
              <w:rPr>
                <w:sz w:val="22"/>
                <w:szCs w:val="22"/>
              </w:rPr>
              <w:t>Victims of Crime – in depth (Attorney General's Office)</w:t>
            </w:r>
          </w:p>
        </w:tc>
        <w:tc>
          <w:tcPr>
            <w:tcW w:w="2757" w:type="dxa"/>
            <w:tcMar>
              <w:top w:w="0" w:type="dxa"/>
              <w:left w:w="108" w:type="dxa"/>
              <w:bottom w:w="0" w:type="dxa"/>
              <w:right w:w="108" w:type="dxa"/>
            </w:tcMar>
            <w:vAlign w:val="center"/>
            <w:hideMark/>
          </w:tcPr>
          <w:p w14:paraId="0EBA8971" w14:textId="77777777" w:rsidR="00CB6688" w:rsidRPr="0013391C" w:rsidRDefault="006B79F7" w:rsidP="00A91F49">
            <w:pPr>
              <w:spacing w:before="0" w:after="0" w:line="240" w:lineRule="auto"/>
              <w:ind w:left="-105" w:firstLine="12"/>
              <w:jc w:val="center"/>
              <w:rPr>
                <w:sz w:val="22"/>
                <w:szCs w:val="22"/>
              </w:rPr>
            </w:pPr>
            <w:r w:rsidRPr="0013391C">
              <w:rPr>
                <w:sz w:val="22"/>
                <w:szCs w:val="22"/>
              </w:rPr>
              <w:t>April 4, 2019</w:t>
            </w:r>
          </w:p>
        </w:tc>
        <w:tc>
          <w:tcPr>
            <w:tcW w:w="2764" w:type="dxa"/>
            <w:tcMar>
              <w:top w:w="0" w:type="dxa"/>
              <w:left w:w="108" w:type="dxa"/>
              <w:bottom w:w="0" w:type="dxa"/>
              <w:right w:w="108" w:type="dxa"/>
            </w:tcMar>
            <w:vAlign w:val="center"/>
            <w:hideMark/>
          </w:tcPr>
          <w:p w14:paraId="25376B80" w14:textId="77777777" w:rsidR="00CB6688" w:rsidRPr="0013391C" w:rsidRDefault="006B79F7" w:rsidP="00A91F49">
            <w:pPr>
              <w:spacing w:before="0" w:after="0" w:line="240" w:lineRule="auto"/>
              <w:ind w:left="-105" w:firstLine="12"/>
              <w:jc w:val="center"/>
              <w:rPr>
                <w:sz w:val="22"/>
                <w:szCs w:val="22"/>
              </w:rPr>
            </w:pPr>
            <w:r w:rsidRPr="0013391C">
              <w:rPr>
                <w:sz w:val="22"/>
                <w:szCs w:val="22"/>
                <w:rtl/>
              </w:rPr>
              <w:t>40</w:t>
            </w:r>
          </w:p>
        </w:tc>
      </w:tr>
    </w:tbl>
    <w:p w14:paraId="2B106D14" w14:textId="77777777" w:rsidR="00CB6688" w:rsidRPr="00BB339C" w:rsidRDefault="006B79F7" w:rsidP="00CB6688">
      <w:pPr>
        <w:suppressAutoHyphens/>
        <w:kinsoku w:val="0"/>
        <w:overflowPunct w:val="0"/>
        <w:autoSpaceDE w:val="0"/>
        <w:autoSpaceDN w:val="0"/>
        <w:adjustRightInd w:val="0"/>
        <w:snapToGrid w:val="0"/>
        <w:spacing w:before="120" w:line="240" w:lineRule="auto"/>
        <w:ind w:left="0" w:right="85" w:firstLine="0"/>
        <w:rPr>
          <w:b/>
          <w:bCs/>
          <w:i/>
          <w:iCs/>
          <w:sz w:val="22"/>
          <w:szCs w:val="22"/>
        </w:rPr>
      </w:pPr>
      <w:r w:rsidRPr="00BB339C">
        <w:rPr>
          <w:i/>
          <w:iCs/>
          <w:sz w:val="22"/>
          <w:szCs w:val="22"/>
        </w:rPr>
        <w:t>Source:</w:t>
      </w:r>
      <w:r w:rsidRPr="00BB339C">
        <w:rPr>
          <w:b/>
          <w:bCs/>
          <w:i/>
          <w:iCs/>
          <w:sz w:val="22"/>
          <w:szCs w:val="22"/>
        </w:rPr>
        <w:t xml:space="preserve"> </w:t>
      </w:r>
      <w:r w:rsidRPr="00BB339C">
        <w:rPr>
          <w:i/>
          <w:iCs/>
          <w:sz w:val="22"/>
          <w:szCs w:val="22"/>
        </w:rPr>
        <w:t>The Institute of Legal Training for Attorneys and Legal Advisers in the M</w:t>
      </w:r>
      <w:r>
        <w:rPr>
          <w:i/>
          <w:iCs/>
          <w:sz w:val="22"/>
          <w:szCs w:val="22"/>
        </w:rPr>
        <w:t>inistry of Justice</w:t>
      </w:r>
      <w:r w:rsidRPr="00BB339C">
        <w:rPr>
          <w:i/>
          <w:iCs/>
          <w:sz w:val="22"/>
          <w:szCs w:val="22"/>
        </w:rPr>
        <w:t>, 2019.</w:t>
      </w:r>
    </w:p>
    <w:p w14:paraId="303553FC" w14:textId="77777777" w:rsidR="00E90CF3" w:rsidRPr="00E90CF3" w:rsidRDefault="006B79F7" w:rsidP="001F52F8">
      <w:pPr>
        <w:pStyle w:val="aa"/>
        <w:numPr>
          <w:ilvl w:val="0"/>
          <w:numId w:val="2"/>
        </w:numPr>
        <w:ind w:left="567" w:hanging="567"/>
        <w:contextualSpacing w:val="0"/>
        <w:rPr>
          <w:rtl/>
        </w:rPr>
      </w:pPr>
      <w:r w:rsidRPr="00E90CF3">
        <w:t>As of 2018, the annual Training Program of the School of Military Law includes a legal lecture incorporated into the Medical Cadets Course, for both mandatory and reserve service physicians. The lecture addresses, among others, the following:</w:t>
      </w:r>
    </w:p>
    <w:p w14:paraId="08E3BB79" w14:textId="77777777" w:rsidR="00E90CF3" w:rsidRPr="00E90CF3" w:rsidRDefault="006B79F7" w:rsidP="00BB339C">
      <w:pPr>
        <w:pStyle w:val="BodyText4"/>
        <w:numPr>
          <w:ilvl w:val="0"/>
          <w:numId w:val="7"/>
        </w:numPr>
        <w:spacing w:after="240" w:line="360" w:lineRule="auto"/>
        <w:jc w:val="both"/>
        <w:rPr>
          <w:rFonts w:ascii="Times New Roman" w:hAnsi="Times New Roman" w:cs="Times New Roman"/>
          <w:sz w:val="24"/>
          <w:szCs w:val="24"/>
        </w:rPr>
      </w:pPr>
      <w:r w:rsidRPr="00E90CF3">
        <w:rPr>
          <w:rFonts w:ascii="Times New Roman" w:hAnsi="Times New Roman" w:cs="Times New Roman"/>
          <w:sz w:val="24"/>
          <w:szCs w:val="24"/>
        </w:rPr>
        <w:t xml:space="preserve">The duty of providing medical treatment and making it accessible, including the obligations under the First Geneva Convention, the Third Geneva Convention </w:t>
      </w:r>
      <w:r w:rsidRPr="00E90CF3">
        <w:rPr>
          <w:rFonts w:ascii="Times New Roman" w:hAnsi="Times New Roman" w:cs="Times New Roman"/>
          <w:sz w:val="24"/>
          <w:szCs w:val="24"/>
        </w:rPr>
        <w:lastRenderedPageBreak/>
        <w:t>and the IDF orders relating to the treatment of detainees, such as the Chief Medical Officer Order 232,011 on the medical treatment of prisoners of war and unlawful combatants from July 2014;</w:t>
      </w:r>
    </w:p>
    <w:p w14:paraId="239BCB07" w14:textId="77777777" w:rsidR="00E90CF3" w:rsidRPr="00E90CF3" w:rsidRDefault="006B79F7" w:rsidP="00BB339C">
      <w:pPr>
        <w:pStyle w:val="BodyText4"/>
        <w:numPr>
          <w:ilvl w:val="0"/>
          <w:numId w:val="7"/>
        </w:numPr>
        <w:spacing w:after="240" w:line="360" w:lineRule="auto"/>
        <w:jc w:val="both"/>
        <w:rPr>
          <w:rFonts w:ascii="Times New Roman" w:hAnsi="Times New Roman" w:cs="Times New Roman"/>
          <w:sz w:val="24"/>
          <w:szCs w:val="24"/>
        </w:rPr>
      </w:pPr>
      <w:r w:rsidRPr="00E90CF3">
        <w:rPr>
          <w:rFonts w:ascii="Times New Roman" w:hAnsi="Times New Roman" w:cs="Times New Roman"/>
          <w:sz w:val="24"/>
          <w:szCs w:val="24"/>
        </w:rPr>
        <w:t>The obligation to record the medical treatment, with respect to situations requiring reporting of suspected offenses of injury of interrogatees, detainees and inmates, citing General Staff Order 33.0304 and General Staff Order 61.0113;</w:t>
      </w:r>
    </w:p>
    <w:p w14:paraId="2AC89C9E" w14:textId="1D84FFF4" w:rsidR="00E90CF3" w:rsidRDefault="006B79F7" w:rsidP="00BB339C">
      <w:pPr>
        <w:pStyle w:val="BodyText4"/>
        <w:numPr>
          <w:ilvl w:val="0"/>
          <w:numId w:val="7"/>
        </w:numPr>
        <w:spacing w:after="240" w:line="360" w:lineRule="auto"/>
        <w:jc w:val="both"/>
        <w:rPr>
          <w:rFonts w:ascii="Times New Roman" w:eastAsia="Calibri" w:hAnsi="Times New Roman" w:cs="Times New Roman"/>
          <w:sz w:val="24"/>
          <w:szCs w:val="24"/>
        </w:rPr>
      </w:pPr>
      <w:r w:rsidRPr="00E90CF3">
        <w:rPr>
          <w:rFonts w:ascii="Times New Roman" w:hAnsi="Times New Roman" w:cs="Times New Roman"/>
          <w:sz w:val="24"/>
          <w:szCs w:val="24"/>
        </w:rPr>
        <w:t xml:space="preserve">The training of Military Prosecutors includes diverse legal content, as well as an analysis of case studies. In this context, note that upon a military prosecutor's examination of a case, he/she is required to examine the evidence and identify, </w:t>
      </w:r>
      <w:r w:rsidRPr="00E90CF3">
        <w:rPr>
          <w:rFonts w:ascii="Times New Roman" w:hAnsi="Times New Roman" w:cs="Times New Roman"/>
          <w:i/>
          <w:iCs/>
          <w:sz w:val="24"/>
          <w:szCs w:val="24"/>
        </w:rPr>
        <w:t>inter alia</w:t>
      </w:r>
      <w:r w:rsidRPr="00E90CF3">
        <w:rPr>
          <w:rFonts w:ascii="Times New Roman" w:hAnsi="Times New Roman" w:cs="Times New Roman"/>
          <w:sz w:val="24"/>
          <w:szCs w:val="24"/>
        </w:rPr>
        <w:t>, whether the evidence raises suspicion that it was obtained by improper means, and in such cases, due weight is given to the evidence, while considering the particular circumstances of the case. The prosecution is likely to refrain from relying on the evidence obtained by improper means.</w:t>
      </w:r>
      <w:r w:rsidRPr="00973082">
        <w:rPr>
          <w:rFonts w:ascii="Times New Roman" w:eastAsia="Calibri" w:hAnsi="Times New Roman" w:cs="Times New Roman"/>
          <w:sz w:val="24"/>
          <w:szCs w:val="24"/>
        </w:rPr>
        <w:t xml:space="preserve"> </w:t>
      </w:r>
    </w:p>
    <w:p w14:paraId="125BE95E" w14:textId="1900B0A9" w:rsidR="005E291B" w:rsidRPr="00432F97" w:rsidRDefault="005E291B" w:rsidP="00432F97">
      <w:pPr>
        <w:pStyle w:val="1"/>
        <w:shd w:val="clear" w:color="auto" w:fill="BFBFBF"/>
        <w:spacing w:after="240"/>
        <w:ind w:left="0" w:firstLine="0"/>
        <w:rPr>
          <w:rFonts w:ascii="Times New Roman" w:hAnsi="Times New Roman"/>
          <w:b/>
          <w:bCs/>
          <w:sz w:val="24"/>
          <w:szCs w:val="24"/>
          <w:u w:val="single"/>
        </w:rPr>
      </w:pPr>
      <w:bookmarkStart w:id="10" w:name="_Toc60141925"/>
      <w:r>
        <w:rPr>
          <w:rFonts w:ascii="Times New Roman" w:hAnsi="Times New Roman"/>
          <w:b/>
          <w:bCs/>
          <w:color w:val="auto"/>
          <w:sz w:val="24"/>
          <w:szCs w:val="24"/>
          <w:u w:val="single"/>
        </w:rPr>
        <w:t>Question No. 20</w:t>
      </w:r>
      <w:bookmarkEnd w:id="10"/>
    </w:p>
    <w:p w14:paraId="77F239AA" w14:textId="77777777" w:rsidR="005E291B" w:rsidRPr="00AE7515" w:rsidRDefault="005E291B" w:rsidP="00432F97">
      <w:pPr>
        <w:pStyle w:val="aa"/>
        <w:numPr>
          <w:ilvl w:val="0"/>
          <w:numId w:val="2"/>
        </w:numPr>
        <w:ind w:left="567" w:hanging="567"/>
        <w:contextualSpacing w:val="0"/>
      </w:pPr>
      <w:r w:rsidRPr="00AE7515">
        <w:rPr>
          <w:u w:val="single"/>
        </w:rPr>
        <w:t>The Shapiro Commission</w:t>
      </w:r>
      <w:r>
        <w:rPr>
          <w:u w:val="single"/>
        </w:rPr>
        <w:t xml:space="preserve"> </w:t>
      </w:r>
      <w:r w:rsidRPr="00AE7515">
        <w:rPr>
          <w:u w:val="single"/>
        </w:rPr>
        <w:t>-</w:t>
      </w:r>
      <w:r w:rsidRPr="00AE7515">
        <w:t xml:space="preserve"> The Commission was appointed by the former Minister of Justice, in February 2014, in order to examine the required adaptations of the </w:t>
      </w:r>
      <w:r w:rsidRPr="00AE7515">
        <w:rPr>
          <w:i/>
          <w:iCs/>
        </w:rPr>
        <w:t>Criminal Procedure (Interrogation of Suspects)</w:t>
      </w:r>
      <w:r w:rsidRPr="00AE7515">
        <w:t xml:space="preserve"> </w:t>
      </w:r>
      <w:r w:rsidRPr="00AE7515">
        <w:rPr>
          <w:i/>
          <w:iCs/>
        </w:rPr>
        <w:t>Law</w:t>
      </w:r>
      <w:r w:rsidRPr="00AE7515">
        <w:t>, to the investigation of suspects. In the course of 2015-2016, the Commission discussed the issue of minors in prison and examined various adjustments in legislation and the Commission's orders regarding solitary confinement, segregation, measures of restraint, disciplinary law in prison, etc.</w:t>
      </w:r>
    </w:p>
    <w:p w14:paraId="22848FA7" w14:textId="18882CEC" w:rsidR="005E291B" w:rsidRPr="005E291B" w:rsidRDefault="005E291B" w:rsidP="00F2276B">
      <w:pPr>
        <w:pStyle w:val="aa"/>
        <w:numPr>
          <w:ilvl w:val="0"/>
          <w:numId w:val="2"/>
        </w:numPr>
        <w:ind w:left="567" w:hanging="567"/>
        <w:contextualSpacing w:val="0"/>
      </w:pPr>
      <w:r w:rsidRPr="00AE7515">
        <w:t xml:space="preserve">In addition, in the course of 2017-2018, the Commission discussed various amendments to the </w:t>
      </w:r>
      <w:r w:rsidRPr="00AE7515">
        <w:rPr>
          <w:i/>
          <w:iCs/>
        </w:rPr>
        <w:t>Youth Law (Trial)</w:t>
      </w:r>
      <w:r w:rsidRPr="00AE7515">
        <w:t xml:space="preserve">. In its interim recommendations submitted to the Minister of Justice on July 29, 2018, the Commission recommended that decisions pertaining to detention of minors will also be brought before a juvenile court judge, that the hearing of these decisions be merged with the primary case after the verdict in the minor's case (and in the event of the parties' consent, even before that), that follow-up hearings will be held following the arrest hearing and that to the extent possible, the various arrest hearings will be held before the same </w:t>
      </w:r>
      <w:r w:rsidRPr="00AE7515">
        <w:lastRenderedPageBreak/>
        <w:t>judge. The recommendations of the Commission are to be submitted to the Minister of Justice for adoption (their submission has been postponed due to the absence of a permanent Government following three (3) consecutive elections, as well as the outbreak of the C</w:t>
      </w:r>
      <w:r w:rsidR="00F2276B">
        <w:t>ovid</w:t>
      </w:r>
      <w:r w:rsidRPr="00AE7515">
        <w:t>-19 pandemic).</w:t>
      </w:r>
    </w:p>
    <w:p w14:paraId="6D2D2167" w14:textId="77777777" w:rsidR="006567A6" w:rsidRPr="00973082" w:rsidRDefault="00E90CF3" w:rsidP="00BB339C">
      <w:pPr>
        <w:pStyle w:val="1"/>
        <w:shd w:val="clear" w:color="auto" w:fill="BFBFBF"/>
        <w:spacing w:after="240"/>
        <w:rPr>
          <w:rFonts w:ascii="Times New Roman" w:hAnsi="Times New Roman"/>
          <w:b/>
          <w:bCs/>
          <w:color w:val="auto"/>
          <w:sz w:val="24"/>
          <w:szCs w:val="24"/>
          <w:u w:val="single"/>
        </w:rPr>
      </w:pPr>
      <w:bookmarkStart w:id="11" w:name="_Toc60141926"/>
      <w:r w:rsidRPr="00973082">
        <w:rPr>
          <w:rFonts w:ascii="Times New Roman" w:hAnsi="Times New Roman"/>
          <w:b/>
          <w:bCs/>
          <w:color w:val="auto"/>
          <w:sz w:val="24"/>
          <w:szCs w:val="24"/>
          <w:u w:val="single"/>
        </w:rPr>
        <w:t>Question No. 21</w:t>
      </w:r>
      <w:bookmarkEnd w:id="11"/>
    </w:p>
    <w:p w14:paraId="77675B9C" w14:textId="106DCE47" w:rsidR="00E90CF3" w:rsidRDefault="006B79F7" w:rsidP="009D3DE1">
      <w:pPr>
        <w:ind w:left="0" w:firstLine="0"/>
        <w:rPr>
          <w:b/>
          <w:bCs/>
          <w:u w:val="single"/>
        </w:rPr>
      </w:pPr>
      <w:r>
        <w:rPr>
          <w:b/>
          <w:bCs/>
          <w:u w:val="single"/>
        </w:rPr>
        <w:t xml:space="preserve">Criminal Prisoners </w:t>
      </w:r>
    </w:p>
    <w:p w14:paraId="53325ECA" w14:textId="7FFE7566" w:rsidR="00E90CF3" w:rsidRDefault="006B79F7" w:rsidP="00F2276B">
      <w:pPr>
        <w:pStyle w:val="BodyText4"/>
        <w:spacing w:after="240" w:line="360" w:lineRule="auto"/>
        <w:ind w:left="0" w:firstLine="0"/>
        <w:jc w:val="both"/>
        <w:rPr>
          <w:rFonts w:ascii="Times New Roman" w:hAnsi="Times New Roman" w:cs="Times New Roman"/>
          <w:sz w:val="24"/>
          <w:szCs w:val="24"/>
          <w:u w:val="single"/>
        </w:rPr>
      </w:pPr>
      <w:r>
        <w:rPr>
          <w:rFonts w:ascii="Times New Roman" w:hAnsi="Times New Roman" w:cs="Times New Roman"/>
          <w:sz w:val="24"/>
          <w:szCs w:val="24"/>
          <w:u w:val="single"/>
        </w:rPr>
        <w:t>Visits and Family Relations</w:t>
      </w:r>
    </w:p>
    <w:p w14:paraId="4E6B539C" w14:textId="77777777" w:rsidR="00E90CF3" w:rsidRPr="00E90CF3" w:rsidRDefault="006B79F7" w:rsidP="001F52F8">
      <w:pPr>
        <w:pStyle w:val="aa"/>
        <w:numPr>
          <w:ilvl w:val="0"/>
          <w:numId w:val="2"/>
        </w:numPr>
        <w:ind w:left="567" w:hanging="567"/>
        <w:contextualSpacing w:val="0"/>
      </w:pPr>
      <w:r w:rsidRPr="00E90CF3">
        <w:t xml:space="preserve">With respect to family relations, the State of Israel wishes to draw upon the latest ruling of the Supreme Court in the case of Pr.Ap.Rq.H.C.J. 4277/20 </w:t>
      </w:r>
      <w:r w:rsidRPr="00E90CF3">
        <w:rPr>
          <w:i/>
          <w:iCs/>
        </w:rPr>
        <w:t>IPS v. Abed Marai</w:t>
      </w:r>
      <w:r w:rsidRPr="00E90CF3">
        <w:t xml:space="preserve"> (June 24, 2020):</w:t>
      </w:r>
    </w:p>
    <w:p w14:paraId="0673548D" w14:textId="0578A85C" w:rsidR="00E90CF3" w:rsidRPr="00E90CF3" w:rsidRDefault="006B79F7" w:rsidP="00F61A81">
      <w:pPr>
        <w:pStyle w:val="aa"/>
        <w:numPr>
          <w:ilvl w:val="0"/>
          <w:numId w:val="2"/>
        </w:numPr>
        <w:ind w:left="567" w:hanging="567"/>
        <w:contextualSpacing w:val="0"/>
      </w:pPr>
      <w:r w:rsidRPr="00E90CF3">
        <w:t>The respondent is a Muslim prisoner, serving a 27-month sentence. He petitioned the Nazareth District Court requesting to be granted a special vacation in order to attend his daughter's "Akika" ceremony – a traditional Muslim ceremony held in the honor of the birth of a child – scheduled to take place on June</w:t>
      </w:r>
      <w:r w:rsidR="00F61A81">
        <w:t xml:space="preserve"> </w:t>
      </w:r>
      <w:r w:rsidR="00F61A81" w:rsidRPr="00E90CF3">
        <w:t>25</w:t>
      </w:r>
      <w:r w:rsidRPr="00E90CF3">
        <w:t xml:space="preserve">, 2020. The petition was accepted. The IPS appealed to the Supreme Court against the District Court's ruling, maintaining that it was in contradiction with IPS guidance from May 25, 2020, according to which prisoner special vacations should be limited, in general, to participation in a circumcision/funeral, due to the state of emergency caused by the </w:t>
      </w:r>
      <w:r w:rsidR="00F61A81" w:rsidRPr="00E90CF3">
        <w:t>C</w:t>
      </w:r>
      <w:r w:rsidR="00F61A81">
        <w:t>ovid</w:t>
      </w:r>
      <w:r w:rsidRPr="00E90CF3">
        <w:t>-19 pandemic. IPS also noted that the respondent was given approval to participate in the ceremony via video conference.</w:t>
      </w:r>
    </w:p>
    <w:p w14:paraId="117F66A3" w14:textId="24F90F2E" w:rsidR="00E90CF3" w:rsidRDefault="006B79F7" w:rsidP="00F61A81">
      <w:pPr>
        <w:pStyle w:val="aa"/>
        <w:numPr>
          <w:ilvl w:val="0"/>
          <w:numId w:val="2"/>
        </w:numPr>
        <w:ind w:left="567" w:hanging="567"/>
        <w:contextualSpacing w:val="0"/>
      </w:pPr>
      <w:r w:rsidRPr="00E90CF3">
        <w:t xml:space="preserve">The Supreme Court rejected the IPS appeal and ruled that the petition does not justify the involvement of this Court in the lower instance's discretion. The Court asserted that while </w:t>
      </w:r>
      <w:r w:rsidR="00F61A81" w:rsidRPr="00E90CF3">
        <w:t>C</w:t>
      </w:r>
      <w:r w:rsidR="00F61A81">
        <w:t>ovid</w:t>
      </w:r>
      <w:r w:rsidRPr="00E90CF3">
        <w:t>-19 poses a state of emergency, the lockdown has exceptions, and this case should be considered as one, and that other measures taken to ensure the health of the prisoners, such as fourteen (14) days of isolation upon return, could be used.</w:t>
      </w:r>
    </w:p>
    <w:p w14:paraId="5F9144A5" w14:textId="59F452E4" w:rsidR="005E649B" w:rsidRDefault="006B79F7" w:rsidP="009D3DE1">
      <w:pPr>
        <w:ind w:left="0" w:firstLine="0"/>
        <w:rPr>
          <w:b/>
          <w:bCs/>
          <w:u w:val="single"/>
        </w:rPr>
      </w:pPr>
      <w:r>
        <w:rPr>
          <w:b/>
          <w:bCs/>
          <w:u w:val="single"/>
        </w:rPr>
        <w:t xml:space="preserve">Security Prisoners </w:t>
      </w:r>
    </w:p>
    <w:p w14:paraId="63034814" w14:textId="1C7E27E5" w:rsidR="005E649B" w:rsidRDefault="006B79F7" w:rsidP="009D3DE1">
      <w:pPr>
        <w:pStyle w:val="BodyText4"/>
        <w:spacing w:after="240" w:line="360" w:lineRule="auto"/>
        <w:ind w:left="0" w:firstLine="0"/>
        <w:jc w:val="both"/>
        <w:rPr>
          <w:rFonts w:ascii="Times New Roman" w:hAnsi="Times New Roman" w:cs="Times New Roman"/>
          <w:sz w:val="24"/>
          <w:szCs w:val="24"/>
          <w:u w:val="single"/>
        </w:rPr>
      </w:pPr>
      <w:r>
        <w:rPr>
          <w:rFonts w:ascii="Times New Roman" w:hAnsi="Times New Roman" w:cs="Times New Roman"/>
          <w:sz w:val="24"/>
          <w:szCs w:val="24"/>
          <w:u w:val="single"/>
        </w:rPr>
        <w:t>Family Visits</w:t>
      </w:r>
    </w:p>
    <w:p w14:paraId="0FF114D0" w14:textId="77777777" w:rsidR="005E649B" w:rsidRPr="005E649B" w:rsidRDefault="006B79F7" w:rsidP="008D7E32">
      <w:pPr>
        <w:pStyle w:val="aa"/>
        <w:numPr>
          <w:ilvl w:val="0"/>
          <w:numId w:val="2"/>
        </w:numPr>
        <w:ind w:left="567" w:hanging="567"/>
        <w:contextualSpacing w:val="0"/>
        <w:rPr>
          <w:u w:val="single"/>
        </w:rPr>
      </w:pPr>
      <w:r w:rsidRPr="005E649B">
        <w:lastRenderedPageBreak/>
        <w:t xml:space="preserve">On June 4, 2019, the HCJ denied a petition and affirmed the Minister of Public Security's decision (which followed a security cabinet decision) which denied family visits for Hamas affiliated security prisoners from the Gaza strip. This step is aimed to pressure the terrorist organization with the aim of advancing the return of Israeli citizens and the remains of Israeli soldiers held </w:t>
      </w:r>
      <w:r w:rsidR="008D7E32">
        <w:t xml:space="preserve">by </w:t>
      </w:r>
      <w:r w:rsidR="00670E26">
        <w:t xml:space="preserve">the </w:t>
      </w:r>
      <w:r w:rsidR="008D7E32">
        <w:t>Hamas</w:t>
      </w:r>
      <w:r w:rsidR="00670E26">
        <w:t xml:space="preserve"> terrorist organization</w:t>
      </w:r>
      <w:r w:rsidRPr="005E649B">
        <w:t>. This was approved by the Court, subject to periodic review and to the ongoing provision of other channels of communication with their families (H.C.J</w:t>
      </w:r>
      <w:r w:rsidR="00DD2CFD">
        <w:t>.</w:t>
      </w:r>
      <w:r w:rsidRPr="005E649B">
        <w:t xml:space="preserve"> 6314/17 </w:t>
      </w:r>
      <w:r w:rsidRPr="005E649B">
        <w:rPr>
          <w:i/>
          <w:iCs/>
        </w:rPr>
        <w:t>Fadi Sammy Namnam et. al. v. The State of Israel et. al.</w:t>
      </w:r>
      <w:r w:rsidRPr="005E649B">
        <w:t xml:space="preserve"> (4.6.19)).</w:t>
      </w:r>
    </w:p>
    <w:p w14:paraId="2EB83878" w14:textId="77777777" w:rsidR="005E649B" w:rsidRPr="005E649B" w:rsidRDefault="006B79F7" w:rsidP="00BB339C">
      <w:pPr>
        <w:rPr>
          <w:b/>
          <w:bCs/>
          <w:u w:val="single"/>
        </w:rPr>
      </w:pPr>
      <w:r w:rsidRPr="005E649B">
        <w:rPr>
          <w:b/>
          <w:bCs/>
          <w:u w:val="single"/>
        </w:rPr>
        <w:t>Statistics</w:t>
      </w:r>
    </w:p>
    <w:p w14:paraId="6C5B2351" w14:textId="4B68D028" w:rsidR="005E649B" w:rsidRPr="005E649B" w:rsidRDefault="006B79F7" w:rsidP="001F52F8">
      <w:pPr>
        <w:pStyle w:val="aa"/>
        <w:numPr>
          <w:ilvl w:val="0"/>
          <w:numId w:val="2"/>
        </w:numPr>
        <w:ind w:left="567" w:hanging="567"/>
        <w:contextualSpacing w:val="0"/>
      </w:pPr>
      <w:r w:rsidRPr="005E649B">
        <w:t xml:space="preserve">The total number of criminal prisoners within IPS facilities as of July 2020 is 9,073, and the total number of security prisoners is </w:t>
      </w:r>
      <w:r w:rsidRPr="005E649B">
        <w:rPr>
          <w:rFonts w:hint="cs"/>
          <w:rtl/>
        </w:rPr>
        <w:t>4</w:t>
      </w:r>
      <w:r w:rsidRPr="005E649B">
        <w:t>,</w:t>
      </w:r>
      <w:r w:rsidRPr="005E649B">
        <w:rPr>
          <w:rFonts w:hint="cs"/>
          <w:rtl/>
        </w:rPr>
        <w:t>414</w:t>
      </w:r>
      <w:r w:rsidRPr="005E649B">
        <w:t xml:space="preserve">. Hereinafter are the figures regarding </w:t>
      </w:r>
      <w:r w:rsidR="00F61A81">
        <w:t>c</w:t>
      </w:r>
      <w:r w:rsidRPr="005E649B">
        <w:t xml:space="preserve">riminal and </w:t>
      </w:r>
      <w:r w:rsidR="00F61A81">
        <w:t>s</w:t>
      </w:r>
      <w:r w:rsidRPr="005E649B">
        <w:t>ecurity prisoners and administrative detainees:</w:t>
      </w:r>
    </w:p>
    <w:p w14:paraId="7F66BE74" w14:textId="17335899" w:rsidR="00CB6688" w:rsidRPr="005E649B" w:rsidRDefault="006B79F7" w:rsidP="00CB6688">
      <w:pPr>
        <w:ind w:left="0" w:firstLine="0"/>
        <w:jc w:val="center"/>
        <w:rPr>
          <w:u w:val="single"/>
        </w:rPr>
      </w:pPr>
      <w:r>
        <w:rPr>
          <w:b/>
          <w:bCs/>
          <w:u w:val="single"/>
        </w:rPr>
        <w:t xml:space="preserve">Table No. 8 - </w:t>
      </w:r>
      <w:r w:rsidRPr="005E649B">
        <w:rPr>
          <w:b/>
          <w:bCs/>
          <w:u w:val="single"/>
        </w:rPr>
        <w:t xml:space="preserve">Criminal </w:t>
      </w:r>
      <w:r>
        <w:rPr>
          <w:b/>
          <w:bCs/>
          <w:u w:val="single"/>
        </w:rPr>
        <w:t>P</w:t>
      </w:r>
      <w:r w:rsidRPr="005E649B">
        <w:rPr>
          <w:b/>
          <w:bCs/>
          <w:u w:val="single"/>
        </w:rPr>
        <w:t>risoners (as of September 2019)</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1136"/>
        <w:gridCol w:w="1137"/>
        <w:gridCol w:w="1114"/>
        <w:gridCol w:w="1114"/>
        <w:gridCol w:w="1114"/>
        <w:gridCol w:w="1545"/>
      </w:tblGrid>
      <w:tr w:rsidR="00960CEA" w14:paraId="7739FA7D" w14:textId="77777777" w:rsidTr="00A91F49">
        <w:trPr>
          <w:trHeight w:val="325"/>
          <w:jc w:val="center"/>
        </w:trPr>
        <w:tc>
          <w:tcPr>
            <w:tcW w:w="3409"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3A554DD" w14:textId="77777777" w:rsidR="00CB6688" w:rsidRPr="009F0699" w:rsidRDefault="006B79F7" w:rsidP="00A91F49">
            <w:pPr>
              <w:spacing w:before="0" w:after="0" w:line="240" w:lineRule="auto"/>
              <w:ind w:left="-67" w:right="-111" w:firstLine="0"/>
              <w:jc w:val="center"/>
              <w:rPr>
                <w:b/>
                <w:bCs/>
                <w:sz w:val="22"/>
                <w:szCs w:val="22"/>
              </w:rPr>
            </w:pPr>
            <w:r w:rsidRPr="00973082">
              <w:rPr>
                <w:b/>
                <w:bCs/>
                <w:sz w:val="22"/>
                <w:szCs w:val="22"/>
              </w:rPr>
              <w:t>S</w:t>
            </w:r>
            <w:r w:rsidRPr="009F0699">
              <w:rPr>
                <w:b/>
                <w:bCs/>
                <w:sz w:val="22"/>
                <w:szCs w:val="22"/>
              </w:rPr>
              <w:t>entenced</w:t>
            </w:r>
          </w:p>
        </w:tc>
        <w:tc>
          <w:tcPr>
            <w:tcW w:w="3342"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8B56B58" w14:textId="77777777" w:rsidR="00CB6688" w:rsidRPr="009F0699" w:rsidRDefault="006B79F7" w:rsidP="00A91F49">
            <w:pPr>
              <w:spacing w:before="0" w:after="0" w:line="240" w:lineRule="auto"/>
              <w:ind w:left="-67" w:right="-111" w:firstLine="0"/>
              <w:jc w:val="center"/>
              <w:rPr>
                <w:b/>
                <w:bCs/>
                <w:sz w:val="22"/>
                <w:szCs w:val="22"/>
              </w:rPr>
            </w:pPr>
            <w:r w:rsidRPr="009F0699">
              <w:rPr>
                <w:b/>
                <w:bCs/>
                <w:sz w:val="22"/>
                <w:szCs w:val="22"/>
              </w:rPr>
              <w:t>Arrested</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02E3C645" w14:textId="77777777" w:rsidR="00CB6688" w:rsidRPr="009F0699" w:rsidRDefault="00CB6688" w:rsidP="00A91F49">
            <w:pPr>
              <w:spacing w:before="0" w:after="0" w:line="240" w:lineRule="auto"/>
              <w:jc w:val="center"/>
              <w:rPr>
                <w:sz w:val="22"/>
                <w:szCs w:val="22"/>
              </w:rPr>
            </w:pPr>
          </w:p>
        </w:tc>
      </w:tr>
      <w:tr w:rsidR="00960CEA" w14:paraId="20A6AE60" w14:textId="77777777" w:rsidTr="00A91F49">
        <w:trPr>
          <w:trHeight w:val="343"/>
          <w:jc w:val="center"/>
        </w:trPr>
        <w:tc>
          <w:tcPr>
            <w:tcW w:w="11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4B7AD0" w14:textId="77777777" w:rsidR="00CB6688" w:rsidRPr="009F0699" w:rsidRDefault="006B79F7" w:rsidP="00A91F49">
            <w:pPr>
              <w:spacing w:before="0" w:after="0" w:line="240" w:lineRule="auto"/>
              <w:ind w:left="-67" w:right="-111" w:firstLine="0"/>
              <w:jc w:val="center"/>
              <w:rPr>
                <w:b/>
                <w:bCs/>
                <w:sz w:val="22"/>
                <w:szCs w:val="22"/>
              </w:rPr>
            </w:pPr>
            <w:r w:rsidRPr="009F0699">
              <w:rPr>
                <w:b/>
                <w:bCs/>
                <w:sz w:val="22"/>
                <w:szCs w:val="22"/>
              </w:rPr>
              <w:t>Other</w:t>
            </w:r>
          </w:p>
        </w:tc>
        <w:tc>
          <w:tcPr>
            <w:tcW w:w="11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B32940" w14:textId="77777777" w:rsidR="00CB6688" w:rsidRPr="009F0699" w:rsidRDefault="006B79F7" w:rsidP="00A91F49">
            <w:pPr>
              <w:spacing w:before="0" w:after="0" w:line="240" w:lineRule="auto"/>
              <w:ind w:left="-67" w:right="-111" w:firstLine="0"/>
              <w:jc w:val="center"/>
              <w:rPr>
                <w:b/>
                <w:bCs/>
                <w:sz w:val="22"/>
                <w:szCs w:val="22"/>
              </w:rPr>
            </w:pPr>
            <w:r w:rsidRPr="009F0699">
              <w:rPr>
                <w:b/>
                <w:bCs/>
                <w:sz w:val="22"/>
                <w:szCs w:val="22"/>
              </w:rPr>
              <w:t>Women</w:t>
            </w:r>
          </w:p>
        </w:tc>
        <w:tc>
          <w:tcPr>
            <w:tcW w:w="113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422BC2" w14:textId="77777777" w:rsidR="00CB6688" w:rsidRPr="009F0699" w:rsidRDefault="006B79F7" w:rsidP="00A91F49">
            <w:pPr>
              <w:spacing w:before="0" w:after="0" w:line="240" w:lineRule="auto"/>
              <w:ind w:left="-67" w:right="-111" w:firstLine="0"/>
              <w:jc w:val="center"/>
              <w:rPr>
                <w:b/>
                <w:bCs/>
                <w:sz w:val="22"/>
                <w:szCs w:val="22"/>
              </w:rPr>
            </w:pPr>
            <w:r w:rsidRPr="009F0699">
              <w:rPr>
                <w:b/>
                <w:bCs/>
                <w:sz w:val="22"/>
                <w:szCs w:val="22"/>
              </w:rPr>
              <w:t>Men</w:t>
            </w:r>
          </w:p>
        </w:tc>
        <w:tc>
          <w:tcPr>
            <w:tcW w:w="11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956B1A" w14:textId="77777777" w:rsidR="00CB6688" w:rsidRPr="009F0699" w:rsidRDefault="006B79F7" w:rsidP="00A91F49">
            <w:pPr>
              <w:spacing w:before="0" w:after="0" w:line="240" w:lineRule="auto"/>
              <w:ind w:left="-67" w:right="-111" w:firstLine="0"/>
              <w:jc w:val="center"/>
              <w:rPr>
                <w:b/>
                <w:bCs/>
                <w:sz w:val="22"/>
                <w:szCs w:val="22"/>
              </w:rPr>
            </w:pPr>
            <w:r w:rsidRPr="009F0699">
              <w:rPr>
                <w:b/>
                <w:bCs/>
                <w:sz w:val="22"/>
                <w:szCs w:val="22"/>
              </w:rPr>
              <w:t>Other</w:t>
            </w:r>
          </w:p>
        </w:tc>
        <w:tc>
          <w:tcPr>
            <w:tcW w:w="11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3A6BB5" w14:textId="77777777" w:rsidR="00CB6688" w:rsidRPr="009F0699" w:rsidRDefault="006B79F7" w:rsidP="00A91F49">
            <w:pPr>
              <w:spacing w:before="0" w:after="0" w:line="240" w:lineRule="auto"/>
              <w:jc w:val="center"/>
              <w:rPr>
                <w:b/>
                <w:bCs/>
                <w:sz w:val="22"/>
                <w:szCs w:val="22"/>
              </w:rPr>
            </w:pPr>
            <w:r w:rsidRPr="009F0699">
              <w:rPr>
                <w:b/>
                <w:bCs/>
                <w:sz w:val="22"/>
                <w:szCs w:val="22"/>
              </w:rPr>
              <w:t>Women</w:t>
            </w:r>
          </w:p>
        </w:tc>
        <w:tc>
          <w:tcPr>
            <w:tcW w:w="11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842DF7D" w14:textId="77777777" w:rsidR="00CB6688" w:rsidRPr="009F0699" w:rsidRDefault="006B79F7" w:rsidP="00A91F49">
            <w:pPr>
              <w:spacing w:before="0" w:after="0" w:line="240" w:lineRule="auto"/>
              <w:jc w:val="center"/>
              <w:rPr>
                <w:b/>
                <w:bCs/>
                <w:sz w:val="22"/>
                <w:szCs w:val="22"/>
              </w:rPr>
            </w:pPr>
            <w:r w:rsidRPr="009F0699">
              <w:rPr>
                <w:b/>
                <w:bCs/>
                <w:sz w:val="22"/>
                <w:szCs w:val="22"/>
              </w:rPr>
              <w:t>Men</w:t>
            </w:r>
          </w:p>
        </w:tc>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48849075" w14:textId="77777777" w:rsidR="00CB6688" w:rsidRPr="009F0699" w:rsidRDefault="00CB6688" w:rsidP="00A91F49">
            <w:pPr>
              <w:spacing w:before="0" w:after="0" w:line="240" w:lineRule="auto"/>
              <w:jc w:val="center"/>
              <w:rPr>
                <w:sz w:val="22"/>
                <w:szCs w:val="22"/>
              </w:rPr>
            </w:pPr>
          </w:p>
        </w:tc>
      </w:tr>
      <w:tr w:rsidR="00960CEA" w14:paraId="415871DA" w14:textId="77777777" w:rsidTr="00A91F49">
        <w:trPr>
          <w:trHeight w:val="44"/>
          <w:jc w:val="center"/>
        </w:trPr>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357C527F" w14:textId="77777777" w:rsidR="00CB6688" w:rsidRPr="009F0699" w:rsidRDefault="00CB6688" w:rsidP="00A91F49">
            <w:pPr>
              <w:spacing w:before="0" w:after="0" w:line="240" w:lineRule="auto"/>
              <w:ind w:left="-105" w:right="-81" w:firstLine="12"/>
              <w:jc w:val="center"/>
              <w:rPr>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D759FC2" w14:textId="77777777" w:rsidR="00CB6688" w:rsidRPr="009F0699" w:rsidRDefault="00CB6688" w:rsidP="00A91F49">
            <w:pPr>
              <w:spacing w:before="0" w:after="0" w:line="240" w:lineRule="auto"/>
              <w:ind w:left="-105" w:right="-81" w:firstLine="12"/>
              <w:jc w:val="center"/>
              <w:rPr>
                <w:sz w:val="22"/>
                <w:szCs w:val="22"/>
              </w:rPr>
            </w:pP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EDC93"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58</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0BA10"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3</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EB64E"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1</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4948C"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17</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379E7" w14:textId="77777777" w:rsidR="00CB6688" w:rsidRPr="009F0699" w:rsidRDefault="006B79F7" w:rsidP="00A91F49">
            <w:pPr>
              <w:spacing w:before="0" w:after="0" w:line="240" w:lineRule="auto"/>
              <w:ind w:left="57" w:right="57" w:firstLine="11"/>
              <w:jc w:val="left"/>
              <w:rPr>
                <w:b/>
                <w:bCs/>
                <w:sz w:val="22"/>
                <w:szCs w:val="22"/>
              </w:rPr>
            </w:pPr>
            <w:r w:rsidRPr="009F0699">
              <w:rPr>
                <w:b/>
                <w:bCs/>
                <w:sz w:val="22"/>
                <w:szCs w:val="22"/>
              </w:rPr>
              <w:t>In transfer</w:t>
            </w:r>
          </w:p>
        </w:tc>
      </w:tr>
      <w:tr w:rsidR="00960CEA" w14:paraId="1F36917C" w14:textId="77777777" w:rsidTr="00A91F49">
        <w:trPr>
          <w:jc w:val="center"/>
        </w:trPr>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914975A" w14:textId="77777777" w:rsidR="00CB6688" w:rsidRPr="009F0699" w:rsidRDefault="00CB6688" w:rsidP="00A91F49">
            <w:pPr>
              <w:spacing w:before="0" w:after="0" w:line="240" w:lineRule="auto"/>
              <w:ind w:left="-105" w:right="-81" w:firstLine="12"/>
              <w:jc w:val="center"/>
              <w:rPr>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25FF4BC3" w14:textId="77777777" w:rsidR="00CB6688" w:rsidRPr="009F0699" w:rsidRDefault="00CB6688" w:rsidP="00A91F49">
            <w:pPr>
              <w:spacing w:before="0" w:after="0" w:line="240" w:lineRule="auto"/>
              <w:ind w:left="-105" w:right="-81" w:firstLine="12"/>
              <w:jc w:val="center"/>
              <w:rPr>
                <w:sz w:val="22"/>
                <w:szCs w:val="22"/>
              </w:rPr>
            </w:pP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A3940"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1,539</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14:paraId="79433C0A" w14:textId="77777777" w:rsidR="00CB6688" w:rsidRPr="009F0699" w:rsidRDefault="00CB6688" w:rsidP="00A91F49">
            <w:pPr>
              <w:spacing w:before="0" w:after="0" w:line="240" w:lineRule="auto"/>
              <w:ind w:left="-105" w:right="-81" w:firstLine="12"/>
              <w:jc w:val="center"/>
              <w:rPr>
                <w:sz w:val="22"/>
                <w:szCs w:val="22"/>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34C23"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3</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CA1F9"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886</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E9D54" w14:textId="77777777" w:rsidR="00CB6688" w:rsidRPr="009F0699" w:rsidRDefault="006B79F7" w:rsidP="00A91F49">
            <w:pPr>
              <w:spacing w:before="0" w:after="0" w:line="240" w:lineRule="auto"/>
              <w:ind w:left="57" w:right="57" w:firstLine="11"/>
              <w:jc w:val="left"/>
              <w:rPr>
                <w:b/>
                <w:bCs/>
                <w:sz w:val="22"/>
                <w:szCs w:val="22"/>
              </w:rPr>
            </w:pPr>
            <w:r w:rsidRPr="009F0699">
              <w:rPr>
                <w:b/>
                <w:bCs/>
                <w:sz w:val="22"/>
                <w:szCs w:val="22"/>
              </w:rPr>
              <w:t>Southern District</w:t>
            </w:r>
          </w:p>
        </w:tc>
      </w:tr>
      <w:tr w:rsidR="00960CEA" w14:paraId="637A39C2" w14:textId="77777777" w:rsidTr="00A91F49">
        <w:trPr>
          <w:jc w:val="center"/>
        </w:trPr>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80017"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8351F"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76</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A93AA" w14:textId="77777777" w:rsidR="00CB6688" w:rsidRPr="009F0699" w:rsidRDefault="006B79F7" w:rsidP="00A91F49">
            <w:pPr>
              <w:spacing w:before="0" w:after="0" w:line="240" w:lineRule="auto"/>
              <w:ind w:left="-105" w:right="-81" w:firstLine="12"/>
              <w:jc w:val="center"/>
              <w:rPr>
                <w:sz w:val="22"/>
                <w:szCs w:val="22"/>
                <w:rtl/>
              </w:rPr>
            </w:pPr>
            <w:r w:rsidRPr="009F0699">
              <w:rPr>
                <w:sz w:val="22"/>
                <w:szCs w:val="22"/>
              </w:rPr>
              <w:t>2,618</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FE3CF"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1</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34A32"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58</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263BD"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1,598</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92200" w14:textId="77777777" w:rsidR="00CB6688" w:rsidRPr="00A04C4C" w:rsidRDefault="006B79F7" w:rsidP="00A91F49">
            <w:pPr>
              <w:spacing w:before="0" w:after="0" w:line="240" w:lineRule="auto"/>
              <w:ind w:left="57" w:right="57" w:firstLine="11"/>
              <w:jc w:val="left"/>
              <w:rPr>
                <w:b/>
                <w:bCs/>
                <w:sz w:val="22"/>
                <w:szCs w:val="22"/>
              </w:rPr>
            </w:pPr>
            <w:r w:rsidRPr="00A04C4C">
              <w:rPr>
                <w:b/>
                <w:bCs/>
                <w:sz w:val="22"/>
                <w:szCs w:val="22"/>
              </w:rPr>
              <w:t>Central District</w:t>
            </w:r>
          </w:p>
        </w:tc>
      </w:tr>
      <w:tr w:rsidR="00960CEA" w14:paraId="2D0CB0BE" w14:textId="77777777" w:rsidTr="00A91F49">
        <w:trPr>
          <w:jc w:val="center"/>
        </w:trPr>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6306A68F" w14:textId="77777777" w:rsidR="00CB6688" w:rsidRPr="009F0699" w:rsidRDefault="00CB6688" w:rsidP="00A91F49">
            <w:pPr>
              <w:spacing w:before="0" w:after="0" w:line="240" w:lineRule="auto"/>
              <w:ind w:left="-105" w:right="-81" w:firstLine="12"/>
              <w:jc w:val="center"/>
              <w:rPr>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130A90C" w14:textId="77777777" w:rsidR="00CB6688" w:rsidRPr="009F0699" w:rsidRDefault="00CB6688" w:rsidP="00A91F49">
            <w:pPr>
              <w:spacing w:before="0" w:after="0" w:line="240" w:lineRule="auto"/>
              <w:ind w:left="-105" w:right="-81" w:firstLine="12"/>
              <w:jc w:val="center"/>
              <w:rPr>
                <w:sz w:val="22"/>
                <w:szCs w:val="22"/>
              </w:rPr>
            </w:pP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1F6D2"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1,622</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14:paraId="1BF69861" w14:textId="77777777" w:rsidR="00CB6688" w:rsidRPr="009F0699" w:rsidRDefault="00CB6688" w:rsidP="00A91F49">
            <w:pPr>
              <w:spacing w:before="0" w:after="0" w:line="240" w:lineRule="auto"/>
              <w:ind w:left="-105" w:right="-81" w:firstLine="12"/>
              <w:jc w:val="center"/>
              <w:rPr>
                <w:sz w:val="22"/>
                <w:szCs w:val="22"/>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07CA8"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3</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B1471" w14:textId="77777777" w:rsidR="00CB6688" w:rsidRPr="009F0699" w:rsidRDefault="006B79F7" w:rsidP="00A91F49">
            <w:pPr>
              <w:spacing w:before="0" w:after="0" w:line="240" w:lineRule="auto"/>
              <w:ind w:left="-105" w:right="-81" w:firstLine="12"/>
              <w:jc w:val="center"/>
              <w:rPr>
                <w:sz w:val="22"/>
                <w:szCs w:val="22"/>
              </w:rPr>
            </w:pPr>
            <w:r w:rsidRPr="009F0699">
              <w:rPr>
                <w:sz w:val="22"/>
                <w:szCs w:val="22"/>
              </w:rPr>
              <w:t>907</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C23F8" w14:textId="77777777" w:rsidR="00CB6688" w:rsidRPr="009F0699" w:rsidRDefault="006B79F7" w:rsidP="00A91F49">
            <w:pPr>
              <w:spacing w:before="0" w:after="0" w:line="240" w:lineRule="auto"/>
              <w:ind w:left="57" w:right="57" w:firstLine="11"/>
              <w:jc w:val="left"/>
              <w:rPr>
                <w:b/>
                <w:bCs/>
                <w:sz w:val="22"/>
                <w:szCs w:val="22"/>
              </w:rPr>
            </w:pPr>
            <w:r w:rsidRPr="009F0699">
              <w:rPr>
                <w:b/>
                <w:bCs/>
                <w:sz w:val="22"/>
                <w:szCs w:val="22"/>
              </w:rPr>
              <w:t>Northern District</w:t>
            </w:r>
          </w:p>
        </w:tc>
      </w:tr>
    </w:tbl>
    <w:p w14:paraId="5AE54615" w14:textId="77777777" w:rsidR="00CB6688" w:rsidRPr="00D34240" w:rsidRDefault="006B79F7" w:rsidP="00CB6688">
      <w:pPr>
        <w:spacing w:before="120" w:line="240" w:lineRule="auto"/>
        <w:ind w:left="0" w:firstLine="0"/>
        <w:rPr>
          <w:i/>
          <w:iCs/>
          <w:sz w:val="22"/>
          <w:szCs w:val="22"/>
          <w:rtl/>
        </w:rPr>
      </w:pPr>
      <w:r w:rsidRPr="00FD3B10">
        <w:rPr>
          <w:i/>
          <w:iCs/>
          <w:sz w:val="22"/>
          <w:szCs w:val="22"/>
        </w:rPr>
        <w:t xml:space="preserve">Source: </w:t>
      </w:r>
      <w:r>
        <w:rPr>
          <w:i/>
          <w:iCs/>
          <w:sz w:val="22"/>
          <w:szCs w:val="22"/>
        </w:rPr>
        <w:t>Israel Prisons Service</w:t>
      </w:r>
      <w:r w:rsidRPr="00D34240">
        <w:rPr>
          <w:i/>
          <w:iCs/>
          <w:sz w:val="22"/>
          <w:szCs w:val="22"/>
        </w:rPr>
        <w:t>, 2019.</w:t>
      </w:r>
    </w:p>
    <w:p w14:paraId="28BE8466" w14:textId="569BCA04" w:rsidR="00CB6688" w:rsidRPr="00C14467" w:rsidRDefault="006B79F7" w:rsidP="0099177B">
      <w:pPr>
        <w:ind w:left="0" w:firstLine="0"/>
        <w:jc w:val="center"/>
        <w:rPr>
          <w:b/>
          <w:bCs/>
          <w:u w:val="single"/>
        </w:rPr>
      </w:pPr>
      <w:r>
        <w:rPr>
          <w:b/>
          <w:bCs/>
          <w:u w:val="single"/>
        </w:rPr>
        <w:t xml:space="preserve">Table No. 9 - </w:t>
      </w:r>
      <w:r w:rsidRPr="005E649B">
        <w:rPr>
          <w:b/>
          <w:bCs/>
          <w:u w:val="single"/>
        </w:rPr>
        <w:t>Security Prisoners</w:t>
      </w:r>
      <w:r w:rsidRPr="00C14467">
        <w:rPr>
          <w:b/>
          <w:bCs/>
          <w:u w:val="single"/>
        </w:rPr>
        <w:t xml:space="preserve"> </w:t>
      </w:r>
      <w:r w:rsidRPr="005E649B">
        <w:rPr>
          <w:b/>
          <w:bCs/>
          <w:u w:val="single"/>
        </w:rPr>
        <w:t>(as of September 2019)</w:t>
      </w:r>
    </w:p>
    <w:tbl>
      <w:tblPr>
        <w:bidiVisual/>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8"/>
        <w:gridCol w:w="1755"/>
        <w:gridCol w:w="1701"/>
        <w:gridCol w:w="1559"/>
        <w:gridCol w:w="2552"/>
      </w:tblGrid>
      <w:tr w:rsidR="00960CEA" w14:paraId="19186495" w14:textId="77777777" w:rsidTr="00A91F49">
        <w:trPr>
          <w:trHeight w:val="355"/>
          <w:jc w:val="center"/>
        </w:trPr>
        <w:tc>
          <w:tcPr>
            <w:tcW w:w="3473" w:type="dxa"/>
            <w:gridSpan w:val="2"/>
            <w:shd w:val="clear" w:color="auto" w:fill="D9D9D9"/>
            <w:tcMar>
              <w:top w:w="0" w:type="dxa"/>
              <w:left w:w="108" w:type="dxa"/>
              <w:bottom w:w="0" w:type="dxa"/>
              <w:right w:w="108" w:type="dxa"/>
            </w:tcMar>
            <w:vAlign w:val="center"/>
            <w:hideMark/>
          </w:tcPr>
          <w:p w14:paraId="2FE9FEB1" w14:textId="77777777" w:rsidR="00CB6688" w:rsidRPr="00C14467" w:rsidRDefault="006B79F7" w:rsidP="00A91F49">
            <w:pPr>
              <w:spacing w:before="0" w:after="0" w:line="240" w:lineRule="auto"/>
              <w:ind w:left="-67" w:right="-111" w:firstLine="0"/>
              <w:jc w:val="center"/>
              <w:rPr>
                <w:b/>
                <w:bCs/>
                <w:sz w:val="22"/>
                <w:szCs w:val="22"/>
              </w:rPr>
            </w:pPr>
            <w:r w:rsidRPr="00973082">
              <w:rPr>
                <w:b/>
                <w:bCs/>
                <w:sz w:val="22"/>
                <w:szCs w:val="22"/>
              </w:rPr>
              <w:t>S</w:t>
            </w:r>
            <w:r w:rsidRPr="00C14467">
              <w:rPr>
                <w:b/>
                <w:bCs/>
                <w:sz w:val="22"/>
                <w:szCs w:val="22"/>
              </w:rPr>
              <w:t>entenced</w:t>
            </w:r>
          </w:p>
        </w:tc>
        <w:tc>
          <w:tcPr>
            <w:tcW w:w="3260" w:type="dxa"/>
            <w:gridSpan w:val="2"/>
            <w:shd w:val="clear" w:color="auto" w:fill="D9D9D9"/>
            <w:tcMar>
              <w:top w:w="0" w:type="dxa"/>
              <w:left w:w="108" w:type="dxa"/>
              <w:bottom w:w="0" w:type="dxa"/>
              <w:right w:w="108" w:type="dxa"/>
            </w:tcMar>
            <w:vAlign w:val="center"/>
            <w:hideMark/>
          </w:tcPr>
          <w:p w14:paraId="3EDCAAA3"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Arrested</w:t>
            </w:r>
          </w:p>
        </w:tc>
        <w:tc>
          <w:tcPr>
            <w:tcW w:w="2552" w:type="dxa"/>
            <w:vMerge w:val="restart"/>
            <w:shd w:val="clear" w:color="auto" w:fill="D9D9D9"/>
            <w:tcMar>
              <w:top w:w="0" w:type="dxa"/>
              <w:left w:w="108" w:type="dxa"/>
              <w:bottom w:w="0" w:type="dxa"/>
              <w:right w:w="108" w:type="dxa"/>
            </w:tcMar>
          </w:tcPr>
          <w:p w14:paraId="328AFCFE" w14:textId="77777777" w:rsidR="00CB6688" w:rsidRPr="00C14467" w:rsidRDefault="00CB6688" w:rsidP="00A91F49">
            <w:pPr>
              <w:spacing w:before="0" w:after="0" w:line="240" w:lineRule="auto"/>
              <w:rPr>
                <w:sz w:val="22"/>
                <w:szCs w:val="22"/>
              </w:rPr>
            </w:pPr>
          </w:p>
        </w:tc>
      </w:tr>
      <w:tr w:rsidR="00960CEA" w14:paraId="53D450DD" w14:textId="77777777" w:rsidTr="00A91F49">
        <w:trPr>
          <w:trHeight w:val="292"/>
          <w:jc w:val="center"/>
        </w:trPr>
        <w:tc>
          <w:tcPr>
            <w:tcW w:w="1718" w:type="dxa"/>
            <w:shd w:val="clear" w:color="auto" w:fill="D9D9D9"/>
            <w:tcMar>
              <w:top w:w="0" w:type="dxa"/>
              <w:left w:w="108" w:type="dxa"/>
              <w:bottom w:w="0" w:type="dxa"/>
              <w:right w:w="108" w:type="dxa"/>
            </w:tcMar>
            <w:vAlign w:val="center"/>
            <w:hideMark/>
          </w:tcPr>
          <w:p w14:paraId="57D76678"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Women</w:t>
            </w:r>
          </w:p>
        </w:tc>
        <w:tc>
          <w:tcPr>
            <w:tcW w:w="1755" w:type="dxa"/>
            <w:shd w:val="clear" w:color="auto" w:fill="D9D9D9"/>
            <w:tcMar>
              <w:top w:w="0" w:type="dxa"/>
              <w:left w:w="108" w:type="dxa"/>
              <w:bottom w:w="0" w:type="dxa"/>
              <w:right w:w="108" w:type="dxa"/>
            </w:tcMar>
            <w:vAlign w:val="center"/>
            <w:hideMark/>
          </w:tcPr>
          <w:p w14:paraId="7D82E83A"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Men</w:t>
            </w:r>
          </w:p>
        </w:tc>
        <w:tc>
          <w:tcPr>
            <w:tcW w:w="1701" w:type="dxa"/>
            <w:shd w:val="clear" w:color="auto" w:fill="D9D9D9"/>
            <w:tcMar>
              <w:top w:w="0" w:type="dxa"/>
              <w:left w:w="108" w:type="dxa"/>
              <w:bottom w:w="0" w:type="dxa"/>
              <w:right w:w="108" w:type="dxa"/>
            </w:tcMar>
            <w:vAlign w:val="center"/>
            <w:hideMark/>
          </w:tcPr>
          <w:p w14:paraId="2213E2B9"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Women</w:t>
            </w:r>
          </w:p>
        </w:tc>
        <w:tc>
          <w:tcPr>
            <w:tcW w:w="1559" w:type="dxa"/>
            <w:shd w:val="clear" w:color="auto" w:fill="D9D9D9"/>
            <w:tcMar>
              <w:top w:w="0" w:type="dxa"/>
              <w:left w:w="108" w:type="dxa"/>
              <w:bottom w:w="0" w:type="dxa"/>
              <w:right w:w="108" w:type="dxa"/>
            </w:tcMar>
            <w:vAlign w:val="center"/>
            <w:hideMark/>
          </w:tcPr>
          <w:p w14:paraId="6FED8B2D"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Men</w:t>
            </w:r>
          </w:p>
        </w:tc>
        <w:tc>
          <w:tcPr>
            <w:tcW w:w="0" w:type="auto"/>
            <w:vMerge/>
            <w:shd w:val="clear" w:color="auto" w:fill="D9D9D9"/>
            <w:vAlign w:val="center"/>
            <w:hideMark/>
          </w:tcPr>
          <w:p w14:paraId="0701317E" w14:textId="77777777" w:rsidR="00CB6688" w:rsidRPr="00C14467" w:rsidRDefault="00CB6688" w:rsidP="00A91F49">
            <w:pPr>
              <w:spacing w:before="0" w:after="0" w:line="240" w:lineRule="auto"/>
              <w:rPr>
                <w:sz w:val="22"/>
                <w:szCs w:val="22"/>
              </w:rPr>
            </w:pPr>
          </w:p>
        </w:tc>
      </w:tr>
      <w:tr w:rsidR="00960CEA" w14:paraId="6BD67CA9" w14:textId="77777777" w:rsidTr="00A91F49">
        <w:trPr>
          <w:jc w:val="center"/>
        </w:trPr>
        <w:tc>
          <w:tcPr>
            <w:tcW w:w="1718" w:type="dxa"/>
            <w:tcMar>
              <w:top w:w="0" w:type="dxa"/>
              <w:left w:w="108" w:type="dxa"/>
              <w:bottom w:w="0" w:type="dxa"/>
              <w:right w:w="108" w:type="dxa"/>
            </w:tcMar>
            <w:vAlign w:val="center"/>
            <w:hideMark/>
          </w:tcPr>
          <w:p w14:paraId="132F20EE"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w:t>
            </w:r>
          </w:p>
        </w:tc>
        <w:tc>
          <w:tcPr>
            <w:tcW w:w="1755" w:type="dxa"/>
            <w:tcMar>
              <w:top w:w="0" w:type="dxa"/>
              <w:left w:w="108" w:type="dxa"/>
              <w:bottom w:w="0" w:type="dxa"/>
              <w:right w:w="108" w:type="dxa"/>
            </w:tcMar>
            <w:vAlign w:val="center"/>
            <w:hideMark/>
          </w:tcPr>
          <w:p w14:paraId="120EFA7E"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11</w:t>
            </w:r>
          </w:p>
        </w:tc>
        <w:tc>
          <w:tcPr>
            <w:tcW w:w="1701" w:type="dxa"/>
            <w:tcMar>
              <w:top w:w="0" w:type="dxa"/>
              <w:left w:w="108" w:type="dxa"/>
              <w:bottom w:w="0" w:type="dxa"/>
              <w:right w:w="108" w:type="dxa"/>
            </w:tcMar>
            <w:vAlign w:val="center"/>
            <w:hideMark/>
          </w:tcPr>
          <w:p w14:paraId="63AC77CE"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w:t>
            </w:r>
          </w:p>
        </w:tc>
        <w:tc>
          <w:tcPr>
            <w:tcW w:w="1559" w:type="dxa"/>
            <w:tcMar>
              <w:top w:w="0" w:type="dxa"/>
              <w:left w:w="108" w:type="dxa"/>
              <w:bottom w:w="0" w:type="dxa"/>
              <w:right w:w="108" w:type="dxa"/>
            </w:tcMar>
            <w:vAlign w:val="center"/>
            <w:hideMark/>
          </w:tcPr>
          <w:p w14:paraId="6A7D1757"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20</w:t>
            </w:r>
          </w:p>
        </w:tc>
        <w:tc>
          <w:tcPr>
            <w:tcW w:w="2552" w:type="dxa"/>
            <w:tcMar>
              <w:top w:w="0" w:type="dxa"/>
              <w:left w:w="108" w:type="dxa"/>
              <w:bottom w:w="0" w:type="dxa"/>
              <w:right w:w="108" w:type="dxa"/>
            </w:tcMar>
            <w:vAlign w:val="center"/>
            <w:hideMark/>
          </w:tcPr>
          <w:p w14:paraId="5BF547F6" w14:textId="77777777" w:rsidR="00CB6688" w:rsidRPr="00C14467" w:rsidRDefault="006B79F7" w:rsidP="00A91F49">
            <w:pPr>
              <w:spacing w:before="0" w:after="0" w:line="240" w:lineRule="auto"/>
              <w:ind w:left="57" w:right="57" w:firstLine="11"/>
              <w:jc w:val="left"/>
              <w:rPr>
                <w:b/>
                <w:bCs/>
                <w:sz w:val="22"/>
                <w:szCs w:val="22"/>
              </w:rPr>
            </w:pPr>
            <w:r w:rsidRPr="00C14467">
              <w:rPr>
                <w:b/>
                <w:bCs/>
                <w:sz w:val="22"/>
                <w:szCs w:val="22"/>
              </w:rPr>
              <w:t>In transfer</w:t>
            </w:r>
          </w:p>
        </w:tc>
      </w:tr>
      <w:tr w:rsidR="00960CEA" w14:paraId="4B1A43FE" w14:textId="77777777" w:rsidTr="00A91F49">
        <w:trPr>
          <w:jc w:val="center"/>
        </w:trPr>
        <w:tc>
          <w:tcPr>
            <w:tcW w:w="1718" w:type="dxa"/>
            <w:tcMar>
              <w:top w:w="0" w:type="dxa"/>
              <w:left w:w="108" w:type="dxa"/>
              <w:bottom w:w="0" w:type="dxa"/>
              <w:right w:w="108" w:type="dxa"/>
            </w:tcMar>
            <w:vAlign w:val="center"/>
          </w:tcPr>
          <w:p w14:paraId="1E794680" w14:textId="77777777" w:rsidR="00CB6688" w:rsidRPr="00C14467" w:rsidRDefault="00CB6688" w:rsidP="00A91F49">
            <w:pPr>
              <w:spacing w:before="0" w:after="0" w:line="240" w:lineRule="auto"/>
              <w:ind w:left="-105" w:right="-81" w:firstLine="12"/>
              <w:jc w:val="center"/>
              <w:rPr>
                <w:sz w:val="22"/>
                <w:szCs w:val="22"/>
              </w:rPr>
            </w:pPr>
          </w:p>
        </w:tc>
        <w:tc>
          <w:tcPr>
            <w:tcW w:w="1755" w:type="dxa"/>
            <w:tcMar>
              <w:top w:w="0" w:type="dxa"/>
              <w:left w:w="108" w:type="dxa"/>
              <w:bottom w:w="0" w:type="dxa"/>
              <w:right w:w="108" w:type="dxa"/>
            </w:tcMar>
            <w:vAlign w:val="center"/>
            <w:hideMark/>
          </w:tcPr>
          <w:p w14:paraId="2D924D94"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2144</w:t>
            </w:r>
          </w:p>
        </w:tc>
        <w:tc>
          <w:tcPr>
            <w:tcW w:w="1701" w:type="dxa"/>
            <w:tcMar>
              <w:top w:w="0" w:type="dxa"/>
              <w:left w:w="108" w:type="dxa"/>
              <w:bottom w:w="0" w:type="dxa"/>
              <w:right w:w="108" w:type="dxa"/>
            </w:tcMar>
            <w:vAlign w:val="center"/>
            <w:hideMark/>
          </w:tcPr>
          <w:p w14:paraId="60B6FFA1"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1</w:t>
            </w:r>
          </w:p>
        </w:tc>
        <w:tc>
          <w:tcPr>
            <w:tcW w:w="1559" w:type="dxa"/>
            <w:tcMar>
              <w:top w:w="0" w:type="dxa"/>
              <w:left w:w="108" w:type="dxa"/>
              <w:bottom w:w="0" w:type="dxa"/>
              <w:right w:w="108" w:type="dxa"/>
            </w:tcMar>
            <w:vAlign w:val="center"/>
            <w:hideMark/>
          </w:tcPr>
          <w:p w14:paraId="6779ADA9"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474</w:t>
            </w:r>
          </w:p>
        </w:tc>
        <w:tc>
          <w:tcPr>
            <w:tcW w:w="2552" w:type="dxa"/>
            <w:tcMar>
              <w:top w:w="0" w:type="dxa"/>
              <w:left w:w="108" w:type="dxa"/>
              <w:bottom w:w="0" w:type="dxa"/>
              <w:right w:w="108" w:type="dxa"/>
            </w:tcMar>
            <w:vAlign w:val="center"/>
            <w:hideMark/>
          </w:tcPr>
          <w:p w14:paraId="420814FF" w14:textId="77777777" w:rsidR="00CB6688" w:rsidRPr="00C14467" w:rsidRDefault="006B79F7" w:rsidP="00A91F49">
            <w:pPr>
              <w:spacing w:before="0" w:after="0" w:line="240" w:lineRule="auto"/>
              <w:ind w:left="57" w:right="57" w:firstLine="11"/>
              <w:jc w:val="left"/>
              <w:rPr>
                <w:b/>
                <w:bCs/>
                <w:sz w:val="22"/>
                <w:szCs w:val="22"/>
              </w:rPr>
            </w:pPr>
            <w:r w:rsidRPr="00C14467">
              <w:rPr>
                <w:b/>
                <w:bCs/>
                <w:sz w:val="22"/>
                <w:szCs w:val="22"/>
              </w:rPr>
              <w:t>Southern District</w:t>
            </w:r>
          </w:p>
        </w:tc>
      </w:tr>
      <w:tr w:rsidR="00960CEA" w14:paraId="3B95462E" w14:textId="77777777" w:rsidTr="00A91F49">
        <w:trPr>
          <w:jc w:val="center"/>
        </w:trPr>
        <w:tc>
          <w:tcPr>
            <w:tcW w:w="1718" w:type="dxa"/>
            <w:tcMar>
              <w:top w:w="0" w:type="dxa"/>
              <w:left w:w="108" w:type="dxa"/>
              <w:bottom w:w="0" w:type="dxa"/>
              <w:right w:w="108" w:type="dxa"/>
            </w:tcMar>
            <w:vAlign w:val="center"/>
          </w:tcPr>
          <w:p w14:paraId="49AF3A72" w14:textId="77777777" w:rsidR="00CB6688" w:rsidRPr="00C14467" w:rsidRDefault="00CB6688" w:rsidP="00A91F49">
            <w:pPr>
              <w:spacing w:before="0" w:after="0" w:line="240" w:lineRule="auto"/>
              <w:ind w:left="-105" w:right="-81" w:firstLine="12"/>
              <w:jc w:val="center"/>
              <w:rPr>
                <w:sz w:val="22"/>
                <w:szCs w:val="22"/>
              </w:rPr>
            </w:pPr>
          </w:p>
        </w:tc>
        <w:tc>
          <w:tcPr>
            <w:tcW w:w="1755" w:type="dxa"/>
            <w:tcMar>
              <w:top w:w="0" w:type="dxa"/>
              <w:left w:w="108" w:type="dxa"/>
              <w:bottom w:w="0" w:type="dxa"/>
              <w:right w:w="108" w:type="dxa"/>
            </w:tcMar>
            <w:vAlign w:val="center"/>
            <w:hideMark/>
          </w:tcPr>
          <w:p w14:paraId="6261F2B7"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336</w:t>
            </w:r>
          </w:p>
        </w:tc>
        <w:tc>
          <w:tcPr>
            <w:tcW w:w="1701" w:type="dxa"/>
            <w:tcMar>
              <w:top w:w="0" w:type="dxa"/>
              <w:left w:w="108" w:type="dxa"/>
              <w:bottom w:w="0" w:type="dxa"/>
              <w:right w:w="108" w:type="dxa"/>
            </w:tcMar>
            <w:vAlign w:val="center"/>
            <w:hideMark/>
          </w:tcPr>
          <w:p w14:paraId="62A9455F"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1</w:t>
            </w:r>
          </w:p>
        </w:tc>
        <w:tc>
          <w:tcPr>
            <w:tcW w:w="1559" w:type="dxa"/>
            <w:tcMar>
              <w:top w:w="0" w:type="dxa"/>
              <w:left w:w="108" w:type="dxa"/>
              <w:bottom w:w="0" w:type="dxa"/>
              <w:right w:w="108" w:type="dxa"/>
            </w:tcMar>
            <w:vAlign w:val="center"/>
            <w:hideMark/>
          </w:tcPr>
          <w:p w14:paraId="12D74720"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735</w:t>
            </w:r>
          </w:p>
        </w:tc>
        <w:tc>
          <w:tcPr>
            <w:tcW w:w="2552" w:type="dxa"/>
            <w:tcMar>
              <w:top w:w="0" w:type="dxa"/>
              <w:left w:w="108" w:type="dxa"/>
              <w:bottom w:w="0" w:type="dxa"/>
              <w:right w:w="108" w:type="dxa"/>
            </w:tcMar>
            <w:vAlign w:val="center"/>
            <w:hideMark/>
          </w:tcPr>
          <w:p w14:paraId="67D04288" w14:textId="77777777" w:rsidR="00CB6688" w:rsidRPr="00C14467" w:rsidRDefault="006B79F7" w:rsidP="00A91F49">
            <w:pPr>
              <w:spacing w:before="0" w:after="0" w:line="240" w:lineRule="auto"/>
              <w:ind w:left="57" w:right="57" w:firstLine="11"/>
              <w:jc w:val="left"/>
              <w:rPr>
                <w:b/>
                <w:bCs/>
                <w:sz w:val="22"/>
                <w:szCs w:val="22"/>
              </w:rPr>
            </w:pPr>
            <w:r w:rsidRPr="00C14467">
              <w:rPr>
                <w:b/>
                <w:bCs/>
                <w:sz w:val="22"/>
                <w:szCs w:val="22"/>
              </w:rPr>
              <w:t>Central District</w:t>
            </w:r>
          </w:p>
        </w:tc>
      </w:tr>
      <w:tr w:rsidR="00960CEA" w14:paraId="3EB50E4E" w14:textId="77777777" w:rsidTr="00A91F49">
        <w:trPr>
          <w:jc w:val="center"/>
        </w:trPr>
        <w:tc>
          <w:tcPr>
            <w:tcW w:w="1718" w:type="dxa"/>
            <w:tcMar>
              <w:top w:w="0" w:type="dxa"/>
              <w:left w:w="108" w:type="dxa"/>
              <w:bottom w:w="0" w:type="dxa"/>
              <w:right w:w="108" w:type="dxa"/>
            </w:tcMar>
            <w:vAlign w:val="center"/>
            <w:hideMark/>
          </w:tcPr>
          <w:p w14:paraId="68B22654"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28</w:t>
            </w:r>
          </w:p>
        </w:tc>
        <w:tc>
          <w:tcPr>
            <w:tcW w:w="1755" w:type="dxa"/>
            <w:tcMar>
              <w:top w:w="0" w:type="dxa"/>
              <w:left w:w="108" w:type="dxa"/>
              <w:bottom w:w="0" w:type="dxa"/>
              <w:right w:w="108" w:type="dxa"/>
            </w:tcMar>
            <w:vAlign w:val="center"/>
            <w:hideMark/>
          </w:tcPr>
          <w:p w14:paraId="157559A2"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442</w:t>
            </w:r>
          </w:p>
        </w:tc>
        <w:tc>
          <w:tcPr>
            <w:tcW w:w="1701" w:type="dxa"/>
            <w:tcMar>
              <w:top w:w="0" w:type="dxa"/>
              <w:left w:w="108" w:type="dxa"/>
              <w:bottom w:w="0" w:type="dxa"/>
              <w:right w:w="108" w:type="dxa"/>
            </w:tcMar>
            <w:vAlign w:val="center"/>
            <w:hideMark/>
          </w:tcPr>
          <w:p w14:paraId="51FC4BA8"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10</w:t>
            </w:r>
          </w:p>
        </w:tc>
        <w:tc>
          <w:tcPr>
            <w:tcW w:w="1559" w:type="dxa"/>
            <w:tcMar>
              <w:top w:w="0" w:type="dxa"/>
              <w:left w:w="108" w:type="dxa"/>
              <w:bottom w:w="0" w:type="dxa"/>
              <w:right w:w="108" w:type="dxa"/>
            </w:tcMar>
            <w:vAlign w:val="center"/>
            <w:hideMark/>
          </w:tcPr>
          <w:p w14:paraId="56EF4186" w14:textId="77777777" w:rsidR="00CB6688" w:rsidRPr="00C14467" w:rsidRDefault="006B79F7" w:rsidP="00A91F49">
            <w:pPr>
              <w:spacing w:before="0" w:after="0" w:line="240" w:lineRule="auto"/>
              <w:ind w:left="-105" w:right="-81" w:firstLine="12"/>
              <w:jc w:val="center"/>
              <w:rPr>
                <w:sz w:val="22"/>
                <w:szCs w:val="22"/>
              </w:rPr>
            </w:pPr>
            <w:r w:rsidRPr="00C14467">
              <w:rPr>
                <w:sz w:val="22"/>
                <w:szCs w:val="22"/>
              </w:rPr>
              <w:t>725</w:t>
            </w:r>
          </w:p>
        </w:tc>
        <w:tc>
          <w:tcPr>
            <w:tcW w:w="2552" w:type="dxa"/>
            <w:tcMar>
              <w:top w:w="0" w:type="dxa"/>
              <w:left w:w="108" w:type="dxa"/>
              <w:bottom w:w="0" w:type="dxa"/>
              <w:right w:w="108" w:type="dxa"/>
            </w:tcMar>
            <w:vAlign w:val="center"/>
            <w:hideMark/>
          </w:tcPr>
          <w:p w14:paraId="33B1952F" w14:textId="77777777" w:rsidR="00CB6688" w:rsidRPr="00C14467" w:rsidRDefault="006B79F7" w:rsidP="00A91F49">
            <w:pPr>
              <w:spacing w:before="0" w:after="0" w:line="240" w:lineRule="auto"/>
              <w:ind w:left="57" w:right="57" w:firstLine="11"/>
              <w:jc w:val="left"/>
              <w:rPr>
                <w:b/>
                <w:bCs/>
                <w:sz w:val="22"/>
                <w:szCs w:val="22"/>
              </w:rPr>
            </w:pPr>
            <w:r w:rsidRPr="00C14467">
              <w:rPr>
                <w:b/>
                <w:bCs/>
                <w:sz w:val="22"/>
                <w:szCs w:val="22"/>
              </w:rPr>
              <w:t>Northern District</w:t>
            </w:r>
          </w:p>
        </w:tc>
      </w:tr>
    </w:tbl>
    <w:p w14:paraId="42F2A532" w14:textId="77777777" w:rsidR="00FD3B10" w:rsidRPr="00D34240" w:rsidRDefault="00CB6688" w:rsidP="00CB6688">
      <w:pPr>
        <w:spacing w:before="120" w:line="240" w:lineRule="auto"/>
        <w:ind w:left="0" w:firstLine="0"/>
        <w:rPr>
          <w:i/>
          <w:iCs/>
          <w:sz w:val="22"/>
          <w:szCs w:val="22"/>
          <w:rtl/>
        </w:rPr>
      </w:pPr>
      <w:r w:rsidRPr="00FD3B10">
        <w:rPr>
          <w:i/>
          <w:iCs/>
          <w:sz w:val="22"/>
          <w:szCs w:val="22"/>
        </w:rPr>
        <w:t xml:space="preserve">Source: </w:t>
      </w:r>
      <w:r>
        <w:rPr>
          <w:i/>
          <w:iCs/>
          <w:sz w:val="22"/>
          <w:szCs w:val="22"/>
        </w:rPr>
        <w:t>Israel Prisons Service</w:t>
      </w:r>
      <w:r w:rsidRPr="00D34240">
        <w:rPr>
          <w:i/>
          <w:iCs/>
          <w:sz w:val="22"/>
          <w:szCs w:val="22"/>
        </w:rPr>
        <w:t>, 2019.</w:t>
      </w:r>
    </w:p>
    <w:p w14:paraId="71B8475A" w14:textId="77777777" w:rsidR="005E649B" w:rsidRDefault="006B79F7" w:rsidP="009D3DE1">
      <w:pPr>
        <w:ind w:left="0" w:firstLine="0"/>
        <w:rPr>
          <w:b/>
          <w:bCs/>
          <w:u w:val="single"/>
        </w:rPr>
      </w:pPr>
      <w:r>
        <w:rPr>
          <w:b/>
          <w:bCs/>
          <w:u w:val="single"/>
        </w:rPr>
        <w:t>Reducing overcrowding in prisons in the course of the reporting period and imprisonment alternatives</w:t>
      </w:r>
    </w:p>
    <w:p w14:paraId="45963FE1" w14:textId="77777777" w:rsidR="005E649B" w:rsidRPr="001D462B" w:rsidRDefault="006B79F7" w:rsidP="001F52F8">
      <w:pPr>
        <w:pStyle w:val="aa"/>
        <w:numPr>
          <w:ilvl w:val="0"/>
          <w:numId w:val="2"/>
        </w:numPr>
        <w:ind w:left="567" w:hanging="567"/>
        <w:contextualSpacing w:val="0"/>
        <w:rPr>
          <w:rFonts w:ascii="Calibri" w:hAnsi="Calibri" w:cs="Arial"/>
          <w:sz w:val="22"/>
          <w:szCs w:val="22"/>
        </w:rPr>
      </w:pPr>
      <w:r w:rsidRPr="005E649B">
        <w:rPr>
          <w:b/>
          <w:bCs/>
          <w:u w:val="single"/>
        </w:rPr>
        <w:lastRenderedPageBreak/>
        <w:t>The establishment of new prison facilities and renovation of existing ones:</w:t>
      </w:r>
      <w:r w:rsidR="003C63CC">
        <w:rPr>
          <w:b/>
          <w:bCs/>
        </w:rPr>
        <w:t xml:space="preserve"> </w:t>
      </w:r>
      <w:r w:rsidRPr="003C63CC">
        <w:t xml:space="preserve">24 incarceration wings were added to the prisons – thirteen (13) wings of which are designated for security prisoners (in Ktzi'ot, </w:t>
      </w:r>
      <w:r w:rsidR="00FE3E5C" w:rsidRPr="003C63CC">
        <w:t>Megiddo</w:t>
      </w:r>
      <w:r w:rsidRPr="003C63CC">
        <w:t>, Ofer and Ramon), three (3) wings are designated for criminal prisoners (Shita, Eshel and Ela), three (3) wings are designated for detainees (Nitzan, Zalmon and Dekel) and two (2) wings are designated for the purpose of investigation of detainees (Nitzan and Zalmon). In addition, five (5) treatment wings were added to the prisons – two (2) wings in Dekel and one (1) in Hermon, Ela and Rimonim. The new wings were added in addition to the construction of new wings, the renovation and reopening of existing/closed wings or the reestablishment of wings for a different purpose.</w:t>
      </w:r>
    </w:p>
    <w:p w14:paraId="301D8211" w14:textId="77777777" w:rsidR="003C63CC" w:rsidRPr="003C63CC" w:rsidRDefault="006B79F7" w:rsidP="001F52F8">
      <w:pPr>
        <w:pStyle w:val="aa"/>
        <w:numPr>
          <w:ilvl w:val="0"/>
          <w:numId w:val="2"/>
        </w:numPr>
        <w:ind w:left="567" w:hanging="567"/>
        <w:contextualSpacing w:val="0"/>
      </w:pPr>
      <w:r w:rsidRPr="003C63CC">
        <w:rPr>
          <w:b/>
          <w:bCs/>
          <w:u w:val="single"/>
        </w:rPr>
        <w:t>Extension of the quota for prisoners and detainees under electronic supervision:</w:t>
      </w:r>
      <w:r w:rsidRPr="003C63CC">
        <w:rPr>
          <w:rFonts w:ascii="Calibri" w:hAnsi="Calibri" w:cs="Arial"/>
          <w:sz w:val="22"/>
          <w:szCs w:val="22"/>
        </w:rPr>
        <w:t xml:space="preserve"> </w:t>
      </w:r>
      <w:r w:rsidRPr="003C63CC">
        <w:t xml:space="preserve">As of August 2020, there are 89 prisoners and 703 detainees who received an imprisonment alternative in the form of electronic supervision. Following is data on the number of adult detainees and prisoners who received an imprisonment alternative in the form of electronic supervision, per year: from June, 2015, until the end of the year – eleven (11) prisoners and 370 detainees; in 2016 – 72 prisoners and 685 detainees; in 2017 – 154 prisoners and 668 detainees; in 2018 – 837 prisoners and 150 detainees; in 2019 – 66 prisoners and 784 detainees; in 2020 (until August 5) 43 prisoners and 861 detainees. </w:t>
      </w:r>
    </w:p>
    <w:p w14:paraId="77138C28" w14:textId="77777777" w:rsidR="003C63CC" w:rsidRPr="003D1121" w:rsidRDefault="006B79F7" w:rsidP="001F52F8">
      <w:pPr>
        <w:pStyle w:val="aa"/>
        <w:numPr>
          <w:ilvl w:val="0"/>
          <w:numId w:val="2"/>
        </w:numPr>
        <w:ind w:left="567" w:hanging="567"/>
        <w:contextualSpacing w:val="0"/>
        <w:rPr>
          <w:rFonts w:ascii="Calibri" w:hAnsi="Calibri" w:cs="Arial"/>
          <w:sz w:val="22"/>
          <w:szCs w:val="22"/>
        </w:rPr>
      </w:pPr>
      <w:r w:rsidRPr="003C63CC">
        <w:t xml:space="preserve">Following is data on the number of minor detainees and prisoners who received an imprisonment alternative in the form of electronic supervision, per year: from June, 2015, until the end of the year - 40 detainees; in 2016 - 61 detainees and </w:t>
      </w:r>
      <w:r w:rsidRPr="003D1121">
        <w:t>six (6) prisoners; in 2017 - 46 detainees and fifteen (15) prisoners; in 2018 - 47 detainees and fifteen (15) prisoners; in 2019 - 40 detainees and ten (10) prisoners; in 2020, until 21 June, 27 detainees and six (6) prisoners.</w:t>
      </w:r>
    </w:p>
    <w:p w14:paraId="43F4CD65" w14:textId="6DF49986" w:rsidR="00CB6688" w:rsidRPr="001D462B" w:rsidRDefault="006B79F7" w:rsidP="0099177B">
      <w:pPr>
        <w:ind w:left="0" w:firstLine="0"/>
        <w:jc w:val="center"/>
        <w:rPr>
          <w:b/>
          <w:bCs/>
          <w:u w:val="single"/>
        </w:rPr>
      </w:pPr>
      <w:r>
        <w:rPr>
          <w:b/>
          <w:bCs/>
          <w:u w:val="single"/>
        </w:rPr>
        <w:t xml:space="preserve">Table No. 10 - </w:t>
      </w:r>
      <w:r w:rsidRPr="003D1121">
        <w:rPr>
          <w:b/>
          <w:bCs/>
          <w:u w:val="single"/>
        </w:rPr>
        <w:t xml:space="preserve">Distribution of </w:t>
      </w:r>
      <w:r>
        <w:rPr>
          <w:b/>
          <w:bCs/>
          <w:u w:val="single"/>
        </w:rPr>
        <w:t>P</w:t>
      </w:r>
      <w:r w:rsidRPr="003D1121">
        <w:rPr>
          <w:b/>
          <w:bCs/>
          <w:u w:val="single"/>
        </w:rPr>
        <w:t xml:space="preserve">retrial </w:t>
      </w:r>
      <w:r>
        <w:rPr>
          <w:b/>
          <w:bCs/>
          <w:u w:val="single"/>
        </w:rPr>
        <w:t>D</w:t>
      </w:r>
      <w:r w:rsidRPr="003D1121">
        <w:rPr>
          <w:b/>
          <w:bCs/>
          <w:u w:val="single"/>
        </w:rPr>
        <w:t xml:space="preserve">etainees (hereinafter: </w:t>
      </w:r>
      <w:r>
        <w:rPr>
          <w:b/>
          <w:bCs/>
          <w:u w:val="single"/>
        </w:rPr>
        <w:t>D</w:t>
      </w:r>
      <w:r w:rsidRPr="003D1121">
        <w:rPr>
          <w:b/>
          <w:bCs/>
          <w:u w:val="single"/>
        </w:rPr>
        <w:t xml:space="preserve">etainees) and </w:t>
      </w:r>
      <w:r>
        <w:rPr>
          <w:b/>
          <w:bCs/>
          <w:u w:val="single"/>
        </w:rPr>
        <w:t>C</w:t>
      </w:r>
      <w:r w:rsidRPr="003D1121">
        <w:rPr>
          <w:b/>
          <w:bCs/>
          <w:u w:val="single"/>
        </w:rPr>
        <w:t xml:space="preserve">onvicted </w:t>
      </w:r>
      <w:r>
        <w:rPr>
          <w:b/>
          <w:bCs/>
          <w:u w:val="single"/>
        </w:rPr>
        <w:t>P</w:t>
      </w:r>
      <w:r w:rsidRPr="003D1121">
        <w:rPr>
          <w:b/>
          <w:bCs/>
          <w:u w:val="single"/>
        </w:rPr>
        <w:t>risoners (hereinafter:</w:t>
      </w:r>
      <w:r w:rsidRPr="003D1121">
        <w:rPr>
          <w:b/>
          <w:bCs/>
          <w:u w:val="single"/>
          <w:rtl/>
        </w:rPr>
        <w:t xml:space="preserve"> </w:t>
      </w:r>
      <w:r>
        <w:rPr>
          <w:rFonts w:hint="cs"/>
          <w:b/>
          <w:bCs/>
          <w:u w:val="single"/>
        </w:rPr>
        <w:t>C</w:t>
      </w:r>
      <w:r w:rsidRPr="003D1121">
        <w:rPr>
          <w:b/>
          <w:bCs/>
          <w:u w:val="single"/>
        </w:rPr>
        <w:t xml:space="preserve">onvicts) – </w:t>
      </w:r>
      <w:r>
        <w:rPr>
          <w:b/>
          <w:bCs/>
          <w:u w:val="single"/>
        </w:rPr>
        <w:t>by Population Group</w:t>
      </w:r>
      <w:r w:rsidRPr="003D1121">
        <w:rPr>
          <w:b/>
          <w:bCs/>
          <w:u w:val="single"/>
        </w:rPr>
        <w:t xml:space="preserve"> or </w:t>
      </w:r>
      <w:r>
        <w:rPr>
          <w:b/>
          <w:bCs/>
          <w:u w:val="single"/>
        </w:rPr>
        <w:t>N</w:t>
      </w:r>
      <w:r w:rsidRPr="003D1121">
        <w:rPr>
          <w:b/>
          <w:bCs/>
          <w:u w:val="single"/>
        </w:rPr>
        <w:t xml:space="preserve">ational </w:t>
      </w:r>
      <w:r>
        <w:rPr>
          <w:b/>
          <w:bCs/>
          <w:u w:val="single"/>
        </w:rPr>
        <w:t>O</w:t>
      </w:r>
      <w:r w:rsidRPr="003D1121">
        <w:rPr>
          <w:b/>
          <w:bCs/>
          <w:u w:val="single"/>
        </w:rPr>
        <w:t>rigin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1804"/>
        <w:gridCol w:w="1843"/>
      </w:tblGrid>
      <w:tr w:rsidR="00960CEA" w14:paraId="5C3316B4" w14:textId="77777777" w:rsidTr="00A91F49">
        <w:trPr>
          <w:trHeight w:val="321"/>
          <w:tblHeader/>
          <w:jc w:val="center"/>
        </w:trPr>
        <w:tc>
          <w:tcPr>
            <w:tcW w:w="28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788711" w14:textId="5BB292CD" w:rsidR="00CB6688" w:rsidRPr="0013391C" w:rsidRDefault="006B79F7" w:rsidP="00A91F49">
            <w:pPr>
              <w:spacing w:before="0" w:after="0" w:line="240" w:lineRule="auto"/>
              <w:ind w:left="-67" w:right="-111" w:firstLine="0"/>
              <w:jc w:val="center"/>
              <w:rPr>
                <w:b/>
                <w:bCs/>
                <w:sz w:val="22"/>
                <w:szCs w:val="22"/>
              </w:rPr>
            </w:pPr>
            <w:r>
              <w:rPr>
                <w:b/>
                <w:bCs/>
                <w:sz w:val="22"/>
                <w:szCs w:val="22"/>
              </w:rPr>
              <w:t>Population Group</w:t>
            </w:r>
          </w:p>
        </w:tc>
        <w:tc>
          <w:tcPr>
            <w:tcW w:w="180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E255D1" w14:textId="77777777" w:rsidR="00CB6688" w:rsidRPr="0013391C" w:rsidRDefault="006B79F7" w:rsidP="00A91F49">
            <w:pPr>
              <w:spacing w:before="0" w:after="0" w:line="240" w:lineRule="auto"/>
              <w:ind w:left="-67" w:right="-111" w:firstLine="0"/>
              <w:jc w:val="center"/>
              <w:rPr>
                <w:b/>
                <w:bCs/>
                <w:sz w:val="22"/>
                <w:szCs w:val="22"/>
              </w:rPr>
            </w:pPr>
            <w:r w:rsidRPr="0013391C">
              <w:rPr>
                <w:b/>
                <w:bCs/>
                <w:sz w:val="22"/>
                <w:szCs w:val="22"/>
              </w:rPr>
              <w:t>Convicts</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030712" w14:textId="77777777" w:rsidR="00CB6688" w:rsidRPr="0013391C" w:rsidRDefault="006B79F7" w:rsidP="00A91F49">
            <w:pPr>
              <w:spacing w:before="0" w:after="0" w:line="240" w:lineRule="auto"/>
              <w:ind w:left="-67" w:right="-111" w:firstLine="0"/>
              <w:jc w:val="center"/>
              <w:rPr>
                <w:b/>
                <w:bCs/>
                <w:sz w:val="22"/>
                <w:szCs w:val="22"/>
              </w:rPr>
            </w:pPr>
            <w:r w:rsidRPr="0013391C">
              <w:rPr>
                <w:b/>
                <w:bCs/>
                <w:sz w:val="22"/>
                <w:szCs w:val="22"/>
              </w:rPr>
              <w:t>Detainees</w:t>
            </w:r>
          </w:p>
        </w:tc>
      </w:tr>
      <w:tr w:rsidR="00960CEA" w14:paraId="6D6AD991"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2EFAD713"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Jewish</w:t>
            </w:r>
          </w:p>
        </w:tc>
        <w:tc>
          <w:tcPr>
            <w:tcW w:w="1804" w:type="dxa"/>
            <w:tcBorders>
              <w:top w:val="single" w:sz="4" w:space="0" w:color="auto"/>
              <w:left w:val="single" w:sz="4" w:space="0" w:color="auto"/>
              <w:bottom w:val="single" w:sz="4" w:space="0" w:color="auto"/>
              <w:right w:val="single" w:sz="4" w:space="0" w:color="auto"/>
            </w:tcBorders>
            <w:hideMark/>
          </w:tcPr>
          <w:p w14:paraId="6819CC04"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2,925</w:t>
            </w:r>
          </w:p>
        </w:tc>
        <w:tc>
          <w:tcPr>
            <w:tcW w:w="1843" w:type="dxa"/>
            <w:tcBorders>
              <w:top w:val="single" w:sz="4" w:space="0" w:color="auto"/>
              <w:left w:val="single" w:sz="4" w:space="0" w:color="auto"/>
              <w:bottom w:val="single" w:sz="4" w:space="0" w:color="auto"/>
              <w:right w:val="single" w:sz="4" w:space="0" w:color="auto"/>
            </w:tcBorders>
            <w:hideMark/>
          </w:tcPr>
          <w:p w14:paraId="40B4A6AC"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1,794</w:t>
            </w:r>
          </w:p>
        </w:tc>
      </w:tr>
      <w:tr w:rsidR="00960CEA" w14:paraId="78A1A623"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37297BA6"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Bedouin</w:t>
            </w:r>
          </w:p>
        </w:tc>
        <w:tc>
          <w:tcPr>
            <w:tcW w:w="1804" w:type="dxa"/>
            <w:tcBorders>
              <w:top w:val="single" w:sz="4" w:space="0" w:color="auto"/>
              <w:left w:val="single" w:sz="4" w:space="0" w:color="auto"/>
              <w:bottom w:val="single" w:sz="4" w:space="0" w:color="auto"/>
              <w:right w:val="single" w:sz="4" w:space="0" w:color="auto"/>
            </w:tcBorders>
            <w:hideMark/>
          </w:tcPr>
          <w:p w14:paraId="4D795F67"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350</w:t>
            </w:r>
          </w:p>
        </w:tc>
        <w:tc>
          <w:tcPr>
            <w:tcW w:w="1843" w:type="dxa"/>
            <w:tcBorders>
              <w:top w:val="single" w:sz="4" w:space="0" w:color="auto"/>
              <w:left w:val="single" w:sz="4" w:space="0" w:color="auto"/>
              <w:bottom w:val="single" w:sz="4" w:space="0" w:color="auto"/>
              <w:right w:val="single" w:sz="4" w:space="0" w:color="auto"/>
            </w:tcBorders>
            <w:hideMark/>
          </w:tcPr>
          <w:p w14:paraId="444DD2ED"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307</w:t>
            </w:r>
          </w:p>
        </w:tc>
      </w:tr>
      <w:tr w:rsidR="00960CEA" w14:paraId="5A5B7C6E"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6C6F76F6" w14:textId="77777777" w:rsidR="00CB6688" w:rsidRPr="00A04C4C" w:rsidRDefault="006B79F7" w:rsidP="00A91F49">
            <w:pPr>
              <w:spacing w:before="0" w:after="0" w:line="240" w:lineRule="auto"/>
              <w:ind w:left="57" w:right="57" w:firstLine="12"/>
              <w:jc w:val="left"/>
              <w:rPr>
                <w:b/>
                <w:bCs/>
                <w:sz w:val="22"/>
                <w:szCs w:val="22"/>
              </w:rPr>
            </w:pPr>
            <w:r w:rsidRPr="00A04C4C">
              <w:rPr>
                <w:b/>
                <w:bCs/>
                <w:sz w:val="22"/>
                <w:szCs w:val="22"/>
              </w:rPr>
              <w:lastRenderedPageBreak/>
              <w:t>Druze</w:t>
            </w:r>
          </w:p>
        </w:tc>
        <w:tc>
          <w:tcPr>
            <w:tcW w:w="1804" w:type="dxa"/>
            <w:tcBorders>
              <w:top w:val="single" w:sz="4" w:space="0" w:color="auto"/>
              <w:left w:val="single" w:sz="4" w:space="0" w:color="auto"/>
              <w:bottom w:val="single" w:sz="4" w:space="0" w:color="auto"/>
              <w:right w:val="single" w:sz="4" w:space="0" w:color="auto"/>
            </w:tcBorders>
            <w:hideMark/>
          </w:tcPr>
          <w:p w14:paraId="0B33AB17"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78</w:t>
            </w:r>
          </w:p>
        </w:tc>
        <w:tc>
          <w:tcPr>
            <w:tcW w:w="1843" w:type="dxa"/>
            <w:tcBorders>
              <w:top w:val="single" w:sz="4" w:space="0" w:color="auto"/>
              <w:left w:val="single" w:sz="4" w:space="0" w:color="auto"/>
              <w:bottom w:val="single" w:sz="4" w:space="0" w:color="auto"/>
              <w:right w:val="single" w:sz="4" w:space="0" w:color="auto"/>
            </w:tcBorders>
            <w:hideMark/>
          </w:tcPr>
          <w:p w14:paraId="58373E3D"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34</w:t>
            </w:r>
          </w:p>
        </w:tc>
      </w:tr>
      <w:tr w:rsidR="00960CEA" w14:paraId="19B2316F"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02C172BD"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Muslim</w:t>
            </w:r>
          </w:p>
        </w:tc>
        <w:tc>
          <w:tcPr>
            <w:tcW w:w="1804" w:type="dxa"/>
            <w:tcBorders>
              <w:top w:val="single" w:sz="4" w:space="0" w:color="auto"/>
              <w:left w:val="single" w:sz="4" w:space="0" w:color="auto"/>
              <w:bottom w:val="single" w:sz="4" w:space="0" w:color="auto"/>
              <w:right w:val="single" w:sz="4" w:space="0" w:color="auto"/>
            </w:tcBorders>
            <w:hideMark/>
          </w:tcPr>
          <w:p w14:paraId="525B69EB"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998</w:t>
            </w:r>
          </w:p>
        </w:tc>
        <w:tc>
          <w:tcPr>
            <w:tcW w:w="1843" w:type="dxa"/>
            <w:tcBorders>
              <w:top w:val="single" w:sz="4" w:space="0" w:color="auto"/>
              <w:left w:val="single" w:sz="4" w:space="0" w:color="auto"/>
              <w:bottom w:val="single" w:sz="4" w:space="0" w:color="auto"/>
              <w:right w:val="single" w:sz="4" w:space="0" w:color="auto"/>
            </w:tcBorders>
            <w:hideMark/>
          </w:tcPr>
          <w:p w14:paraId="17FB2B20"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1206</w:t>
            </w:r>
          </w:p>
        </w:tc>
      </w:tr>
      <w:tr w:rsidR="00960CEA" w14:paraId="33346520"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641F3BC0"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Christian</w:t>
            </w:r>
          </w:p>
        </w:tc>
        <w:tc>
          <w:tcPr>
            <w:tcW w:w="1804" w:type="dxa"/>
            <w:tcBorders>
              <w:top w:val="single" w:sz="4" w:space="0" w:color="auto"/>
              <w:left w:val="single" w:sz="4" w:space="0" w:color="auto"/>
              <w:bottom w:val="single" w:sz="4" w:space="0" w:color="auto"/>
              <w:right w:val="single" w:sz="4" w:space="0" w:color="auto"/>
            </w:tcBorders>
            <w:hideMark/>
          </w:tcPr>
          <w:p w14:paraId="1D441915"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233</w:t>
            </w:r>
          </w:p>
        </w:tc>
        <w:tc>
          <w:tcPr>
            <w:tcW w:w="1843" w:type="dxa"/>
            <w:tcBorders>
              <w:top w:val="single" w:sz="4" w:space="0" w:color="auto"/>
              <w:left w:val="single" w:sz="4" w:space="0" w:color="auto"/>
              <w:bottom w:val="single" w:sz="4" w:space="0" w:color="auto"/>
              <w:right w:val="single" w:sz="4" w:space="0" w:color="auto"/>
            </w:tcBorders>
            <w:hideMark/>
          </w:tcPr>
          <w:p w14:paraId="5882F66C"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245</w:t>
            </w:r>
          </w:p>
        </w:tc>
      </w:tr>
      <w:tr w:rsidR="00960CEA" w14:paraId="0B221A7D"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7C1858EF"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Arab</w:t>
            </w:r>
          </w:p>
        </w:tc>
        <w:tc>
          <w:tcPr>
            <w:tcW w:w="1804" w:type="dxa"/>
            <w:tcBorders>
              <w:top w:val="single" w:sz="4" w:space="0" w:color="auto"/>
              <w:left w:val="single" w:sz="4" w:space="0" w:color="auto"/>
              <w:bottom w:val="single" w:sz="4" w:space="0" w:color="auto"/>
              <w:right w:val="single" w:sz="4" w:space="0" w:color="auto"/>
            </w:tcBorders>
            <w:hideMark/>
          </w:tcPr>
          <w:p w14:paraId="4D18C0A2"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4,131</w:t>
            </w:r>
          </w:p>
        </w:tc>
        <w:tc>
          <w:tcPr>
            <w:tcW w:w="1843" w:type="dxa"/>
            <w:tcBorders>
              <w:top w:val="single" w:sz="4" w:space="0" w:color="auto"/>
              <w:left w:val="single" w:sz="4" w:space="0" w:color="auto"/>
              <w:bottom w:val="single" w:sz="4" w:space="0" w:color="auto"/>
              <w:right w:val="single" w:sz="4" w:space="0" w:color="auto"/>
            </w:tcBorders>
            <w:hideMark/>
          </w:tcPr>
          <w:p w14:paraId="49A2F1C6"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2,245</w:t>
            </w:r>
          </w:p>
        </w:tc>
      </w:tr>
      <w:tr w:rsidR="00960CEA" w14:paraId="4A898B9C"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365EF3EB"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Others</w:t>
            </w:r>
          </w:p>
        </w:tc>
        <w:tc>
          <w:tcPr>
            <w:tcW w:w="1804" w:type="dxa"/>
            <w:tcBorders>
              <w:top w:val="single" w:sz="4" w:space="0" w:color="auto"/>
              <w:left w:val="single" w:sz="4" w:space="0" w:color="auto"/>
              <w:bottom w:val="single" w:sz="4" w:space="0" w:color="auto"/>
              <w:right w:val="single" w:sz="4" w:space="0" w:color="auto"/>
            </w:tcBorders>
            <w:hideMark/>
          </w:tcPr>
          <w:p w14:paraId="73C05549"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45</w:t>
            </w:r>
          </w:p>
        </w:tc>
        <w:tc>
          <w:tcPr>
            <w:tcW w:w="1843" w:type="dxa"/>
            <w:tcBorders>
              <w:top w:val="single" w:sz="4" w:space="0" w:color="auto"/>
              <w:left w:val="single" w:sz="4" w:space="0" w:color="auto"/>
              <w:bottom w:val="single" w:sz="4" w:space="0" w:color="auto"/>
              <w:right w:val="single" w:sz="4" w:space="0" w:color="auto"/>
            </w:tcBorders>
            <w:hideMark/>
          </w:tcPr>
          <w:p w14:paraId="3494C655"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34</w:t>
            </w:r>
          </w:p>
        </w:tc>
      </w:tr>
    </w:tbl>
    <w:p w14:paraId="19BDCC9F" w14:textId="77777777" w:rsidR="00CB6688" w:rsidRPr="00D34240" w:rsidRDefault="006B79F7" w:rsidP="00CB6688">
      <w:pPr>
        <w:spacing w:before="120" w:line="240" w:lineRule="auto"/>
        <w:ind w:left="0" w:firstLine="0"/>
        <w:rPr>
          <w:i/>
          <w:iCs/>
          <w:sz w:val="22"/>
          <w:szCs w:val="22"/>
          <w:rtl/>
        </w:rPr>
      </w:pPr>
      <w:r w:rsidRPr="00FD3B10">
        <w:rPr>
          <w:i/>
          <w:iCs/>
          <w:sz w:val="22"/>
          <w:szCs w:val="22"/>
        </w:rPr>
        <w:t xml:space="preserve">Source: </w:t>
      </w:r>
      <w:r>
        <w:rPr>
          <w:i/>
          <w:iCs/>
          <w:sz w:val="22"/>
          <w:szCs w:val="22"/>
        </w:rPr>
        <w:t>Israel Prisons Service</w:t>
      </w:r>
      <w:r w:rsidRPr="00D34240">
        <w:rPr>
          <w:i/>
          <w:iCs/>
          <w:sz w:val="22"/>
          <w:szCs w:val="22"/>
        </w:rPr>
        <w:t>, 2019.</w:t>
      </w:r>
    </w:p>
    <w:p w14:paraId="215FA749" w14:textId="1B49D9C9" w:rsidR="00CB6688" w:rsidRPr="0013391C" w:rsidRDefault="006B79F7" w:rsidP="0099177B">
      <w:pPr>
        <w:ind w:left="0" w:firstLine="0"/>
        <w:jc w:val="center"/>
        <w:rPr>
          <w:b/>
          <w:bCs/>
          <w:u w:val="single"/>
        </w:rPr>
      </w:pPr>
      <w:r>
        <w:rPr>
          <w:b/>
          <w:bCs/>
          <w:u w:val="single"/>
        </w:rPr>
        <w:t xml:space="preserve">Table No. 11 - </w:t>
      </w:r>
      <w:r w:rsidRPr="003D1121">
        <w:rPr>
          <w:b/>
          <w:bCs/>
          <w:u w:val="single"/>
        </w:rPr>
        <w:t xml:space="preserve">Distribution of </w:t>
      </w:r>
      <w:r>
        <w:rPr>
          <w:b/>
          <w:bCs/>
          <w:u w:val="single"/>
        </w:rPr>
        <w:t>P</w:t>
      </w:r>
      <w:r w:rsidRPr="003D1121">
        <w:rPr>
          <w:b/>
          <w:bCs/>
          <w:u w:val="single"/>
        </w:rPr>
        <w:t xml:space="preserve">retrial detainees (hereinafter: </w:t>
      </w:r>
      <w:r>
        <w:rPr>
          <w:b/>
          <w:bCs/>
          <w:u w:val="single"/>
        </w:rPr>
        <w:t>D</w:t>
      </w:r>
      <w:r w:rsidRPr="003D1121">
        <w:rPr>
          <w:b/>
          <w:bCs/>
          <w:u w:val="single"/>
        </w:rPr>
        <w:t xml:space="preserve">etainees) and </w:t>
      </w:r>
      <w:r>
        <w:rPr>
          <w:b/>
          <w:bCs/>
          <w:u w:val="single"/>
        </w:rPr>
        <w:t>C</w:t>
      </w:r>
      <w:r w:rsidRPr="003D1121">
        <w:rPr>
          <w:b/>
          <w:bCs/>
          <w:u w:val="single"/>
        </w:rPr>
        <w:t>onvi</w:t>
      </w:r>
      <w:r>
        <w:rPr>
          <w:b/>
          <w:bCs/>
          <w:u w:val="single"/>
        </w:rPr>
        <w:t>cted P</w:t>
      </w:r>
      <w:r w:rsidRPr="003D1121">
        <w:rPr>
          <w:b/>
          <w:bCs/>
          <w:u w:val="single"/>
        </w:rPr>
        <w:t>risoners (hereinafter:</w:t>
      </w:r>
      <w:r>
        <w:rPr>
          <w:b/>
          <w:bCs/>
          <w:u w:val="single"/>
        </w:rPr>
        <w:t xml:space="preserve"> C</w:t>
      </w:r>
      <w:r w:rsidRPr="003D1121">
        <w:rPr>
          <w:b/>
          <w:bCs/>
          <w:u w:val="single"/>
        </w:rPr>
        <w:t>onvicts)</w:t>
      </w:r>
      <w:r>
        <w:rPr>
          <w:b/>
          <w:bCs/>
          <w:u w:val="single"/>
        </w:rPr>
        <w:t xml:space="preserve"> - by Gender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1804"/>
        <w:gridCol w:w="1843"/>
      </w:tblGrid>
      <w:tr w:rsidR="00960CEA" w14:paraId="7E266C4B" w14:textId="77777777" w:rsidTr="00A91F49">
        <w:trPr>
          <w:trHeight w:val="382"/>
          <w:tblHeader/>
          <w:jc w:val="center"/>
        </w:trPr>
        <w:tc>
          <w:tcPr>
            <w:tcW w:w="28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A165D9" w14:textId="77777777" w:rsidR="00CB6688" w:rsidRPr="0013391C" w:rsidRDefault="006B79F7" w:rsidP="00A91F49">
            <w:pPr>
              <w:spacing w:before="0" w:after="0" w:line="240" w:lineRule="auto"/>
              <w:ind w:left="-67" w:right="-111" w:firstLine="0"/>
              <w:jc w:val="center"/>
              <w:rPr>
                <w:b/>
                <w:bCs/>
                <w:sz w:val="22"/>
                <w:szCs w:val="22"/>
              </w:rPr>
            </w:pPr>
            <w:r w:rsidRPr="0013391C">
              <w:rPr>
                <w:b/>
                <w:bCs/>
                <w:sz w:val="22"/>
                <w:szCs w:val="22"/>
              </w:rPr>
              <w:t>Gender</w:t>
            </w:r>
          </w:p>
        </w:tc>
        <w:tc>
          <w:tcPr>
            <w:tcW w:w="180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CD16DD" w14:textId="77777777" w:rsidR="00CB6688" w:rsidRPr="0013391C" w:rsidRDefault="006B79F7" w:rsidP="00A91F49">
            <w:pPr>
              <w:spacing w:before="0" w:after="0" w:line="240" w:lineRule="auto"/>
              <w:ind w:left="-67" w:right="-111" w:firstLine="0"/>
              <w:jc w:val="center"/>
              <w:rPr>
                <w:b/>
                <w:bCs/>
                <w:sz w:val="22"/>
                <w:szCs w:val="22"/>
              </w:rPr>
            </w:pPr>
            <w:r w:rsidRPr="0013391C">
              <w:rPr>
                <w:b/>
                <w:bCs/>
                <w:sz w:val="22"/>
                <w:szCs w:val="22"/>
              </w:rPr>
              <w:t>Convicts</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F2FED1" w14:textId="77777777" w:rsidR="00CB6688" w:rsidRPr="0013391C" w:rsidRDefault="006B79F7" w:rsidP="00A91F49">
            <w:pPr>
              <w:spacing w:before="0" w:after="0" w:line="240" w:lineRule="auto"/>
              <w:ind w:left="-67" w:right="-111" w:firstLine="0"/>
              <w:jc w:val="center"/>
              <w:rPr>
                <w:b/>
                <w:bCs/>
                <w:sz w:val="22"/>
                <w:szCs w:val="22"/>
              </w:rPr>
            </w:pPr>
            <w:r w:rsidRPr="0013391C">
              <w:rPr>
                <w:b/>
                <w:bCs/>
                <w:sz w:val="22"/>
                <w:szCs w:val="22"/>
              </w:rPr>
              <w:t>Detainees</w:t>
            </w:r>
          </w:p>
        </w:tc>
      </w:tr>
      <w:tr w:rsidR="00960CEA" w14:paraId="1A660BAC"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23156751"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Women</w:t>
            </w:r>
          </w:p>
        </w:tc>
        <w:tc>
          <w:tcPr>
            <w:tcW w:w="1804" w:type="dxa"/>
            <w:tcBorders>
              <w:top w:val="single" w:sz="4" w:space="0" w:color="auto"/>
              <w:left w:val="single" w:sz="4" w:space="0" w:color="auto"/>
              <w:bottom w:val="single" w:sz="4" w:space="0" w:color="auto"/>
              <w:right w:val="single" w:sz="4" w:space="0" w:color="auto"/>
            </w:tcBorders>
            <w:hideMark/>
          </w:tcPr>
          <w:p w14:paraId="072961D3"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105</w:t>
            </w:r>
          </w:p>
        </w:tc>
        <w:tc>
          <w:tcPr>
            <w:tcW w:w="1843" w:type="dxa"/>
            <w:tcBorders>
              <w:top w:val="single" w:sz="4" w:space="0" w:color="auto"/>
              <w:left w:val="single" w:sz="4" w:space="0" w:color="auto"/>
              <w:bottom w:val="single" w:sz="4" w:space="0" w:color="auto"/>
              <w:right w:val="single" w:sz="4" w:space="0" w:color="auto"/>
            </w:tcBorders>
            <w:hideMark/>
          </w:tcPr>
          <w:p w14:paraId="599A957F"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128</w:t>
            </w:r>
          </w:p>
        </w:tc>
      </w:tr>
      <w:tr w:rsidR="00960CEA" w14:paraId="05F0E99B"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57DA737D"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Of which are minors</w:t>
            </w:r>
          </w:p>
        </w:tc>
        <w:tc>
          <w:tcPr>
            <w:tcW w:w="1804" w:type="dxa"/>
            <w:tcBorders>
              <w:top w:val="single" w:sz="4" w:space="0" w:color="auto"/>
              <w:left w:val="single" w:sz="4" w:space="0" w:color="auto"/>
              <w:bottom w:val="single" w:sz="4" w:space="0" w:color="auto"/>
              <w:right w:val="single" w:sz="4" w:space="0" w:color="auto"/>
            </w:tcBorders>
          </w:tcPr>
          <w:p w14:paraId="728D707A" w14:textId="77777777" w:rsidR="00CB6688" w:rsidRPr="0013391C" w:rsidRDefault="00CB6688" w:rsidP="00A91F49">
            <w:pPr>
              <w:spacing w:before="0" w:after="0" w:line="240" w:lineRule="auto"/>
              <w:ind w:left="57" w:right="57" w:firstLine="12"/>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14:paraId="3720F201"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2</w:t>
            </w:r>
          </w:p>
        </w:tc>
      </w:tr>
      <w:tr w:rsidR="00960CEA" w14:paraId="73B7B432"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063E9F9A"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Men</w:t>
            </w:r>
          </w:p>
        </w:tc>
        <w:tc>
          <w:tcPr>
            <w:tcW w:w="1804" w:type="dxa"/>
            <w:tcBorders>
              <w:top w:val="single" w:sz="4" w:space="0" w:color="auto"/>
              <w:left w:val="single" w:sz="4" w:space="0" w:color="auto"/>
              <w:bottom w:val="single" w:sz="4" w:space="0" w:color="auto"/>
              <w:right w:val="single" w:sz="4" w:space="0" w:color="auto"/>
            </w:tcBorders>
            <w:hideMark/>
          </w:tcPr>
          <w:p w14:paraId="2B7D8494"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8,676</w:t>
            </w:r>
          </w:p>
        </w:tc>
        <w:tc>
          <w:tcPr>
            <w:tcW w:w="1843" w:type="dxa"/>
            <w:tcBorders>
              <w:top w:val="single" w:sz="4" w:space="0" w:color="auto"/>
              <w:left w:val="single" w:sz="4" w:space="0" w:color="auto"/>
              <w:bottom w:val="single" w:sz="4" w:space="0" w:color="auto"/>
              <w:right w:val="single" w:sz="4" w:space="0" w:color="auto"/>
            </w:tcBorders>
            <w:hideMark/>
          </w:tcPr>
          <w:p w14:paraId="0953ECFF"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5,858</w:t>
            </w:r>
          </w:p>
        </w:tc>
      </w:tr>
      <w:tr w:rsidR="00960CEA" w14:paraId="41E39487"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6988DFE4" w14:textId="77777777" w:rsidR="00CB6688" w:rsidRPr="0013391C" w:rsidRDefault="006B79F7" w:rsidP="00A91F49">
            <w:pPr>
              <w:spacing w:before="0" w:after="0" w:line="240" w:lineRule="auto"/>
              <w:ind w:left="57" w:right="57" w:firstLine="12"/>
              <w:jc w:val="left"/>
              <w:rPr>
                <w:b/>
                <w:bCs/>
                <w:sz w:val="22"/>
                <w:szCs w:val="22"/>
              </w:rPr>
            </w:pPr>
            <w:r w:rsidRPr="0013391C">
              <w:rPr>
                <w:b/>
                <w:bCs/>
                <w:sz w:val="22"/>
                <w:szCs w:val="22"/>
              </w:rPr>
              <w:t>Of which are minors</w:t>
            </w:r>
          </w:p>
        </w:tc>
        <w:tc>
          <w:tcPr>
            <w:tcW w:w="1804" w:type="dxa"/>
            <w:tcBorders>
              <w:top w:val="single" w:sz="4" w:space="0" w:color="auto"/>
              <w:left w:val="single" w:sz="4" w:space="0" w:color="auto"/>
              <w:bottom w:val="single" w:sz="4" w:space="0" w:color="auto"/>
              <w:right w:val="single" w:sz="4" w:space="0" w:color="auto"/>
            </w:tcBorders>
            <w:hideMark/>
          </w:tcPr>
          <w:p w14:paraId="4302263D"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61</w:t>
            </w:r>
          </w:p>
        </w:tc>
        <w:tc>
          <w:tcPr>
            <w:tcW w:w="1843" w:type="dxa"/>
            <w:tcBorders>
              <w:top w:val="single" w:sz="4" w:space="0" w:color="auto"/>
              <w:left w:val="single" w:sz="4" w:space="0" w:color="auto"/>
              <w:bottom w:val="single" w:sz="4" w:space="0" w:color="auto"/>
              <w:right w:val="single" w:sz="4" w:space="0" w:color="auto"/>
            </w:tcBorders>
            <w:hideMark/>
          </w:tcPr>
          <w:p w14:paraId="4481C807" w14:textId="77777777" w:rsidR="00CB6688" w:rsidRPr="0013391C" w:rsidRDefault="006B79F7" w:rsidP="00A91F49">
            <w:pPr>
              <w:spacing w:before="0" w:after="0" w:line="240" w:lineRule="auto"/>
              <w:ind w:left="57" w:right="57" w:firstLine="12"/>
              <w:jc w:val="center"/>
              <w:rPr>
                <w:sz w:val="22"/>
                <w:szCs w:val="22"/>
              </w:rPr>
            </w:pPr>
            <w:r w:rsidRPr="0013391C">
              <w:rPr>
                <w:sz w:val="22"/>
                <w:szCs w:val="22"/>
              </w:rPr>
              <w:t>232</w:t>
            </w:r>
          </w:p>
        </w:tc>
      </w:tr>
    </w:tbl>
    <w:p w14:paraId="52C5CCAB" w14:textId="77777777" w:rsidR="00CB6688" w:rsidRPr="00D34240" w:rsidRDefault="006B79F7" w:rsidP="00CB6688">
      <w:pPr>
        <w:spacing w:before="120" w:line="240" w:lineRule="auto"/>
        <w:ind w:left="0" w:firstLine="0"/>
        <w:rPr>
          <w:i/>
          <w:iCs/>
          <w:sz w:val="22"/>
          <w:szCs w:val="22"/>
          <w:rtl/>
        </w:rPr>
      </w:pPr>
      <w:r w:rsidRPr="00FD3B10">
        <w:rPr>
          <w:i/>
          <w:iCs/>
          <w:sz w:val="22"/>
          <w:szCs w:val="22"/>
        </w:rPr>
        <w:t xml:space="preserve">Source: </w:t>
      </w:r>
      <w:r>
        <w:rPr>
          <w:i/>
          <w:iCs/>
          <w:sz w:val="22"/>
          <w:szCs w:val="22"/>
        </w:rPr>
        <w:t>Israel Prisons Service</w:t>
      </w:r>
      <w:r w:rsidRPr="00D34240">
        <w:rPr>
          <w:i/>
          <w:iCs/>
          <w:sz w:val="22"/>
          <w:szCs w:val="22"/>
        </w:rPr>
        <w:t>, 2019.</w:t>
      </w:r>
    </w:p>
    <w:p w14:paraId="09499CDB" w14:textId="38E0ADB9" w:rsidR="00CB6688" w:rsidRPr="003D1121" w:rsidRDefault="006B79F7" w:rsidP="0099177B">
      <w:pPr>
        <w:ind w:left="0" w:firstLine="0"/>
        <w:jc w:val="center"/>
        <w:rPr>
          <w:b/>
          <w:bCs/>
          <w:u w:val="single"/>
        </w:rPr>
      </w:pPr>
      <w:r>
        <w:rPr>
          <w:b/>
          <w:bCs/>
          <w:u w:val="single"/>
        </w:rPr>
        <w:t xml:space="preserve">Table No. 12 - </w:t>
      </w:r>
      <w:r w:rsidRPr="0013391C">
        <w:rPr>
          <w:b/>
          <w:bCs/>
          <w:u w:val="single"/>
        </w:rPr>
        <w:t xml:space="preserve">Distribution of Women </w:t>
      </w:r>
      <w:r w:rsidRPr="00C14467">
        <w:rPr>
          <w:b/>
          <w:bCs/>
          <w:u w:val="single"/>
        </w:rPr>
        <w:t>Detainees</w:t>
      </w:r>
      <w:r w:rsidRPr="0013391C">
        <w:rPr>
          <w:b/>
          <w:bCs/>
          <w:u w:val="single"/>
        </w:rPr>
        <w:t xml:space="preserve"> and </w:t>
      </w:r>
      <w:r w:rsidRPr="00C14467">
        <w:rPr>
          <w:b/>
          <w:bCs/>
          <w:u w:val="single"/>
        </w:rPr>
        <w:t>Convicts</w:t>
      </w:r>
      <w:r w:rsidRPr="0013391C">
        <w:rPr>
          <w:b/>
          <w:bCs/>
          <w:u w:val="single"/>
        </w:rPr>
        <w:t xml:space="preserve"> by</w:t>
      </w:r>
      <w:r w:rsidRPr="003D1121">
        <w:rPr>
          <w:b/>
          <w:bCs/>
          <w:u w:val="single"/>
        </w:rPr>
        <w:t xml:space="preserve"> </w:t>
      </w:r>
      <w:r>
        <w:rPr>
          <w:b/>
          <w:bCs/>
          <w:u w:val="single"/>
        </w:rPr>
        <w:t>Population Group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1804"/>
        <w:gridCol w:w="1843"/>
      </w:tblGrid>
      <w:tr w:rsidR="00960CEA" w14:paraId="7C4B1C7A" w14:textId="77777777" w:rsidTr="00A91F49">
        <w:trPr>
          <w:trHeight w:val="397"/>
          <w:tblHeader/>
          <w:jc w:val="center"/>
        </w:trPr>
        <w:tc>
          <w:tcPr>
            <w:tcW w:w="28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134424"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Nationality/religion</w:t>
            </w:r>
          </w:p>
        </w:tc>
        <w:tc>
          <w:tcPr>
            <w:tcW w:w="180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629F6F7"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Convicts</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F42C0F"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Detainees</w:t>
            </w:r>
          </w:p>
        </w:tc>
      </w:tr>
      <w:tr w:rsidR="00960CEA" w14:paraId="664F0D51"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68907D23" w14:textId="77777777" w:rsidR="00CB6688" w:rsidRPr="00C14467" w:rsidRDefault="006B79F7" w:rsidP="00A91F49">
            <w:pPr>
              <w:spacing w:before="0" w:after="0" w:line="240" w:lineRule="auto"/>
              <w:ind w:left="57" w:right="57" w:firstLine="12"/>
              <w:jc w:val="left"/>
              <w:rPr>
                <w:b/>
                <w:bCs/>
                <w:sz w:val="22"/>
                <w:szCs w:val="22"/>
              </w:rPr>
            </w:pPr>
            <w:r w:rsidRPr="00C14467">
              <w:rPr>
                <w:b/>
                <w:bCs/>
                <w:sz w:val="22"/>
                <w:szCs w:val="22"/>
              </w:rPr>
              <w:t>Jewish</w:t>
            </w:r>
          </w:p>
        </w:tc>
        <w:tc>
          <w:tcPr>
            <w:tcW w:w="1804" w:type="dxa"/>
            <w:tcBorders>
              <w:top w:val="single" w:sz="4" w:space="0" w:color="auto"/>
              <w:left w:val="single" w:sz="4" w:space="0" w:color="auto"/>
              <w:bottom w:val="single" w:sz="4" w:space="0" w:color="auto"/>
              <w:right w:val="single" w:sz="4" w:space="0" w:color="auto"/>
            </w:tcBorders>
            <w:vAlign w:val="center"/>
            <w:hideMark/>
          </w:tcPr>
          <w:p w14:paraId="0A1D9BA2"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54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E84941"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50</w:t>
            </w:r>
          </w:p>
        </w:tc>
      </w:tr>
      <w:tr w:rsidR="00960CEA" w14:paraId="68F35BDB"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01BEB9F1" w14:textId="77777777" w:rsidR="00CB6688" w:rsidRPr="00C14467" w:rsidRDefault="006B79F7" w:rsidP="00A91F49">
            <w:pPr>
              <w:spacing w:before="0" w:after="0" w:line="240" w:lineRule="auto"/>
              <w:ind w:left="57" w:right="57" w:firstLine="12"/>
              <w:jc w:val="left"/>
              <w:rPr>
                <w:b/>
                <w:bCs/>
                <w:sz w:val="22"/>
                <w:szCs w:val="22"/>
              </w:rPr>
            </w:pPr>
            <w:r w:rsidRPr="00C14467">
              <w:rPr>
                <w:b/>
                <w:bCs/>
                <w:sz w:val="22"/>
                <w:szCs w:val="22"/>
              </w:rPr>
              <w:t>Bedouin</w:t>
            </w:r>
          </w:p>
        </w:tc>
        <w:tc>
          <w:tcPr>
            <w:tcW w:w="1804" w:type="dxa"/>
            <w:tcBorders>
              <w:top w:val="single" w:sz="4" w:space="0" w:color="auto"/>
              <w:left w:val="single" w:sz="4" w:space="0" w:color="auto"/>
              <w:bottom w:val="single" w:sz="4" w:space="0" w:color="auto"/>
              <w:right w:val="single" w:sz="4" w:space="0" w:color="auto"/>
            </w:tcBorders>
            <w:vAlign w:val="center"/>
          </w:tcPr>
          <w:p w14:paraId="0CEFFA0B" w14:textId="77777777" w:rsidR="00CB6688" w:rsidRPr="00C14467" w:rsidRDefault="00CB6688" w:rsidP="00A91F49">
            <w:pPr>
              <w:spacing w:before="0" w:after="0" w:line="240" w:lineRule="auto"/>
              <w:ind w:left="57" w:right="57" w:firstLine="12"/>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6D5820E8"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3</w:t>
            </w:r>
          </w:p>
        </w:tc>
      </w:tr>
      <w:tr w:rsidR="00960CEA" w14:paraId="643E63E7"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5B17CDBA" w14:textId="77777777" w:rsidR="00CB6688" w:rsidRPr="00C14467" w:rsidRDefault="006B79F7" w:rsidP="00A91F49">
            <w:pPr>
              <w:spacing w:before="0" w:after="0" w:line="240" w:lineRule="auto"/>
              <w:ind w:left="57" w:right="57" w:firstLine="12"/>
              <w:jc w:val="left"/>
              <w:rPr>
                <w:b/>
                <w:bCs/>
                <w:sz w:val="22"/>
                <w:szCs w:val="22"/>
              </w:rPr>
            </w:pPr>
            <w:r w:rsidRPr="00C14467">
              <w:rPr>
                <w:b/>
                <w:bCs/>
                <w:sz w:val="22"/>
                <w:szCs w:val="22"/>
              </w:rPr>
              <w:t>Muslim</w:t>
            </w:r>
          </w:p>
        </w:tc>
        <w:tc>
          <w:tcPr>
            <w:tcW w:w="1804" w:type="dxa"/>
            <w:tcBorders>
              <w:top w:val="single" w:sz="4" w:space="0" w:color="auto"/>
              <w:left w:val="single" w:sz="4" w:space="0" w:color="auto"/>
              <w:bottom w:val="single" w:sz="4" w:space="0" w:color="auto"/>
              <w:right w:val="single" w:sz="4" w:space="0" w:color="auto"/>
            </w:tcBorders>
            <w:vAlign w:val="center"/>
            <w:hideMark/>
          </w:tcPr>
          <w:p w14:paraId="3B3C4B5C"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15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23ECC1"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10</w:t>
            </w:r>
          </w:p>
        </w:tc>
      </w:tr>
      <w:tr w:rsidR="00960CEA" w14:paraId="543437EF"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488B932C" w14:textId="77777777" w:rsidR="00CB6688" w:rsidRPr="00C14467" w:rsidRDefault="006B79F7" w:rsidP="00A91F49">
            <w:pPr>
              <w:spacing w:before="0" w:after="0" w:line="240" w:lineRule="auto"/>
              <w:ind w:left="57" w:right="57" w:firstLine="12"/>
              <w:jc w:val="left"/>
              <w:rPr>
                <w:b/>
                <w:bCs/>
                <w:sz w:val="22"/>
                <w:szCs w:val="22"/>
              </w:rPr>
            </w:pPr>
            <w:r w:rsidRPr="00C14467">
              <w:rPr>
                <w:b/>
                <w:bCs/>
                <w:sz w:val="22"/>
                <w:szCs w:val="22"/>
              </w:rPr>
              <w:t>Christian</w:t>
            </w:r>
          </w:p>
        </w:tc>
        <w:tc>
          <w:tcPr>
            <w:tcW w:w="1804" w:type="dxa"/>
            <w:tcBorders>
              <w:top w:val="single" w:sz="4" w:space="0" w:color="auto"/>
              <w:left w:val="single" w:sz="4" w:space="0" w:color="auto"/>
              <w:bottom w:val="single" w:sz="4" w:space="0" w:color="auto"/>
              <w:right w:val="single" w:sz="4" w:space="0" w:color="auto"/>
            </w:tcBorders>
            <w:vAlign w:val="center"/>
            <w:hideMark/>
          </w:tcPr>
          <w:p w14:paraId="2D99DB4C"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27EC40F"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51 (1 minor)</w:t>
            </w:r>
          </w:p>
        </w:tc>
      </w:tr>
      <w:tr w:rsidR="00960CEA" w14:paraId="05C44642"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7252A66A" w14:textId="77777777" w:rsidR="00CB6688" w:rsidRPr="00C14467" w:rsidRDefault="006B79F7" w:rsidP="00A91F49">
            <w:pPr>
              <w:spacing w:before="0" w:after="0" w:line="240" w:lineRule="auto"/>
              <w:ind w:left="57" w:right="57" w:firstLine="12"/>
              <w:jc w:val="left"/>
              <w:rPr>
                <w:b/>
                <w:bCs/>
                <w:sz w:val="22"/>
                <w:szCs w:val="22"/>
              </w:rPr>
            </w:pPr>
            <w:r w:rsidRPr="00C14467">
              <w:rPr>
                <w:b/>
                <w:bCs/>
                <w:sz w:val="22"/>
                <w:szCs w:val="22"/>
              </w:rPr>
              <w:t>Arab</w:t>
            </w:r>
          </w:p>
        </w:tc>
        <w:tc>
          <w:tcPr>
            <w:tcW w:w="1804" w:type="dxa"/>
            <w:tcBorders>
              <w:top w:val="single" w:sz="4" w:space="0" w:color="auto"/>
              <w:left w:val="single" w:sz="4" w:space="0" w:color="auto"/>
              <w:bottom w:val="single" w:sz="4" w:space="0" w:color="auto"/>
              <w:right w:val="single" w:sz="4" w:space="0" w:color="auto"/>
            </w:tcBorders>
            <w:vAlign w:val="center"/>
            <w:hideMark/>
          </w:tcPr>
          <w:p w14:paraId="67C71223"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19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0FBCA1"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8</w:t>
            </w:r>
          </w:p>
        </w:tc>
      </w:tr>
      <w:tr w:rsidR="00960CEA" w14:paraId="1BBCADFC" w14:textId="77777777" w:rsidTr="00A91F49">
        <w:trPr>
          <w:jc w:val="center"/>
        </w:trPr>
        <w:tc>
          <w:tcPr>
            <w:tcW w:w="2840" w:type="dxa"/>
            <w:tcBorders>
              <w:top w:val="single" w:sz="4" w:space="0" w:color="auto"/>
              <w:left w:val="single" w:sz="4" w:space="0" w:color="auto"/>
              <w:bottom w:val="single" w:sz="4" w:space="0" w:color="auto"/>
              <w:right w:val="single" w:sz="4" w:space="0" w:color="auto"/>
            </w:tcBorders>
            <w:vAlign w:val="center"/>
            <w:hideMark/>
          </w:tcPr>
          <w:p w14:paraId="55C7F651" w14:textId="77777777" w:rsidR="00CB6688" w:rsidRPr="00C14467" w:rsidRDefault="006B79F7" w:rsidP="00A91F49">
            <w:pPr>
              <w:spacing w:before="0" w:after="0" w:line="240" w:lineRule="auto"/>
              <w:ind w:left="57" w:right="57" w:firstLine="12"/>
              <w:jc w:val="left"/>
              <w:rPr>
                <w:b/>
                <w:bCs/>
                <w:sz w:val="22"/>
                <w:szCs w:val="22"/>
              </w:rPr>
            </w:pPr>
            <w:r w:rsidRPr="00C14467">
              <w:rPr>
                <w:b/>
                <w:bCs/>
                <w:sz w:val="22"/>
                <w:szCs w:val="22"/>
              </w:rPr>
              <w:t>Others</w:t>
            </w:r>
          </w:p>
        </w:tc>
        <w:tc>
          <w:tcPr>
            <w:tcW w:w="1804" w:type="dxa"/>
            <w:tcBorders>
              <w:top w:val="single" w:sz="4" w:space="0" w:color="auto"/>
              <w:left w:val="single" w:sz="4" w:space="0" w:color="auto"/>
              <w:bottom w:val="single" w:sz="4" w:space="0" w:color="auto"/>
              <w:right w:val="single" w:sz="4" w:space="0" w:color="auto"/>
            </w:tcBorders>
            <w:vAlign w:val="center"/>
            <w:hideMark/>
          </w:tcPr>
          <w:p w14:paraId="73415EEF"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E3EB0A" w14:textId="77777777" w:rsidR="00CB6688" w:rsidRPr="00C14467" w:rsidRDefault="006B79F7" w:rsidP="00A91F49">
            <w:pPr>
              <w:spacing w:before="0" w:after="0" w:line="240" w:lineRule="auto"/>
              <w:ind w:left="57" w:right="57" w:firstLine="12"/>
              <w:jc w:val="center"/>
              <w:rPr>
                <w:sz w:val="22"/>
                <w:szCs w:val="22"/>
              </w:rPr>
            </w:pPr>
            <w:r w:rsidRPr="00C14467">
              <w:rPr>
                <w:sz w:val="22"/>
                <w:szCs w:val="22"/>
              </w:rPr>
              <w:t>6</w:t>
            </w:r>
          </w:p>
        </w:tc>
      </w:tr>
    </w:tbl>
    <w:p w14:paraId="306B5DBC" w14:textId="77777777" w:rsidR="00CB6688" w:rsidRPr="00D34240" w:rsidRDefault="006B79F7" w:rsidP="00CB6688">
      <w:pPr>
        <w:spacing w:before="120" w:line="240" w:lineRule="auto"/>
        <w:ind w:left="0" w:firstLine="0"/>
        <w:rPr>
          <w:i/>
          <w:iCs/>
          <w:sz w:val="22"/>
          <w:szCs w:val="22"/>
          <w:rtl/>
        </w:rPr>
      </w:pPr>
      <w:r w:rsidRPr="00FD3B10">
        <w:rPr>
          <w:i/>
          <w:iCs/>
          <w:sz w:val="22"/>
          <w:szCs w:val="22"/>
        </w:rPr>
        <w:t xml:space="preserve">Source: </w:t>
      </w:r>
      <w:r>
        <w:rPr>
          <w:i/>
          <w:iCs/>
          <w:sz w:val="22"/>
          <w:szCs w:val="22"/>
        </w:rPr>
        <w:t>Israel Prisons Service</w:t>
      </w:r>
      <w:r w:rsidRPr="00D34240">
        <w:rPr>
          <w:i/>
          <w:iCs/>
          <w:sz w:val="22"/>
          <w:szCs w:val="22"/>
        </w:rPr>
        <w:t>, 2019.</w:t>
      </w:r>
    </w:p>
    <w:p w14:paraId="21F7D030" w14:textId="44A55C63" w:rsidR="00CB6688" w:rsidRPr="003D1121" w:rsidRDefault="006B79F7" w:rsidP="0099177B">
      <w:pPr>
        <w:ind w:left="0" w:firstLine="0"/>
        <w:jc w:val="center"/>
        <w:rPr>
          <w:b/>
          <w:bCs/>
          <w:u w:val="single"/>
        </w:rPr>
      </w:pPr>
      <w:r>
        <w:rPr>
          <w:b/>
          <w:bCs/>
          <w:u w:val="single"/>
        </w:rPr>
        <w:t xml:space="preserve">Table No. 13 - </w:t>
      </w:r>
      <w:r w:rsidRPr="003D1121">
        <w:rPr>
          <w:b/>
          <w:bCs/>
          <w:u w:val="single"/>
        </w:rPr>
        <w:t xml:space="preserve">Distribution of </w:t>
      </w:r>
      <w:r>
        <w:rPr>
          <w:b/>
          <w:bCs/>
          <w:u w:val="single"/>
        </w:rPr>
        <w:t>P</w:t>
      </w:r>
      <w:r w:rsidRPr="003D1121">
        <w:rPr>
          <w:b/>
          <w:bCs/>
          <w:u w:val="single"/>
        </w:rPr>
        <w:t xml:space="preserve">risoners </w:t>
      </w:r>
      <w:r>
        <w:rPr>
          <w:b/>
          <w:bCs/>
          <w:u w:val="single"/>
        </w:rPr>
        <w:t>by</w:t>
      </w:r>
      <w:r w:rsidRPr="003D1121">
        <w:rPr>
          <w:b/>
          <w:bCs/>
          <w:u w:val="single"/>
        </w:rPr>
        <w:t xml:space="preserve"> </w:t>
      </w:r>
      <w:r>
        <w:rPr>
          <w:b/>
          <w:bCs/>
          <w:u w:val="single"/>
        </w:rPr>
        <w:t>A</w:t>
      </w:r>
      <w:r w:rsidRPr="003D1121">
        <w:rPr>
          <w:b/>
          <w:bCs/>
          <w:u w:val="single"/>
        </w:rPr>
        <w:t xml:space="preserve">ge </w:t>
      </w:r>
      <w:r>
        <w:rPr>
          <w:b/>
          <w:bCs/>
          <w:u w:val="single"/>
        </w:rPr>
        <w:t>G</w:t>
      </w:r>
      <w:r w:rsidRPr="003D1121">
        <w:rPr>
          <w:b/>
          <w:bCs/>
          <w:u w:val="single"/>
        </w:rPr>
        <w:t>roups</w:t>
      </w:r>
      <w:r>
        <w:rPr>
          <w:b/>
          <w:bCs/>
          <w:u w:val="single"/>
        </w:rPr>
        <w:t xml:space="preserve"> and</w:t>
      </w:r>
      <w:r w:rsidRPr="003D1121">
        <w:rPr>
          <w:b/>
          <w:bCs/>
          <w:u w:val="single"/>
        </w:rPr>
        <w:t xml:space="preserve"> </w:t>
      </w:r>
      <w:r>
        <w:rPr>
          <w:b/>
          <w:bCs/>
          <w:u w:val="single"/>
        </w:rPr>
        <w:t>Population Groups</w:t>
      </w:r>
    </w:p>
    <w:tbl>
      <w:tblPr>
        <w:tblW w:w="96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
        <w:gridCol w:w="910"/>
        <w:gridCol w:w="756"/>
        <w:gridCol w:w="1190"/>
        <w:gridCol w:w="1003"/>
        <w:gridCol w:w="843"/>
        <w:gridCol w:w="1070"/>
        <w:gridCol w:w="830"/>
        <w:gridCol w:w="1110"/>
        <w:gridCol w:w="876"/>
      </w:tblGrid>
      <w:tr w:rsidR="00960CEA" w14:paraId="62D0D617" w14:textId="77777777" w:rsidTr="00A91F49">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FA8194"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Age group</w:t>
            </w:r>
          </w:p>
        </w:tc>
        <w:tc>
          <w:tcPr>
            <w:tcW w:w="9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49D0D3"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Jewish</w:t>
            </w:r>
          </w:p>
        </w:tc>
        <w:tc>
          <w:tcPr>
            <w:tcW w:w="7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DD0220"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Arab</w:t>
            </w:r>
          </w:p>
        </w:tc>
        <w:tc>
          <w:tcPr>
            <w:tcW w:w="119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A74671"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Christian</w:t>
            </w:r>
          </w:p>
        </w:tc>
        <w:tc>
          <w:tcPr>
            <w:tcW w:w="100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461518"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Muslim</w:t>
            </w:r>
          </w:p>
        </w:tc>
        <w:tc>
          <w:tcPr>
            <w:tcW w:w="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A434D4"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Druze</w:t>
            </w:r>
          </w:p>
        </w:tc>
        <w:tc>
          <w:tcPr>
            <w:tcW w:w="107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8B6D46"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Bedouin</w:t>
            </w:r>
          </w:p>
        </w:tc>
        <w:tc>
          <w:tcPr>
            <w:tcW w:w="8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6EC0279"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Other</w:t>
            </w:r>
          </w:p>
        </w:tc>
        <w:tc>
          <w:tcPr>
            <w:tcW w:w="11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27D950"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Not specified</w:t>
            </w:r>
          </w:p>
        </w:tc>
        <w:tc>
          <w:tcPr>
            <w:tcW w:w="8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EC8A78F" w14:textId="77777777" w:rsidR="00CB6688" w:rsidRPr="00C14467" w:rsidRDefault="006B79F7" w:rsidP="00A91F49">
            <w:pPr>
              <w:spacing w:before="0" w:after="0" w:line="240" w:lineRule="auto"/>
              <w:ind w:left="-67" w:right="-111" w:firstLine="0"/>
              <w:jc w:val="center"/>
              <w:rPr>
                <w:b/>
                <w:bCs/>
                <w:sz w:val="22"/>
                <w:szCs w:val="22"/>
              </w:rPr>
            </w:pPr>
            <w:r w:rsidRPr="00C14467">
              <w:rPr>
                <w:b/>
                <w:bCs/>
                <w:sz w:val="22"/>
                <w:szCs w:val="22"/>
              </w:rPr>
              <w:t>Total</w:t>
            </w:r>
          </w:p>
        </w:tc>
      </w:tr>
      <w:tr w:rsidR="00960CEA" w14:paraId="7A74D9AB" w14:textId="77777777" w:rsidTr="00A91F49">
        <w:tc>
          <w:tcPr>
            <w:tcW w:w="1068" w:type="dxa"/>
            <w:tcBorders>
              <w:top w:val="single" w:sz="4" w:space="0" w:color="auto"/>
              <w:left w:val="single" w:sz="4" w:space="0" w:color="auto"/>
              <w:bottom w:val="single" w:sz="4" w:space="0" w:color="auto"/>
              <w:right w:val="single" w:sz="4" w:space="0" w:color="auto"/>
            </w:tcBorders>
            <w:vAlign w:val="center"/>
            <w:hideMark/>
          </w:tcPr>
          <w:p w14:paraId="00B21297" w14:textId="77777777" w:rsidR="00CB6688" w:rsidRPr="00C14467" w:rsidRDefault="006B79F7" w:rsidP="00A91F49">
            <w:pPr>
              <w:spacing w:before="0" w:after="0" w:line="240" w:lineRule="auto"/>
              <w:ind w:left="0" w:right="-3" w:firstLine="12"/>
              <w:jc w:val="left"/>
              <w:rPr>
                <w:b/>
                <w:bCs/>
                <w:sz w:val="22"/>
                <w:szCs w:val="22"/>
              </w:rPr>
            </w:pPr>
            <w:r w:rsidRPr="00C14467">
              <w:rPr>
                <w:b/>
                <w:bCs/>
                <w:sz w:val="22"/>
                <w:szCs w:val="22"/>
              </w:rPr>
              <w:t>Up to 14</w:t>
            </w:r>
          </w:p>
        </w:tc>
        <w:tc>
          <w:tcPr>
            <w:tcW w:w="910" w:type="dxa"/>
            <w:tcBorders>
              <w:top w:val="single" w:sz="4" w:space="0" w:color="auto"/>
              <w:left w:val="single" w:sz="4" w:space="0" w:color="auto"/>
              <w:bottom w:val="single" w:sz="4" w:space="0" w:color="auto"/>
              <w:right w:val="single" w:sz="4" w:space="0" w:color="auto"/>
            </w:tcBorders>
            <w:vAlign w:val="center"/>
          </w:tcPr>
          <w:p w14:paraId="4A7FE35A" w14:textId="77777777" w:rsidR="00CB6688" w:rsidRPr="00A04C4C" w:rsidRDefault="00CB6688" w:rsidP="00A91F49">
            <w:pPr>
              <w:spacing w:before="0" w:after="0" w:line="240" w:lineRule="auto"/>
              <w:ind w:left="-105" w:right="-131" w:firstLine="12"/>
              <w:jc w:val="center"/>
              <w:rPr>
                <w:sz w:val="22"/>
                <w:szCs w:val="22"/>
              </w:rPr>
            </w:pPr>
          </w:p>
        </w:tc>
        <w:tc>
          <w:tcPr>
            <w:tcW w:w="756" w:type="dxa"/>
            <w:tcBorders>
              <w:top w:val="single" w:sz="4" w:space="0" w:color="auto"/>
              <w:left w:val="single" w:sz="4" w:space="0" w:color="auto"/>
              <w:bottom w:val="single" w:sz="4" w:space="0" w:color="auto"/>
              <w:right w:val="single" w:sz="4" w:space="0" w:color="auto"/>
            </w:tcBorders>
            <w:vAlign w:val="center"/>
          </w:tcPr>
          <w:p w14:paraId="2741CBE4" w14:textId="77777777" w:rsidR="00CB6688" w:rsidRPr="00A04C4C" w:rsidRDefault="00CB6688" w:rsidP="00A91F49">
            <w:pPr>
              <w:spacing w:before="0" w:after="0" w:line="240" w:lineRule="auto"/>
              <w:ind w:left="-105" w:right="-131" w:firstLine="12"/>
              <w:jc w:val="center"/>
              <w:rPr>
                <w:sz w:val="22"/>
                <w:szCs w:val="22"/>
              </w:rPr>
            </w:pPr>
          </w:p>
        </w:tc>
        <w:tc>
          <w:tcPr>
            <w:tcW w:w="1190" w:type="dxa"/>
            <w:tcBorders>
              <w:top w:val="single" w:sz="4" w:space="0" w:color="auto"/>
              <w:left w:val="single" w:sz="4" w:space="0" w:color="auto"/>
              <w:bottom w:val="single" w:sz="4" w:space="0" w:color="auto"/>
              <w:right w:val="single" w:sz="4" w:space="0" w:color="auto"/>
            </w:tcBorders>
            <w:vAlign w:val="center"/>
            <w:hideMark/>
          </w:tcPr>
          <w:p w14:paraId="2237A0C1"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w:t>
            </w:r>
          </w:p>
        </w:tc>
        <w:tc>
          <w:tcPr>
            <w:tcW w:w="1003" w:type="dxa"/>
            <w:tcBorders>
              <w:top w:val="single" w:sz="4" w:space="0" w:color="auto"/>
              <w:left w:val="single" w:sz="4" w:space="0" w:color="auto"/>
              <w:bottom w:val="single" w:sz="4" w:space="0" w:color="auto"/>
              <w:right w:val="single" w:sz="4" w:space="0" w:color="auto"/>
            </w:tcBorders>
            <w:vAlign w:val="center"/>
            <w:hideMark/>
          </w:tcPr>
          <w:p w14:paraId="4B1EC50F"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w:t>
            </w:r>
          </w:p>
        </w:tc>
        <w:tc>
          <w:tcPr>
            <w:tcW w:w="843" w:type="dxa"/>
            <w:tcBorders>
              <w:top w:val="single" w:sz="4" w:space="0" w:color="auto"/>
              <w:left w:val="single" w:sz="4" w:space="0" w:color="auto"/>
              <w:bottom w:val="single" w:sz="4" w:space="0" w:color="auto"/>
              <w:right w:val="single" w:sz="4" w:space="0" w:color="auto"/>
            </w:tcBorders>
            <w:vAlign w:val="center"/>
          </w:tcPr>
          <w:p w14:paraId="767AAC15" w14:textId="77777777" w:rsidR="00CB6688" w:rsidRPr="00A04C4C" w:rsidRDefault="00CB6688" w:rsidP="00A91F49">
            <w:pPr>
              <w:spacing w:before="0" w:after="0" w:line="240" w:lineRule="auto"/>
              <w:ind w:left="-105" w:right="-131" w:firstLine="12"/>
              <w:jc w:val="center"/>
              <w:rPr>
                <w:sz w:val="22"/>
                <w:szCs w:val="22"/>
              </w:rPr>
            </w:pPr>
          </w:p>
        </w:tc>
        <w:tc>
          <w:tcPr>
            <w:tcW w:w="1070" w:type="dxa"/>
            <w:tcBorders>
              <w:top w:val="single" w:sz="4" w:space="0" w:color="auto"/>
              <w:left w:val="single" w:sz="4" w:space="0" w:color="auto"/>
              <w:bottom w:val="single" w:sz="4" w:space="0" w:color="auto"/>
              <w:right w:val="single" w:sz="4" w:space="0" w:color="auto"/>
            </w:tcBorders>
            <w:vAlign w:val="center"/>
          </w:tcPr>
          <w:p w14:paraId="5B28A773" w14:textId="77777777" w:rsidR="00CB6688" w:rsidRPr="00A04C4C" w:rsidRDefault="00CB6688" w:rsidP="00A91F49">
            <w:pPr>
              <w:spacing w:before="0" w:after="0" w:line="240" w:lineRule="auto"/>
              <w:ind w:left="-105" w:right="-131" w:firstLine="12"/>
              <w:jc w:val="center"/>
              <w:rPr>
                <w:sz w:val="22"/>
                <w:szCs w:val="22"/>
              </w:rPr>
            </w:pPr>
          </w:p>
        </w:tc>
        <w:tc>
          <w:tcPr>
            <w:tcW w:w="830" w:type="dxa"/>
            <w:tcBorders>
              <w:top w:val="single" w:sz="4" w:space="0" w:color="auto"/>
              <w:left w:val="single" w:sz="4" w:space="0" w:color="auto"/>
              <w:bottom w:val="single" w:sz="4" w:space="0" w:color="auto"/>
              <w:right w:val="single" w:sz="4" w:space="0" w:color="auto"/>
            </w:tcBorders>
            <w:vAlign w:val="center"/>
          </w:tcPr>
          <w:p w14:paraId="41ACD080" w14:textId="77777777" w:rsidR="00CB6688" w:rsidRPr="00A04C4C" w:rsidRDefault="00CB6688" w:rsidP="00A91F49">
            <w:pPr>
              <w:spacing w:before="0" w:after="0" w:line="240" w:lineRule="auto"/>
              <w:ind w:left="-105" w:right="-131" w:firstLine="12"/>
              <w:jc w:val="center"/>
              <w:rPr>
                <w:sz w:val="22"/>
                <w:szCs w:val="22"/>
              </w:rPr>
            </w:pPr>
          </w:p>
        </w:tc>
        <w:tc>
          <w:tcPr>
            <w:tcW w:w="1110" w:type="dxa"/>
            <w:tcBorders>
              <w:top w:val="single" w:sz="4" w:space="0" w:color="auto"/>
              <w:left w:val="single" w:sz="4" w:space="0" w:color="auto"/>
              <w:bottom w:val="single" w:sz="4" w:space="0" w:color="auto"/>
              <w:right w:val="single" w:sz="4" w:space="0" w:color="auto"/>
            </w:tcBorders>
            <w:vAlign w:val="center"/>
          </w:tcPr>
          <w:p w14:paraId="1DC7A3A8" w14:textId="77777777" w:rsidR="00CB6688" w:rsidRPr="00A04C4C" w:rsidRDefault="00CB6688" w:rsidP="00A91F49">
            <w:pPr>
              <w:spacing w:before="0" w:after="0" w:line="240" w:lineRule="auto"/>
              <w:ind w:left="-105" w:right="-131" w:firstLine="12"/>
              <w:jc w:val="center"/>
              <w:rPr>
                <w:sz w:val="22"/>
                <w:szCs w:val="22"/>
              </w:rPr>
            </w:pPr>
          </w:p>
        </w:tc>
        <w:tc>
          <w:tcPr>
            <w:tcW w:w="876" w:type="dxa"/>
            <w:tcBorders>
              <w:top w:val="single" w:sz="4" w:space="0" w:color="auto"/>
              <w:left w:val="single" w:sz="4" w:space="0" w:color="auto"/>
              <w:bottom w:val="single" w:sz="4" w:space="0" w:color="auto"/>
              <w:right w:val="single" w:sz="4" w:space="0" w:color="auto"/>
            </w:tcBorders>
            <w:vAlign w:val="center"/>
            <w:hideMark/>
          </w:tcPr>
          <w:p w14:paraId="0EDE1FC1"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3</w:t>
            </w:r>
          </w:p>
        </w:tc>
      </w:tr>
      <w:tr w:rsidR="00960CEA" w14:paraId="5C8BCDE5" w14:textId="77777777" w:rsidTr="00A91F49">
        <w:tc>
          <w:tcPr>
            <w:tcW w:w="1068" w:type="dxa"/>
            <w:tcBorders>
              <w:top w:val="single" w:sz="4" w:space="0" w:color="auto"/>
              <w:left w:val="single" w:sz="4" w:space="0" w:color="auto"/>
              <w:bottom w:val="single" w:sz="4" w:space="0" w:color="auto"/>
              <w:right w:val="single" w:sz="4" w:space="0" w:color="auto"/>
            </w:tcBorders>
            <w:vAlign w:val="center"/>
            <w:hideMark/>
          </w:tcPr>
          <w:p w14:paraId="6FCF7BEA" w14:textId="77777777" w:rsidR="00CB6688" w:rsidRPr="00C14467" w:rsidRDefault="006B79F7" w:rsidP="00A91F49">
            <w:pPr>
              <w:spacing w:before="0" w:after="0" w:line="240" w:lineRule="auto"/>
              <w:ind w:left="0" w:right="-3" w:firstLine="12"/>
              <w:jc w:val="left"/>
              <w:rPr>
                <w:b/>
                <w:bCs/>
                <w:sz w:val="22"/>
                <w:szCs w:val="22"/>
              </w:rPr>
            </w:pPr>
            <w:r w:rsidRPr="00C14467">
              <w:rPr>
                <w:b/>
                <w:bCs/>
                <w:sz w:val="22"/>
                <w:szCs w:val="22"/>
              </w:rPr>
              <w:t>14-18</w:t>
            </w:r>
          </w:p>
        </w:tc>
        <w:tc>
          <w:tcPr>
            <w:tcW w:w="910" w:type="dxa"/>
            <w:tcBorders>
              <w:top w:val="single" w:sz="4" w:space="0" w:color="auto"/>
              <w:left w:val="single" w:sz="4" w:space="0" w:color="auto"/>
              <w:bottom w:val="single" w:sz="4" w:space="0" w:color="auto"/>
              <w:right w:val="single" w:sz="4" w:space="0" w:color="auto"/>
            </w:tcBorders>
            <w:vAlign w:val="center"/>
            <w:hideMark/>
          </w:tcPr>
          <w:p w14:paraId="05D1B786"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52</w:t>
            </w:r>
          </w:p>
        </w:tc>
        <w:tc>
          <w:tcPr>
            <w:tcW w:w="756" w:type="dxa"/>
            <w:tcBorders>
              <w:top w:val="single" w:sz="4" w:space="0" w:color="auto"/>
              <w:left w:val="single" w:sz="4" w:space="0" w:color="auto"/>
              <w:bottom w:val="single" w:sz="4" w:space="0" w:color="auto"/>
              <w:right w:val="single" w:sz="4" w:space="0" w:color="auto"/>
            </w:tcBorders>
            <w:vAlign w:val="center"/>
            <w:hideMark/>
          </w:tcPr>
          <w:p w14:paraId="597A385D"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116</w:t>
            </w:r>
          </w:p>
        </w:tc>
        <w:tc>
          <w:tcPr>
            <w:tcW w:w="1190" w:type="dxa"/>
            <w:tcBorders>
              <w:top w:val="single" w:sz="4" w:space="0" w:color="auto"/>
              <w:left w:val="single" w:sz="4" w:space="0" w:color="auto"/>
              <w:bottom w:val="single" w:sz="4" w:space="0" w:color="auto"/>
              <w:right w:val="single" w:sz="4" w:space="0" w:color="auto"/>
            </w:tcBorders>
            <w:vAlign w:val="center"/>
          </w:tcPr>
          <w:p w14:paraId="40D139D4" w14:textId="77777777" w:rsidR="00CB6688" w:rsidRPr="00A04C4C" w:rsidRDefault="00CB6688" w:rsidP="00A91F49">
            <w:pPr>
              <w:spacing w:before="0" w:after="0" w:line="240" w:lineRule="auto"/>
              <w:ind w:left="-105" w:right="-131" w:firstLine="12"/>
              <w:jc w:val="center"/>
              <w:rPr>
                <w:sz w:val="22"/>
                <w:szCs w:val="22"/>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35A43F07"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119</w:t>
            </w:r>
          </w:p>
        </w:tc>
        <w:tc>
          <w:tcPr>
            <w:tcW w:w="843" w:type="dxa"/>
            <w:tcBorders>
              <w:top w:val="single" w:sz="4" w:space="0" w:color="auto"/>
              <w:left w:val="single" w:sz="4" w:space="0" w:color="auto"/>
              <w:bottom w:val="single" w:sz="4" w:space="0" w:color="auto"/>
              <w:right w:val="single" w:sz="4" w:space="0" w:color="auto"/>
            </w:tcBorders>
            <w:vAlign w:val="center"/>
            <w:hideMark/>
          </w:tcPr>
          <w:p w14:paraId="7912AE2E"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w:t>
            </w:r>
          </w:p>
        </w:tc>
        <w:tc>
          <w:tcPr>
            <w:tcW w:w="1070" w:type="dxa"/>
            <w:tcBorders>
              <w:top w:val="single" w:sz="4" w:space="0" w:color="auto"/>
              <w:left w:val="single" w:sz="4" w:space="0" w:color="auto"/>
              <w:bottom w:val="single" w:sz="4" w:space="0" w:color="auto"/>
              <w:right w:val="single" w:sz="4" w:space="0" w:color="auto"/>
            </w:tcBorders>
            <w:vAlign w:val="center"/>
            <w:hideMark/>
          </w:tcPr>
          <w:p w14:paraId="5CB11538"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4</w:t>
            </w:r>
          </w:p>
        </w:tc>
        <w:tc>
          <w:tcPr>
            <w:tcW w:w="830" w:type="dxa"/>
            <w:tcBorders>
              <w:top w:val="single" w:sz="4" w:space="0" w:color="auto"/>
              <w:left w:val="single" w:sz="4" w:space="0" w:color="auto"/>
              <w:bottom w:val="single" w:sz="4" w:space="0" w:color="auto"/>
              <w:right w:val="single" w:sz="4" w:space="0" w:color="auto"/>
            </w:tcBorders>
            <w:vAlign w:val="center"/>
          </w:tcPr>
          <w:p w14:paraId="1087DE96" w14:textId="77777777" w:rsidR="00CB6688" w:rsidRPr="00A04C4C" w:rsidRDefault="00CB6688" w:rsidP="00A91F49">
            <w:pPr>
              <w:spacing w:before="0" w:after="0" w:line="240" w:lineRule="auto"/>
              <w:ind w:left="-105" w:right="-131" w:firstLine="12"/>
              <w:jc w:val="center"/>
              <w:rPr>
                <w:sz w:val="22"/>
                <w:szCs w:val="22"/>
              </w:rPr>
            </w:pPr>
          </w:p>
        </w:tc>
        <w:tc>
          <w:tcPr>
            <w:tcW w:w="1110" w:type="dxa"/>
            <w:tcBorders>
              <w:top w:val="single" w:sz="4" w:space="0" w:color="auto"/>
              <w:left w:val="single" w:sz="4" w:space="0" w:color="auto"/>
              <w:bottom w:val="single" w:sz="4" w:space="0" w:color="auto"/>
              <w:right w:val="single" w:sz="4" w:space="0" w:color="auto"/>
            </w:tcBorders>
            <w:vAlign w:val="center"/>
            <w:hideMark/>
          </w:tcPr>
          <w:p w14:paraId="4772E0C8"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w:t>
            </w:r>
          </w:p>
        </w:tc>
        <w:tc>
          <w:tcPr>
            <w:tcW w:w="876" w:type="dxa"/>
            <w:tcBorders>
              <w:top w:val="single" w:sz="4" w:space="0" w:color="auto"/>
              <w:left w:val="single" w:sz="4" w:space="0" w:color="auto"/>
              <w:bottom w:val="single" w:sz="4" w:space="0" w:color="auto"/>
              <w:right w:val="single" w:sz="4" w:space="0" w:color="auto"/>
            </w:tcBorders>
            <w:vAlign w:val="center"/>
            <w:hideMark/>
          </w:tcPr>
          <w:p w14:paraId="1D262CA7"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w:t>
            </w:r>
          </w:p>
        </w:tc>
      </w:tr>
      <w:tr w:rsidR="00960CEA" w14:paraId="159F52DF" w14:textId="77777777" w:rsidTr="00A91F49">
        <w:tc>
          <w:tcPr>
            <w:tcW w:w="1068" w:type="dxa"/>
            <w:tcBorders>
              <w:top w:val="single" w:sz="4" w:space="0" w:color="auto"/>
              <w:left w:val="single" w:sz="4" w:space="0" w:color="auto"/>
              <w:bottom w:val="single" w:sz="4" w:space="0" w:color="auto"/>
              <w:right w:val="single" w:sz="4" w:space="0" w:color="auto"/>
            </w:tcBorders>
            <w:vAlign w:val="center"/>
            <w:hideMark/>
          </w:tcPr>
          <w:p w14:paraId="7A66B21D" w14:textId="77777777" w:rsidR="00CB6688" w:rsidRPr="00C14467" w:rsidRDefault="006B79F7" w:rsidP="00A91F49">
            <w:pPr>
              <w:spacing w:before="0" w:after="0" w:line="240" w:lineRule="auto"/>
              <w:ind w:left="0" w:right="-3" w:firstLine="12"/>
              <w:jc w:val="left"/>
              <w:rPr>
                <w:b/>
                <w:bCs/>
                <w:sz w:val="22"/>
                <w:szCs w:val="22"/>
              </w:rPr>
            </w:pPr>
            <w:r w:rsidRPr="00C14467">
              <w:rPr>
                <w:b/>
                <w:bCs/>
                <w:sz w:val="22"/>
                <w:szCs w:val="22"/>
              </w:rPr>
              <w:t>18-22</w:t>
            </w:r>
          </w:p>
        </w:tc>
        <w:tc>
          <w:tcPr>
            <w:tcW w:w="910" w:type="dxa"/>
            <w:tcBorders>
              <w:top w:val="single" w:sz="4" w:space="0" w:color="auto"/>
              <w:left w:val="single" w:sz="4" w:space="0" w:color="auto"/>
              <w:bottom w:val="single" w:sz="4" w:space="0" w:color="auto"/>
              <w:right w:val="single" w:sz="4" w:space="0" w:color="auto"/>
            </w:tcBorders>
            <w:vAlign w:val="center"/>
            <w:hideMark/>
          </w:tcPr>
          <w:p w14:paraId="50CC0044"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336</w:t>
            </w:r>
          </w:p>
        </w:tc>
        <w:tc>
          <w:tcPr>
            <w:tcW w:w="756" w:type="dxa"/>
            <w:tcBorders>
              <w:top w:val="single" w:sz="4" w:space="0" w:color="auto"/>
              <w:left w:val="single" w:sz="4" w:space="0" w:color="auto"/>
              <w:bottom w:val="single" w:sz="4" w:space="0" w:color="auto"/>
              <w:right w:val="single" w:sz="4" w:space="0" w:color="auto"/>
            </w:tcBorders>
            <w:vAlign w:val="center"/>
            <w:hideMark/>
          </w:tcPr>
          <w:p w14:paraId="3D3302C0"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721</w:t>
            </w:r>
          </w:p>
        </w:tc>
        <w:tc>
          <w:tcPr>
            <w:tcW w:w="1190" w:type="dxa"/>
            <w:tcBorders>
              <w:top w:val="single" w:sz="4" w:space="0" w:color="auto"/>
              <w:left w:val="single" w:sz="4" w:space="0" w:color="auto"/>
              <w:bottom w:val="single" w:sz="4" w:space="0" w:color="auto"/>
              <w:right w:val="single" w:sz="4" w:space="0" w:color="auto"/>
            </w:tcBorders>
            <w:vAlign w:val="center"/>
            <w:hideMark/>
          </w:tcPr>
          <w:p w14:paraId="68FD559E"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8</w:t>
            </w:r>
          </w:p>
        </w:tc>
        <w:tc>
          <w:tcPr>
            <w:tcW w:w="1003" w:type="dxa"/>
            <w:tcBorders>
              <w:top w:val="single" w:sz="4" w:space="0" w:color="auto"/>
              <w:left w:val="single" w:sz="4" w:space="0" w:color="auto"/>
              <w:bottom w:val="single" w:sz="4" w:space="0" w:color="auto"/>
              <w:right w:val="single" w:sz="4" w:space="0" w:color="auto"/>
            </w:tcBorders>
            <w:vAlign w:val="center"/>
            <w:hideMark/>
          </w:tcPr>
          <w:p w14:paraId="59CA6E61"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656</w:t>
            </w:r>
          </w:p>
        </w:tc>
        <w:tc>
          <w:tcPr>
            <w:tcW w:w="843" w:type="dxa"/>
            <w:tcBorders>
              <w:top w:val="single" w:sz="4" w:space="0" w:color="auto"/>
              <w:left w:val="single" w:sz="4" w:space="0" w:color="auto"/>
              <w:bottom w:val="single" w:sz="4" w:space="0" w:color="auto"/>
              <w:right w:val="single" w:sz="4" w:space="0" w:color="auto"/>
            </w:tcBorders>
            <w:vAlign w:val="center"/>
            <w:hideMark/>
          </w:tcPr>
          <w:p w14:paraId="45F9733A"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10</w:t>
            </w:r>
          </w:p>
        </w:tc>
        <w:tc>
          <w:tcPr>
            <w:tcW w:w="1070" w:type="dxa"/>
            <w:tcBorders>
              <w:top w:val="single" w:sz="4" w:space="0" w:color="auto"/>
              <w:left w:val="single" w:sz="4" w:space="0" w:color="auto"/>
              <w:bottom w:val="single" w:sz="4" w:space="0" w:color="auto"/>
              <w:right w:val="single" w:sz="4" w:space="0" w:color="auto"/>
            </w:tcBorders>
            <w:vAlign w:val="center"/>
            <w:hideMark/>
          </w:tcPr>
          <w:p w14:paraId="0DC658CE"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118</w:t>
            </w:r>
          </w:p>
        </w:tc>
        <w:tc>
          <w:tcPr>
            <w:tcW w:w="830" w:type="dxa"/>
            <w:tcBorders>
              <w:top w:val="single" w:sz="4" w:space="0" w:color="auto"/>
              <w:left w:val="single" w:sz="4" w:space="0" w:color="auto"/>
              <w:bottom w:val="single" w:sz="4" w:space="0" w:color="auto"/>
              <w:right w:val="single" w:sz="4" w:space="0" w:color="auto"/>
            </w:tcBorders>
            <w:vAlign w:val="center"/>
          </w:tcPr>
          <w:p w14:paraId="0D499D6C" w14:textId="77777777" w:rsidR="00CB6688" w:rsidRPr="00A04C4C" w:rsidRDefault="00CB6688" w:rsidP="00A91F49">
            <w:pPr>
              <w:spacing w:before="0" w:after="0" w:line="240" w:lineRule="auto"/>
              <w:ind w:left="-105" w:right="-131" w:firstLine="12"/>
              <w:jc w:val="center"/>
              <w:rPr>
                <w:sz w:val="22"/>
                <w:szCs w:val="22"/>
              </w:rPr>
            </w:pPr>
          </w:p>
        </w:tc>
        <w:tc>
          <w:tcPr>
            <w:tcW w:w="1110" w:type="dxa"/>
            <w:tcBorders>
              <w:top w:val="single" w:sz="4" w:space="0" w:color="auto"/>
              <w:left w:val="single" w:sz="4" w:space="0" w:color="auto"/>
              <w:bottom w:val="single" w:sz="4" w:space="0" w:color="auto"/>
              <w:right w:val="single" w:sz="4" w:space="0" w:color="auto"/>
            </w:tcBorders>
            <w:vAlign w:val="center"/>
          </w:tcPr>
          <w:p w14:paraId="5C28EFC1" w14:textId="77777777" w:rsidR="00CB6688" w:rsidRPr="00A04C4C" w:rsidRDefault="00CB6688" w:rsidP="00A91F49">
            <w:pPr>
              <w:spacing w:before="0" w:after="0" w:line="240" w:lineRule="auto"/>
              <w:ind w:left="-105" w:right="-131" w:firstLine="12"/>
              <w:jc w:val="center"/>
              <w:rPr>
                <w:sz w:val="22"/>
                <w:szCs w:val="22"/>
              </w:rPr>
            </w:pPr>
          </w:p>
        </w:tc>
        <w:tc>
          <w:tcPr>
            <w:tcW w:w="876" w:type="dxa"/>
            <w:tcBorders>
              <w:top w:val="single" w:sz="4" w:space="0" w:color="auto"/>
              <w:left w:val="single" w:sz="4" w:space="0" w:color="auto"/>
              <w:bottom w:val="single" w:sz="4" w:space="0" w:color="auto"/>
              <w:right w:val="single" w:sz="4" w:space="0" w:color="auto"/>
            </w:tcBorders>
            <w:vAlign w:val="center"/>
            <w:hideMark/>
          </w:tcPr>
          <w:p w14:paraId="2982AFCF"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295</w:t>
            </w:r>
          </w:p>
        </w:tc>
      </w:tr>
      <w:tr w:rsidR="00960CEA" w14:paraId="57D908F7" w14:textId="77777777" w:rsidTr="00A91F49">
        <w:tc>
          <w:tcPr>
            <w:tcW w:w="1068" w:type="dxa"/>
            <w:tcBorders>
              <w:top w:val="single" w:sz="4" w:space="0" w:color="auto"/>
              <w:left w:val="single" w:sz="4" w:space="0" w:color="auto"/>
              <w:bottom w:val="single" w:sz="4" w:space="0" w:color="auto"/>
              <w:right w:val="single" w:sz="4" w:space="0" w:color="auto"/>
            </w:tcBorders>
            <w:vAlign w:val="center"/>
            <w:hideMark/>
          </w:tcPr>
          <w:p w14:paraId="1C3AF11B" w14:textId="77777777" w:rsidR="00CB6688" w:rsidRPr="00C14467" w:rsidRDefault="006B79F7" w:rsidP="00A91F49">
            <w:pPr>
              <w:spacing w:before="0" w:after="0" w:line="240" w:lineRule="auto"/>
              <w:ind w:left="0" w:right="-3" w:firstLine="12"/>
              <w:jc w:val="left"/>
              <w:rPr>
                <w:b/>
                <w:bCs/>
                <w:sz w:val="22"/>
                <w:szCs w:val="22"/>
              </w:rPr>
            </w:pPr>
            <w:r w:rsidRPr="00C14467">
              <w:rPr>
                <w:b/>
                <w:bCs/>
                <w:sz w:val="22"/>
                <w:szCs w:val="22"/>
              </w:rPr>
              <w:t>22-30</w:t>
            </w:r>
          </w:p>
        </w:tc>
        <w:tc>
          <w:tcPr>
            <w:tcW w:w="910" w:type="dxa"/>
            <w:tcBorders>
              <w:top w:val="single" w:sz="4" w:space="0" w:color="auto"/>
              <w:left w:val="single" w:sz="4" w:space="0" w:color="auto"/>
              <w:bottom w:val="single" w:sz="4" w:space="0" w:color="auto"/>
              <w:right w:val="single" w:sz="4" w:space="0" w:color="auto"/>
            </w:tcBorders>
            <w:vAlign w:val="center"/>
            <w:hideMark/>
          </w:tcPr>
          <w:p w14:paraId="1C406636"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1,059</w:t>
            </w:r>
          </w:p>
        </w:tc>
        <w:tc>
          <w:tcPr>
            <w:tcW w:w="756" w:type="dxa"/>
            <w:tcBorders>
              <w:top w:val="single" w:sz="4" w:space="0" w:color="auto"/>
              <w:left w:val="single" w:sz="4" w:space="0" w:color="auto"/>
              <w:bottom w:val="single" w:sz="4" w:space="0" w:color="auto"/>
              <w:right w:val="single" w:sz="4" w:space="0" w:color="auto"/>
            </w:tcBorders>
            <w:vAlign w:val="center"/>
            <w:hideMark/>
          </w:tcPr>
          <w:p w14:paraId="6D9DF171"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1,980</w:t>
            </w:r>
          </w:p>
        </w:tc>
        <w:tc>
          <w:tcPr>
            <w:tcW w:w="1190" w:type="dxa"/>
            <w:tcBorders>
              <w:top w:val="single" w:sz="4" w:space="0" w:color="auto"/>
              <w:left w:val="single" w:sz="4" w:space="0" w:color="auto"/>
              <w:bottom w:val="single" w:sz="4" w:space="0" w:color="auto"/>
              <w:right w:val="single" w:sz="4" w:space="0" w:color="auto"/>
            </w:tcBorders>
            <w:vAlign w:val="center"/>
            <w:hideMark/>
          </w:tcPr>
          <w:p w14:paraId="5F44755C"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78</w:t>
            </w:r>
          </w:p>
        </w:tc>
        <w:tc>
          <w:tcPr>
            <w:tcW w:w="1003" w:type="dxa"/>
            <w:tcBorders>
              <w:top w:val="single" w:sz="4" w:space="0" w:color="auto"/>
              <w:left w:val="single" w:sz="4" w:space="0" w:color="auto"/>
              <w:bottom w:val="single" w:sz="4" w:space="0" w:color="auto"/>
              <w:right w:val="single" w:sz="4" w:space="0" w:color="auto"/>
            </w:tcBorders>
            <w:vAlign w:val="center"/>
            <w:hideMark/>
          </w:tcPr>
          <w:p w14:paraId="60572742"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873</w:t>
            </w:r>
          </w:p>
        </w:tc>
        <w:tc>
          <w:tcPr>
            <w:tcW w:w="843" w:type="dxa"/>
            <w:tcBorders>
              <w:top w:val="single" w:sz="4" w:space="0" w:color="auto"/>
              <w:left w:val="single" w:sz="4" w:space="0" w:color="auto"/>
              <w:bottom w:val="single" w:sz="4" w:space="0" w:color="auto"/>
              <w:right w:val="single" w:sz="4" w:space="0" w:color="auto"/>
            </w:tcBorders>
            <w:vAlign w:val="center"/>
            <w:hideMark/>
          </w:tcPr>
          <w:p w14:paraId="0A89EAD8"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28</w:t>
            </w:r>
          </w:p>
        </w:tc>
        <w:tc>
          <w:tcPr>
            <w:tcW w:w="1070" w:type="dxa"/>
            <w:tcBorders>
              <w:top w:val="single" w:sz="4" w:space="0" w:color="auto"/>
              <w:left w:val="single" w:sz="4" w:space="0" w:color="auto"/>
              <w:bottom w:val="single" w:sz="4" w:space="0" w:color="auto"/>
              <w:right w:val="single" w:sz="4" w:space="0" w:color="auto"/>
            </w:tcBorders>
            <w:vAlign w:val="center"/>
            <w:hideMark/>
          </w:tcPr>
          <w:p w14:paraId="6803081B"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259</w:t>
            </w:r>
          </w:p>
        </w:tc>
        <w:tc>
          <w:tcPr>
            <w:tcW w:w="830" w:type="dxa"/>
            <w:tcBorders>
              <w:top w:val="single" w:sz="4" w:space="0" w:color="auto"/>
              <w:left w:val="single" w:sz="4" w:space="0" w:color="auto"/>
              <w:bottom w:val="single" w:sz="4" w:space="0" w:color="auto"/>
              <w:right w:val="single" w:sz="4" w:space="0" w:color="auto"/>
            </w:tcBorders>
            <w:vAlign w:val="center"/>
            <w:hideMark/>
          </w:tcPr>
          <w:p w14:paraId="575AD105"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12</w:t>
            </w:r>
          </w:p>
        </w:tc>
        <w:tc>
          <w:tcPr>
            <w:tcW w:w="1110" w:type="dxa"/>
            <w:tcBorders>
              <w:top w:val="single" w:sz="4" w:space="0" w:color="auto"/>
              <w:left w:val="single" w:sz="4" w:space="0" w:color="auto"/>
              <w:bottom w:val="single" w:sz="4" w:space="0" w:color="auto"/>
              <w:right w:val="single" w:sz="4" w:space="0" w:color="auto"/>
            </w:tcBorders>
            <w:vAlign w:val="center"/>
            <w:hideMark/>
          </w:tcPr>
          <w:p w14:paraId="52118528"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13</w:t>
            </w:r>
          </w:p>
        </w:tc>
        <w:tc>
          <w:tcPr>
            <w:tcW w:w="876" w:type="dxa"/>
            <w:tcBorders>
              <w:top w:val="single" w:sz="4" w:space="0" w:color="auto"/>
              <w:left w:val="single" w:sz="4" w:space="0" w:color="auto"/>
              <w:bottom w:val="single" w:sz="4" w:space="0" w:color="auto"/>
              <w:right w:val="single" w:sz="4" w:space="0" w:color="auto"/>
            </w:tcBorders>
            <w:vAlign w:val="center"/>
            <w:hideMark/>
          </w:tcPr>
          <w:p w14:paraId="052E2F4B"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1,857</w:t>
            </w:r>
          </w:p>
        </w:tc>
      </w:tr>
      <w:tr w:rsidR="00960CEA" w14:paraId="6E1B444C" w14:textId="77777777" w:rsidTr="00A91F49">
        <w:tc>
          <w:tcPr>
            <w:tcW w:w="1068" w:type="dxa"/>
            <w:tcBorders>
              <w:top w:val="single" w:sz="4" w:space="0" w:color="auto"/>
              <w:left w:val="single" w:sz="4" w:space="0" w:color="auto"/>
              <w:bottom w:val="single" w:sz="4" w:space="0" w:color="auto"/>
              <w:right w:val="single" w:sz="4" w:space="0" w:color="auto"/>
            </w:tcBorders>
            <w:vAlign w:val="center"/>
            <w:hideMark/>
          </w:tcPr>
          <w:p w14:paraId="3C39D8D4" w14:textId="77777777" w:rsidR="00CB6688" w:rsidRPr="00C14467" w:rsidRDefault="006B79F7" w:rsidP="00A91F49">
            <w:pPr>
              <w:spacing w:before="0" w:after="0" w:line="240" w:lineRule="auto"/>
              <w:ind w:left="0" w:right="-3" w:firstLine="12"/>
              <w:jc w:val="left"/>
              <w:rPr>
                <w:b/>
                <w:bCs/>
                <w:sz w:val="22"/>
                <w:szCs w:val="22"/>
              </w:rPr>
            </w:pPr>
            <w:r w:rsidRPr="00C14467">
              <w:rPr>
                <w:b/>
                <w:bCs/>
                <w:sz w:val="22"/>
                <w:szCs w:val="22"/>
              </w:rPr>
              <w:t>30-40</w:t>
            </w:r>
          </w:p>
        </w:tc>
        <w:tc>
          <w:tcPr>
            <w:tcW w:w="910" w:type="dxa"/>
            <w:tcBorders>
              <w:top w:val="single" w:sz="4" w:space="0" w:color="auto"/>
              <w:left w:val="single" w:sz="4" w:space="0" w:color="auto"/>
              <w:bottom w:val="single" w:sz="4" w:space="0" w:color="auto"/>
              <w:right w:val="single" w:sz="4" w:space="0" w:color="auto"/>
            </w:tcBorders>
            <w:vAlign w:val="center"/>
            <w:hideMark/>
          </w:tcPr>
          <w:p w14:paraId="1240027A"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1,277</w:t>
            </w:r>
          </w:p>
        </w:tc>
        <w:tc>
          <w:tcPr>
            <w:tcW w:w="756" w:type="dxa"/>
            <w:tcBorders>
              <w:top w:val="single" w:sz="4" w:space="0" w:color="auto"/>
              <w:left w:val="single" w:sz="4" w:space="0" w:color="auto"/>
              <w:bottom w:val="single" w:sz="4" w:space="0" w:color="auto"/>
              <w:right w:val="single" w:sz="4" w:space="0" w:color="auto"/>
            </w:tcBorders>
            <w:vAlign w:val="center"/>
            <w:hideMark/>
          </w:tcPr>
          <w:p w14:paraId="3CABC468"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2,005</w:t>
            </w:r>
          </w:p>
        </w:tc>
        <w:tc>
          <w:tcPr>
            <w:tcW w:w="1190" w:type="dxa"/>
            <w:tcBorders>
              <w:top w:val="single" w:sz="4" w:space="0" w:color="auto"/>
              <w:left w:val="single" w:sz="4" w:space="0" w:color="auto"/>
              <w:bottom w:val="single" w:sz="4" w:space="0" w:color="auto"/>
              <w:right w:val="single" w:sz="4" w:space="0" w:color="auto"/>
            </w:tcBorders>
            <w:vAlign w:val="center"/>
            <w:hideMark/>
          </w:tcPr>
          <w:p w14:paraId="249AAB91"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183</w:t>
            </w:r>
          </w:p>
        </w:tc>
        <w:tc>
          <w:tcPr>
            <w:tcW w:w="1003" w:type="dxa"/>
            <w:tcBorders>
              <w:top w:val="single" w:sz="4" w:space="0" w:color="auto"/>
              <w:left w:val="single" w:sz="4" w:space="0" w:color="auto"/>
              <w:bottom w:val="single" w:sz="4" w:space="0" w:color="auto"/>
              <w:right w:val="single" w:sz="4" w:space="0" w:color="auto"/>
            </w:tcBorders>
            <w:vAlign w:val="center"/>
            <w:hideMark/>
          </w:tcPr>
          <w:p w14:paraId="5CB48EB9"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351</w:t>
            </w:r>
          </w:p>
        </w:tc>
        <w:tc>
          <w:tcPr>
            <w:tcW w:w="843" w:type="dxa"/>
            <w:tcBorders>
              <w:top w:val="single" w:sz="4" w:space="0" w:color="auto"/>
              <w:left w:val="single" w:sz="4" w:space="0" w:color="auto"/>
              <w:bottom w:val="single" w:sz="4" w:space="0" w:color="auto"/>
              <w:right w:val="single" w:sz="4" w:space="0" w:color="auto"/>
            </w:tcBorders>
            <w:vAlign w:val="center"/>
            <w:hideMark/>
          </w:tcPr>
          <w:p w14:paraId="15D44020"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28</w:t>
            </w:r>
          </w:p>
        </w:tc>
        <w:tc>
          <w:tcPr>
            <w:tcW w:w="1070" w:type="dxa"/>
            <w:tcBorders>
              <w:top w:val="single" w:sz="4" w:space="0" w:color="auto"/>
              <w:left w:val="single" w:sz="4" w:space="0" w:color="auto"/>
              <w:bottom w:val="single" w:sz="4" w:space="0" w:color="auto"/>
              <w:right w:val="single" w:sz="4" w:space="0" w:color="auto"/>
            </w:tcBorders>
            <w:vAlign w:val="center"/>
            <w:hideMark/>
          </w:tcPr>
          <w:p w14:paraId="0AACDB34"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179</w:t>
            </w:r>
          </w:p>
        </w:tc>
        <w:tc>
          <w:tcPr>
            <w:tcW w:w="830" w:type="dxa"/>
            <w:tcBorders>
              <w:top w:val="single" w:sz="4" w:space="0" w:color="auto"/>
              <w:left w:val="single" w:sz="4" w:space="0" w:color="auto"/>
              <w:bottom w:val="single" w:sz="4" w:space="0" w:color="auto"/>
              <w:right w:val="single" w:sz="4" w:space="0" w:color="auto"/>
            </w:tcBorders>
            <w:vAlign w:val="center"/>
            <w:hideMark/>
          </w:tcPr>
          <w:p w14:paraId="2462099F"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27</w:t>
            </w:r>
          </w:p>
        </w:tc>
        <w:tc>
          <w:tcPr>
            <w:tcW w:w="1110" w:type="dxa"/>
            <w:tcBorders>
              <w:top w:val="single" w:sz="4" w:space="0" w:color="auto"/>
              <w:left w:val="single" w:sz="4" w:space="0" w:color="auto"/>
              <w:bottom w:val="single" w:sz="4" w:space="0" w:color="auto"/>
              <w:right w:val="single" w:sz="4" w:space="0" w:color="auto"/>
            </w:tcBorders>
            <w:vAlign w:val="center"/>
            <w:hideMark/>
          </w:tcPr>
          <w:p w14:paraId="6017E749"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3</w:t>
            </w:r>
          </w:p>
        </w:tc>
        <w:tc>
          <w:tcPr>
            <w:tcW w:w="876" w:type="dxa"/>
            <w:tcBorders>
              <w:top w:val="single" w:sz="4" w:space="0" w:color="auto"/>
              <w:left w:val="single" w:sz="4" w:space="0" w:color="auto"/>
              <w:bottom w:val="single" w:sz="4" w:space="0" w:color="auto"/>
              <w:right w:val="single" w:sz="4" w:space="0" w:color="auto"/>
            </w:tcBorders>
            <w:vAlign w:val="center"/>
            <w:hideMark/>
          </w:tcPr>
          <w:p w14:paraId="1010C326"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4,302</w:t>
            </w:r>
          </w:p>
        </w:tc>
      </w:tr>
      <w:tr w:rsidR="00960CEA" w14:paraId="49ACAAEC" w14:textId="77777777" w:rsidTr="00A91F49">
        <w:tc>
          <w:tcPr>
            <w:tcW w:w="1068" w:type="dxa"/>
            <w:tcBorders>
              <w:top w:val="single" w:sz="4" w:space="0" w:color="auto"/>
              <w:left w:val="single" w:sz="4" w:space="0" w:color="auto"/>
              <w:bottom w:val="single" w:sz="4" w:space="0" w:color="auto"/>
              <w:right w:val="single" w:sz="4" w:space="0" w:color="auto"/>
            </w:tcBorders>
            <w:vAlign w:val="center"/>
            <w:hideMark/>
          </w:tcPr>
          <w:p w14:paraId="2717F9FE" w14:textId="77777777" w:rsidR="00CB6688" w:rsidRPr="00C14467" w:rsidRDefault="006B79F7" w:rsidP="00A91F49">
            <w:pPr>
              <w:spacing w:before="0" w:after="0" w:line="240" w:lineRule="auto"/>
              <w:ind w:left="0" w:right="-3" w:firstLine="12"/>
              <w:jc w:val="left"/>
              <w:rPr>
                <w:b/>
                <w:bCs/>
                <w:sz w:val="22"/>
                <w:szCs w:val="22"/>
              </w:rPr>
            </w:pPr>
            <w:r w:rsidRPr="00C14467">
              <w:rPr>
                <w:b/>
                <w:bCs/>
                <w:sz w:val="22"/>
                <w:szCs w:val="22"/>
              </w:rPr>
              <w:t>40-50</w:t>
            </w:r>
          </w:p>
        </w:tc>
        <w:tc>
          <w:tcPr>
            <w:tcW w:w="910" w:type="dxa"/>
            <w:tcBorders>
              <w:top w:val="single" w:sz="4" w:space="0" w:color="auto"/>
              <w:left w:val="single" w:sz="4" w:space="0" w:color="auto"/>
              <w:bottom w:val="single" w:sz="4" w:space="0" w:color="auto"/>
              <w:right w:val="single" w:sz="4" w:space="0" w:color="auto"/>
            </w:tcBorders>
            <w:vAlign w:val="center"/>
            <w:hideMark/>
          </w:tcPr>
          <w:p w14:paraId="5DDE4BC8"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934</w:t>
            </w:r>
          </w:p>
        </w:tc>
        <w:tc>
          <w:tcPr>
            <w:tcW w:w="756" w:type="dxa"/>
            <w:tcBorders>
              <w:top w:val="single" w:sz="4" w:space="0" w:color="auto"/>
              <w:left w:val="single" w:sz="4" w:space="0" w:color="auto"/>
              <w:bottom w:val="single" w:sz="4" w:space="0" w:color="auto"/>
              <w:right w:val="single" w:sz="4" w:space="0" w:color="auto"/>
            </w:tcBorders>
            <w:vAlign w:val="center"/>
            <w:hideMark/>
          </w:tcPr>
          <w:p w14:paraId="340E0E93"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1,243</w:t>
            </w:r>
          </w:p>
        </w:tc>
        <w:tc>
          <w:tcPr>
            <w:tcW w:w="1190" w:type="dxa"/>
            <w:tcBorders>
              <w:top w:val="single" w:sz="4" w:space="0" w:color="auto"/>
              <w:left w:val="single" w:sz="4" w:space="0" w:color="auto"/>
              <w:bottom w:val="single" w:sz="4" w:space="0" w:color="auto"/>
              <w:right w:val="single" w:sz="4" w:space="0" w:color="auto"/>
            </w:tcBorders>
            <w:vAlign w:val="center"/>
            <w:hideMark/>
          </w:tcPr>
          <w:p w14:paraId="1A51EBDB"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122</w:t>
            </w:r>
          </w:p>
        </w:tc>
        <w:tc>
          <w:tcPr>
            <w:tcW w:w="1003" w:type="dxa"/>
            <w:tcBorders>
              <w:top w:val="single" w:sz="4" w:space="0" w:color="auto"/>
              <w:left w:val="single" w:sz="4" w:space="0" w:color="auto"/>
              <w:bottom w:val="single" w:sz="4" w:space="0" w:color="auto"/>
              <w:right w:val="single" w:sz="4" w:space="0" w:color="auto"/>
            </w:tcBorders>
            <w:vAlign w:val="center"/>
            <w:hideMark/>
          </w:tcPr>
          <w:p w14:paraId="53D1EADA"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143</w:t>
            </w:r>
          </w:p>
        </w:tc>
        <w:tc>
          <w:tcPr>
            <w:tcW w:w="843" w:type="dxa"/>
            <w:tcBorders>
              <w:top w:val="single" w:sz="4" w:space="0" w:color="auto"/>
              <w:left w:val="single" w:sz="4" w:space="0" w:color="auto"/>
              <w:bottom w:val="single" w:sz="4" w:space="0" w:color="auto"/>
              <w:right w:val="single" w:sz="4" w:space="0" w:color="auto"/>
            </w:tcBorders>
            <w:vAlign w:val="center"/>
            <w:hideMark/>
          </w:tcPr>
          <w:p w14:paraId="372B932C"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24</w:t>
            </w:r>
          </w:p>
        </w:tc>
        <w:tc>
          <w:tcPr>
            <w:tcW w:w="1070" w:type="dxa"/>
            <w:tcBorders>
              <w:top w:val="single" w:sz="4" w:space="0" w:color="auto"/>
              <w:left w:val="single" w:sz="4" w:space="0" w:color="auto"/>
              <w:bottom w:val="single" w:sz="4" w:space="0" w:color="auto"/>
              <w:right w:val="single" w:sz="4" w:space="0" w:color="auto"/>
            </w:tcBorders>
            <w:vAlign w:val="center"/>
            <w:hideMark/>
          </w:tcPr>
          <w:p w14:paraId="1DB9E0FE"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75</w:t>
            </w:r>
          </w:p>
        </w:tc>
        <w:tc>
          <w:tcPr>
            <w:tcW w:w="830" w:type="dxa"/>
            <w:tcBorders>
              <w:top w:val="single" w:sz="4" w:space="0" w:color="auto"/>
              <w:left w:val="single" w:sz="4" w:space="0" w:color="auto"/>
              <w:bottom w:val="single" w:sz="4" w:space="0" w:color="auto"/>
              <w:right w:val="single" w:sz="4" w:space="0" w:color="auto"/>
            </w:tcBorders>
            <w:vAlign w:val="center"/>
            <w:hideMark/>
          </w:tcPr>
          <w:p w14:paraId="7EF93A39"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18</w:t>
            </w:r>
          </w:p>
        </w:tc>
        <w:tc>
          <w:tcPr>
            <w:tcW w:w="1110" w:type="dxa"/>
            <w:tcBorders>
              <w:top w:val="single" w:sz="4" w:space="0" w:color="auto"/>
              <w:left w:val="single" w:sz="4" w:space="0" w:color="auto"/>
              <w:bottom w:val="single" w:sz="4" w:space="0" w:color="auto"/>
              <w:right w:val="single" w:sz="4" w:space="0" w:color="auto"/>
            </w:tcBorders>
            <w:vAlign w:val="center"/>
            <w:hideMark/>
          </w:tcPr>
          <w:p w14:paraId="3A3BA7A0"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3</w:t>
            </w:r>
          </w:p>
        </w:tc>
        <w:tc>
          <w:tcPr>
            <w:tcW w:w="876" w:type="dxa"/>
            <w:tcBorders>
              <w:top w:val="single" w:sz="4" w:space="0" w:color="auto"/>
              <w:left w:val="single" w:sz="4" w:space="0" w:color="auto"/>
              <w:bottom w:val="single" w:sz="4" w:space="0" w:color="auto"/>
              <w:right w:val="single" w:sz="4" w:space="0" w:color="auto"/>
            </w:tcBorders>
            <w:vAlign w:val="center"/>
            <w:hideMark/>
          </w:tcPr>
          <w:p w14:paraId="1D9A75FA"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4,053</w:t>
            </w:r>
          </w:p>
        </w:tc>
      </w:tr>
      <w:tr w:rsidR="00960CEA" w14:paraId="0D29CC49" w14:textId="77777777" w:rsidTr="00A91F49">
        <w:tc>
          <w:tcPr>
            <w:tcW w:w="1068" w:type="dxa"/>
            <w:tcBorders>
              <w:top w:val="single" w:sz="4" w:space="0" w:color="auto"/>
              <w:left w:val="single" w:sz="4" w:space="0" w:color="auto"/>
              <w:bottom w:val="single" w:sz="4" w:space="0" w:color="auto"/>
              <w:right w:val="single" w:sz="4" w:space="0" w:color="auto"/>
            </w:tcBorders>
            <w:vAlign w:val="center"/>
            <w:hideMark/>
          </w:tcPr>
          <w:p w14:paraId="0025F4EF" w14:textId="77777777" w:rsidR="00CB6688" w:rsidRPr="00C14467" w:rsidRDefault="006B79F7" w:rsidP="00A91F49">
            <w:pPr>
              <w:spacing w:before="0" w:after="0" w:line="240" w:lineRule="auto"/>
              <w:ind w:left="0" w:right="-3" w:firstLine="12"/>
              <w:jc w:val="left"/>
              <w:rPr>
                <w:b/>
                <w:bCs/>
                <w:sz w:val="22"/>
                <w:szCs w:val="22"/>
              </w:rPr>
            </w:pPr>
            <w:r w:rsidRPr="00C14467">
              <w:rPr>
                <w:b/>
                <w:bCs/>
                <w:sz w:val="22"/>
                <w:szCs w:val="22"/>
              </w:rPr>
              <w:t>50 and up</w:t>
            </w:r>
          </w:p>
        </w:tc>
        <w:tc>
          <w:tcPr>
            <w:tcW w:w="910" w:type="dxa"/>
            <w:tcBorders>
              <w:top w:val="single" w:sz="4" w:space="0" w:color="auto"/>
              <w:left w:val="single" w:sz="4" w:space="0" w:color="auto"/>
              <w:bottom w:val="single" w:sz="4" w:space="0" w:color="auto"/>
              <w:right w:val="single" w:sz="4" w:space="0" w:color="auto"/>
            </w:tcBorders>
            <w:vAlign w:val="center"/>
            <w:hideMark/>
          </w:tcPr>
          <w:p w14:paraId="4B321618"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1,070</w:t>
            </w:r>
          </w:p>
        </w:tc>
        <w:tc>
          <w:tcPr>
            <w:tcW w:w="756" w:type="dxa"/>
            <w:tcBorders>
              <w:top w:val="single" w:sz="4" w:space="0" w:color="auto"/>
              <w:left w:val="single" w:sz="4" w:space="0" w:color="auto"/>
              <w:bottom w:val="single" w:sz="4" w:space="0" w:color="auto"/>
              <w:right w:val="single" w:sz="4" w:space="0" w:color="auto"/>
            </w:tcBorders>
            <w:vAlign w:val="center"/>
            <w:hideMark/>
          </w:tcPr>
          <w:p w14:paraId="5B866312"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499</w:t>
            </w:r>
          </w:p>
        </w:tc>
        <w:tc>
          <w:tcPr>
            <w:tcW w:w="1190" w:type="dxa"/>
            <w:tcBorders>
              <w:top w:val="single" w:sz="4" w:space="0" w:color="auto"/>
              <w:left w:val="single" w:sz="4" w:space="0" w:color="auto"/>
              <w:bottom w:val="single" w:sz="4" w:space="0" w:color="auto"/>
              <w:right w:val="single" w:sz="4" w:space="0" w:color="auto"/>
            </w:tcBorders>
            <w:vAlign w:val="center"/>
            <w:hideMark/>
          </w:tcPr>
          <w:p w14:paraId="4D939549"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97</w:t>
            </w:r>
          </w:p>
        </w:tc>
        <w:tc>
          <w:tcPr>
            <w:tcW w:w="1003" w:type="dxa"/>
            <w:tcBorders>
              <w:top w:val="single" w:sz="4" w:space="0" w:color="auto"/>
              <w:left w:val="single" w:sz="4" w:space="0" w:color="auto"/>
              <w:bottom w:val="single" w:sz="4" w:space="0" w:color="auto"/>
              <w:right w:val="single" w:sz="4" w:space="0" w:color="auto"/>
            </w:tcBorders>
            <w:vAlign w:val="center"/>
            <w:hideMark/>
          </w:tcPr>
          <w:p w14:paraId="31D2F301"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62</w:t>
            </w:r>
          </w:p>
        </w:tc>
        <w:tc>
          <w:tcPr>
            <w:tcW w:w="843" w:type="dxa"/>
            <w:tcBorders>
              <w:top w:val="single" w:sz="4" w:space="0" w:color="auto"/>
              <w:left w:val="single" w:sz="4" w:space="0" w:color="auto"/>
              <w:bottom w:val="single" w:sz="4" w:space="0" w:color="auto"/>
              <w:right w:val="single" w:sz="4" w:space="0" w:color="auto"/>
            </w:tcBorders>
            <w:vAlign w:val="center"/>
            <w:hideMark/>
          </w:tcPr>
          <w:p w14:paraId="04C12CE8"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21</w:t>
            </w:r>
          </w:p>
        </w:tc>
        <w:tc>
          <w:tcPr>
            <w:tcW w:w="1070" w:type="dxa"/>
            <w:tcBorders>
              <w:top w:val="single" w:sz="4" w:space="0" w:color="auto"/>
              <w:left w:val="single" w:sz="4" w:space="0" w:color="auto"/>
              <w:bottom w:val="single" w:sz="4" w:space="0" w:color="auto"/>
              <w:right w:val="single" w:sz="4" w:space="0" w:color="auto"/>
            </w:tcBorders>
            <w:vAlign w:val="center"/>
            <w:hideMark/>
          </w:tcPr>
          <w:p w14:paraId="01E474F6"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28</w:t>
            </w:r>
          </w:p>
        </w:tc>
        <w:tc>
          <w:tcPr>
            <w:tcW w:w="830" w:type="dxa"/>
            <w:tcBorders>
              <w:top w:val="single" w:sz="4" w:space="0" w:color="auto"/>
              <w:left w:val="single" w:sz="4" w:space="0" w:color="auto"/>
              <w:bottom w:val="single" w:sz="4" w:space="0" w:color="auto"/>
              <w:right w:val="single" w:sz="4" w:space="0" w:color="auto"/>
            </w:tcBorders>
            <w:vAlign w:val="center"/>
            <w:hideMark/>
          </w:tcPr>
          <w:p w14:paraId="3467A915"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5</w:t>
            </w:r>
          </w:p>
        </w:tc>
        <w:tc>
          <w:tcPr>
            <w:tcW w:w="1110" w:type="dxa"/>
            <w:tcBorders>
              <w:top w:val="single" w:sz="4" w:space="0" w:color="auto"/>
              <w:left w:val="single" w:sz="4" w:space="0" w:color="auto"/>
              <w:bottom w:val="single" w:sz="4" w:space="0" w:color="auto"/>
              <w:right w:val="single" w:sz="4" w:space="0" w:color="auto"/>
            </w:tcBorders>
            <w:vAlign w:val="center"/>
            <w:hideMark/>
          </w:tcPr>
          <w:p w14:paraId="07CE4873"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w:t>
            </w:r>
          </w:p>
        </w:tc>
        <w:tc>
          <w:tcPr>
            <w:tcW w:w="876" w:type="dxa"/>
            <w:tcBorders>
              <w:top w:val="single" w:sz="4" w:space="0" w:color="auto"/>
              <w:left w:val="single" w:sz="4" w:space="0" w:color="auto"/>
              <w:bottom w:val="single" w:sz="4" w:space="0" w:color="auto"/>
              <w:right w:val="single" w:sz="4" w:space="0" w:color="auto"/>
            </w:tcBorders>
            <w:vAlign w:val="center"/>
            <w:hideMark/>
          </w:tcPr>
          <w:p w14:paraId="0FBE28A4"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2,562</w:t>
            </w:r>
          </w:p>
        </w:tc>
      </w:tr>
      <w:tr w:rsidR="00960CEA" w14:paraId="4C0F2C8B" w14:textId="77777777" w:rsidTr="00A91F49">
        <w:tc>
          <w:tcPr>
            <w:tcW w:w="1068" w:type="dxa"/>
            <w:tcBorders>
              <w:top w:val="single" w:sz="4" w:space="0" w:color="auto"/>
              <w:left w:val="single" w:sz="4" w:space="0" w:color="auto"/>
              <w:bottom w:val="single" w:sz="4" w:space="0" w:color="auto"/>
              <w:right w:val="single" w:sz="4" w:space="0" w:color="auto"/>
            </w:tcBorders>
            <w:vAlign w:val="center"/>
            <w:hideMark/>
          </w:tcPr>
          <w:p w14:paraId="178EC28C" w14:textId="77777777" w:rsidR="00CB6688" w:rsidRPr="00C14467" w:rsidRDefault="006B79F7" w:rsidP="00A91F49">
            <w:pPr>
              <w:spacing w:before="0" w:after="0" w:line="240" w:lineRule="auto"/>
              <w:ind w:left="0" w:right="-3" w:firstLine="12"/>
              <w:jc w:val="left"/>
              <w:rPr>
                <w:b/>
                <w:bCs/>
                <w:sz w:val="22"/>
                <w:szCs w:val="22"/>
              </w:rPr>
            </w:pPr>
            <w:r w:rsidRPr="00C14467">
              <w:rPr>
                <w:b/>
                <w:bCs/>
                <w:sz w:val="22"/>
                <w:szCs w:val="22"/>
              </w:rPr>
              <w:t>Total</w:t>
            </w:r>
          </w:p>
        </w:tc>
        <w:tc>
          <w:tcPr>
            <w:tcW w:w="910" w:type="dxa"/>
            <w:tcBorders>
              <w:top w:val="single" w:sz="4" w:space="0" w:color="auto"/>
              <w:left w:val="single" w:sz="4" w:space="0" w:color="auto"/>
              <w:bottom w:val="single" w:sz="4" w:space="0" w:color="auto"/>
              <w:right w:val="single" w:sz="4" w:space="0" w:color="auto"/>
            </w:tcBorders>
            <w:vAlign w:val="center"/>
            <w:hideMark/>
          </w:tcPr>
          <w:p w14:paraId="5ACA26E9"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4,729</w:t>
            </w:r>
          </w:p>
        </w:tc>
        <w:tc>
          <w:tcPr>
            <w:tcW w:w="756" w:type="dxa"/>
            <w:tcBorders>
              <w:top w:val="single" w:sz="4" w:space="0" w:color="auto"/>
              <w:left w:val="single" w:sz="4" w:space="0" w:color="auto"/>
              <w:bottom w:val="single" w:sz="4" w:space="0" w:color="auto"/>
              <w:right w:val="single" w:sz="4" w:space="0" w:color="auto"/>
            </w:tcBorders>
            <w:vAlign w:val="center"/>
            <w:hideMark/>
          </w:tcPr>
          <w:p w14:paraId="18439F60"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6,564</w:t>
            </w:r>
          </w:p>
        </w:tc>
        <w:tc>
          <w:tcPr>
            <w:tcW w:w="1190" w:type="dxa"/>
            <w:tcBorders>
              <w:top w:val="single" w:sz="4" w:space="0" w:color="auto"/>
              <w:left w:val="single" w:sz="4" w:space="0" w:color="auto"/>
              <w:bottom w:val="single" w:sz="4" w:space="0" w:color="auto"/>
              <w:right w:val="single" w:sz="4" w:space="0" w:color="auto"/>
            </w:tcBorders>
            <w:vAlign w:val="center"/>
            <w:hideMark/>
          </w:tcPr>
          <w:p w14:paraId="7545DA79"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490</w:t>
            </w:r>
          </w:p>
        </w:tc>
        <w:tc>
          <w:tcPr>
            <w:tcW w:w="1003" w:type="dxa"/>
            <w:tcBorders>
              <w:top w:val="single" w:sz="4" w:space="0" w:color="auto"/>
              <w:left w:val="single" w:sz="4" w:space="0" w:color="auto"/>
              <w:bottom w:val="single" w:sz="4" w:space="0" w:color="auto"/>
              <w:right w:val="single" w:sz="4" w:space="0" w:color="auto"/>
            </w:tcBorders>
            <w:vAlign w:val="center"/>
            <w:hideMark/>
          </w:tcPr>
          <w:p w14:paraId="13DB416E"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2,205</w:t>
            </w:r>
          </w:p>
        </w:tc>
        <w:tc>
          <w:tcPr>
            <w:tcW w:w="843" w:type="dxa"/>
            <w:tcBorders>
              <w:top w:val="single" w:sz="4" w:space="0" w:color="auto"/>
              <w:left w:val="single" w:sz="4" w:space="0" w:color="auto"/>
              <w:bottom w:val="single" w:sz="4" w:space="0" w:color="auto"/>
              <w:right w:val="single" w:sz="4" w:space="0" w:color="auto"/>
            </w:tcBorders>
            <w:vAlign w:val="center"/>
            <w:hideMark/>
          </w:tcPr>
          <w:p w14:paraId="5D69DAF9"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112</w:t>
            </w:r>
          </w:p>
        </w:tc>
        <w:tc>
          <w:tcPr>
            <w:tcW w:w="1070" w:type="dxa"/>
            <w:tcBorders>
              <w:top w:val="single" w:sz="4" w:space="0" w:color="auto"/>
              <w:left w:val="single" w:sz="4" w:space="0" w:color="auto"/>
              <w:bottom w:val="single" w:sz="4" w:space="0" w:color="auto"/>
              <w:right w:val="single" w:sz="4" w:space="0" w:color="auto"/>
            </w:tcBorders>
            <w:vAlign w:val="center"/>
            <w:hideMark/>
          </w:tcPr>
          <w:p w14:paraId="41025D45"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663</w:t>
            </w:r>
          </w:p>
        </w:tc>
        <w:tc>
          <w:tcPr>
            <w:tcW w:w="830" w:type="dxa"/>
            <w:tcBorders>
              <w:top w:val="single" w:sz="4" w:space="0" w:color="auto"/>
              <w:left w:val="single" w:sz="4" w:space="0" w:color="auto"/>
              <w:bottom w:val="single" w:sz="4" w:space="0" w:color="auto"/>
              <w:right w:val="single" w:sz="4" w:space="0" w:color="auto"/>
            </w:tcBorders>
            <w:vAlign w:val="center"/>
            <w:hideMark/>
          </w:tcPr>
          <w:p w14:paraId="12C0FF9A"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63</w:t>
            </w:r>
          </w:p>
        </w:tc>
        <w:tc>
          <w:tcPr>
            <w:tcW w:w="1110" w:type="dxa"/>
            <w:tcBorders>
              <w:top w:val="single" w:sz="4" w:space="0" w:color="auto"/>
              <w:left w:val="single" w:sz="4" w:space="0" w:color="auto"/>
              <w:bottom w:val="single" w:sz="4" w:space="0" w:color="auto"/>
              <w:right w:val="single" w:sz="4" w:space="0" w:color="auto"/>
            </w:tcBorders>
            <w:vAlign w:val="center"/>
            <w:hideMark/>
          </w:tcPr>
          <w:p w14:paraId="111A8121"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31</w:t>
            </w:r>
          </w:p>
        </w:tc>
        <w:tc>
          <w:tcPr>
            <w:tcW w:w="876" w:type="dxa"/>
            <w:tcBorders>
              <w:top w:val="single" w:sz="4" w:space="0" w:color="auto"/>
              <w:left w:val="single" w:sz="4" w:space="0" w:color="auto"/>
              <w:bottom w:val="single" w:sz="4" w:space="0" w:color="auto"/>
              <w:right w:val="single" w:sz="4" w:space="0" w:color="auto"/>
            </w:tcBorders>
            <w:vAlign w:val="center"/>
            <w:hideMark/>
          </w:tcPr>
          <w:p w14:paraId="40D87BB9" w14:textId="77777777" w:rsidR="00CB6688" w:rsidRPr="00A04C4C" w:rsidRDefault="006B79F7" w:rsidP="00A91F49">
            <w:pPr>
              <w:spacing w:before="0" w:after="0" w:line="240" w:lineRule="auto"/>
              <w:ind w:left="-105" w:right="-131" w:firstLine="12"/>
              <w:jc w:val="center"/>
              <w:rPr>
                <w:sz w:val="22"/>
                <w:szCs w:val="22"/>
              </w:rPr>
            </w:pPr>
            <w:r w:rsidRPr="00A04C4C">
              <w:rPr>
                <w:sz w:val="22"/>
                <w:szCs w:val="22"/>
              </w:rPr>
              <w:t>14,856</w:t>
            </w:r>
          </w:p>
        </w:tc>
      </w:tr>
    </w:tbl>
    <w:p w14:paraId="7D2C9D25" w14:textId="77777777" w:rsidR="00CB6688" w:rsidRPr="00D34240" w:rsidRDefault="006B79F7" w:rsidP="00CB6688">
      <w:pPr>
        <w:spacing w:before="120" w:line="240" w:lineRule="auto"/>
        <w:ind w:left="0" w:firstLine="0"/>
        <w:rPr>
          <w:i/>
          <w:iCs/>
          <w:sz w:val="22"/>
          <w:szCs w:val="22"/>
          <w:rtl/>
        </w:rPr>
      </w:pPr>
      <w:r w:rsidRPr="00FD3B10">
        <w:rPr>
          <w:i/>
          <w:iCs/>
          <w:sz w:val="22"/>
          <w:szCs w:val="22"/>
        </w:rPr>
        <w:t xml:space="preserve">Source: </w:t>
      </w:r>
      <w:r>
        <w:rPr>
          <w:i/>
          <w:iCs/>
          <w:sz w:val="22"/>
          <w:szCs w:val="22"/>
        </w:rPr>
        <w:t>Israel Prisons Service</w:t>
      </w:r>
      <w:r w:rsidRPr="00D34240">
        <w:rPr>
          <w:i/>
          <w:iCs/>
          <w:sz w:val="22"/>
          <w:szCs w:val="22"/>
        </w:rPr>
        <w:t>, 2019.</w:t>
      </w:r>
    </w:p>
    <w:p w14:paraId="33958DAD" w14:textId="29E9BAED" w:rsidR="00CB6688" w:rsidRPr="003D1121" w:rsidRDefault="006B79F7" w:rsidP="0099177B">
      <w:pPr>
        <w:spacing w:line="240" w:lineRule="auto"/>
        <w:ind w:left="0" w:firstLine="0"/>
        <w:rPr>
          <w:b/>
          <w:bCs/>
          <w:u w:val="single"/>
        </w:rPr>
      </w:pPr>
      <w:r>
        <w:rPr>
          <w:b/>
          <w:bCs/>
          <w:u w:val="single"/>
        </w:rPr>
        <w:t xml:space="preserve">Table No. 14 - </w:t>
      </w:r>
      <w:r w:rsidRPr="003D1121">
        <w:rPr>
          <w:b/>
          <w:bCs/>
          <w:u w:val="single"/>
        </w:rPr>
        <w:t xml:space="preserve">Occupancy </w:t>
      </w:r>
      <w:r>
        <w:rPr>
          <w:b/>
          <w:bCs/>
          <w:u w:val="single"/>
        </w:rPr>
        <w:t>R</w:t>
      </w:r>
      <w:r w:rsidRPr="003D1121">
        <w:rPr>
          <w:b/>
          <w:bCs/>
          <w:u w:val="single"/>
        </w:rPr>
        <w:t xml:space="preserve">ate in </w:t>
      </w:r>
      <w:r>
        <w:rPr>
          <w:b/>
          <w:bCs/>
          <w:u w:val="single"/>
        </w:rPr>
        <w:t>IPS D</w:t>
      </w:r>
      <w:r w:rsidRPr="003D1121">
        <w:rPr>
          <w:b/>
          <w:bCs/>
          <w:u w:val="single"/>
        </w:rPr>
        <w:t>etention</w:t>
      </w:r>
      <w:r>
        <w:rPr>
          <w:b/>
          <w:bCs/>
          <w:u w:val="single"/>
        </w:rPr>
        <w:t xml:space="preserve">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1394"/>
        <w:gridCol w:w="1386"/>
        <w:gridCol w:w="1394"/>
        <w:gridCol w:w="1351"/>
        <w:gridCol w:w="1395"/>
      </w:tblGrid>
      <w:tr w:rsidR="00960CEA" w14:paraId="698B6F7E" w14:textId="77777777" w:rsidTr="00A91F49">
        <w:trPr>
          <w:tblHeader/>
        </w:trPr>
        <w:tc>
          <w:tcPr>
            <w:tcW w:w="277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B68FBCB" w14:textId="77777777" w:rsidR="00CB6688" w:rsidRPr="00D3543B" w:rsidRDefault="006B79F7" w:rsidP="00A91F49">
            <w:pPr>
              <w:spacing w:before="0" w:after="0" w:line="240" w:lineRule="auto"/>
              <w:ind w:left="-95" w:firstLine="0"/>
              <w:jc w:val="center"/>
              <w:rPr>
                <w:b/>
                <w:bCs/>
                <w:sz w:val="22"/>
                <w:szCs w:val="22"/>
              </w:rPr>
            </w:pPr>
            <w:r w:rsidRPr="00D3543B">
              <w:rPr>
                <w:b/>
                <w:bCs/>
                <w:sz w:val="22"/>
                <w:szCs w:val="22"/>
              </w:rPr>
              <w:lastRenderedPageBreak/>
              <w:t>South</w:t>
            </w:r>
            <w:r w:rsidRPr="00973082">
              <w:rPr>
                <w:b/>
                <w:bCs/>
                <w:sz w:val="22"/>
                <w:szCs w:val="22"/>
              </w:rPr>
              <w:t>ern District</w:t>
            </w:r>
          </w:p>
        </w:tc>
        <w:tc>
          <w:tcPr>
            <w:tcW w:w="278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5905B55" w14:textId="77777777" w:rsidR="00CB6688" w:rsidRPr="00D3543B" w:rsidRDefault="006B79F7" w:rsidP="00A91F49">
            <w:pPr>
              <w:spacing w:before="0" w:after="0" w:line="240" w:lineRule="auto"/>
              <w:ind w:left="-95" w:firstLine="0"/>
              <w:jc w:val="center"/>
              <w:rPr>
                <w:b/>
                <w:bCs/>
                <w:sz w:val="22"/>
                <w:szCs w:val="22"/>
              </w:rPr>
            </w:pPr>
            <w:r w:rsidRPr="00973082">
              <w:rPr>
                <w:b/>
                <w:bCs/>
                <w:sz w:val="22"/>
                <w:szCs w:val="22"/>
              </w:rPr>
              <w:t>Central District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E0CBBC0" w14:textId="77777777" w:rsidR="00CB6688" w:rsidRPr="00D3543B" w:rsidRDefault="006B79F7" w:rsidP="00A91F49">
            <w:pPr>
              <w:spacing w:before="0" w:after="0" w:line="240" w:lineRule="auto"/>
              <w:ind w:left="-95" w:firstLine="0"/>
              <w:jc w:val="center"/>
              <w:rPr>
                <w:b/>
                <w:bCs/>
                <w:sz w:val="22"/>
                <w:szCs w:val="22"/>
              </w:rPr>
            </w:pPr>
            <w:r w:rsidRPr="00D3543B">
              <w:rPr>
                <w:b/>
                <w:bCs/>
                <w:sz w:val="22"/>
                <w:szCs w:val="22"/>
              </w:rPr>
              <w:t>North</w:t>
            </w:r>
            <w:r w:rsidRPr="00973082">
              <w:rPr>
                <w:b/>
                <w:bCs/>
                <w:sz w:val="22"/>
                <w:szCs w:val="22"/>
              </w:rPr>
              <w:t>ern District</w:t>
            </w:r>
          </w:p>
        </w:tc>
      </w:tr>
      <w:tr w:rsidR="00960CEA" w14:paraId="5F7D05A6" w14:textId="77777777" w:rsidTr="00A91F49">
        <w:trPr>
          <w:tblHeader/>
        </w:trPr>
        <w:tc>
          <w:tcPr>
            <w:tcW w:w="13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411E33" w14:textId="77777777" w:rsidR="00CB6688" w:rsidRPr="00D3543B" w:rsidRDefault="006B79F7" w:rsidP="00A91F49">
            <w:pPr>
              <w:spacing w:before="0" w:after="0" w:line="240" w:lineRule="auto"/>
              <w:ind w:left="-95" w:firstLine="0"/>
              <w:jc w:val="center"/>
              <w:rPr>
                <w:b/>
                <w:bCs/>
                <w:sz w:val="22"/>
                <w:szCs w:val="22"/>
              </w:rPr>
            </w:pPr>
            <w:r w:rsidRPr="00D3543B">
              <w:rPr>
                <w:b/>
                <w:bCs/>
                <w:sz w:val="22"/>
                <w:szCs w:val="22"/>
              </w:rPr>
              <w:t>Prison</w:t>
            </w:r>
          </w:p>
        </w:tc>
        <w:tc>
          <w:tcPr>
            <w:tcW w:w="13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3053CF" w14:textId="77777777" w:rsidR="00CB6688" w:rsidRPr="00D3543B" w:rsidRDefault="006B79F7" w:rsidP="00A91F49">
            <w:pPr>
              <w:spacing w:before="0" w:after="0" w:line="240" w:lineRule="auto"/>
              <w:ind w:left="-95" w:firstLine="0"/>
              <w:jc w:val="center"/>
              <w:rPr>
                <w:b/>
                <w:bCs/>
                <w:sz w:val="22"/>
                <w:szCs w:val="22"/>
              </w:rPr>
            </w:pPr>
            <w:r w:rsidRPr="00D3543B">
              <w:rPr>
                <w:b/>
                <w:bCs/>
                <w:sz w:val="22"/>
                <w:szCs w:val="22"/>
              </w:rPr>
              <w:t>Occupancy rate</w:t>
            </w:r>
          </w:p>
        </w:tc>
        <w:tc>
          <w:tcPr>
            <w:tcW w:w="13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F0BF867" w14:textId="77777777" w:rsidR="00CB6688" w:rsidRPr="00D3543B" w:rsidRDefault="006B79F7" w:rsidP="00A91F49">
            <w:pPr>
              <w:spacing w:before="0" w:after="0" w:line="240" w:lineRule="auto"/>
              <w:ind w:left="-95" w:firstLine="0"/>
              <w:jc w:val="center"/>
              <w:rPr>
                <w:b/>
                <w:bCs/>
                <w:sz w:val="22"/>
                <w:szCs w:val="22"/>
              </w:rPr>
            </w:pPr>
            <w:r w:rsidRPr="00D3543B">
              <w:rPr>
                <w:b/>
                <w:bCs/>
                <w:sz w:val="22"/>
                <w:szCs w:val="22"/>
              </w:rPr>
              <w:t>Prison</w:t>
            </w:r>
          </w:p>
        </w:tc>
        <w:tc>
          <w:tcPr>
            <w:tcW w:w="13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4556D7" w14:textId="77777777" w:rsidR="00CB6688" w:rsidRPr="00D3543B" w:rsidRDefault="006B79F7" w:rsidP="00A91F49">
            <w:pPr>
              <w:spacing w:before="0" w:after="0" w:line="240" w:lineRule="auto"/>
              <w:ind w:left="-95" w:firstLine="0"/>
              <w:jc w:val="center"/>
              <w:rPr>
                <w:b/>
                <w:bCs/>
                <w:sz w:val="22"/>
                <w:szCs w:val="22"/>
              </w:rPr>
            </w:pPr>
            <w:r w:rsidRPr="00D3543B">
              <w:rPr>
                <w:b/>
                <w:bCs/>
                <w:sz w:val="22"/>
                <w:szCs w:val="22"/>
              </w:rPr>
              <w:t>Occupancy rate</w:t>
            </w:r>
          </w:p>
        </w:tc>
        <w:tc>
          <w:tcPr>
            <w:tcW w:w="135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21649F" w14:textId="77777777" w:rsidR="00CB6688" w:rsidRPr="00D3543B" w:rsidRDefault="006B79F7" w:rsidP="00A91F49">
            <w:pPr>
              <w:spacing w:before="0" w:after="0" w:line="240" w:lineRule="auto"/>
              <w:ind w:left="-95" w:firstLine="0"/>
              <w:jc w:val="center"/>
              <w:rPr>
                <w:b/>
                <w:bCs/>
                <w:sz w:val="22"/>
                <w:szCs w:val="22"/>
              </w:rPr>
            </w:pPr>
            <w:r w:rsidRPr="00D3543B">
              <w:rPr>
                <w:b/>
                <w:bCs/>
                <w:sz w:val="22"/>
                <w:szCs w:val="22"/>
              </w:rPr>
              <w:t>Prison</w:t>
            </w:r>
          </w:p>
        </w:tc>
        <w:tc>
          <w:tcPr>
            <w:tcW w:w="13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01E24F8" w14:textId="77777777" w:rsidR="00CB6688" w:rsidRPr="00D3543B" w:rsidRDefault="006B79F7" w:rsidP="00A91F49">
            <w:pPr>
              <w:spacing w:before="0" w:after="0" w:line="240" w:lineRule="auto"/>
              <w:ind w:left="-95" w:firstLine="0"/>
              <w:jc w:val="center"/>
              <w:rPr>
                <w:b/>
                <w:bCs/>
                <w:sz w:val="22"/>
                <w:szCs w:val="22"/>
              </w:rPr>
            </w:pPr>
            <w:r w:rsidRPr="00D3543B">
              <w:rPr>
                <w:b/>
                <w:bCs/>
                <w:sz w:val="22"/>
                <w:szCs w:val="22"/>
              </w:rPr>
              <w:t>Occupancy rate</w:t>
            </w:r>
          </w:p>
        </w:tc>
      </w:tr>
      <w:tr w:rsidR="00960CEA" w14:paraId="7D2AD383" w14:textId="77777777" w:rsidTr="00A91F49">
        <w:tc>
          <w:tcPr>
            <w:tcW w:w="1376" w:type="dxa"/>
            <w:tcBorders>
              <w:top w:val="single" w:sz="4" w:space="0" w:color="auto"/>
              <w:left w:val="single" w:sz="4" w:space="0" w:color="auto"/>
              <w:bottom w:val="single" w:sz="4" w:space="0" w:color="auto"/>
              <w:right w:val="single" w:sz="4" w:space="0" w:color="auto"/>
            </w:tcBorders>
            <w:vAlign w:val="center"/>
            <w:hideMark/>
          </w:tcPr>
          <w:p w14:paraId="5A4E9D0D"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Eshel</w:t>
            </w:r>
          </w:p>
        </w:tc>
        <w:tc>
          <w:tcPr>
            <w:tcW w:w="1394" w:type="dxa"/>
            <w:tcBorders>
              <w:top w:val="single" w:sz="4" w:space="0" w:color="auto"/>
              <w:left w:val="single" w:sz="4" w:space="0" w:color="auto"/>
              <w:bottom w:val="single" w:sz="4" w:space="0" w:color="auto"/>
              <w:right w:val="single" w:sz="4" w:space="0" w:color="auto"/>
            </w:tcBorders>
            <w:vAlign w:val="center"/>
            <w:hideMark/>
          </w:tcPr>
          <w:p w14:paraId="14EBDD35"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83%</w:t>
            </w:r>
          </w:p>
        </w:tc>
        <w:tc>
          <w:tcPr>
            <w:tcW w:w="1386" w:type="dxa"/>
            <w:tcBorders>
              <w:top w:val="single" w:sz="4" w:space="0" w:color="auto"/>
              <w:left w:val="single" w:sz="4" w:space="0" w:color="auto"/>
              <w:bottom w:val="single" w:sz="4" w:space="0" w:color="auto"/>
              <w:right w:val="single" w:sz="4" w:space="0" w:color="auto"/>
            </w:tcBorders>
            <w:vAlign w:val="center"/>
            <w:hideMark/>
          </w:tcPr>
          <w:p w14:paraId="3791F9CB"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Hadarim</w:t>
            </w:r>
          </w:p>
        </w:tc>
        <w:tc>
          <w:tcPr>
            <w:tcW w:w="1394" w:type="dxa"/>
            <w:tcBorders>
              <w:top w:val="single" w:sz="4" w:space="0" w:color="auto"/>
              <w:left w:val="single" w:sz="4" w:space="0" w:color="auto"/>
              <w:bottom w:val="single" w:sz="4" w:space="0" w:color="auto"/>
              <w:right w:val="single" w:sz="4" w:space="0" w:color="auto"/>
            </w:tcBorders>
            <w:vAlign w:val="center"/>
            <w:hideMark/>
          </w:tcPr>
          <w:p w14:paraId="7628BBC8"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82%</w:t>
            </w:r>
          </w:p>
        </w:tc>
        <w:tc>
          <w:tcPr>
            <w:tcW w:w="1351" w:type="dxa"/>
            <w:tcBorders>
              <w:top w:val="single" w:sz="4" w:space="0" w:color="auto"/>
              <w:left w:val="single" w:sz="4" w:space="0" w:color="auto"/>
              <w:bottom w:val="single" w:sz="4" w:space="0" w:color="auto"/>
              <w:right w:val="single" w:sz="4" w:space="0" w:color="auto"/>
            </w:tcBorders>
            <w:vAlign w:val="center"/>
            <w:hideMark/>
          </w:tcPr>
          <w:p w14:paraId="13B8DC19"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Kishon</w:t>
            </w:r>
          </w:p>
        </w:tc>
        <w:tc>
          <w:tcPr>
            <w:tcW w:w="1395" w:type="dxa"/>
            <w:tcBorders>
              <w:top w:val="single" w:sz="4" w:space="0" w:color="auto"/>
              <w:left w:val="single" w:sz="4" w:space="0" w:color="auto"/>
              <w:bottom w:val="single" w:sz="4" w:space="0" w:color="auto"/>
              <w:right w:val="single" w:sz="4" w:space="0" w:color="auto"/>
            </w:tcBorders>
            <w:vAlign w:val="center"/>
            <w:hideMark/>
          </w:tcPr>
          <w:p w14:paraId="35E0690C"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65%</w:t>
            </w:r>
          </w:p>
        </w:tc>
      </w:tr>
      <w:tr w:rsidR="00960CEA" w14:paraId="727AAA54" w14:textId="77777777" w:rsidTr="00A91F49">
        <w:tc>
          <w:tcPr>
            <w:tcW w:w="1376" w:type="dxa"/>
            <w:tcBorders>
              <w:top w:val="single" w:sz="4" w:space="0" w:color="auto"/>
              <w:left w:val="single" w:sz="4" w:space="0" w:color="auto"/>
              <w:bottom w:val="single" w:sz="4" w:space="0" w:color="auto"/>
              <w:right w:val="single" w:sz="4" w:space="0" w:color="auto"/>
            </w:tcBorders>
            <w:vAlign w:val="center"/>
            <w:hideMark/>
          </w:tcPr>
          <w:p w14:paraId="6F0146D7"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Ohalei Kedar</w:t>
            </w:r>
          </w:p>
        </w:tc>
        <w:tc>
          <w:tcPr>
            <w:tcW w:w="1394" w:type="dxa"/>
            <w:tcBorders>
              <w:top w:val="single" w:sz="4" w:space="0" w:color="auto"/>
              <w:left w:val="single" w:sz="4" w:space="0" w:color="auto"/>
              <w:bottom w:val="single" w:sz="4" w:space="0" w:color="auto"/>
              <w:right w:val="single" w:sz="4" w:space="0" w:color="auto"/>
            </w:tcBorders>
            <w:vAlign w:val="center"/>
            <w:hideMark/>
          </w:tcPr>
          <w:p w14:paraId="1F07A8DC"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91%</w:t>
            </w:r>
          </w:p>
        </w:tc>
        <w:tc>
          <w:tcPr>
            <w:tcW w:w="1386" w:type="dxa"/>
            <w:tcBorders>
              <w:top w:val="single" w:sz="4" w:space="0" w:color="auto"/>
              <w:left w:val="single" w:sz="4" w:space="0" w:color="auto"/>
              <w:bottom w:val="single" w:sz="4" w:space="0" w:color="auto"/>
              <w:right w:val="single" w:sz="4" w:space="0" w:color="auto"/>
            </w:tcBorders>
            <w:vAlign w:val="center"/>
            <w:hideMark/>
          </w:tcPr>
          <w:p w14:paraId="03E5B20E"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Jerusalem</w:t>
            </w:r>
          </w:p>
        </w:tc>
        <w:tc>
          <w:tcPr>
            <w:tcW w:w="1394" w:type="dxa"/>
            <w:tcBorders>
              <w:top w:val="single" w:sz="4" w:space="0" w:color="auto"/>
              <w:left w:val="single" w:sz="4" w:space="0" w:color="auto"/>
              <w:bottom w:val="single" w:sz="4" w:space="0" w:color="auto"/>
              <w:right w:val="single" w:sz="4" w:space="0" w:color="auto"/>
            </w:tcBorders>
            <w:vAlign w:val="center"/>
            <w:hideMark/>
          </w:tcPr>
          <w:p w14:paraId="1DEC640F"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57%</w:t>
            </w:r>
          </w:p>
        </w:tc>
        <w:tc>
          <w:tcPr>
            <w:tcW w:w="1351" w:type="dxa"/>
            <w:tcBorders>
              <w:top w:val="single" w:sz="4" w:space="0" w:color="auto"/>
              <w:left w:val="single" w:sz="4" w:space="0" w:color="auto"/>
              <w:bottom w:val="single" w:sz="4" w:space="0" w:color="auto"/>
              <w:right w:val="single" w:sz="4" w:space="0" w:color="auto"/>
            </w:tcBorders>
            <w:vAlign w:val="center"/>
            <w:hideMark/>
          </w:tcPr>
          <w:p w14:paraId="10C743EE"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Gilboa</w:t>
            </w:r>
          </w:p>
        </w:tc>
        <w:tc>
          <w:tcPr>
            <w:tcW w:w="1395" w:type="dxa"/>
            <w:tcBorders>
              <w:top w:val="single" w:sz="4" w:space="0" w:color="auto"/>
              <w:left w:val="single" w:sz="4" w:space="0" w:color="auto"/>
              <w:bottom w:val="single" w:sz="4" w:space="0" w:color="auto"/>
              <w:right w:val="single" w:sz="4" w:space="0" w:color="auto"/>
            </w:tcBorders>
            <w:vAlign w:val="center"/>
            <w:hideMark/>
          </w:tcPr>
          <w:p w14:paraId="4785C8F1"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96%</w:t>
            </w:r>
          </w:p>
        </w:tc>
      </w:tr>
      <w:tr w:rsidR="00960CEA" w14:paraId="1A1FBB62" w14:textId="77777777" w:rsidTr="00A91F49">
        <w:tc>
          <w:tcPr>
            <w:tcW w:w="1376" w:type="dxa"/>
            <w:tcBorders>
              <w:top w:val="single" w:sz="4" w:space="0" w:color="auto"/>
              <w:left w:val="single" w:sz="4" w:space="0" w:color="auto"/>
              <w:bottom w:val="single" w:sz="4" w:space="0" w:color="auto"/>
              <w:right w:val="single" w:sz="4" w:space="0" w:color="auto"/>
            </w:tcBorders>
            <w:vAlign w:val="center"/>
            <w:hideMark/>
          </w:tcPr>
          <w:p w14:paraId="66E53E1E"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Ela</w:t>
            </w:r>
          </w:p>
        </w:tc>
        <w:tc>
          <w:tcPr>
            <w:tcW w:w="1394" w:type="dxa"/>
            <w:tcBorders>
              <w:top w:val="single" w:sz="4" w:space="0" w:color="auto"/>
              <w:left w:val="single" w:sz="4" w:space="0" w:color="auto"/>
              <w:bottom w:val="single" w:sz="4" w:space="0" w:color="auto"/>
              <w:right w:val="single" w:sz="4" w:space="0" w:color="auto"/>
            </w:tcBorders>
            <w:vAlign w:val="center"/>
            <w:hideMark/>
          </w:tcPr>
          <w:p w14:paraId="038CEA6E"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64%</w:t>
            </w:r>
          </w:p>
        </w:tc>
        <w:tc>
          <w:tcPr>
            <w:tcW w:w="1386" w:type="dxa"/>
            <w:tcBorders>
              <w:top w:val="single" w:sz="4" w:space="0" w:color="auto"/>
              <w:left w:val="single" w:sz="4" w:space="0" w:color="auto"/>
              <w:bottom w:val="single" w:sz="4" w:space="0" w:color="auto"/>
              <w:right w:val="single" w:sz="4" w:space="0" w:color="auto"/>
            </w:tcBorders>
            <w:vAlign w:val="center"/>
            <w:hideMark/>
          </w:tcPr>
          <w:p w14:paraId="500A3628"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Nitzan</w:t>
            </w:r>
          </w:p>
        </w:tc>
        <w:tc>
          <w:tcPr>
            <w:tcW w:w="1394" w:type="dxa"/>
            <w:tcBorders>
              <w:top w:val="single" w:sz="4" w:space="0" w:color="auto"/>
              <w:left w:val="single" w:sz="4" w:space="0" w:color="auto"/>
              <w:bottom w:val="single" w:sz="4" w:space="0" w:color="auto"/>
              <w:right w:val="single" w:sz="4" w:space="0" w:color="auto"/>
            </w:tcBorders>
            <w:vAlign w:val="center"/>
            <w:hideMark/>
          </w:tcPr>
          <w:p w14:paraId="32CC7F37"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74%</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A391CEC"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Damon</w:t>
            </w:r>
          </w:p>
        </w:tc>
        <w:tc>
          <w:tcPr>
            <w:tcW w:w="1395" w:type="dxa"/>
            <w:tcBorders>
              <w:top w:val="single" w:sz="4" w:space="0" w:color="auto"/>
              <w:left w:val="single" w:sz="4" w:space="0" w:color="auto"/>
              <w:bottom w:val="single" w:sz="4" w:space="0" w:color="auto"/>
              <w:right w:val="single" w:sz="4" w:space="0" w:color="auto"/>
            </w:tcBorders>
            <w:vAlign w:val="center"/>
            <w:hideMark/>
          </w:tcPr>
          <w:p w14:paraId="2C176F90"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70%</w:t>
            </w:r>
          </w:p>
        </w:tc>
      </w:tr>
      <w:tr w:rsidR="00960CEA" w14:paraId="0D3B5BBB" w14:textId="77777777" w:rsidTr="00A91F49">
        <w:tc>
          <w:tcPr>
            <w:tcW w:w="1376" w:type="dxa"/>
            <w:tcBorders>
              <w:top w:val="single" w:sz="4" w:space="0" w:color="auto"/>
              <w:left w:val="single" w:sz="4" w:space="0" w:color="auto"/>
              <w:bottom w:val="single" w:sz="4" w:space="0" w:color="auto"/>
              <w:right w:val="single" w:sz="4" w:space="0" w:color="auto"/>
            </w:tcBorders>
            <w:vAlign w:val="center"/>
            <w:hideMark/>
          </w:tcPr>
          <w:p w14:paraId="4E6470CC"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Dekel</w:t>
            </w:r>
          </w:p>
        </w:tc>
        <w:tc>
          <w:tcPr>
            <w:tcW w:w="1394" w:type="dxa"/>
            <w:tcBorders>
              <w:top w:val="single" w:sz="4" w:space="0" w:color="auto"/>
              <w:left w:val="single" w:sz="4" w:space="0" w:color="auto"/>
              <w:bottom w:val="single" w:sz="4" w:space="0" w:color="auto"/>
              <w:right w:val="single" w:sz="4" w:space="0" w:color="auto"/>
            </w:tcBorders>
            <w:vAlign w:val="center"/>
            <w:hideMark/>
          </w:tcPr>
          <w:p w14:paraId="7E4825E9"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30E359C0"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Tel Aviv</w:t>
            </w:r>
          </w:p>
        </w:tc>
        <w:tc>
          <w:tcPr>
            <w:tcW w:w="1394" w:type="dxa"/>
            <w:tcBorders>
              <w:top w:val="single" w:sz="4" w:space="0" w:color="auto"/>
              <w:left w:val="single" w:sz="4" w:space="0" w:color="auto"/>
              <w:bottom w:val="single" w:sz="4" w:space="0" w:color="auto"/>
              <w:right w:val="single" w:sz="4" w:space="0" w:color="auto"/>
            </w:tcBorders>
            <w:vAlign w:val="center"/>
            <w:hideMark/>
          </w:tcPr>
          <w:p w14:paraId="1CF6E934"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74%</w:t>
            </w:r>
          </w:p>
        </w:tc>
        <w:tc>
          <w:tcPr>
            <w:tcW w:w="1351" w:type="dxa"/>
            <w:tcBorders>
              <w:top w:val="single" w:sz="4" w:space="0" w:color="auto"/>
              <w:left w:val="single" w:sz="4" w:space="0" w:color="auto"/>
              <w:bottom w:val="single" w:sz="4" w:space="0" w:color="auto"/>
              <w:right w:val="single" w:sz="4" w:space="0" w:color="auto"/>
            </w:tcBorders>
            <w:vAlign w:val="center"/>
            <w:hideMark/>
          </w:tcPr>
          <w:p w14:paraId="475D2A2F"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Hermon</w:t>
            </w:r>
          </w:p>
        </w:tc>
        <w:tc>
          <w:tcPr>
            <w:tcW w:w="1395" w:type="dxa"/>
            <w:tcBorders>
              <w:top w:val="single" w:sz="4" w:space="0" w:color="auto"/>
              <w:left w:val="single" w:sz="4" w:space="0" w:color="auto"/>
              <w:bottom w:val="single" w:sz="4" w:space="0" w:color="auto"/>
              <w:right w:val="single" w:sz="4" w:space="0" w:color="auto"/>
            </w:tcBorders>
            <w:vAlign w:val="center"/>
            <w:hideMark/>
          </w:tcPr>
          <w:p w14:paraId="5C28330D"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64%</w:t>
            </w:r>
          </w:p>
        </w:tc>
      </w:tr>
      <w:tr w:rsidR="00960CEA" w14:paraId="0C4418D7" w14:textId="77777777" w:rsidTr="00A91F49">
        <w:tc>
          <w:tcPr>
            <w:tcW w:w="1376" w:type="dxa"/>
            <w:tcBorders>
              <w:top w:val="single" w:sz="4" w:space="0" w:color="auto"/>
              <w:left w:val="single" w:sz="4" w:space="0" w:color="auto"/>
              <w:bottom w:val="single" w:sz="4" w:space="0" w:color="auto"/>
              <w:right w:val="single" w:sz="4" w:space="0" w:color="auto"/>
            </w:tcBorders>
            <w:vAlign w:val="center"/>
            <w:hideMark/>
          </w:tcPr>
          <w:p w14:paraId="393ADEE3"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Nafha</w:t>
            </w:r>
          </w:p>
        </w:tc>
        <w:tc>
          <w:tcPr>
            <w:tcW w:w="1394" w:type="dxa"/>
            <w:tcBorders>
              <w:top w:val="single" w:sz="4" w:space="0" w:color="auto"/>
              <w:left w:val="single" w:sz="4" w:space="0" w:color="auto"/>
              <w:bottom w:val="single" w:sz="4" w:space="0" w:color="auto"/>
              <w:right w:val="single" w:sz="4" w:space="0" w:color="auto"/>
            </w:tcBorders>
            <w:vAlign w:val="center"/>
            <w:hideMark/>
          </w:tcPr>
          <w:p w14:paraId="22858F05"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73%</w:t>
            </w:r>
          </w:p>
        </w:tc>
        <w:tc>
          <w:tcPr>
            <w:tcW w:w="1386" w:type="dxa"/>
            <w:tcBorders>
              <w:top w:val="single" w:sz="4" w:space="0" w:color="auto"/>
              <w:left w:val="single" w:sz="4" w:space="0" w:color="auto"/>
              <w:bottom w:val="single" w:sz="4" w:space="0" w:color="auto"/>
              <w:right w:val="single" w:sz="4" w:space="0" w:color="auto"/>
            </w:tcBorders>
            <w:vAlign w:val="center"/>
            <w:hideMark/>
          </w:tcPr>
          <w:p w14:paraId="78CC8383"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Giv'on</w:t>
            </w:r>
          </w:p>
        </w:tc>
        <w:tc>
          <w:tcPr>
            <w:tcW w:w="1394" w:type="dxa"/>
            <w:tcBorders>
              <w:top w:val="single" w:sz="4" w:space="0" w:color="auto"/>
              <w:left w:val="single" w:sz="4" w:space="0" w:color="auto"/>
              <w:bottom w:val="single" w:sz="4" w:space="0" w:color="auto"/>
              <w:right w:val="single" w:sz="4" w:space="0" w:color="auto"/>
            </w:tcBorders>
            <w:vAlign w:val="center"/>
            <w:hideMark/>
          </w:tcPr>
          <w:p w14:paraId="58DE2A7B"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57%</w:t>
            </w:r>
          </w:p>
        </w:tc>
        <w:tc>
          <w:tcPr>
            <w:tcW w:w="1351" w:type="dxa"/>
            <w:tcBorders>
              <w:top w:val="single" w:sz="4" w:space="0" w:color="auto"/>
              <w:left w:val="single" w:sz="4" w:space="0" w:color="auto"/>
              <w:bottom w:val="single" w:sz="4" w:space="0" w:color="auto"/>
              <w:right w:val="single" w:sz="4" w:space="0" w:color="auto"/>
            </w:tcBorders>
            <w:vAlign w:val="center"/>
            <w:hideMark/>
          </w:tcPr>
          <w:p w14:paraId="5E108E1E"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Carmel</w:t>
            </w:r>
          </w:p>
        </w:tc>
        <w:tc>
          <w:tcPr>
            <w:tcW w:w="1395" w:type="dxa"/>
            <w:tcBorders>
              <w:top w:val="single" w:sz="4" w:space="0" w:color="auto"/>
              <w:left w:val="single" w:sz="4" w:space="0" w:color="auto"/>
              <w:bottom w:val="single" w:sz="4" w:space="0" w:color="auto"/>
              <w:right w:val="single" w:sz="4" w:space="0" w:color="auto"/>
            </w:tcBorders>
            <w:vAlign w:val="center"/>
            <w:hideMark/>
          </w:tcPr>
          <w:p w14:paraId="3C290225"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78%</w:t>
            </w:r>
          </w:p>
        </w:tc>
      </w:tr>
      <w:tr w:rsidR="00960CEA" w14:paraId="5C827F67" w14:textId="77777777" w:rsidTr="00A91F49">
        <w:tc>
          <w:tcPr>
            <w:tcW w:w="1376" w:type="dxa"/>
            <w:tcBorders>
              <w:top w:val="single" w:sz="4" w:space="0" w:color="auto"/>
              <w:left w:val="single" w:sz="4" w:space="0" w:color="auto"/>
              <w:bottom w:val="single" w:sz="4" w:space="0" w:color="auto"/>
              <w:right w:val="single" w:sz="4" w:space="0" w:color="auto"/>
            </w:tcBorders>
            <w:vAlign w:val="center"/>
            <w:hideMark/>
          </w:tcPr>
          <w:p w14:paraId="2B79A9F4"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Saharonim</w:t>
            </w:r>
          </w:p>
        </w:tc>
        <w:tc>
          <w:tcPr>
            <w:tcW w:w="1394" w:type="dxa"/>
            <w:tcBorders>
              <w:top w:val="single" w:sz="4" w:space="0" w:color="auto"/>
              <w:left w:val="single" w:sz="4" w:space="0" w:color="auto"/>
              <w:bottom w:val="single" w:sz="4" w:space="0" w:color="auto"/>
              <w:right w:val="single" w:sz="4" w:space="0" w:color="auto"/>
            </w:tcBorders>
            <w:vAlign w:val="center"/>
            <w:hideMark/>
          </w:tcPr>
          <w:p w14:paraId="7579B1CE"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24%</w:t>
            </w:r>
          </w:p>
        </w:tc>
        <w:tc>
          <w:tcPr>
            <w:tcW w:w="1386" w:type="dxa"/>
            <w:tcBorders>
              <w:top w:val="single" w:sz="4" w:space="0" w:color="auto"/>
              <w:left w:val="single" w:sz="4" w:space="0" w:color="auto"/>
              <w:bottom w:val="single" w:sz="4" w:space="0" w:color="auto"/>
              <w:right w:val="single" w:sz="4" w:space="0" w:color="auto"/>
            </w:tcBorders>
            <w:vAlign w:val="center"/>
            <w:hideMark/>
          </w:tcPr>
          <w:p w14:paraId="58A72691"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Ha'Sharon</w:t>
            </w:r>
          </w:p>
        </w:tc>
        <w:tc>
          <w:tcPr>
            <w:tcW w:w="1394" w:type="dxa"/>
            <w:tcBorders>
              <w:top w:val="single" w:sz="4" w:space="0" w:color="auto"/>
              <w:left w:val="single" w:sz="4" w:space="0" w:color="auto"/>
              <w:bottom w:val="single" w:sz="4" w:space="0" w:color="auto"/>
              <w:right w:val="single" w:sz="4" w:space="0" w:color="auto"/>
            </w:tcBorders>
            <w:vAlign w:val="center"/>
            <w:hideMark/>
          </w:tcPr>
          <w:p w14:paraId="1F7F76E6"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71%</w:t>
            </w:r>
          </w:p>
        </w:tc>
        <w:tc>
          <w:tcPr>
            <w:tcW w:w="1351" w:type="dxa"/>
            <w:tcBorders>
              <w:top w:val="single" w:sz="4" w:space="0" w:color="auto"/>
              <w:left w:val="single" w:sz="4" w:space="0" w:color="auto"/>
              <w:bottom w:val="single" w:sz="4" w:space="0" w:color="auto"/>
              <w:right w:val="single" w:sz="4" w:space="0" w:color="auto"/>
            </w:tcBorders>
            <w:vAlign w:val="center"/>
            <w:hideMark/>
          </w:tcPr>
          <w:p w14:paraId="78011072"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Megiddo</w:t>
            </w:r>
          </w:p>
        </w:tc>
        <w:tc>
          <w:tcPr>
            <w:tcW w:w="1395" w:type="dxa"/>
            <w:tcBorders>
              <w:top w:val="single" w:sz="4" w:space="0" w:color="auto"/>
              <w:left w:val="single" w:sz="4" w:space="0" w:color="auto"/>
              <w:bottom w:val="single" w:sz="4" w:space="0" w:color="auto"/>
              <w:right w:val="single" w:sz="4" w:space="0" w:color="auto"/>
            </w:tcBorders>
            <w:vAlign w:val="center"/>
            <w:hideMark/>
          </w:tcPr>
          <w:p w14:paraId="5BE0DCC6"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84%</w:t>
            </w:r>
          </w:p>
        </w:tc>
      </w:tr>
      <w:tr w:rsidR="00960CEA" w14:paraId="7E643D91" w14:textId="77777777" w:rsidTr="00A91F49">
        <w:tc>
          <w:tcPr>
            <w:tcW w:w="1376" w:type="dxa"/>
            <w:tcBorders>
              <w:top w:val="single" w:sz="4" w:space="0" w:color="auto"/>
              <w:left w:val="single" w:sz="4" w:space="0" w:color="auto"/>
              <w:bottom w:val="single" w:sz="4" w:space="0" w:color="auto"/>
              <w:right w:val="single" w:sz="4" w:space="0" w:color="auto"/>
            </w:tcBorders>
            <w:vAlign w:val="center"/>
            <w:hideMark/>
          </w:tcPr>
          <w:p w14:paraId="155E8CB4"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Ktzi'ot</w:t>
            </w:r>
          </w:p>
        </w:tc>
        <w:tc>
          <w:tcPr>
            <w:tcW w:w="1394" w:type="dxa"/>
            <w:tcBorders>
              <w:top w:val="single" w:sz="4" w:space="0" w:color="auto"/>
              <w:left w:val="single" w:sz="4" w:space="0" w:color="auto"/>
              <w:bottom w:val="single" w:sz="4" w:space="0" w:color="auto"/>
              <w:right w:val="single" w:sz="4" w:space="0" w:color="auto"/>
            </w:tcBorders>
            <w:vAlign w:val="center"/>
            <w:hideMark/>
          </w:tcPr>
          <w:p w14:paraId="674899A6"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67%</w:t>
            </w:r>
          </w:p>
        </w:tc>
        <w:tc>
          <w:tcPr>
            <w:tcW w:w="1386" w:type="dxa"/>
            <w:tcBorders>
              <w:top w:val="single" w:sz="4" w:space="0" w:color="auto"/>
              <w:left w:val="single" w:sz="4" w:space="0" w:color="auto"/>
              <w:bottom w:val="single" w:sz="4" w:space="0" w:color="auto"/>
              <w:right w:val="single" w:sz="4" w:space="0" w:color="auto"/>
            </w:tcBorders>
            <w:vAlign w:val="center"/>
            <w:hideMark/>
          </w:tcPr>
          <w:p w14:paraId="673B6159"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Ma'asiyahu</w:t>
            </w:r>
          </w:p>
        </w:tc>
        <w:tc>
          <w:tcPr>
            <w:tcW w:w="1394" w:type="dxa"/>
            <w:tcBorders>
              <w:top w:val="single" w:sz="4" w:space="0" w:color="auto"/>
              <w:left w:val="single" w:sz="4" w:space="0" w:color="auto"/>
              <w:bottom w:val="single" w:sz="4" w:space="0" w:color="auto"/>
              <w:right w:val="single" w:sz="4" w:space="0" w:color="auto"/>
            </w:tcBorders>
            <w:vAlign w:val="center"/>
            <w:hideMark/>
          </w:tcPr>
          <w:p w14:paraId="6C1290AF"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87%</w:t>
            </w:r>
          </w:p>
        </w:tc>
        <w:tc>
          <w:tcPr>
            <w:tcW w:w="1351" w:type="dxa"/>
            <w:tcBorders>
              <w:top w:val="single" w:sz="4" w:space="0" w:color="auto"/>
              <w:left w:val="single" w:sz="4" w:space="0" w:color="auto"/>
              <w:bottom w:val="single" w:sz="4" w:space="0" w:color="auto"/>
              <w:right w:val="single" w:sz="4" w:space="0" w:color="auto"/>
            </w:tcBorders>
            <w:vAlign w:val="center"/>
            <w:hideMark/>
          </w:tcPr>
          <w:p w14:paraId="1F45855C"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Zalmon</w:t>
            </w:r>
          </w:p>
        </w:tc>
        <w:tc>
          <w:tcPr>
            <w:tcW w:w="1395" w:type="dxa"/>
            <w:tcBorders>
              <w:top w:val="single" w:sz="4" w:space="0" w:color="auto"/>
              <w:left w:val="single" w:sz="4" w:space="0" w:color="auto"/>
              <w:bottom w:val="single" w:sz="4" w:space="0" w:color="auto"/>
              <w:right w:val="single" w:sz="4" w:space="0" w:color="auto"/>
            </w:tcBorders>
            <w:vAlign w:val="center"/>
            <w:hideMark/>
          </w:tcPr>
          <w:p w14:paraId="4919D098"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85%</w:t>
            </w:r>
          </w:p>
        </w:tc>
      </w:tr>
      <w:tr w:rsidR="00960CEA" w14:paraId="5171A571" w14:textId="77777777" w:rsidTr="00A91F49">
        <w:tc>
          <w:tcPr>
            <w:tcW w:w="1376" w:type="dxa"/>
            <w:tcBorders>
              <w:top w:val="single" w:sz="4" w:space="0" w:color="auto"/>
              <w:left w:val="single" w:sz="4" w:space="0" w:color="auto"/>
              <w:bottom w:val="single" w:sz="4" w:space="0" w:color="auto"/>
              <w:right w:val="single" w:sz="4" w:space="0" w:color="auto"/>
            </w:tcBorders>
            <w:vAlign w:val="center"/>
            <w:hideMark/>
          </w:tcPr>
          <w:p w14:paraId="669AE886"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Ramon</w:t>
            </w:r>
          </w:p>
        </w:tc>
        <w:tc>
          <w:tcPr>
            <w:tcW w:w="1394" w:type="dxa"/>
            <w:tcBorders>
              <w:top w:val="single" w:sz="4" w:space="0" w:color="auto"/>
              <w:left w:val="single" w:sz="4" w:space="0" w:color="auto"/>
              <w:bottom w:val="single" w:sz="4" w:space="0" w:color="auto"/>
              <w:right w:val="single" w:sz="4" w:space="0" w:color="auto"/>
            </w:tcBorders>
            <w:vAlign w:val="center"/>
            <w:hideMark/>
          </w:tcPr>
          <w:p w14:paraId="5FD73877"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71%</w:t>
            </w:r>
          </w:p>
        </w:tc>
        <w:tc>
          <w:tcPr>
            <w:tcW w:w="1386" w:type="dxa"/>
            <w:tcBorders>
              <w:top w:val="single" w:sz="4" w:space="0" w:color="auto"/>
              <w:left w:val="single" w:sz="4" w:space="0" w:color="auto"/>
              <w:bottom w:val="single" w:sz="4" w:space="0" w:color="auto"/>
              <w:right w:val="single" w:sz="4" w:space="0" w:color="auto"/>
            </w:tcBorders>
            <w:vAlign w:val="center"/>
            <w:hideMark/>
          </w:tcPr>
          <w:p w14:paraId="5E9E1AA0"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Neve Tirza</w:t>
            </w:r>
          </w:p>
        </w:tc>
        <w:tc>
          <w:tcPr>
            <w:tcW w:w="1394" w:type="dxa"/>
            <w:tcBorders>
              <w:top w:val="single" w:sz="4" w:space="0" w:color="auto"/>
              <w:left w:val="single" w:sz="4" w:space="0" w:color="auto"/>
              <w:bottom w:val="single" w:sz="4" w:space="0" w:color="auto"/>
              <w:right w:val="single" w:sz="4" w:space="0" w:color="auto"/>
            </w:tcBorders>
            <w:vAlign w:val="center"/>
            <w:hideMark/>
          </w:tcPr>
          <w:p w14:paraId="72704D74"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70%</w:t>
            </w:r>
          </w:p>
        </w:tc>
        <w:tc>
          <w:tcPr>
            <w:tcW w:w="1351" w:type="dxa"/>
            <w:tcBorders>
              <w:top w:val="single" w:sz="4" w:space="0" w:color="auto"/>
              <w:left w:val="single" w:sz="4" w:space="0" w:color="auto"/>
              <w:bottom w:val="single" w:sz="4" w:space="0" w:color="auto"/>
              <w:right w:val="single" w:sz="4" w:space="0" w:color="auto"/>
            </w:tcBorders>
            <w:vAlign w:val="center"/>
            <w:hideMark/>
          </w:tcPr>
          <w:p w14:paraId="59585978"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Shita</w:t>
            </w:r>
          </w:p>
        </w:tc>
        <w:tc>
          <w:tcPr>
            <w:tcW w:w="1395" w:type="dxa"/>
            <w:tcBorders>
              <w:top w:val="single" w:sz="4" w:space="0" w:color="auto"/>
              <w:left w:val="single" w:sz="4" w:space="0" w:color="auto"/>
              <w:bottom w:val="single" w:sz="4" w:space="0" w:color="auto"/>
              <w:right w:val="single" w:sz="4" w:space="0" w:color="auto"/>
            </w:tcBorders>
            <w:vAlign w:val="center"/>
            <w:hideMark/>
          </w:tcPr>
          <w:p w14:paraId="2D6D3406"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92%</w:t>
            </w:r>
          </w:p>
        </w:tc>
      </w:tr>
      <w:tr w:rsidR="00960CEA" w14:paraId="7B8A025A" w14:textId="77777777" w:rsidTr="00A91F49">
        <w:tc>
          <w:tcPr>
            <w:tcW w:w="1376" w:type="dxa"/>
            <w:tcBorders>
              <w:top w:val="single" w:sz="4" w:space="0" w:color="auto"/>
              <w:left w:val="single" w:sz="4" w:space="0" w:color="auto"/>
              <w:bottom w:val="single" w:sz="4" w:space="0" w:color="auto"/>
              <w:right w:val="single" w:sz="4" w:space="0" w:color="auto"/>
            </w:tcBorders>
            <w:vAlign w:val="center"/>
            <w:hideMark/>
          </w:tcPr>
          <w:p w14:paraId="0FE4C309"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Shikma</w:t>
            </w:r>
          </w:p>
        </w:tc>
        <w:tc>
          <w:tcPr>
            <w:tcW w:w="1394" w:type="dxa"/>
            <w:tcBorders>
              <w:top w:val="single" w:sz="4" w:space="0" w:color="auto"/>
              <w:left w:val="single" w:sz="4" w:space="0" w:color="auto"/>
              <w:bottom w:val="single" w:sz="4" w:space="0" w:color="auto"/>
              <w:right w:val="single" w:sz="4" w:space="0" w:color="auto"/>
            </w:tcBorders>
            <w:vAlign w:val="center"/>
            <w:hideMark/>
          </w:tcPr>
          <w:p w14:paraId="561AE1B9"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78%</w:t>
            </w:r>
          </w:p>
        </w:tc>
        <w:tc>
          <w:tcPr>
            <w:tcW w:w="1386" w:type="dxa"/>
            <w:tcBorders>
              <w:top w:val="single" w:sz="4" w:space="0" w:color="auto"/>
              <w:left w:val="single" w:sz="4" w:space="0" w:color="auto"/>
              <w:bottom w:val="single" w:sz="4" w:space="0" w:color="auto"/>
              <w:right w:val="single" w:sz="4" w:space="0" w:color="auto"/>
            </w:tcBorders>
            <w:vAlign w:val="center"/>
            <w:hideMark/>
          </w:tcPr>
          <w:p w14:paraId="60524B8C" w14:textId="77777777" w:rsidR="00CB6688" w:rsidRPr="00D3543B" w:rsidRDefault="006B79F7" w:rsidP="00A91F49">
            <w:pPr>
              <w:spacing w:before="0" w:after="0" w:line="240" w:lineRule="auto"/>
              <w:ind w:left="-73" w:right="-25" w:firstLine="0"/>
              <w:jc w:val="center"/>
              <w:rPr>
                <w:sz w:val="22"/>
                <w:szCs w:val="22"/>
              </w:rPr>
            </w:pPr>
            <w:r w:rsidRPr="00D3543B">
              <w:rPr>
                <w:sz w:val="22"/>
                <w:szCs w:val="22"/>
              </w:rPr>
              <w:t>Ofer</w:t>
            </w:r>
          </w:p>
        </w:tc>
        <w:tc>
          <w:tcPr>
            <w:tcW w:w="1394" w:type="dxa"/>
            <w:tcBorders>
              <w:top w:val="single" w:sz="4" w:space="0" w:color="auto"/>
              <w:left w:val="single" w:sz="4" w:space="0" w:color="auto"/>
              <w:bottom w:val="single" w:sz="4" w:space="0" w:color="auto"/>
              <w:right w:val="single" w:sz="4" w:space="0" w:color="auto"/>
            </w:tcBorders>
            <w:vAlign w:val="center"/>
            <w:hideMark/>
          </w:tcPr>
          <w:p w14:paraId="502935CA" w14:textId="77777777" w:rsidR="00CB6688" w:rsidRPr="00D3543B" w:rsidRDefault="006B79F7" w:rsidP="00A91F49">
            <w:pPr>
              <w:spacing w:before="0" w:after="0" w:line="240" w:lineRule="auto"/>
              <w:ind w:left="-105" w:right="-131" w:firstLine="12"/>
              <w:jc w:val="center"/>
              <w:rPr>
                <w:sz w:val="22"/>
                <w:szCs w:val="22"/>
              </w:rPr>
            </w:pPr>
            <w:r w:rsidRPr="00D3543B">
              <w:rPr>
                <w:sz w:val="22"/>
                <w:szCs w:val="22"/>
              </w:rPr>
              <w:t>85%</w:t>
            </w:r>
          </w:p>
        </w:tc>
        <w:tc>
          <w:tcPr>
            <w:tcW w:w="1351" w:type="dxa"/>
            <w:tcBorders>
              <w:top w:val="single" w:sz="4" w:space="0" w:color="auto"/>
              <w:left w:val="single" w:sz="4" w:space="0" w:color="auto"/>
              <w:bottom w:val="single" w:sz="4" w:space="0" w:color="auto"/>
              <w:right w:val="single" w:sz="4" w:space="0" w:color="auto"/>
            </w:tcBorders>
          </w:tcPr>
          <w:p w14:paraId="580170DB" w14:textId="77777777" w:rsidR="00CB6688" w:rsidRPr="00D3543B" w:rsidRDefault="00CB6688" w:rsidP="00A91F49">
            <w:pPr>
              <w:spacing w:before="0" w:after="0" w:line="240" w:lineRule="auto"/>
              <w:ind w:left="-73" w:right="-25" w:firstLine="0"/>
              <w:jc w:val="center"/>
              <w:rPr>
                <w:sz w:val="22"/>
                <w:szCs w:val="22"/>
              </w:rPr>
            </w:pPr>
          </w:p>
        </w:tc>
        <w:tc>
          <w:tcPr>
            <w:tcW w:w="1395" w:type="dxa"/>
            <w:tcBorders>
              <w:top w:val="single" w:sz="4" w:space="0" w:color="auto"/>
              <w:left w:val="single" w:sz="4" w:space="0" w:color="auto"/>
              <w:bottom w:val="single" w:sz="4" w:space="0" w:color="auto"/>
              <w:right w:val="single" w:sz="4" w:space="0" w:color="auto"/>
            </w:tcBorders>
          </w:tcPr>
          <w:p w14:paraId="4A535FAB" w14:textId="77777777" w:rsidR="00CB6688" w:rsidRPr="00D3543B" w:rsidRDefault="00CB6688" w:rsidP="00A91F49">
            <w:pPr>
              <w:spacing w:before="0" w:after="0" w:line="240" w:lineRule="auto"/>
              <w:jc w:val="center"/>
              <w:rPr>
                <w:sz w:val="22"/>
                <w:szCs w:val="22"/>
              </w:rPr>
            </w:pPr>
          </w:p>
        </w:tc>
      </w:tr>
      <w:tr w:rsidR="00960CEA" w14:paraId="4245904D" w14:textId="77777777" w:rsidTr="00A91F49">
        <w:tc>
          <w:tcPr>
            <w:tcW w:w="8296" w:type="dxa"/>
            <w:gridSpan w:val="6"/>
            <w:tcBorders>
              <w:top w:val="single" w:sz="4" w:space="0" w:color="auto"/>
              <w:left w:val="single" w:sz="4" w:space="0" w:color="auto"/>
              <w:bottom w:val="single" w:sz="4" w:space="0" w:color="auto"/>
              <w:right w:val="single" w:sz="4" w:space="0" w:color="auto"/>
            </w:tcBorders>
            <w:hideMark/>
          </w:tcPr>
          <w:p w14:paraId="788931B9" w14:textId="77777777" w:rsidR="00CB6688" w:rsidRPr="00D3543B" w:rsidRDefault="006B79F7" w:rsidP="00A91F49">
            <w:pPr>
              <w:spacing w:before="0" w:after="0" w:line="240" w:lineRule="auto"/>
              <w:jc w:val="center"/>
              <w:rPr>
                <w:b/>
                <w:bCs/>
                <w:sz w:val="22"/>
                <w:szCs w:val="22"/>
              </w:rPr>
            </w:pPr>
            <w:r w:rsidRPr="00D3543B">
              <w:rPr>
                <w:b/>
                <w:bCs/>
                <w:sz w:val="22"/>
                <w:szCs w:val="22"/>
              </w:rPr>
              <w:t>The occupancy rate in all IPS facilities is approx. 75%.</w:t>
            </w:r>
          </w:p>
        </w:tc>
      </w:tr>
    </w:tbl>
    <w:p w14:paraId="01BDAAD3" w14:textId="77777777" w:rsidR="00FD3B10" w:rsidRPr="00D34240" w:rsidRDefault="00CB6688" w:rsidP="00CB6688">
      <w:pPr>
        <w:spacing w:before="120" w:line="240" w:lineRule="auto"/>
        <w:ind w:left="0" w:firstLine="0"/>
        <w:rPr>
          <w:i/>
          <w:iCs/>
          <w:sz w:val="22"/>
          <w:szCs w:val="22"/>
          <w:rtl/>
        </w:rPr>
      </w:pPr>
      <w:r w:rsidRPr="00FD3B10">
        <w:rPr>
          <w:i/>
          <w:iCs/>
          <w:sz w:val="22"/>
          <w:szCs w:val="22"/>
        </w:rPr>
        <w:t xml:space="preserve">Source: </w:t>
      </w:r>
      <w:r>
        <w:rPr>
          <w:i/>
          <w:iCs/>
          <w:sz w:val="22"/>
          <w:szCs w:val="22"/>
        </w:rPr>
        <w:t>Israel Prisons Service</w:t>
      </w:r>
      <w:r w:rsidRPr="00D34240">
        <w:rPr>
          <w:i/>
          <w:iCs/>
          <w:sz w:val="22"/>
          <w:szCs w:val="22"/>
        </w:rPr>
        <w:t>, 2019.</w:t>
      </w:r>
    </w:p>
    <w:p w14:paraId="644F13C0" w14:textId="290C05D6" w:rsidR="003D1121" w:rsidRPr="003D1121" w:rsidRDefault="006B79F7" w:rsidP="0099177B">
      <w:pPr>
        <w:pStyle w:val="Default"/>
        <w:spacing w:line="360" w:lineRule="auto"/>
        <w:ind w:left="0" w:firstLine="0"/>
        <w:rPr>
          <w:b/>
          <w:bCs/>
          <w:color w:val="auto"/>
          <w:u w:val="single"/>
        </w:rPr>
      </w:pPr>
      <w:r w:rsidRPr="003D1121">
        <w:rPr>
          <w:b/>
          <w:bCs/>
          <w:color w:val="auto"/>
          <w:u w:val="single"/>
        </w:rPr>
        <w:t>The High Court of Justice Ruling on Prisoners and Detainees' Living Space</w:t>
      </w:r>
      <w:r w:rsidRPr="003D1121">
        <w:rPr>
          <w:b/>
          <w:bCs/>
          <w:i/>
          <w:iCs/>
          <w:color w:val="auto"/>
          <w:u w:val="single"/>
        </w:rPr>
        <w:t xml:space="preserve"> (</w:t>
      </w:r>
      <w:r w:rsidRPr="003D1121">
        <w:rPr>
          <w:b/>
          <w:bCs/>
          <w:color w:val="auto"/>
          <w:u w:val="single"/>
        </w:rPr>
        <w:t xml:space="preserve">H.C.J. </w:t>
      </w:r>
      <w:r w:rsidRPr="003D1121">
        <w:rPr>
          <w:b/>
          <w:bCs/>
          <w:i/>
          <w:iCs/>
          <w:color w:val="auto"/>
          <w:u w:val="single"/>
        </w:rPr>
        <w:t>1892/14 The Association for Civil Rights in Israel et. al. v. The Minister of Public Security et. al.</w:t>
      </w:r>
      <w:r w:rsidRPr="003D1121">
        <w:rPr>
          <w:b/>
          <w:bCs/>
          <w:color w:val="auto"/>
          <w:u w:val="single"/>
        </w:rPr>
        <w:t xml:space="preserve"> (13.6.17))</w:t>
      </w:r>
    </w:p>
    <w:p w14:paraId="48B5A84F" w14:textId="4650C4DA" w:rsidR="003D1121" w:rsidRPr="003D1121" w:rsidRDefault="006B79F7" w:rsidP="0099177B">
      <w:pPr>
        <w:pStyle w:val="aa"/>
        <w:numPr>
          <w:ilvl w:val="0"/>
          <w:numId w:val="2"/>
        </w:numPr>
        <w:ind w:left="567" w:hanging="567"/>
        <w:contextualSpacing w:val="0"/>
      </w:pPr>
      <w:r w:rsidRPr="003D1121">
        <w:t xml:space="preserve">On June 13, 2017, the </w:t>
      </w:r>
      <w:r w:rsidR="00182E74">
        <w:t>H</w:t>
      </w:r>
      <w:r w:rsidR="0099177B">
        <w:t>CJ</w:t>
      </w:r>
      <w:r w:rsidRPr="003D1121">
        <w:t xml:space="preserve"> ruled in favor of the </w:t>
      </w:r>
      <w:r w:rsidR="0099177B">
        <w:t>p</w:t>
      </w:r>
      <w:r w:rsidRPr="003D1121">
        <w:t xml:space="preserve">etitioners, several human rights NGOs, in a case concerning the living conditions of prisoners in Israel. </w:t>
      </w:r>
    </w:p>
    <w:p w14:paraId="3194ED87" w14:textId="31FC4A50" w:rsidR="00AA6B48" w:rsidRPr="0029557B" w:rsidRDefault="006B79F7" w:rsidP="00AA6B48">
      <w:pPr>
        <w:pStyle w:val="aa"/>
        <w:numPr>
          <w:ilvl w:val="0"/>
          <w:numId w:val="2"/>
        </w:numPr>
        <w:ind w:left="567" w:hanging="567"/>
        <w:contextualSpacing w:val="0"/>
      </w:pPr>
      <w:r w:rsidRPr="0029557B">
        <w:t xml:space="preserve">The Court </w:t>
      </w:r>
      <w:r w:rsidR="00AA6B48" w:rsidRPr="0029557B">
        <w:t xml:space="preserve">ordered that within nine (9) months, the State should make all necessary arrangements so that no prisoner or detainee will have a living space smaller than three (3) square meters (not including the shower and toilet). </w:t>
      </w:r>
    </w:p>
    <w:p w14:paraId="7C06BD55" w14:textId="7594716D" w:rsidR="003D1121" w:rsidRPr="003D1121" w:rsidRDefault="00AA6B48" w:rsidP="005811B2">
      <w:pPr>
        <w:pStyle w:val="aa"/>
        <w:numPr>
          <w:ilvl w:val="0"/>
          <w:numId w:val="2"/>
        </w:numPr>
        <w:ind w:left="567" w:hanging="567"/>
        <w:contextualSpacing w:val="0"/>
      </w:pPr>
      <w:r w:rsidRPr="0029557B">
        <w:t xml:space="preserve">The Court further ordered that within eighteen (18) months the State shall provide each prisoner or detainee a </w:t>
      </w:r>
      <w:r w:rsidR="0043716B" w:rsidRPr="0029557B">
        <w:t xml:space="preserve">minimum </w:t>
      </w:r>
      <w:r w:rsidRPr="0029557B">
        <w:t xml:space="preserve">living space </w:t>
      </w:r>
      <w:r w:rsidR="0043716B" w:rsidRPr="0029557B">
        <w:t>of</w:t>
      </w:r>
      <w:r w:rsidRPr="0029557B">
        <w:t xml:space="preserve"> four and a half (4.5) square meters (including the shower and toilet) or four (4) square meters, not including the shower and toilet, </w:t>
      </w:r>
      <w:r w:rsidR="00E81E7C" w:rsidRPr="0029557B">
        <w:t>following</w:t>
      </w:r>
      <w:r w:rsidR="00E81E7C">
        <w:t xml:space="preserve"> the standard set in</w:t>
      </w:r>
      <w:r w:rsidR="006B79F7" w:rsidRPr="003D1121">
        <w:t xml:space="preserve"> Section 2(8) of the </w:t>
      </w:r>
      <w:r w:rsidR="006B79F7" w:rsidRPr="003D1121">
        <w:rPr>
          <w:i/>
          <w:iCs/>
        </w:rPr>
        <w:t>Prisons Regulation</w:t>
      </w:r>
      <w:r w:rsidR="006B79F7" w:rsidRPr="003D1121">
        <w:t xml:space="preserve">s </w:t>
      </w:r>
      <w:r w:rsidR="006B79F7" w:rsidRPr="003D1121">
        <w:rPr>
          <w:i/>
          <w:iCs/>
        </w:rPr>
        <w:t>(Imprisonment Conditions)</w:t>
      </w:r>
      <w:r w:rsidR="006B79F7" w:rsidRPr="003D1121">
        <w:t xml:space="preserve"> 5770-2010 and Section 3(e)(3) of the </w:t>
      </w:r>
      <w:r w:rsidR="006B79F7" w:rsidRPr="003D1121">
        <w:rPr>
          <w:i/>
          <w:iCs/>
        </w:rPr>
        <w:t>Criminal Procedure (Arrests) (Terms of Detention) Regulations</w:t>
      </w:r>
      <w:r w:rsidR="006B79F7" w:rsidRPr="003D1121">
        <w:t xml:space="preserve">, (which originally, according to the regulations, are applicable with regard to new, prospective, facilities), instead of an average of 3.16 square meters, as was the situation previously in most of the prisons in Israel. </w:t>
      </w:r>
    </w:p>
    <w:p w14:paraId="299A4F88" w14:textId="77777777" w:rsidR="003D1121" w:rsidRPr="003D1121" w:rsidRDefault="006B79F7" w:rsidP="001F52F8">
      <w:pPr>
        <w:pStyle w:val="aa"/>
        <w:numPr>
          <w:ilvl w:val="0"/>
          <w:numId w:val="2"/>
        </w:numPr>
        <w:ind w:left="567" w:hanging="567"/>
        <w:contextualSpacing w:val="0"/>
      </w:pPr>
      <w:r w:rsidRPr="003D1121">
        <w:t>The Court held that the notion "</w:t>
      </w:r>
      <w:r w:rsidRPr="003D1121">
        <w:rPr>
          <w:i/>
          <w:iCs/>
        </w:rPr>
        <w:t>appropriate living conditions</w:t>
      </w:r>
      <w:r w:rsidRPr="003D1121">
        <w:t>" under the Amendment for the</w:t>
      </w:r>
      <w:r w:rsidRPr="003D1121">
        <w:rPr>
          <w:i/>
          <w:iCs/>
        </w:rPr>
        <w:t xml:space="preserve"> Prisoners Ordinance</w:t>
      </w:r>
      <w:r w:rsidRPr="003D1121">
        <w:t xml:space="preserve">, includes the obligation to provide an appropriate living space for a prisoner or detainee. The Court further noted that human rights are reserved for every person, even if he or she are detained or </w:t>
      </w:r>
      <w:r w:rsidRPr="003D1121">
        <w:lastRenderedPageBreak/>
        <w:t xml:space="preserve">imprisoned, and that imprisonment alone cannot prevent a person of any other right, except for those which are necessary and stem from the prevention of freedom of movement under the imprisonment itself. </w:t>
      </w:r>
    </w:p>
    <w:p w14:paraId="1FE9CC61" w14:textId="77777777" w:rsidR="003D1121" w:rsidRPr="003D1121" w:rsidRDefault="006B79F7" w:rsidP="001F52F8">
      <w:pPr>
        <w:pStyle w:val="aa"/>
        <w:numPr>
          <w:ilvl w:val="0"/>
          <w:numId w:val="2"/>
        </w:numPr>
        <w:ind w:left="567" w:hanging="567"/>
        <w:contextualSpacing w:val="0"/>
        <w:rPr>
          <w:b/>
          <w:bCs/>
        </w:rPr>
      </w:pPr>
      <w:r w:rsidRPr="003D1121">
        <w:rPr>
          <w:b/>
          <w:bCs/>
        </w:rPr>
        <w:t xml:space="preserve">Moreover, the Court stressed that minimal living space is an essential condition for protecting the prisoner's right for human dignity and his or her right for dignified human existence. </w:t>
      </w:r>
    </w:p>
    <w:p w14:paraId="67527303" w14:textId="77777777" w:rsidR="003D1121" w:rsidRPr="003D1121" w:rsidRDefault="006B79F7" w:rsidP="001F52F8">
      <w:pPr>
        <w:pStyle w:val="aa"/>
        <w:numPr>
          <w:ilvl w:val="0"/>
          <w:numId w:val="2"/>
        </w:numPr>
        <w:ind w:left="567" w:hanging="567"/>
        <w:contextualSpacing w:val="0"/>
      </w:pPr>
      <w:r w:rsidRPr="003D1121">
        <w:t xml:space="preserve">In its decision, the Court referred to the right for adequate living space of prisoners under International Human Rights Law, including Article 10(1) of the ICCPR, </w:t>
      </w:r>
      <w:r w:rsidRPr="003D1121">
        <w:rPr>
          <w:spacing w:val="10"/>
        </w:rPr>
        <w:t xml:space="preserve">Article 16 of </w:t>
      </w:r>
      <w:r w:rsidRPr="003D1121">
        <w:t xml:space="preserve">the CAT, and the Mandela Rules of 2015. </w:t>
      </w:r>
    </w:p>
    <w:p w14:paraId="370F7F2E" w14:textId="0E11F4DE" w:rsidR="003D1121" w:rsidRPr="003D1121" w:rsidRDefault="006B79F7" w:rsidP="00BB339C">
      <w:pPr>
        <w:ind w:left="360" w:hanging="360"/>
        <w:rPr>
          <w:b/>
          <w:bCs/>
          <w:u w:val="single"/>
        </w:rPr>
      </w:pPr>
      <w:r w:rsidRPr="003D1121">
        <w:rPr>
          <w:b/>
          <w:bCs/>
          <w:u w:val="single"/>
        </w:rPr>
        <w:t>Case Law</w:t>
      </w:r>
    </w:p>
    <w:p w14:paraId="688EE658" w14:textId="0E5B3456" w:rsidR="003D1121" w:rsidRPr="003D1121" w:rsidRDefault="006B79F7" w:rsidP="00A26402">
      <w:pPr>
        <w:pStyle w:val="aa"/>
        <w:numPr>
          <w:ilvl w:val="0"/>
          <w:numId w:val="2"/>
        </w:numPr>
        <w:ind w:left="567" w:hanging="567"/>
        <w:contextualSpacing w:val="0"/>
      </w:pPr>
      <w:r w:rsidRPr="003D1121">
        <w:t>On July</w:t>
      </w:r>
      <w:r w:rsidR="00A26402">
        <w:t xml:space="preserve"> </w:t>
      </w:r>
      <w:r w:rsidR="00A26402" w:rsidRPr="003D1121">
        <w:t>7</w:t>
      </w:r>
      <w:r w:rsidR="00A26402">
        <w:t>,</w:t>
      </w:r>
      <w:r w:rsidRPr="003D1121">
        <w:t xml:space="preserve"> 2020, the Tel-Aviv Magistrate Court ruled on an ex-prisoner's claim against the IPS, requesting compensation for the degrading living conditions he suffered during his time in prison. The plaintiff argued that the State had breached a statutory obligation, thus committing a tortious act, by not supplying him with reasonable lighting and ventilation in his prison cell in accordance with the </w:t>
      </w:r>
      <w:r w:rsidRPr="003D1121">
        <w:rPr>
          <w:i/>
          <w:iCs/>
        </w:rPr>
        <w:t xml:space="preserve">Criminal Procedure (Arrests) Law </w:t>
      </w:r>
      <w:r w:rsidRPr="003D1121">
        <w:t xml:space="preserve">and the </w:t>
      </w:r>
      <w:r w:rsidRPr="003D1121">
        <w:rPr>
          <w:i/>
          <w:iCs/>
        </w:rPr>
        <w:t>Prisons Ordinance</w:t>
      </w:r>
      <w:r w:rsidRPr="003D1121">
        <w:t xml:space="preserve">. Additionally, the plaintiff noted that the </w:t>
      </w:r>
      <w:r w:rsidRPr="003D1121">
        <w:rPr>
          <w:i/>
          <w:iCs/>
        </w:rPr>
        <w:t>Prisons Regulations (Imprisonment Conditions)</w:t>
      </w:r>
      <w:r w:rsidRPr="003D1121">
        <w:t>, 5770-2010 prescribed that the average area per prisoner in a cell will not be smaller than four and a half (4.5) sq. meters, which he claimed he did not receive. He further claimed that during his fifteen (15)-months imprisonment in Sharon Prison he suffered from inhumane conditions due to the temperatures in his cell, in which he spent at least 22 hours a day, and to overcrowding, and that his right to dignity, to body and mental integrity and to privacy had been infringed upon.</w:t>
      </w:r>
    </w:p>
    <w:p w14:paraId="4D27A79E" w14:textId="77777777" w:rsidR="003D1121" w:rsidRPr="003D1121" w:rsidRDefault="006B79F7" w:rsidP="001F52F8">
      <w:pPr>
        <w:pStyle w:val="aa"/>
        <w:numPr>
          <w:ilvl w:val="0"/>
          <w:numId w:val="2"/>
        </w:numPr>
        <w:ind w:left="567" w:hanging="567"/>
        <w:contextualSpacing w:val="0"/>
      </w:pPr>
      <w:r w:rsidRPr="003D1121">
        <w:t xml:space="preserve">The Magistrate Court found that the State was in breach of the </w:t>
      </w:r>
      <w:r w:rsidRPr="003D1121">
        <w:rPr>
          <w:i/>
          <w:iCs/>
        </w:rPr>
        <w:t>Prisons Ordinance (New Version)</w:t>
      </w:r>
      <w:r w:rsidRPr="003D1121">
        <w:t xml:space="preserve">, 5732-1971. The Court also ruled that the conditions had caused the plaintiff suffering, and thus that the State was liable for a tortious act. </w:t>
      </w:r>
    </w:p>
    <w:p w14:paraId="05563696" w14:textId="77777777" w:rsidR="003D1121" w:rsidRPr="003D1121" w:rsidRDefault="006B79F7" w:rsidP="001F52F8">
      <w:pPr>
        <w:pStyle w:val="aa"/>
        <w:numPr>
          <w:ilvl w:val="0"/>
          <w:numId w:val="2"/>
        </w:numPr>
        <w:ind w:left="567" w:hanging="567"/>
        <w:contextualSpacing w:val="0"/>
      </w:pPr>
      <w:r w:rsidRPr="003D1121">
        <w:t xml:space="preserve">The court ruled that the plaintiff was not entitled to compensation equal to that for unjust imprisonment, as his imprisonment, in and of itself, was legal. Therefore, the Court ruled that the IPS must compensate the plaintiff with 50,000 </w:t>
      </w:r>
      <w:r w:rsidRPr="003D1121">
        <w:lastRenderedPageBreak/>
        <w:t xml:space="preserve">NIS (14,639 USD), in addition to the plaintiff's legal expenses (Magistrate Court Tel-Aviv Ci.C. 13522-10-18 </w:t>
      </w:r>
      <w:r w:rsidRPr="003D1121">
        <w:rPr>
          <w:i/>
          <w:iCs/>
        </w:rPr>
        <w:t>Ben Moshe v. State of Israel – Israel Prisons Service</w:t>
      </w:r>
      <w:r w:rsidRPr="003D1121">
        <w:t xml:space="preserve"> (7.7.20)).</w:t>
      </w:r>
    </w:p>
    <w:p w14:paraId="5778D854"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12" w:name="_Toc60141927"/>
      <w:r w:rsidRPr="00973082">
        <w:rPr>
          <w:rFonts w:ascii="Times New Roman" w:hAnsi="Times New Roman"/>
          <w:b/>
          <w:bCs/>
          <w:color w:val="auto"/>
          <w:sz w:val="24"/>
          <w:szCs w:val="24"/>
          <w:u w:val="single"/>
        </w:rPr>
        <w:t xml:space="preserve">Question No. </w:t>
      </w:r>
      <w:r w:rsidR="003D1121" w:rsidRPr="00973082">
        <w:rPr>
          <w:rFonts w:ascii="Times New Roman" w:hAnsi="Times New Roman"/>
          <w:b/>
          <w:bCs/>
          <w:color w:val="auto"/>
          <w:sz w:val="24"/>
          <w:szCs w:val="24"/>
          <w:u w:val="single"/>
        </w:rPr>
        <w:t>22</w:t>
      </w:r>
      <w:bookmarkEnd w:id="12"/>
    </w:p>
    <w:p w14:paraId="5210056D" w14:textId="77777777" w:rsidR="003D1121" w:rsidRDefault="006B79F7" w:rsidP="00BB339C">
      <w:pPr>
        <w:ind w:right="-822"/>
        <w:rPr>
          <w:b/>
          <w:bCs/>
          <w:u w:val="single"/>
        </w:rPr>
      </w:pPr>
      <w:r>
        <w:rPr>
          <w:b/>
          <w:bCs/>
          <w:u w:val="single"/>
        </w:rPr>
        <w:t>Minors</w:t>
      </w:r>
    </w:p>
    <w:p w14:paraId="4BAD0A8D" w14:textId="201C47F8" w:rsidR="00CB6688" w:rsidRPr="00FB001A" w:rsidRDefault="006B79F7" w:rsidP="001A5678">
      <w:pPr>
        <w:jc w:val="center"/>
        <w:rPr>
          <w:b/>
          <w:bCs/>
          <w:u w:val="single"/>
        </w:rPr>
      </w:pPr>
      <w:r w:rsidRPr="00FB001A">
        <w:rPr>
          <w:b/>
          <w:bCs/>
          <w:u w:val="single"/>
        </w:rPr>
        <w:t xml:space="preserve">Table No. </w:t>
      </w:r>
      <w:r>
        <w:rPr>
          <w:b/>
          <w:bCs/>
          <w:u w:val="single"/>
        </w:rPr>
        <w:t>15</w:t>
      </w:r>
      <w:r w:rsidRPr="00FB001A">
        <w:rPr>
          <w:b/>
          <w:bCs/>
          <w:u w:val="single"/>
        </w:rPr>
        <w:t xml:space="preserve"> - </w:t>
      </w:r>
      <w:r w:rsidRPr="00D3543B">
        <w:rPr>
          <w:b/>
          <w:bCs/>
          <w:u w:val="single"/>
        </w:rPr>
        <w:t xml:space="preserve">Number of Minors Convicted and Detained in September, October and November, </w:t>
      </w:r>
      <w:r w:rsidRPr="00D3543B">
        <w:rPr>
          <w:b/>
          <w:bCs/>
          <w:u w:val="single"/>
          <w:lang w:bidi="ar-LB"/>
        </w:rPr>
        <w:t>every</w:t>
      </w:r>
      <w:r w:rsidRPr="00D3543B">
        <w:rPr>
          <w:b/>
          <w:bCs/>
          <w:u w:val="single"/>
        </w:rPr>
        <w:t xml:space="preserve"> year as of 2015</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670"/>
        <w:gridCol w:w="520"/>
        <w:gridCol w:w="520"/>
        <w:gridCol w:w="520"/>
        <w:gridCol w:w="520"/>
        <w:gridCol w:w="521"/>
        <w:gridCol w:w="520"/>
        <w:gridCol w:w="520"/>
        <w:gridCol w:w="520"/>
        <w:gridCol w:w="520"/>
        <w:gridCol w:w="521"/>
        <w:gridCol w:w="520"/>
        <w:gridCol w:w="520"/>
        <w:gridCol w:w="520"/>
        <w:gridCol w:w="520"/>
        <w:gridCol w:w="521"/>
      </w:tblGrid>
      <w:tr w:rsidR="00960CEA" w14:paraId="5B2023D9" w14:textId="77777777" w:rsidTr="00A91F49">
        <w:trPr>
          <w:cantSplit/>
          <w:trHeight w:val="1134"/>
          <w:jc w:val="center"/>
        </w:trPr>
        <w:tc>
          <w:tcPr>
            <w:tcW w:w="10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87AA8E6"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Status of minors</w:t>
            </w:r>
          </w:p>
        </w:tc>
        <w:tc>
          <w:tcPr>
            <w:tcW w:w="67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24AE6C0E"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Sep. 15</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52740929"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Oct. 15</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48904CF3"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Nov. 15</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62E4E50F"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Nov. 16</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0234680A"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Sep. 16</w:t>
            </w:r>
          </w:p>
        </w:tc>
        <w:tc>
          <w:tcPr>
            <w:tcW w:w="521"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2F87F737"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Oct. 16</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0E23B993"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Nov. 16</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0B92F68D"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Sep. 17</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200930E7"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Oct. 17</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1BA5D1CE"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Nov. 17</w:t>
            </w:r>
          </w:p>
        </w:tc>
        <w:tc>
          <w:tcPr>
            <w:tcW w:w="521"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436E950A"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Sep. 18</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04588C3C"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Oct. 18</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540886FA"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Nov. 18</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662F12F7"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Sep. 19</w:t>
            </w:r>
          </w:p>
        </w:tc>
        <w:tc>
          <w:tcPr>
            <w:tcW w:w="520"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36F76805"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Oct. 19</w:t>
            </w:r>
          </w:p>
        </w:tc>
        <w:tc>
          <w:tcPr>
            <w:tcW w:w="521" w:type="dxa"/>
            <w:tcBorders>
              <w:top w:val="single" w:sz="4" w:space="0" w:color="auto"/>
              <w:left w:val="single" w:sz="4" w:space="0" w:color="auto"/>
              <w:bottom w:val="single" w:sz="4" w:space="0" w:color="auto"/>
              <w:right w:val="single" w:sz="4" w:space="0" w:color="auto"/>
            </w:tcBorders>
            <w:shd w:val="clear" w:color="auto" w:fill="D9D9D9"/>
            <w:textDirection w:val="tbRl"/>
            <w:vAlign w:val="center"/>
            <w:hideMark/>
          </w:tcPr>
          <w:p w14:paraId="4C5E5CEF" w14:textId="77777777" w:rsidR="00CB6688" w:rsidRPr="00CA141A" w:rsidRDefault="006B79F7" w:rsidP="00A91F49">
            <w:pPr>
              <w:spacing w:before="0" w:after="0" w:line="240" w:lineRule="auto"/>
              <w:ind w:left="0" w:firstLine="0"/>
              <w:jc w:val="center"/>
              <w:rPr>
                <w:b/>
                <w:bCs/>
                <w:sz w:val="22"/>
                <w:szCs w:val="22"/>
              </w:rPr>
            </w:pPr>
            <w:r w:rsidRPr="00CA141A">
              <w:rPr>
                <w:b/>
                <w:bCs/>
                <w:sz w:val="22"/>
                <w:szCs w:val="22"/>
              </w:rPr>
              <w:t>Nov. 19</w:t>
            </w:r>
          </w:p>
        </w:tc>
      </w:tr>
      <w:tr w:rsidR="00960CEA" w14:paraId="79A7AC23" w14:textId="77777777" w:rsidTr="00A91F49">
        <w:trPr>
          <w:trHeight w:val="370"/>
          <w:jc w:val="center"/>
        </w:trPr>
        <w:tc>
          <w:tcPr>
            <w:tcW w:w="1020" w:type="dxa"/>
            <w:tcBorders>
              <w:top w:val="single" w:sz="4" w:space="0" w:color="auto"/>
              <w:left w:val="single" w:sz="4" w:space="0" w:color="auto"/>
              <w:bottom w:val="single" w:sz="4" w:space="0" w:color="auto"/>
              <w:right w:val="single" w:sz="4" w:space="0" w:color="auto"/>
            </w:tcBorders>
            <w:vAlign w:val="center"/>
            <w:hideMark/>
          </w:tcPr>
          <w:p w14:paraId="7B0C32AA" w14:textId="77777777" w:rsidR="00CB6688" w:rsidRPr="00CA141A" w:rsidRDefault="006B79F7" w:rsidP="00A91F49">
            <w:pPr>
              <w:spacing w:before="0" w:after="0" w:line="240" w:lineRule="auto"/>
              <w:ind w:left="-113" w:right="-113" w:firstLine="0"/>
              <w:jc w:val="center"/>
              <w:rPr>
                <w:b/>
                <w:bCs/>
                <w:sz w:val="22"/>
                <w:szCs w:val="22"/>
              </w:rPr>
            </w:pPr>
            <w:r w:rsidRPr="00CA141A">
              <w:rPr>
                <w:b/>
                <w:bCs/>
                <w:sz w:val="22"/>
                <w:szCs w:val="22"/>
              </w:rPr>
              <w:t>Convicted</w:t>
            </w:r>
          </w:p>
        </w:tc>
        <w:tc>
          <w:tcPr>
            <w:tcW w:w="670" w:type="dxa"/>
            <w:tcBorders>
              <w:top w:val="single" w:sz="4" w:space="0" w:color="auto"/>
              <w:left w:val="single" w:sz="4" w:space="0" w:color="auto"/>
              <w:bottom w:val="single" w:sz="4" w:space="0" w:color="auto"/>
              <w:right w:val="single" w:sz="4" w:space="0" w:color="auto"/>
            </w:tcBorders>
            <w:vAlign w:val="center"/>
            <w:hideMark/>
          </w:tcPr>
          <w:p w14:paraId="1E00A71C" w14:textId="77777777" w:rsidR="00CB6688" w:rsidRPr="00CA141A" w:rsidRDefault="006B79F7" w:rsidP="00A91F49">
            <w:pPr>
              <w:spacing w:before="0" w:after="0" w:line="240" w:lineRule="auto"/>
              <w:ind w:left="-112" w:right="-145" w:firstLine="0"/>
              <w:jc w:val="center"/>
              <w:rPr>
                <w:sz w:val="22"/>
                <w:szCs w:val="22"/>
              </w:rPr>
            </w:pPr>
            <w:r w:rsidRPr="00CA141A">
              <w:rPr>
                <w:sz w:val="22"/>
                <w:szCs w:val="22"/>
              </w:rPr>
              <w:t>113</w:t>
            </w:r>
          </w:p>
        </w:tc>
        <w:tc>
          <w:tcPr>
            <w:tcW w:w="520" w:type="dxa"/>
            <w:tcBorders>
              <w:top w:val="single" w:sz="4" w:space="0" w:color="auto"/>
              <w:left w:val="single" w:sz="4" w:space="0" w:color="auto"/>
              <w:bottom w:val="single" w:sz="4" w:space="0" w:color="auto"/>
              <w:right w:val="single" w:sz="4" w:space="0" w:color="auto"/>
            </w:tcBorders>
            <w:vAlign w:val="center"/>
            <w:hideMark/>
          </w:tcPr>
          <w:p w14:paraId="1A17A0AF"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111</w:t>
            </w:r>
          </w:p>
        </w:tc>
        <w:tc>
          <w:tcPr>
            <w:tcW w:w="520" w:type="dxa"/>
            <w:tcBorders>
              <w:top w:val="single" w:sz="4" w:space="0" w:color="auto"/>
              <w:left w:val="single" w:sz="4" w:space="0" w:color="auto"/>
              <w:bottom w:val="single" w:sz="4" w:space="0" w:color="auto"/>
              <w:right w:val="single" w:sz="4" w:space="0" w:color="auto"/>
            </w:tcBorders>
            <w:vAlign w:val="center"/>
            <w:hideMark/>
          </w:tcPr>
          <w:p w14:paraId="177C264E"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120</w:t>
            </w:r>
          </w:p>
        </w:tc>
        <w:tc>
          <w:tcPr>
            <w:tcW w:w="520" w:type="dxa"/>
            <w:tcBorders>
              <w:top w:val="single" w:sz="4" w:space="0" w:color="auto"/>
              <w:left w:val="single" w:sz="4" w:space="0" w:color="auto"/>
              <w:bottom w:val="single" w:sz="4" w:space="0" w:color="auto"/>
              <w:right w:val="single" w:sz="4" w:space="0" w:color="auto"/>
            </w:tcBorders>
            <w:vAlign w:val="center"/>
            <w:hideMark/>
          </w:tcPr>
          <w:p w14:paraId="10D631D1"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157</w:t>
            </w:r>
          </w:p>
        </w:tc>
        <w:tc>
          <w:tcPr>
            <w:tcW w:w="520" w:type="dxa"/>
            <w:tcBorders>
              <w:top w:val="single" w:sz="4" w:space="0" w:color="auto"/>
              <w:left w:val="single" w:sz="4" w:space="0" w:color="auto"/>
              <w:bottom w:val="single" w:sz="4" w:space="0" w:color="auto"/>
              <w:right w:val="single" w:sz="4" w:space="0" w:color="auto"/>
            </w:tcBorders>
            <w:vAlign w:val="center"/>
            <w:hideMark/>
          </w:tcPr>
          <w:p w14:paraId="0441CA3D"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161</w:t>
            </w:r>
          </w:p>
        </w:tc>
        <w:tc>
          <w:tcPr>
            <w:tcW w:w="521" w:type="dxa"/>
            <w:tcBorders>
              <w:top w:val="single" w:sz="4" w:space="0" w:color="auto"/>
              <w:left w:val="single" w:sz="4" w:space="0" w:color="auto"/>
              <w:bottom w:val="single" w:sz="4" w:space="0" w:color="auto"/>
              <w:right w:val="single" w:sz="4" w:space="0" w:color="auto"/>
            </w:tcBorders>
            <w:vAlign w:val="center"/>
            <w:hideMark/>
          </w:tcPr>
          <w:p w14:paraId="6AF8392F"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329</w:t>
            </w:r>
          </w:p>
        </w:tc>
        <w:tc>
          <w:tcPr>
            <w:tcW w:w="520" w:type="dxa"/>
            <w:tcBorders>
              <w:top w:val="single" w:sz="4" w:space="0" w:color="auto"/>
              <w:left w:val="single" w:sz="4" w:space="0" w:color="auto"/>
              <w:bottom w:val="single" w:sz="4" w:space="0" w:color="auto"/>
              <w:right w:val="single" w:sz="4" w:space="0" w:color="auto"/>
            </w:tcBorders>
            <w:vAlign w:val="center"/>
            <w:hideMark/>
          </w:tcPr>
          <w:p w14:paraId="4FB6B4A9"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157</w:t>
            </w:r>
          </w:p>
        </w:tc>
        <w:tc>
          <w:tcPr>
            <w:tcW w:w="520" w:type="dxa"/>
            <w:tcBorders>
              <w:top w:val="single" w:sz="4" w:space="0" w:color="auto"/>
              <w:left w:val="single" w:sz="4" w:space="0" w:color="auto"/>
              <w:bottom w:val="single" w:sz="4" w:space="0" w:color="auto"/>
              <w:right w:val="single" w:sz="4" w:space="0" w:color="auto"/>
            </w:tcBorders>
            <w:vAlign w:val="center"/>
            <w:hideMark/>
          </w:tcPr>
          <w:p w14:paraId="2F3DA983"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129</w:t>
            </w:r>
          </w:p>
        </w:tc>
        <w:tc>
          <w:tcPr>
            <w:tcW w:w="520" w:type="dxa"/>
            <w:tcBorders>
              <w:top w:val="single" w:sz="4" w:space="0" w:color="auto"/>
              <w:left w:val="single" w:sz="4" w:space="0" w:color="auto"/>
              <w:bottom w:val="single" w:sz="4" w:space="0" w:color="auto"/>
              <w:right w:val="single" w:sz="4" w:space="0" w:color="auto"/>
            </w:tcBorders>
            <w:vAlign w:val="center"/>
            <w:hideMark/>
          </w:tcPr>
          <w:p w14:paraId="6B9CD291"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127</w:t>
            </w:r>
          </w:p>
        </w:tc>
        <w:tc>
          <w:tcPr>
            <w:tcW w:w="520" w:type="dxa"/>
            <w:tcBorders>
              <w:top w:val="single" w:sz="4" w:space="0" w:color="auto"/>
              <w:left w:val="single" w:sz="4" w:space="0" w:color="auto"/>
              <w:bottom w:val="single" w:sz="4" w:space="0" w:color="auto"/>
              <w:right w:val="single" w:sz="4" w:space="0" w:color="auto"/>
            </w:tcBorders>
            <w:vAlign w:val="center"/>
            <w:hideMark/>
          </w:tcPr>
          <w:p w14:paraId="7A46E58E"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144</w:t>
            </w:r>
          </w:p>
        </w:tc>
        <w:tc>
          <w:tcPr>
            <w:tcW w:w="521" w:type="dxa"/>
            <w:tcBorders>
              <w:top w:val="single" w:sz="4" w:space="0" w:color="auto"/>
              <w:left w:val="single" w:sz="4" w:space="0" w:color="auto"/>
              <w:bottom w:val="single" w:sz="4" w:space="0" w:color="auto"/>
              <w:right w:val="single" w:sz="4" w:space="0" w:color="auto"/>
            </w:tcBorders>
            <w:vAlign w:val="center"/>
            <w:hideMark/>
          </w:tcPr>
          <w:p w14:paraId="0CE1738C"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112</w:t>
            </w:r>
          </w:p>
        </w:tc>
        <w:tc>
          <w:tcPr>
            <w:tcW w:w="520" w:type="dxa"/>
            <w:tcBorders>
              <w:top w:val="single" w:sz="4" w:space="0" w:color="auto"/>
              <w:left w:val="single" w:sz="4" w:space="0" w:color="auto"/>
              <w:bottom w:val="single" w:sz="4" w:space="0" w:color="auto"/>
              <w:right w:val="single" w:sz="4" w:space="0" w:color="auto"/>
            </w:tcBorders>
            <w:vAlign w:val="center"/>
            <w:hideMark/>
          </w:tcPr>
          <w:p w14:paraId="401A782F"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16</w:t>
            </w:r>
          </w:p>
        </w:tc>
        <w:tc>
          <w:tcPr>
            <w:tcW w:w="520" w:type="dxa"/>
            <w:tcBorders>
              <w:top w:val="single" w:sz="4" w:space="0" w:color="auto"/>
              <w:left w:val="single" w:sz="4" w:space="0" w:color="auto"/>
              <w:bottom w:val="single" w:sz="4" w:space="0" w:color="auto"/>
              <w:right w:val="single" w:sz="4" w:space="0" w:color="auto"/>
            </w:tcBorders>
            <w:vAlign w:val="center"/>
            <w:hideMark/>
          </w:tcPr>
          <w:p w14:paraId="52817100"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124</w:t>
            </w:r>
          </w:p>
        </w:tc>
        <w:tc>
          <w:tcPr>
            <w:tcW w:w="520" w:type="dxa"/>
            <w:tcBorders>
              <w:top w:val="single" w:sz="4" w:space="0" w:color="auto"/>
              <w:left w:val="single" w:sz="4" w:space="0" w:color="auto"/>
              <w:bottom w:val="single" w:sz="4" w:space="0" w:color="auto"/>
              <w:right w:val="single" w:sz="4" w:space="0" w:color="auto"/>
            </w:tcBorders>
            <w:vAlign w:val="center"/>
            <w:hideMark/>
          </w:tcPr>
          <w:p w14:paraId="4AD8E33E"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57</w:t>
            </w:r>
          </w:p>
        </w:tc>
        <w:tc>
          <w:tcPr>
            <w:tcW w:w="520" w:type="dxa"/>
            <w:tcBorders>
              <w:top w:val="single" w:sz="4" w:space="0" w:color="auto"/>
              <w:left w:val="single" w:sz="4" w:space="0" w:color="auto"/>
              <w:bottom w:val="single" w:sz="4" w:space="0" w:color="auto"/>
              <w:right w:val="single" w:sz="4" w:space="0" w:color="auto"/>
            </w:tcBorders>
            <w:vAlign w:val="center"/>
            <w:hideMark/>
          </w:tcPr>
          <w:p w14:paraId="7D929DFB"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65</w:t>
            </w:r>
          </w:p>
        </w:tc>
        <w:tc>
          <w:tcPr>
            <w:tcW w:w="521" w:type="dxa"/>
            <w:tcBorders>
              <w:top w:val="single" w:sz="4" w:space="0" w:color="auto"/>
              <w:left w:val="single" w:sz="4" w:space="0" w:color="auto"/>
              <w:bottom w:val="single" w:sz="4" w:space="0" w:color="auto"/>
              <w:right w:val="single" w:sz="4" w:space="0" w:color="auto"/>
            </w:tcBorders>
            <w:vAlign w:val="center"/>
            <w:hideMark/>
          </w:tcPr>
          <w:p w14:paraId="7CC3ABED"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68</w:t>
            </w:r>
          </w:p>
        </w:tc>
      </w:tr>
      <w:tr w:rsidR="00960CEA" w14:paraId="67F4EC9E" w14:textId="77777777" w:rsidTr="00A91F49">
        <w:trPr>
          <w:trHeight w:val="370"/>
          <w:jc w:val="center"/>
        </w:trPr>
        <w:tc>
          <w:tcPr>
            <w:tcW w:w="1020" w:type="dxa"/>
            <w:tcBorders>
              <w:top w:val="single" w:sz="4" w:space="0" w:color="auto"/>
              <w:left w:val="single" w:sz="4" w:space="0" w:color="auto"/>
              <w:bottom w:val="single" w:sz="4" w:space="0" w:color="auto"/>
              <w:right w:val="single" w:sz="4" w:space="0" w:color="auto"/>
            </w:tcBorders>
            <w:vAlign w:val="center"/>
            <w:hideMark/>
          </w:tcPr>
          <w:p w14:paraId="3083C376" w14:textId="77777777" w:rsidR="00CB6688" w:rsidRPr="00CA141A" w:rsidRDefault="006B79F7" w:rsidP="00A91F49">
            <w:pPr>
              <w:spacing w:before="0" w:after="0" w:line="240" w:lineRule="auto"/>
              <w:ind w:left="-113" w:right="-113" w:firstLine="0"/>
              <w:jc w:val="center"/>
              <w:rPr>
                <w:b/>
                <w:bCs/>
                <w:sz w:val="22"/>
                <w:szCs w:val="22"/>
              </w:rPr>
            </w:pPr>
            <w:r w:rsidRPr="00CA141A">
              <w:rPr>
                <w:b/>
                <w:bCs/>
                <w:sz w:val="22"/>
                <w:szCs w:val="22"/>
              </w:rPr>
              <w:t>Detained</w:t>
            </w:r>
          </w:p>
        </w:tc>
        <w:tc>
          <w:tcPr>
            <w:tcW w:w="670" w:type="dxa"/>
            <w:tcBorders>
              <w:top w:val="single" w:sz="4" w:space="0" w:color="auto"/>
              <w:left w:val="single" w:sz="4" w:space="0" w:color="auto"/>
              <w:bottom w:val="single" w:sz="4" w:space="0" w:color="auto"/>
              <w:right w:val="single" w:sz="4" w:space="0" w:color="auto"/>
            </w:tcBorders>
            <w:vAlign w:val="center"/>
            <w:hideMark/>
          </w:tcPr>
          <w:p w14:paraId="49EE4C60" w14:textId="77777777" w:rsidR="00CB6688" w:rsidRPr="00CA141A" w:rsidRDefault="006B79F7" w:rsidP="00A91F49">
            <w:pPr>
              <w:spacing w:before="0" w:after="0" w:line="240" w:lineRule="auto"/>
              <w:ind w:left="-112" w:right="-145" w:firstLine="0"/>
              <w:jc w:val="center"/>
              <w:rPr>
                <w:sz w:val="22"/>
                <w:szCs w:val="22"/>
              </w:rPr>
            </w:pPr>
            <w:r w:rsidRPr="00CA141A">
              <w:rPr>
                <w:sz w:val="22"/>
                <w:szCs w:val="22"/>
              </w:rPr>
              <w:t>262</w:t>
            </w:r>
          </w:p>
        </w:tc>
        <w:tc>
          <w:tcPr>
            <w:tcW w:w="520" w:type="dxa"/>
            <w:tcBorders>
              <w:top w:val="single" w:sz="4" w:space="0" w:color="auto"/>
              <w:left w:val="single" w:sz="4" w:space="0" w:color="auto"/>
              <w:bottom w:val="single" w:sz="4" w:space="0" w:color="auto"/>
              <w:right w:val="single" w:sz="4" w:space="0" w:color="auto"/>
            </w:tcBorders>
            <w:vAlign w:val="center"/>
            <w:hideMark/>
          </w:tcPr>
          <w:p w14:paraId="55F4D5CA"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404</w:t>
            </w:r>
          </w:p>
        </w:tc>
        <w:tc>
          <w:tcPr>
            <w:tcW w:w="520" w:type="dxa"/>
            <w:tcBorders>
              <w:top w:val="single" w:sz="4" w:space="0" w:color="auto"/>
              <w:left w:val="single" w:sz="4" w:space="0" w:color="auto"/>
              <w:bottom w:val="single" w:sz="4" w:space="0" w:color="auto"/>
              <w:right w:val="single" w:sz="4" w:space="0" w:color="auto"/>
            </w:tcBorders>
            <w:vAlign w:val="center"/>
            <w:hideMark/>
          </w:tcPr>
          <w:p w14:paraId="2CBA9B33"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470</w:t>
            </w:r>
          </w:p>
        </w:tc>
        <w:tc>
          <w:tcPr>
            <w:tcW w:w="520" w:type="dxa"/>
            <w:tcBorders>
              <w:top w:val="single" w:sz="4" w:space="0" w:color="auto"/>
              <w:left w:val="single" w:sz="4" w:space="0" w:color="auto"/>
              <w:bottom w:val="single" w:sz="4" w:space="0" w:color="auto"/>
              <w:right w:val="single" w:sz="4" w:space="0" w:color="auto"/>
            </w:tcBorders>
            <w:vAlign w:val="center"/>
            <w:hideMark/>
          </w:tcPr>
          <w:p w14:paraId="0DE0ADD3"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305</w:t>
            </w:r>
          </w:p>
        </w:tc>
        <w:tc>
          <w:tcPr>
            <w:tcW w:w="520" w:type="dxa"/>
            <w:tcBorders>
              <w:top w:val="single" w:sz="4" w:space="0" w:color="auto"/>
              <w:left w:val="single" w:sz="4" w:space="0" w:color="auto"/>
              <w:bottom w:val="single" w:sz="4" w:space="0" w:color="auto"/>
              <w:right w:val="single" w:sz="4" w:space="0" w:color="auto"/>
            </w:tcBorders>
            <w:vAlign w:val="center"/>
            <w:hideMark/>
          </w:tcPr>
          <w:p w14:paraId="7F793743"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303</w:t>
            </w:r>
          </w:p>
        </w:tc>
        <w:tc>
          <w:tcPr>
            <w:tcW w:w="521" w:type="dxa"/>
            <w:tcBorders>
              <w:top w:val="single" w:sz="4" w:space="0" w:color="auto"/>
              <w:left w:val="single" w:sz="4" w:space="0" w:color="auto"/>
              <w:bottom w:val="single" w:sz="4" w:space="0" w:color="auto"/>
              <w:right w:val="single" w:sz="4" w:space="0" w:color="auto"/>
            </w:tcBorders>
            <w:vAlign w:val="center"/>
            <w:hideMark/>
          </w:tcPr>
          <w:p w14:paraId="684A0DB5"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145</w:t>
            </w:r>
          </w:p>
        </w:tc>
        <w:tc>
          <w:tcPr>
            <w:tcW w:w="520" w:type="dxa"/>
            <w:tcBorders>
              <w:top w:val="single" w:sz="4" w:space="0" w:color="auto"/>
              <w:left w:val="single" w:sz="4" w:space="0" w:color="auto"/>
              <w:bottom w:val="single" w:sz="4" w:space="0" w:color="auto"/>
              <w:right w:val="single" w:sz="4" w:space="0" w:color="auto"/>
            </w:tcBorders>
            <w:vAlign w:val="center"/>
            <w:hideMark/>
          </w:tcPr>
          <w:p w14:paraId="7BFCC911"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305</w:t>
            </w:r>
          </w:p>
        </w:tc>
        <w:tc>
          <w:tcPr>
            <w:tcW w:w="520" w:type="dxa"/>
            <w:tcBorders>
              <w:top w:val="single" w:sz="4" w:space="0" w:color="auto"/>
              <w:left w:val="single" w:sz="4" w:space="0" w:color="auto"/>
              <w:bottom w:val="single" w:sz="4" w:space="0" w:color="auto"/>
              <w:right w:val="single" w:sz="4" w:space="0" w:color="auto"/>
            </w:tcBorders>
            <w:vAlign w:val="center"/>
            <w:hideMark/>
          </w:tcPr>
          <w:p w14:paraId="2BBA9C18"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358</w:t>
            </w:r>
          </w:p>
        </w:tc>
        <w:tc>
          <w:tcPr>
            <w:tcW w:w="520" w:type="dxa"/>
            <w:tcBorders>
              <w:top w:val="single" w:sz="4" w:space="0" w:color="auto"/>
              <w:left w:val="single" w:sz="4" w:space="0" w:color="auto"/>
              <w:bottom w:val="single" w:sz="4" w:space="0" w:color="auto"/>
              <w:right w:val="single" w:sz="4" w:space="0" w:color="auto"/>
            </w:tcBorders>
            <w:vAlign w:val="center"/>
            <w:hideMark/>
          </w:tcPr>
          <w:p w14:paraId="31031591"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334</w:t>
            </w:r>
          </w:p>
        </w:tc>
        <w:tc>
          <w:tcPr>
            <w:tcW w:w="520" w:type="dxa"/>
            <w:tcBorders>
              <w:top w:val="single" w:sz="4" w:space="0" w:color="auto"/>
              <w:left w:val="single" w:sz="4" w:space="0" w:color="auto"/>
              <w:bottom w:val="single" w:sz="4" w:space="0" w:color="auto"/>
              <w:right w:val="single" w:sz="4" w:space="0" w:color="auto"/>
            </w:tcBorders>
            <w:vAlign w:val="center"/>
            <w:hideMark/>
          </w:tcPr>
          <w:p w14:paraId="5E5F3523"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303</w:t>
            </w:r>
          </w:p>
        </w:tc>
        <w:tc>
          <w:tcPr>
            <w:tcW w:w="521" w:type="dxa"/>
            <w:tcBorders>
              <w:top w:val="single" w:sz="4" w:space="0" w:color="auto"/>
              <w:left w:val="single" w:sz="4" w:space="0" w:color="auto"/>
              <w:bottom w:val="single" w:sz="4" w:space="0" w:color="auto"/>
              <w:right w:val="single" w:sz="4" w:space="0" w:color="auto"/>
            </w:tcBorders>
            <w:vAlign w:val="center"/>
            <w:hideMark/>
          </w:tcPr>
          <w:p w14:paraId="05867B47"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249</w:t>
            </w:r>
          </w:p>
        </w:tc>
        <w:tc>
          <w:tcPr>
            <w:tcW w:w="520" w:type="dxa"/>
            <w:tcBorders>
              <w:top w:val="single" w:sz="4" w:space="0" w:color="auto"/>
              <w:left w:val="single" w:sz="4" w:space="0" w:color="auto"/>
              <w:bottom w:val="single" w:sz="4" w:space="0" w:color="auto"/>
              <w:right w:val="single" w:sz="4" w:space="0" w:color="auto"/>
            </w:tcBorders>
            <w:vAlign w:val="center"/>
            <w:hideMark/>
          </w:tcPr>
          <w:p w14:paraId="1333F410"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225</w:t>
            </w:r>
          </w:p>
        </w:tc>
        <w:tc>
          <w:tcPr>
            <w:tcW w:w="520" w:type="dxa"/>
            <w:tcBorders>
              <w:top w:val="single" w:sz="4" w:space="0" w:color="auto"/>
              <w:left w:val="single" w:sz="4" w:space="0" w:color="auto"/>
              <w:bottom w:val="single" w:sz="4" w:space="0" w:color="auto"/>
              <w:right w:val="single" w:sz="4" w:space="0" w:color="auto"/>
            </w:tcBorders>
            <w:vAlign w:val="center"/>
            <w:hideMark/>
          </w:tcPr>
          <w:p w14:paraId="4B26D62A"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205</w:t>
            </w:r>
          </w:p>
        </w:tc>
        <w:tc>
          <w:tcPr>
            <w:tcW w:w="520" w:type="dxa"/>
            <w:tcBorders>
              <w:top w:val="single" w:sz="4" w:space="0" w:color="auto"/>
              <w:left w:val="single" w:sz="4" w:space="0" w:color="auto"/>
              <w:bottom w:val="single" w:sz="4" w:space="0" w:color="auto"/>
              <w:right w:val="single" w:sz="4" w:space="0" w:color="auto"/>
            </w:tcBorders>
            <w:vAlign w:val="center"/>
            <w:hideMark/>
          </w:tcPr>
          <w:p w14:paraId="2BF2E69F"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221</w:t>
            </w:r>
          </w:p>
        </w:tc>
        <w:tc>
          <w:tcPr>
            <w:tcW w:w="520" w:type="dxa"/>
            <w:tcBorders>
              <w:top w:val="single" w:sz="4" w:space="0" w:color="auto"/>
              <w:left w:val="single" w:sz="4" w:space="0" w:color="auto"/>
              <w:bottom w:val="single" w:sz="4" w:space="0" w:color="auto"/>
              <w:right w:val="single" w:sz="4" w:space="0" w:color="auto"/>
            </w:tcBorders>
            <w:vAlign w:val="center"/>
            <w:hideMark/>
          </w:tcPr>
          <w:p w14:paraId="208621AE"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220</w:t>
            </w:r>
          </w:p>
        </w:tc>
        <w:tc>
          <w:tcPr>
            <w:tcW w:w="521" w:type="dxa"/>
            <w:tcBorders>
              <w:top w:val="single" w:sz="4" w:space="0" w:color="auto"/>
              <w:left w:val="single" w:sz="4" w:space="0" w:color="auto"/>
              <w:bottom w:val="single" w:sz="4" w:space="0" w:color="auto"/>
              <w:right w:val="single" w:sz="4" w:space="0" w:color="auto"/>
            </w:tcBorders>
            <w:vAlign w:val="center"/>
            <w:hideMark/>
          </w:tcPr>
          <w:p w14:paraId="54C6C15D" w14:textId="77777777" w:rsidR="00CB6688" w:rsidRPr="00CA141A" w:rsidRDefault="006B79F7" w:rsidP="00A91F49">
            <w:pPr>
              <w:spacing w:before="0" w:after="0" w:line="240" w:lineRule="auto"/>
              <w:ind w:left="-66" w:right="-45" w:firstLine="0"/>
              <w:jc w:val="center"/>
              <w:rPr>
                <w:sz w:val="22"/>
                <w:szCs w:val="22"/>
              </w:rPr>
            </w:pPr>
            <w:r w:rsidRPr="00CA141A">
              <w:rPr>
                <w:sz w:val="22"/>
                <w:szCs w:val="22"/>
              </w:rPr>
              <w:t>229</w:t>
            </w:r>
          </w:p>
        </w:tc>
      </w:tr>
    </w:tbl>
    <w:p w14:paraId="3A264F74" w14:textId="77777777" w:rsidR="00FD3B10" w:rsidRPr="00D34240" w:rsidRDefault="00CB6688" w:rsidP="00CB6688">
      <w:pPr>
        <w:spacing w:before="120" w:line="240" w:lineRule="auto"/>
        <w:rPr>
          <w:i/>
          <w:iCs/>
          <w:sz w:val="22"/>
          <w:szCs w:val="22"/>
          <w:rtl/>
        </w:rPr>
      </w:pPr>
      <w:r w:rsidRPr="00FD3B10">
        <w:rPr>
          <w:i/>
          <w:iCs/>
          <w:sz w:val="22"/>
          <w:szCs w:val="22"/>
        </w:rPr>
        <w:t xml:space="preserve">Source: </w:t>
      </w:r>
      <w:r>
        <w:rPr>
          <w:i/>
          <w:iCs/>
          <w:sz w:val="22"/>
          <w:szCs w:val="22"/>
        </w:rPr>
        <w:t>Israel Prisons Service</w:t>
      </w:r>
      <w:r w:rsidRPr="00D34240">
        <w:rPr>
          <w:i/>
          <w:iCs/>
          <w:sz w:val="22"/>
          <w:szCs w:val="22"/>
        </w:rPr>
        <w:t>, 2019.</w:t>
      </w:r>
    </w:p>
    <w:p w14:paraId="6AC2D7C0" w14:textId="13EBBAC5" w:rsidR="003D1121" w:rsidRPr="006E3E20" w:rsidRDefault="006B79F7" w:rsidP="001A5678">
      <w:pPr>
        <w:ind w:right="-822"/>
        <w:rPr>
          <w:b/>
          <w:bCs/>
          <w:u w:val="single"/>
        </w:rPr>
      </w:pPr>
      <w:r w:rsidRPr="003D1121">
        <w:rPr>
          <w:b/>
          <w:bCs/>
          <w:u w:val="single"/>
        </w:rPr>
        <w:t xml:space="preserve">Data on Indictments against Minors and Minors Convictions </w:t>
      </w:r>
    </w:p>
    <w:p w14:paraId="4FDBCCF2" w14:textId="77777777" w:rsidR="003D1121" w:rsidRPr="003D1121" w:rsidRDefault="006B79F7" w:rsidP="001F52F8">
      <w:pPr>
        <w:pStyle w:val="aa"/>
        <w:numPr>
          <w:ilvl w:val="0"/>
          <w:numId w:val="2"/>
        </w:numPr>
        <w:ind w:left="567" w:hanging="567"/>
        <w:contextualSpacing w:val="0"/>
      </w:pPr>
      <w:r w:rsidRPr="003D1121">
        <w:t xml:space="preserve">In 2018-2019, 464 minors were convicted and sentenced to a period of imprisonment or to community service. </w:t>
      </w:r>
      <w:r w:rsidR="00D3543B" w:rsidRPr="003D1121">
        <w:t>T</w:t>
      </w:r>
      <w:r w:rsidRPr="003D1121">
        <w:t xml:space="preserve">he average length of imprisonment was ten (10) months, while the maximum length of imprisonment was 72 months, and the median length was seven (7) months. 383 of the minors were convicted and sentenced as part of a plea bargain. </w:t>
      </w:r>
    </w:p>
    <w:p w14:paraId="3E5244D8" w14:textId="77777777" w:rsidR="003D1121" w:rsidRPr="005B778B" w:rsidRDefault="006B79F7" w:rsidP="001F52F8">
      <w:pPr>
        <w:pStyle w:val="aa"/>
        <w:numPr>
          <w:ilvl w:val="0"/>
          <w:numId w:val="2"/>
        </w:numPr>
        <w:ind w:left="567" w:hanging="567"/>
        <w:contextualSpacing w:val="0"/>
      </w:pPr>
      <w:r w:rsidRPr="003D1121">
        <w:t xml:space="preserve">During 2018-2019, the most common offenses with </w:t>
      </w:r>
      <w:r w:rsidRPr="003D1121">
        <w:rPr>
          <w:lang w:bidi="ar-LB"/>
        </w:rPr>
        <w:t>which</w:t>
      </w:r>
      <w:r w:rsidRPr="003D1121">
        <w:t xml:space="preserve"> minors were charged included assaulting an officer (69), robbery (52), sex offenses (48), arson (39), harm with aggravating intent (25), prevention of infiltration (24), weapons offenses (23), stone throwing or shooting at vehicles (21), rioting (16), assault (16) and severe harm (15). Fifteen (15) minors were convicted of homicide offenses and 110 were convicted of other offenses such as terrorism and drugs </w:t>
      </w:r>
      <w:r w:rsidRPr="005B778B">
        <w:t>offenses.</w:t>
      </w:r>
    </w:p>
    <w:p w14:paraId="3332DFB6" w14:textId="49789578" w:rsidR="005E291B" w:rsidRPr="005B681B" w:rsidRDefault="005E291B" w:rsidP="001A5678">
      <w:pPr>
        <w:spacing w:after="0"/>
        <w:ind w:left="-218" w:right="-284" w:firstLine="218"/>
        <w:rPr>
          <w:b/>
          <w:bCs/>
          <w:u w:val="single"/>
        </w:rPr>
      </w:pPr>
      <w:r w:rsidRPr="005B681B">
        <w:rPr>
          <w:b/>
          <w:bCs/>
          <w:u w:val="single"/>
        </w:rPr>
        <w:t>Restorative Justice: Alternative Models to the Criminal Proceeding</w:t>
      </w:r>
    </w:p>
    <w:p w14:paraId="41BD06B5" w14:textId="77777777" w:rsidR="005E291B" w:rsidRPr="005B681B" w:rsidRDefault="005E291B" w:rsidP="00432F97">
      <w:pPr>
        <w:pStyle w:val="aa"/>
        <w:numPr>
          <w:ilvl w:val="0"/>
          <w:numId w:val="2"/>
        </w:numPr>
        <w:ind w:left="567" w:hanging="567"/>
        <w:contextualSpacing w:val="0"/>
      </w:pPr>
      <w:r w:rsidRPr="005B681B">
        <w:lastRenderedPageBreak/>
        <w:t xml:space="preserve">The purpose of restorative justice is to help heal the victim and obtain remedy based on the material and non-material wrongs </w:t>
      </w:r>
      <w:r w:rsidRPr="005B681B">
        <w:rPr>
          <w:lang w:bidi="ar-LB"/>
        </w:rPr>
        <w:t>caused</w:t>
      </w:r>
      <w:r w:rsidRPr="005B681B">
        <w:t xml:space="preserve"> to the victim by the offender. The actions may be monetary compensation, apology, service for the victim or the community, and additional acts which are appropriate to the needs of the parties. Assuming responsibility on the part of the perpetrator also means willingness to actively participate in therapy. Accordingly, a treatment program is formed for the perpetrator in order to prevent him/her from reoffending.</w:t>
      </w:r>
    </w:p>
    <w:p w14:paraId="0BB7336F" w14:textId="77777777" w:rsidR="005E291B" w:rsidRPr="005B681B" w:rsidRDefault="005E291B" w:rsidP="00432F97">
      <w:pPr>
        <w:pStyle w:val="aa"/>
        <w:numPr>
          <w:ilvl w:val="0"/>
          <w:numId w:val="2"/>
        </w:numPr>
        <w:ind w:left="567" w:hanging="567"/>
        <w:contextualSpacing w:val="0"/>
      </w:pPr>
      <w:r w:rsidRPr="005B681B">
        <w:t xml:space="preserve">The Youth Probation Service in MoLSAaSS has been developing, together with the Police, the MoPS and the MoJ, the two (2) following programs based on the principles of restorative justice, which serve as an alternative or supplement to the criminal proceedings, based on the premise that </w:t>
      </w:r>
      <w:r w:rsidRPr="005B681B">
        <w:rPr>
          <w:lang w:bidi="ar-LB"/>
        </w:rPr>
        <w:t>criminal</w:t>
      </w:r>
      <w:r w:rsidRPr="005B681B">
        <w:t xml:space="preserve"> proceedings alone do not suffice for coping with minor perpetrators and victims:</w:t>
      </w:r>
    </w:p>
    <w:p w14:paraId="0E3CEF76" w14:textId="77777777" w:rsidR="005E291B" w:rsidRPr="005B681B" w:rsidRDefault="005E291B" w:rsidP="005E291B">
      <w:pPr>
        <w:pStyle w:val="af"/>
        <w:numPr>
          <w:ilvl w:val="1"/>
          <w:numId w:val="29"/>
        </w:numPr>
        <w:autoSpaceDE w:val="0"/>
        <w:autoSpaceDN w:val="0"/>
        <w:adjustRightInd w:val="0"/>
        <w:spacing w:line="360" w:lineRule="auto"/>
        <w:ind w:left="1134" w:right="-283" w:hanging="436"/>
        <w:contextualSpacing/>
      </w:pPr>
      <w:r w:rsidRPr="005B681B">
        <w:t>Mediation between the perpetrator and the victim;</w:t>
      </w:r>
    </w:p>
    <w:p w14:paraId="118A8736" w14:textId="5222B260" w:rsidR="005E291B" w:rsidRDefault="005E291B" w:rsidP="00432F97">
      <w:pPr>
        <w:pStyle w:val="af"/>
        <w:numPr>
          <w:ilvl w:val="1"/>
          <w:numId w:val="29"/>
        </w:numPr>
        <w:autoSpaceDE w:val="0"/>
        <w:autoSpaceDN w:val="0"/>
        <w:adjustRightInd w:val="0"/>
        <w:spacing w:line="360" w:lineRule="auto"/>
        <w:ind w:left="1134" w:right="-283" w:hanging="436"/>
        <w:contextualSpacing/>
        <w:rPr>
          <w:b/>
          <w:bCs/>
          <w:u w:val="single"/>
        </w:rPr>
      </w:pPr>
      <w:r w:rsidRPr="005B681B">
        <w:t xml:space="preserve">Family discussion groups - the program operates all across Israel by an NGO, which was selected in a tender and is supervised by the MoLSAaSS, as an alternative or supplement to the criminal proceeding. The program includes meetings between the minor perpetrator and her/his family, and the victim and her/his supporters, with the participation of a Probation Officer, Police </w:t>
      </w:r>
      <w:r w:rsidR="001A5678">
        <w:t>o</w:t>
      </w:r>
      <w:r w:rsidRPr="005B681B">
        <w:t xml:space="preserve">fficer and other professionals. The purposes of the meeting are to discuss the offenses and their consequences, to design a treatment program for the perpetrator to prevent </w:t>
      </w:r>
      <w:r w:rsidRPr="00717131">
        <w:t>the commitment of additional offenses, and to alleviate the damage the perpetrator caused the victim.</w:t>
      </w:r>
    </w:p>
    <w:p w14:paraId="7527DFA4" w14:textId="1B7E0F85" w:rsidR="005B778B" w:rsidRPr="005B778B" w:rsidRDefault="006B79F7" w:rsidP="001A5678">
      <w:pPr>
        <w:ind w:right="-284"/>
        <w:rPr>
          <w:b/>
          <w:bCs/>
          <w:u w:val="single"/>
        </w:rPr>
      </w:pPr>
      <w:r w:rsidRPr="005B778B">
        <w:rPr>
          <w:b/>
          <w:bCs/>
          <w:u w:val="single"/>
        </w:rPr>
        <w:t xml:space="preserve">Inter-Ministerial Committee on Minors Recidivism </w:t>
      </w:r>
    </w:p>
    <w:p w14:paraId="15BB9A3B" w14:textId="77777777" w:rsidR="005B778B" w:rsidRPr="005B778B" w:rsidRDefault="006B79F7" w:rsidP="001F52F8">
      <w:pPr>
        <w:pStyle w:val="aa"/>
        <w:numPr>
          <w:ilvl w:val="0"/>
          <w:numId w:val="2"/>
        </w:numPr>
        <w:ind w:left="567" w:hanging="567"/>
        <w:contextualSpacing w:val="0"/>
        <w:rPr>
          <w:rtl/>
        </w:rPr>
      </w:pPr>
      <w:r w:rsidRPr="005B778B">
        <w:t xml:space="preserve">In September 2017, the Minister of Justice appointed an inter-ministerial committee to review the release of minors from detention, due to the high recidivism rates among minors released from detention (75% as opposed to 41% for adults). The inter-ministerial committee published its report in December 2017 and it was subsequently adopted by the GR No. 3711 (25.3.18), establishing a steering committee to determine which of the inter-ministerial committee's recommendations would be implemented immediately.   </w:t>
      </w:r>
    </w:p>
    <w:p w14:paraId="59188274" w14:textId="77777777" w:rsidR="005B778B" w:rsidRPr="005B778B" w:rsidRDefault="006B79F7" w:rsidP="001F52F8">
      <w:pPr>
        <w:pStyle w:val="aa"/>
        <w:numPr>
          <w:ilvl w:val="0"/>
          <w:numId w:val="2"/>
        </w:numPr>
        <w:ind w:left="567" w:hanging="567"/>
        <w:contextualSpacing w:val="0"/>
      </w:pPr>
      <w:r w:rsidRPr="005B778B">
        <w:lastRenderedPageBreak/>
        <w:t xml:space="preserve">The Inter-Ministerial Committee focused its work on the causes of recidivism among minors released from detention and an appropriate working strategy to decrease the current rates. The committee was composed of three (3) teams that dealt with </w:t>
      </w:r>
      <w:r w:rsidRPr="005B778B">
        <w:rPr>
          <w:kern w:val="32"/>
        </w:rPr>
        <w:t>the</w:t>
      </w:r>
      <w:r w:rsidRPr="005B778B">
        <w:t xml:space="preserve"> continuity of the treatment of minors, the release process of minors and the rehabilitation in the community. </w:t>
      </w:r>
    </w:p>
    <w:p w14:paraId="1C517EC0" w14:textId="77777777" w:rsidR="005B778B" w:rsidRPr="005B778B" w:rsidRDefault="006B79F7" w:rsidP="001F52F8">
      <w:pPr>
        <w:pStyle w:val="aa"/>
        <w:numPr>
          <w:ilvl w:val="0"/>
          <w:numId w:val="2"/>
        </w:numPr>
        <w:ind w:left="567" w:hanging="567"/>
        <w:contextualSpacing w:val="0"/>
      </w:pPr>
      <w:r w:rsidRPr="005B778B">
        <w:t>The Inter-Ministerial Committee found that overall, due to the short detention periods and subsequent short paroles, it is required that the evaluation and treatment of the minor begin as soon as the minor is arrested. In addition, emphasis should be given to strengthening the minors' commitment to the rehabilitation process, given the general negative attitude of minors towards rehabilitation programs. Only a small number of the minors are released with a rehabilitation plan and some minors who are referred to out-of-home facilities do not stay there.</w:t>
      </w:r>
    </w:p>
    <w:p w14:paraId="7D7840B9" w14:textId="77777777" w:rsidR="005B778B" w:rsidRPr="005B778B" w:rsidRDefault="006B79F7" w:rsidP="001F52F8">
      <w:pPr>
        <w:pStyle w:val="aa"/>
        <w:numPr>
          <w:ilvl w:val="0"/>
          <w:numId w:val="2"/>
        </w:numPr>
        <w:ind w:left="567" w:hanging="567"/>
        <w:contextualSpacing w:val="0"/>
      </w:pPr>
      <w:r w:rsidRPr="005B778B">
        <w:t xml:space="preserve">The Inter-Ministerial Committee's recommendations, which were adopted in a GR, included, among others, promoting cooperation between the different authorities responsible for minors and creating an individual long-term treatment strategy through joint inter-ministerial teams aimed at conducting a common thinking concerning the matter of the particular minor. The Committee's recommendations further included developing a Re-entry Court-based Model as part of the release committee, and reviewing out-of-home placement for released minors.       </w:t>
      </w:r>
    </w:p>
    <w:p w14:paraId="0957E329" w14:textId="4F55A787" w:rsidR="005B778B" w:rsidRPr="005B778B" w:rsidRDefault="006B79F7" w:rsidP="001A5678">
      <w:pPr>
        <w:numPr>
          <w:ilvl w:val="0"/>
          <w:numId w:val="2"/>
        </w:numPr>
      </w:pPr>
      <w:r w:rsidRPr="005B778B">
        <w:t xml:space="preserve">The steering committee concluded its work in August 2018 after formulating a holistic work method regarding minors in conflict with the law, from the moment of their arrest until immediately following their release from detention, on the basis of the Inter-Ministerial Committee's recommendations. Emphasis is also given to the re-integration of the minor in society following his/her release, through a comprehensive program addressing the needs of the minor and his/her family. The steering committee devised a unique inter-ministerial work model aimed to ensure the treatment of minors, by translating the Inter-Ministerial Committee's recommendations into specific tasks for which the relevant ministries are responsible, either separately or jointly. The work model is holistic, ongoing and </w:t>
      </w:r>
      <w:r w:rsidRPr="005B778B">
        <w:lastRenderedPageBreak/>
        <w:t xml:space="preserve">puts a special emphasis on cooperation between </w:t>
      </w:r>
      <w:r w:rsidR="001A5678">
        <w:t>g</w:t>
      </w:r>
      <w:r w:rsidRPr="005B778B">
        <w:t xml:space="preserve">overnmental </w:t>
      </w:r>
      <w:r w:rsidR="001A5678">
        <w:t>a</w:t>
      </w:r>
      <w:r w:rsidRPr="005B778B">
        <w:t xml:space="preserve">uthorities. The steering committee also developed a Re-entry Court-based </w:t>
      </w:r>
      <w:r w:rsidR="001A5678">
        <w:t>M</w:t>
      </w:r>
      <w:r w:rsidRPr="005B778B">
        <w:t xml:space="preserve">odel, which will operate similarly to the existing parole board. </w:t>
      </w:r>
    </w:p>
    <w:p w14:paraId="0BB24961" w14:textId="77777777" w:rsidR="005B778B" w:rsidRPr="005B778B" w:rsidRDefault="006B79F7" w:rsidP="001F52F8">
      <w:pPr>
        <w:pStyle w:val="aa"/>
        <w:numPr>
          <w:ilvl w:val="0"/>
          <w:numId w:val="2"/>
        </w:numPr>
        <w:ind w:left="567" w:hanging="567"/>
        <w:contextualSpacing w:val="0"/>
      </w:pPr>
      <w:r w:rsidRPr="005B778B">
        <w:t xml:space="preserve">A pilot of the work model was launched on February 16, 2020. The work model includes an admission committee, which meets following the arrest of a minor. Under the new work model, a parole officer takes part in the admission committee, which contributes to the efficiency of the process. Once the minor is sentenced, a committee for convicted minors meets to discuss his/her matter. This committee now includes a representative of the parole board, as well as a representative of the Authority for Rehabilitation of Prisoners (ARP), which takes the place of the parole board in monitoring the situation of the minor following his/her release. </w:t>
      </w:r>
    </w:p>
    <w:p w14:paraId="51B5CB87" w14:textId="77777777" w:rsidR="005B778B" w:rsidRPr="005B778B" w:rsidRDefault="006B79F7" w:rsidP="001F52F8">
      <w:pPr>
        <w:pStyle w:val="aa"/>
        <w:numPr>
          <w:ilvl w:val="0"/>
          <w:numId w:val="2"/>
        </w:numPr>
        <w:ind w:left="567" w:hanging="567"/>
        <w:contextualSpacing w:val="0"/>
      </w:pPr>
      <w:r w:rsidRPr="005B778B">
        <w:t xml:space="preserve">At the next stage, prior to the minor's expected release, a quasi-judicial release committee convenes to discuss the terms of the release. The release committee is composed of a designated juvenile judge, along with public representatives who were qualified for the position, the prosecution and defense attorneys, a representative of the ARP and an IPS social worker. Following the minor's release, follow-up meetings of the committee take place, which enable the Committee to monitor the minor's progress within the rehabilitation process. </w:t>
      </w:r>
    </w:p>
    <w:p w14:paraId="2375959A" w14:textId="02438A00" w:rsidR="005E291B" w:rsidRDefault="00F932BF" w:rsidP="00F932BF">
      <w:pPr>
        <w:pStyle w:val="aa"/>
        <w:numPr>
          <w:ilvl w:val="0"/>
          <w:numId w:val="2"/>
        </w:numPr>
        <w:ind w:left="567" w:hanging="567"/>
        <w:contextualSpacing w:val="0"/>
      </w:pPr>
      <w:r>
        <w:t>In</w:t>
      </w:r>
      <w:r w:rsidR="006B79F7" w:rsidRPr="005B778B">
        <w:t xml:space="preserve"> June 2020, since the pilot's launching, 35 minors were heard by the admission committees; ten (10) minors were heard by the committee for convicted minors; </w:t>
      </w:r>
      <w:r>
        <w:t xml:space="preserve">and </w:t>
      </w:r>
      <w:r w:rsidR="006B79F7" w:rsidRPr="005B778B">
        <w:t>eighteen (18) minors were heard by the release committees.</w:t>
      </w:r>
    </w:p>
    <w:p w14:paraId="03CD800E" w14:textId="77777777" w:rsidR="005E291B" w:rsidRPr="001324B9" w:rsidRDefault="005E291B" w:rsidP="005E291B">
      <w:pPr>
        <w:spacing w:after="0"/>
        <w:ind w:left="0" w:right="-284" w:firstLine="0"/>
        <w:rPr>
          <w:b/>
          <w:bCs/>
          <w:u w:val="single"/>
        </w:rPr>
      </w:pPr>
      <w:r w:rsidRPr="001324B9">
        <w:rPr>
          <w:b/>
          <w:bCs/>
          <w:u w:val="single"/>
        </w:rPr>
        <w:t>Head of Juvenile Justice (HJJ) and an Inter-Ministerial Coordinator (IMC) at the MoJ</w:t>
      </w:r>
    </w:p>
    <w:p w14:paraId="7DB64DFB" w14:textId="77777777" w:rsidR="005E291B" w:rsidRPr="00EC559B" w:rsidRDefault="005E291B" w:rsidP="00432F97">
      <w:pPr>
        <w:pStyle w:val="aa"/>
        <w:numPr>
          <w:ilvl w:val="0"/>
          <w:numId w:val="2"/>
        </w:numPr>
        <w:ind w:left="567" w:hanging="567"/>
        <w:contextualSpacing w:val="0"/>
      </w:pPr>
      <w:r w:rsidRPr="001324B9">
        <w:t>In 2017, a new position for a HJJ was established in the SAO. This role</w:t>
      </w:r>
      <w:r w:rsidRPr="00EC559B">
        <w:t xml:space="preserve"> includes instructing State Attorneys at the national level regarding juvenile justice and improving the measure of expertise in the field. The HJJ heads the National Youth Forum, which is </w:t>
      </w:r>
      <w:r w:rsidRPr="00EC559B">
        <w:rPr>
          <w:kern w:val="32"/>
        </w:rPr>
        <w:t>composed</w:t>
      </w:r>
      <w:r w:rsidRPr="00EC559B">
        <w:t xml:space="preserve"> of representatives from the District Attorneys' Offices and the relevant law enforcement and welfare bodies and is in charge of reviewing juvenile justice issues and implementing its principles. In 2018 and 2019 the HJJ </w:t>
      </w:r>
      <w:r w:rsidRPr="00EC559B">
        <w:lastRenderedPageBreak/>
        <w:t xml:space="preserve">conducted a seminar on children in conflict with the law (hereinafter: CCWL) for State Attorneys who are involved in decisions regarding arrest and the sentence of minors. </w:t>
      </w:r>
    </w:p>
    <w:p w14:paraId="464DEA36" w14:textId="14F22759" w:rsidR="005B778B" w:rsidRPr="005B778B" w:rsidRDefault="005E291B" w:rsidP="00432F97">
      <w:pPr>
        <w:pStyle w:val="aa"/>
        <w:numPr>
          <w:ilvl w:val="0"/>
          <w:numId w:val="2"/>
        </w:numPr>
        <w:ind w:left="567" w:hanging="567"/>
        <w:contextualSpacing w:val="0"/>
      </w:pPr>
      <w:r w:rsidRPr="00EC559B">
        <w:t>In 2018, an IMC was appointed in the MoJ for preventing children from coming into conflict with the law, pursuant to GR No. 1840 (11.08.16). The functions of the IMC include holding consultations between the relevant professionals, holding training sessions, maintaining cooperation with NGOs and promoting projects and research in the field. The IMC is responsible for coordinating the activity of the Government bodies dealing with CCWL, with the main purpose of promoting the continuity of treatment and with a focus on prevention. The emphasis on prevention is based on the recognition that an early treatment which provides minors with the support system adjusted for their specific needs is proven to be the most effective long</w:t>
      </w:r>
      <w:r w:rsidRPr="00EC559B">
        <w:rPr>
          <w:rtl/>
        </w:rPr>
        <w:t>-</w:t>
      </w:r>
      <w:r w:rsidRPr="00EC559B">
        <w:t>term system to deal with CCWL. The IMC established a youth forum in the MoJ for officials in the Ministry whose work effects youth, such as from the SAO</w:t>
      </w:r>
      <w:r w:rsidRPr="00EC559B" w:rsidDel="00536E6D">
        <w:t xml:space="preserve"> </w:t>
      </w:r>
      <w:r>
        <w:t>and the PDO.</w:t>
      </w:r>
      <w:r w:rsidR="006B79F7" w:rsidRPr="005B778B">
        <w:t xml:space="preserve"> </w:t>
      </w:r>
    </w:p>
    <w:p w14:paraId="361EF03C" w14:textId="77777777" w:rsidR="006567A6" w:rsidRPr="00973082" w:rsidRDefault="005B778B" w:rsidP="00BB339C">
      <w:pPr>
        <w:pStyle w:val="1"/>
        <w:shd w:val="clear" w:color="auto" w:fill="BFBFBF"/>
        <w:spacing w:after="240"/>
        <w:rPr>
          <w:rFonts w:ascii="Times New Roman" w:hAnsi="Times New Roman"/>
          <w:b/>
          <w:bCs/>
          <w:color w:val="auto"/>
          <w:sz w:val="24"/>
          <w:szCs w:val="24"/>
          <w:u w:val="single"/>
        </w:rPr>
      </w:pPr>
      <w:bookmarkStart w:id="13" w:name="_Toc60141928"/>
      <w:r w:rsidRPr="00973082">
        <w:rPr>
          <w:rFonts w:ascii="Times New Roman" w:hAnsi="Times New Roman"/>
          <w:b/>
          <w:bCs/>
          <w:color w:val="auto"/>
          <w:sz w:val="24"/>
          <w:szCs w:val="24"/>
          <w:u w:val="single"/>
        </w:rPr>
        <w:t>Question No. 2</w:t>
      </w:r>
      <w:r w:rsidR="009E00E5" w:rsidRPr="00973082">
        <w:rPr>
          <w:rFonts w:ascii="Times New Roman" w:hAnsi="Times New Roman"/>
          <w:b/>
          <w:bCs/>
          <w:color w:val="auto"/>
          <w:sz w:val="24"/>
          <w:szCs w:val="24"/>
          <w:u w:val="single"/>
        </w:rPr>
        <w:t>3</w:t>
      </w:r>
      <w:bookmarkEnd w:id="13"/>
    </w:p>
    <w:p w14:paraId="5BF306BC" w14:textId="77777777" w:rsidR="005B778B" w:rsidRPr="005B778B" w:rsidRDefault="006B79F7" w:rsidP="001F52F8">
      <w:pPr>
        <w:pStyle w:val="aa"/>
        <w:numPr>
          <w:ilvl w:val="0"/>
          <w:numId w:val="2"/>
        </w:numPr>
        <w:ind w:left="567" w:hanging="567"/>
        <w:contextualSpacing w:val="0"/>
      </w:pPr>
      <w:r w:rsidRPr="005B778B">
        <w:t xml:space="preserve">As of November 2019, 88 prisoners were in </w:t>
      </w:r>
      <w:r w:rsidRPr="005B778B">
        <w:rPr>
          <w:b/>
          <w:bCs/>
        </w:rPr>
        <w:t>solitary confinement</w:t>
      </w:r>
      <w:r w:rsidRPr="005B778B">
        <w:t>, of which 74 were criminal prisoners (37 were detainees and 37 were convicted prisoners), and fourteen (14) were security prisoners (nine (9) were detainees and five (5) were convicted prisoners).</w:t>
      </w:r>
    </w:p>
    <w:p w14:paraId="15564B71" w14:textId="77777777" w:rsidR="005B778B" w:rsidRDefault="006B79F7" w:rsidP="001F52F8">
      <w:pPr>
        <w:pStyle w:val="aa"/>
        <w:numPr>
          <w:ilvl w:val="0"/>
          <w:numId w:val="2"/>
        </w:numPr>
        <w:ind w:left="567" w:hanging="567"/>
        <w:contextualSpacing w:val="0"/>
      </w:pPr>
      <w:r w:rsidRPr="005B778B">
        <w:t>With respect to separation of prisoners, as of November 2019, 70 prisoners were staying in separation, of which 50 were criminal prisoners (six (6) were detainees and the rest were convicted prisoners), and twenty (20) were security prisoners (four (4) were detainees and the rest were convicted prisoners).</w:t>
      </w:r>
    </w:p>
    <w:p w14:paraId="2A98EC2B" w14:textId="047F4C23" w:rsidR="00CB6688" w:rsidRPr="005B778B" w:rsidRDefault="006B79F7" w:rsidP="00F932BF">
      <w:pPr>
        <w:ind w:left="0" w:firstLine="0"/>
        <w:jc w:val="center"/>
      </w:pPr>
      <w:r w:rsidRPr="00FB001A">
        <w:rPr>
          <w:b/>
          <w:bCs/>
          <w:u w:val="single"/>
        </w:rPr>
        <w:t xml:space="preserve">Table No. </w:t>
      </w:r>
      <w:r>
        <w:rPr>
          <w:b/>
          <w:bCs/>
          <w:u w:val="single"/>
        </w:rPr>
        <w:t>16</w:t>
      </w:r>
      <w:r w:rsidRPr="00FB001A">
        <w:rPr>
          <w:b/>
          <w:bCs/>
          <w:u w:val="single"/>
        </w:rPr>
        <w:t xml:space="preserve"> </w:t>
      </w:r>
      <w:r>
        <w:rPr>
          <w:b/>
          <w:bCs/>
          <w:u w:val="single"/>
        </w:rPr>
        <w:t>– Division of Prisoners According to Periods of Separation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552"/>
      </w:tblGrid>
      <w:tr w:rsidR="00960CEA" w14:paraId="25F49808" w14:textId="77777777" w:rsidTr="00A91F49">
        <w:trPr>
          <w:trHeight w:val="485"/>
          <w:jc w:val="center"/>
        </w:trPr>
        <w:tc>
          <w:tcPr>
            <w:tcW w:w="30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7A8F75A" w14:textId="77777777" w:rsidR="00CB6688" w:rsidRPr="00973082" w:rsidRDefault="006B79F7" w:rsidP="00A91F49">
            <w:pPr>
              <w:spacing w:before="0" w:after="0" w:line="240" w:lineRule="auto"/>
              <w:ind w:left="0" w:firstLine="0"/>
              <w:jc w:val="center"/>
              <w:rPr>
                <w:b/>
                <w:bCs/>
                <w:sz w:val="22"/>
                <w:szCs w:val="22"/>
              </w:rPr>
            </w:pPr>
            <w:r w:rsidRPr="00973082">
              <w:rPr>
                <w:b/>
                <w:bCs/>
                <w:sz w:val="22"/>
                <w:szCs w:val="22"/>
              </w:rPr>
              <w:t>Separation period</w:t>
            </w:r>
          </w:p>
        </w:tc>
        <w:tc>
          <w:tcPr>
            <w:tcW w:w="25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8260758" w14:textId="77777777" w:rsidR="00CB6688" w:rsidRPr="00973082" w:rsidRDefault="006B79F7" w:rsidP="00A91F49">
            <w:pPr>
              <w:spacing w:before="0" w:after="0" w:line="240" w:lineRule="auto"/>
              <w:ind w:left="0" w:firstLine="0"/>
              <w:jc w:val="center"/>
              <w:rPr>
                <w:b/>
                <w:bCs/>
                <w:sz w:val="22"/>
                <w:szCs w:val="22"/>
              </w:rPr>
            </w:pPr>
            <w:r w:rsidRPr="00973082">
              <w:rPr>
                <w:b/>
                <w:bCs/>
                <w:sz w:val="22"/>
                <w:szCs w:val="22"/>
              </w:rPr>
              <w:t>Number of prisoners</w:t>
            </w:r>
          </w:p>
        </w:tc>
      </w:tr>
      <w:tr w:rsidR="00960CEA" w14:paraId="10A4545E" w14:textId="77777777" w:rsidTr="00A91F49">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14:paraId="33793550" w14:textId="77777777" w:rsidR="00CB6688" w:rsidRPr="00973082" w:rsidRDefault="006B79F7" w:rsidP="00A91F49">
            <w:pPr>
              <w:spacing w:before="0" w:after="0" w:line="240" w:lineRule="auto"/>
              <w:ind w:left="0" w:firstLine="0"/>
              <w:jc w:val="center"/>
              <w:rPr>
                <w:sz w:val="22"/>
                <w:szCs w:val="22"/>
              </w:rPr>
            </w:pPr>
            <w:r w:rsidRPr="00973082">
              <w:rPr>
                <w:sz w:val="22"/>
                <w:szCs w:val="22"/>
              </w:rPr>
              <w:t>Up to two (2) weeks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BFEFFB3" w14:textId="77777777" w:rsidR="00CB6688" w:rsidRPr="00973082" w:rsidRDefault="006B79F7" w:rsidP="00A91F49">
            <w:pPr>
              <w:spacing w:before="0" w:after="0" w:line="240" w:lineRule="auto"/>
              <w:ind w:left="0" w:firstLine="0"/>
              <w:jc w:val="center"/>
              <w:rPr>
                <w:sz w:val="22"/>
                <w:szCs w:val="22"/>
              </w:rPr>
            </w:pPr>
            <w:r w:rsidRPr="00973082">
              <w:rPr>
                <w:sz w:val="22"/>
                <w:szCs w:val="22"/>
              </w:rPr>
              <w:t>8</w:t>
            </w:r>
          </w:p>
        </w:tc>
      </w:tr>
      <w:tr w:rsidR="00960CEA" w14:paraId="09A5071B" w14:textId="77777777" w:rsidTr="00A91F49">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14:paraId="0B454190" w14:textId="77777777" w:rsidR="00CB6688" w:rsidRPr="00973082" w:rsidRDefault="006B79F7" w:rsidP="00A91F49">
            <w:pPr>
              <w:spacing w:before="0" w:after="0" w:line="240" w:lineRule="auto"/>
              <w:ind w:left="0" w:firstLine="0"/>
              <w:jc w:val="center"/>
              <w:rPr>
                <w:sz w:val="22"/>
                <w:szCs w:val="22"/>
              </w:rPr>
            </w:pPr>
            <w:r w:rsidRPr="00973082">
              <w:rPr>
                <w:sz w:val="22"/>
                <w:szCs w:val="22"/>
              </w:rPr>
              <w:t>Two (2) weeks to a month</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AF0F99D" w14:textId="77777777" w:rsidR="00CB6688" w:rsidRPr="00973082" w:rsidRDefault="006B79F7" w:rsidP="00A91F49">
            <w:pPr>
              <w:spacing w:before="0" w:after="0" w:line="240" w:lineRule="auto"/>
              <w:ind w:left="0" w:firstLine="0"/>
              <w:jc w:val="center"/>
              <w:rPr>
                <w:sz w:val="22"/>
                <w:szCs w:val="22"/>
              </w:rPr>
            </w:pPr>
            <w:r w:rsidRPr="00973082">
              <w:rPr>
                <w:sz w:val="22"/>
                <w:szCs w:val="22"/>
              </w:rPr>
              <w:t>3</w:t>
            </w:r>
          </w:p>
        </w:tc>
      </w:tr>
      <w:tr w:rsidR="00960CEA" w14:paraId="0BF63E32" w14:textId="77777777" w:rsidTr="00A91F49">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14:paraId="1B0E4F15" w14:textId="77777777" w:rsidR="00CB6688" w:rsidRPr="00973082" w:rsidRDefault="006B79F7" w:rsidP="00A91F49">
            <w:pPr>
              <w:spacing w:before="0" w:after="0" w:line="240" w:lineRule="auto"/>
              <w:ind w:left="0" w:firstLine="0"/>
              <w:jc w:val="center"/>
              <w:rPr>
                <w:sz w:val="22"/>
                <w:szCs w:val="22"/>
              </w:rPr>
            </w:pPr>
            <w:r w:rsidRPr="00973082">
              <w:rPr>
                <w:sz w:val="22"/>
                <w:szCs w:val="22"/>
              </w:rPr>
              <w:t>Month to two (2) months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C9BEB" w14:textId="77777777" w:rsidR="00CB6688" w:rsidRPr="00973082" w:rsidRDefault="006B79F7" w:rsidP="00A91F49">
            <w:pPr>
              <w:spacing w:before="0" w:after="0" w:line="240" w:lineRule="auto"/>
              <w:ind w:left="0" w:firstLine="0"/>
              <w:jc w:val="center"/>
              <w:rPr>
                <w:sz w:val="22"/>
                <w:szCs w:val="22"/>
              </w:rPr>
            </w:pPr>
            <w:r w:rsidRPr="00973082">
              <w:rPr>
                <w:sz w:val="22"/>
                <w:szCs w:val="22"/>
              </w:rPr>
              <w:t>3</w:t>
            </w:r>
          </w:p>
        </w:tc>
      </w:tr>
      <w:tr w:rsidR="00960CEA" w14:paraId="0853109B" w14:textId="77777777" w:rsidTr="00A91F49">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14:paraId="00BCC402" w14:textId="77777777" w:rsidR="00CB6688" w:rsidRPr="00973082" w:rsidRDefault="006B79F7" w:rsidP="00A91F49">
            <w:pPr>
              <w:spacing w:before="0" w:after="0" w:line="240" w:lineRule="auto"/>
              <w:ind w:left="0" w:firstLine="0"/>
              <w:jc w:val="center"/>
              <w:rPr>
                <w:sz w:val="22"/>
                <w:szCs w:val="22"/>
              </w:rPr>
            </w:pPr>
            <w:r w:rsidRPr="00973082">
              <w:rPr>
                <w:sz w:val="22"/>
                <w:szCs w:val="22"/>
              </w:rPr>
              <w:t>Two (2) months to six (6) months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4B82AE9" w14:textId="77777777" w:rsidR="00CB6688" w:rsidRPr="00973082" w:rsidRDefault="006B79F7" w:rsidP="00A91F49">
            <w:pPr>
              <w:spacing w:before="0" w:after="0" w:line="240" w:lineRule="auto"/>
              <w:ind w:left="0" w:firstLine="0"/>
              <w:jc w:val="center"/>
              <w:rPr>
                <w:sz w:val="22"/>
                <w:szCs w:val="22"/>
              </w:rPr>
            </w:pPr>
            <w:r w:rsidRPr="00973082">
              <w:rPr>
                <w:sz w:val="22"/>
                <w:szCs w:val="22"/>
              </w:rPr>
              <w:t>11</w:t>
            </w:r>
          </w:p>
        </w:tc>
      </w:tr>
      <w:tr w:rsidR="00960CEA" w14:paraId="2A64D0BE" w14:textId="77777777" w:rsidTr="00A91F49">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14:paraId="75B0AEB9" w14:textId="77777777" w:rsidR="00CB6688" w:rsidRPr="00973082" w:rsidRDefault="006B79F7" w:rsidP="00A91F49">
            <w:pPr>
              <w:spacing w:before="0" w:after="0" w:line="240" w:lineRule="auto"/>
              <w:ind w:left="0" w:firstLine="0"/>
              <w:jc w:val="center"/>
              <w:rPr>
                <w:sz w:val="22"/>
                <w:szCs w:val="22"/>
              </w:rPr>
            </w:pPr>
            <w:r w:rsidRPr="00973082">
              <w:rPr>
                <w:sz w:val="22"/>
                <w:szCs w:val="22"/>
              </w:rPr>
              <w:lastRenderedPageBreak/>
              <w:t>Six (6) months to a year</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62BD3B0" w14:textId="77777777" w:rsidR="00CB6688" w:rsidRPr="00973082" w:rsidRDefault="006B79F7" w:rsidP="00A91F49">
            <w:pPr>
              <w:spacing w:before="0" w:after="0" w:line="240" w:lineRule="auto"/>
              <w:ind w:left="0" w:firstLine="0"/>
              <w:jc w:val="center"/>
              <w:rPr>
                <w:sz w:val="22"/>
                <w:szCs w:val="22"/>
              </w:rPr>
            </w:pPr>
            <w:r w:rsidRPr="00973082">
              <w:rPr>
                <w:sz w:val="22"/>
                <w:szCs w:val="22"/>
              </w:rPr>
              <w:t>11</w:t>
            </w:r>
          </w:p>
        </w:tc>
      </w:tr>
      <w:tr w:rsidR="00960CEA" w14:paraId="4FFB0C2B" w14:textId="77777777" w:rsidTr="00A91F49">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14:paraId="78A8DFA3" w14:textId="77777777" w:rsidR="00CB6688" w:rsidRPr="00973082" w:rsidRDefault="006B79F7" w:rsidP="00A91F49">
            <w:pPr>
              <w:spacing w:before="0" w:after="0" w:line="240" w:lineRule="auto"/>
              <w:ind w:left="0" w:firstLine="0"/>
              <w:jc w:val="center"/>
              <w:rPr>
                <w:sz w:val="22"/>
                <w:szCs w:val="22"/>
              </w:rPr>
            </w:pPr>
            <w:r w:rsidRPr="00973082">
              <w:rPr>
                <w:sz w:val="22"/>
                <w:szCs w:val="22"/>
              </w:rPr>
              <w:t>One to two (2) years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1986F86" w14:textId="77777777" w:rsidR="00CB6688" w:rsidRPr="00973082" w:rsidRDefault="006B79F7" w:rsidP="00A91F49">
            <w:pPr>
              <w:spacing w:before="0" w:after="0" w:line="240" w:lineRule="auto"/>
              <w:ind w:left="0" w:firstLine="0"/>
              <w:jc w:val="center"/>
              <w:rPr>
                <w:sz w:val="22"/>
                <w:szCs w:val="22"/>
              </w:rPr>
            </w:pPr>
            <w:r w:rsidRPr="00973082">
              <w:rPr>
                <w:sz w:val="22"/>
                <w:szCs w:val="22"/>
              </w:rPr>
              <w:t>10</w:t>
            </w:r>
          </w:p>
        </w:tc>
      </w:tr>
      <w:tr w:rsidR="00960CEA" w14:paraId="435D2731" w14:textId="77777777" w:rsidTr="00A91F49">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14:paraId="6D0EB911" w14:textId="77777777" w:rsidR="00CB6688" w:rsidRPr="00973082" w:rsidRDefault="006B79F7" w:rsidP="00A91F49">
            <w:pPr>
              <w:spacing w:before="0" w:after="0" w:line="240" w:lineRule="auto"/>
              <w:ind w:left="0" w:firstLine="0"/>
              <w:jc w:val="center"/>
              <w:rPr>
                <w:sz w:val="22"/>
                <w:szCs w:val="22"/>
              </w:rPr>
            </w:pPr>
            <w:r w:rsidRPr="00973082">
              <w:rPr>
                <w:sz w:val="22"/>
                <w:szCs w:val="22"/>
              </w:rPr>
              <w:t>Over two (2) years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8DEB89C" w14:textId="77777777" w:rsidR="00CB6688" w:rsidRPr="00973082" w:rsidRDefault="006B79F7" w:rsidP="00A91F49">
            <w:pPr>
              <w:spacing w:before="0" w:after="0" w:line="240" w:lineRule="auto"/>
              <w:ind w:left="0" w:firstLine="0"/>
              <w:jc w:val="center"/>
              <w:rPr>
                <w:sz w:val="22"/>
                <w:szCs w:val="22"/>
              </w:rPr>
            </w:pPr>
            <w:r w:rsidRPr="00973082">
              <w:rPr>
                <w:sz w:val="22"/>
                <w:szCs w:val="22"/>
              </w:rPr>
              <w:t>24</w:t>
            </w:r>
          </w:p>
        </w:tc>
      </w:tr>
      <w:tr w:rsidR="00960CEA" w14:paraId="51B4681F" w14:textId="77777777" w:rsidTr="00A91F49">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14:paraId="67B55991" w14:textId="77777777" w:rsidR="00CB6688" w:rsidRPr="00973082" w:rsidRDefault="006B79F7" w:rsidP="00A91F49">
            <w:pPr>
              <w:spacing w:before="0" w:after="0" w:line="240" w:lineRule="auto"/>
              <w:ind w:left="0" w:firstLine="0"/>
              <w:jc w:val="center"/>
              <w:rPr>
                <w:b/>
                <w:bCs/>
                <w:sz w:val="22"/>
                <w:szCs w:val="22"/>
              </w:rPr>
            </w:pPr>
            <w:r w:rsidRPr="00973082">
              <w:rPr>
                <w:b/>
                <w:bCs/>
                <w:sz w:val="22"/>
                <w:szCs w:val="22"/>
              </w:rPr>
              <w:t>Total</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339F68E" w14:textId="77777777" w:rsidR="00CB6688" w:rsidRPr="00973082" w:rsidRDefault="006B79F7" w:rsidP="00A91F49">
            <w:pPr>
              <w:spacing w:before="0" w:after="0" w:line="240" w:lineRule="auto"/>
              <w:ind w:left="0" w:firstLine="0"/>
              <w:jc w:val="center"/>
              <w:rPr>
                <w:b/>
                <w:bCs/>
                <w:sz w:val="22"/>
                <w:szCs w:val="22"/>
              </w:rPr>
            </w:pPr>
            <w:r w:rsidRPr="00973082">
              <w:rPr>
                <w:b/>
                <w:bCs/>
                <w:sz w:val="22"/>
                <w:szCs w:val="22"/>
              </w:rPr>
              <w:t>70</w:t>
            </w:r>
          </w:p>
        </w:tc>
      </w:tr>
    </w:tbl>
    <w:p w14:paraId="110B527E" w14:textId="77777777" w:rsidR="00FD3B10" w:rsidRPr="00D34240" w:rsidRDefault="00CB6688" w:rsidP="00CB6688">
      <w:pPr>
        <w:spacing w:before="120" w:line="240" w:lineRule="auto"/>
        <w:ind w:left="0" w:firstLine="0"/>
        <w:rPr>
          <w:i/>
          <w:iCs/>
          <w:sz w:val="22"/>
          <w:szCs w:val="22"/>
          <w:rtl/>
        </w:rPr>
      </w:pPr>
      <w:r w:rsidRPr="00FD3B10">
        <w:rPr>
          <w:i/>
          <w:iCs/>
          <w:sz w:val="22"/>
          <w:szCs w:val="22"/>
        </w:rPr>
        <w:t xml:space="preserve">Source: </w:t>
      </w:r>
      <w:r>
        <w:rPr>
          <w:i/>
          <w:iCs/>
          <w:sz w:val="22"/>
          <w:szCs w:val="22"/>
        </w:rPr>
        <w:t>Israel Prisons Service</w:t>
      </w:r>
      <w:r w:rsidRPr="00D34240">
        <w:rPr>
          <w:i/>
          <w:iCs/>
          <w:sz w:val="22"/>
          <w:szCs w:val="22"/>
        </w:rPr>
        <w:t>, 2019.</w:t>
      </w:r>
    </w:p>
    <w:p w14:paraId="7A686E75" w14:textId="77777777" w:rsidR="006567A6" w:rsidRPr="00973082" w:rsidRDefault="005B778B" w:rsidP="00BB339C">
      <w:pPr>
        <w:pStyle w:val="1"/>
        <w:shd w:val="clear" w:color="auto" w:fill="BFBFBF"/>
        <w:spacing w:after="240"/>
        <w:rPr>
          <w:rFonts w:ascii="Times New Roman" w:hAnsi="Times New Roman"/>
          <w:b/>
          <w:bCs/>
          <w:color w:val="auto"/>
          <w:sz w:val="24"/>
          <w:szCs w:val="24"/>
          <w:u w:val="single"/>
        </w:rPr>
      </w:pPr>
      <w:bookmarkStart w:id="14" w:name="_Toc60141929"/>
      <w:r w:rsidRPr="00973082">
        <w:rPr>
          <w:rFonts w:ascii="Times New Roman" w:hAnsi="Times New Roman"/>
          <w:b/>
          <w:bCs/>
          <w:color w:val="auto"/>
          <w:sz w:val="24"/>
          <w:szCs w:val="24"/>
          <w:u w:val="single"/>
        </w:rPr>
        <w:t>Question No. 2</w:t>
      </w:r>
      <w:r w:rsidR="00686870" w:rsidRPr="00973082">
        <w:rPr>
          <w:rFonts w:ascii="Times New Roman" w:hAnsi="Times New Roman"/>
          <w:b/>
          <w:bCs/>
          <w:color w:val="auto"/>
          <w:sz w:val="24"/>
          <w:szCs w:val="24"/>
          <w:u w:val="single"/>
        </w:rPr>
        <w:t>4</w:t>
      </w:r>
      <w:bookmarkEnd w:id="14"/>
    </w:p>
    <w:p w14:paraId="136271AC" w14:textId="77777777" w:rsidR="005B778B" w:rsidRDefault="006B79F7" w:rsidP="009A2CB2">
      <w:pPr>
        <w:pStyle w:val="aa"/>
        <w:numPr>
          <w:ilvl w:val="0"/>
          <w:numId w:val="2"/>
        </w:numPr>
        <w:ind w:left="567" w:hanging="567"/>
        <w:contextualSpacing w:val="0"/>
      </w:pPr>
      <w:r>
        <w:t>The</w:t>
      </w:r>
      <w:r w:rsidRPr="005B778B">
        <w:t xml:space="preserve"> Supreme Court has recently ruled on the </w:t>
      </w:r>
      <w:r w:rsidR="009A2CB2">
        <w:t>three</w:t>
      </w:r>
      <w:r w:rsidR="009A2CB2" w:rsidRPr="005B778B">
        <w:t xml:space="preserve"> </w:t>
      </w:r>
      <w:r w:rsidRPr="005B778B">
        <w:t>(</w:t>
      </w:r>
      <w:r w:rsidR="009A2CB2">
        <w:t>3</w:t>
      </w:r>
      <w:r w:rsidRPr="005B778B">
        <w:t>) following petitions, relating to the medical treatment of detainees:</w:t>
      </w:r>
    </w:p>
    <w:p w14:paraId="42AF8E01" w14:textId="439B86EF" w:rsidR="009A2CB2" w:rsidRPr="009A2CB2" w:rsidRDefault="006B79F7" w:rsidP="006B79F7">
      <w:pPr>
        <w:pStyle w:val="af"/>
        <w:spacing w:after="240" w:line="360" w:lineRule="auto"/>
        <w:ind w:right="-283" w:firstLine="0"/>
      </w:pPr>
      <w:r w:rsidRPr="009A2CB2">
        <w:rPr>
          <w:b/>
          <w:bCs/>
          <w:u w:val="single"/>
        </w:rPr>
        <w:t>H</w:t>
      </w:r>
      <w:r>
        <w:rPr>
          <w:b/>
          <w:bCs/>
          <w:u w:val="single"/>
        </w:rPr>
        <w:t>.</w:t>
      </w:r>
      <w:r w:rsidRPr="009A2CB2">
        <w:rPr>
          <w:b/>
          <w:bCs/>
          <w:u w:val="single"/>
        </w:rPr>
        <w:t>C</w:t>
      </w:r>
      <w:r>
        <w:rPr>
          <w:b/>
          <w:bCs/>
          <w:u w:val="single"/>
        </w:rPr>
        <w:t>.</w:t>
      </w:r>
      <w:r w:rsidRPr="009A2CB2">
        <w:rPr>
          <w:b/>
          <w:bCs/>
          <w:u w:val="single"/>
        </w:rPr>
        <w:t>J</w:t>
      </w:r>
      <w:r>
        <w:rPr>
          <w:b/>
          <w:bCs/>
          <w:u w:val="single"/>
        </w:rPr>
        <w:t>.</w:t>
      </w:r>
      <w:r w:rsidRPr="009A2CB2">
        <w:rPr>
          <w:b/>
          <w:bCs/>
          <w:u w:val="single"/>
        </w:rPr>
        <w:t xml:space="preserve"> 6369/20 </w:t>
      </w:r>
      <w:r w:rsidRPr="006B79F7">
        <w:rPr>
          <w:b/>
          <w:bCs/>
          <w:i/>
          <w:iCs/>
          <w:u w:val="single"/>
        </w:rPr>
        <w:t>Maher A</w:t>
      </w:r>
      <w:r w:rsidR="00360299">
        <w:rPr>
          <w:b/>
          <w:bCs/>
          <w:i/>
          <w:iCs/>
          <w:u w:val="single"/>
        </w:rPr>
        <w:t>k</w:t>
      </w:r>
      <w:r w:rsidRPr="006B79F7">
        <w:rPr>
          <w:b/>
          <w:bCs/>
          <w:i/>
          <w:iCs/>
          <w:u w:val="single"/>
        </w:rPr>
        <w:t>hras v. The Military Commander for Judea and Samaria</w:t>
      </w:r>
    </w:p>
    <w:p w14:paraId="616B6ABA" w14:textId="77777777" w:rsidR="00BD513B" w:rsidRPr="0029557B" w:rsidRDefault="00BD513B" w:rsidP="00BD513B">
      <w:pPr>
        <w:numPr>
          <w:ilvl w:val="0"/>
          <w:numId w:val="2"/>
        </w:numPr>
        <w:spacing w:before="0" w:after="120"/>
      </w:pPr>
      <w:r w:rsidRPr="0029557B">
        <w:t xml:space="preserve">Mr. Maher Akhras was put in administrative detention after the Military Commander was convinced, based on classified intelligence, that he was a prominent member of the Islamic Jihad Movement, and involved in organized activity that endangers the West Bank. An administrative detention order was issued against him for four (4) months (the end date set for 26 November, 2020). Following a petition to the Court challenging the legality of his detention, security officials recommended to extend the detention by no more than two (2) additional months (insofar as the threat assessment remains the same). On September 17, 2020, a medical update on Mr. Akhras was brought before the Court, which later on ruled that the Military Commander's conclusion, that Mr. Akhras is a member of the Islamic Jihad Movement, has sufficient basis. </w:t>
      </w:r>
    </w:p>
    <w:p w14:paraId="70EA43A6" w14:textId="77777777" w:rsidR="00BD513B" w:rsidRPr="0029557B" w:rsidRDefault="00BD513B" w:rsidP="00BD513B">
      <w:pPr>
        <w:numPr>
          <w:ilvl w:val="0"/>
          <w:numId w:val="2"/>
        </w:numPr>
        <w:spacing w:before="0" w:after="120"/>
      </w:pPr>
      <w:r w:rsidRPr="0029557B">
        <w:t xml:space="preserve">However, seeing that at the time Mr. Akhras was on a hunger strike for about 53 days, and was not in a physical state to constitute a threat, the Court decided to suspend the detention order. The Court further ruled that Mr. Akhras will remain hospitalized in "Kaplan" Medical Center, without handcuffs or prison guard, so that if his health were to stabilize, the Military Commander would be authorized to renew the detention. </w:t>
      </w:r>
    </w:p>
    <w:p w14:paraId="66323A0D" w14:textId="4BAD4BFC" w:rsidR="00BD513B" w:rsidRPr="0029557B" w:rsidRDefault="00BD513B" w:rsidP="00F932BF">
      <w:pPr>
        <w:numPr>
          <w:ilvl w:val="0"/>
          <w:numId w:val="2"/>
        </w:numPr>
        <w:spacing w:before="0" w:after="120"/>
      </w:pPr>
      <w:r w:rsidRPr="0029557B">
        <w:t xml:space="preserve">Following the ruling, Mr. Akhras was released of IPS custody in "Kaplan" Medical Center and remained hospitalized, without handcuffs or prison guard. He was also allowed visitation in accordance with regular medical provisions. On September 30, 2020, he petitioned the Court and requested his immediate release due to a deterioration in his medical state. The State presented a medical opinion stating that </w:t>
      </w:r>
      <w:r w:rsidRPr="0029557B">
        <w:lastRenderedPageBreak/>
        <w:t xml:space="preserve">his physical state was unchanged, in addition to classified material </w:t>
      </w:r>
      <w:r w:rsidRPr="0029557B">
        <w:rPr>
          <w:i/>
          <w:iCs/>
        </w:rPr>
        <w:t>ex parte</w:t>
      </w:r>
      <w:r w:rsidRPr="0029557B">
        <w:t xml:space="preserve">. The Court denied the petition, as the detention order had already been suspended. </w:t>
      </w:r>
    </w:p>
    <w:p w14:paraId="2FEA0394" w14:textId="77777777" w:rsidR="00BD513B" w:rsidRPr="0029557B" w:rsidRDefault="00BD513B" w:rsidP="00BD513B">
      <w:pPr>
        <w:numPr>
          <w:ilvl w:val="0"/>
          <w:numId w:val="2"/>
        </w:numPr>
        <w:spacing w:before="0" w:after="120"/>
      </w:pPr>
      <w:r w:rsidRPr="0029557B">
        <w:t xml:space="preserve">On October 11, 2020, Mr. Akhras filed another petition requesting, once more, to be immediately released to his home. Once again, the State presented an updated medical opinion according to which his physical state remained unchanged. During the hearing, the Court suggested that the detention order would stay valid but would not be renewed, if Mr. Akhras would immediately cease the hunger strike, and unless new information would emerge or new circumstances would occur that would increase the risk posed by Mr. Akhras. Mr. Akhras refused and insisted he would cease the hunger strike only if he were released to his home. The Court ruled as it had ruled before and added that it hoped Mr. Akhras would consent to receive medical care. </w:t>
      </w:r>
    </w:p>
    <w:p w14:paraId="3F980C19" w14:textId="77777777" w:rsidR="00BD513B" w:rsidRPr="0029557B" w:rsidRDefault="00BD513B" w:rsidP="00BD513B">
      <w:pPr>
        <w:numPr>
          <w:ilvl w:val="0"/>
          <w:numId w:val="2"/>
        </w:numPr>
        <w:spacing w:before="0" w:after="120"/>
      </w:pPr>
      <w:r w:rsidRPr="0029557B">
        <w:t xml:space="preserve">On October 18, 2020, Mr. Akhras requested to be moved to An-Najah hospital in Nablus, and the Military Commander refused, as his transfer to that hospital would not allow renewal of the administrative detention, if need be. </w:t>
      </w:r>
    </w:p>
    <w:p w14:paraId="4714F1EC" w14:textId="6E97D80F" w:rsidR="00BD513B" w:rsidRPr="0029557B" w:rsidRDefault="00BD513B" w:rsidP="00F932BF">
      <w:pPr>
        <w:numPr>
          <w:ilvl w:val="0"/>
          <w:numId w:val="2"/>
        </w:numPr>
        <w:spacing w:before="0" w:after="120"/>
      </w:pPr>
      <w:r w:rsidRPr="0029557B">
        <w:t>The security officials received two (2) medical opinions by the "Kaplan" Medical Center on October 21-22, 2020, and a summary of a hospitalization letter on 23 October, 2020. These documents stated that Mr. Akhras' medical state remained unchanged for a long time, that he was conscience but weak, and that as he was refusing treatment and the hospitalization was not ensuring his medical stability, he could be released to his home, as would any other patient refusing treatment. Due to "Kaplan" Medical Center's intention to</w:t>
      </w:r>
      <w:r w:rsidRPr="0029557B" w:rsidDel="001A5CFE">
        <w:t xml:space="preserve"> </w:t>
      </w:r>
      <w:r w:rsidRPr="0029557B">
        <w:t xml:space="preserve">release Mr. Akhras and as the Military Commander found it was necessary for the security in the West Bank and public safety, the Military Commander ordered the renewal of his detention order, under the supervision of the medical center of the Israeli Prison Service (IPS) until November 26, 2020. </w:t>
      </w:r>
    </w:p>
    <w:p w14:paraId="0991D895" w14:textId="77777777" w:rsidR="00BD513B" w:rsidRPr="0029557B" w:rsidRDefault="00BD513B" w:rsidP="00BD513B">
      <w:pPr>
        <w:numPr>
          <w:ilvl w:val="0"/>
          <w:numId w:val="2"/>
        </w:numPr>
        <w:spacing w:before="0" w:after="120"/>
      </w:pPr>
      <w:r w:rsidRPr="0029557B">
        <w:rPr>
          <w:rFonts w:hint="cs"/>
        </w:rPr>
        <w:t>O</w:t>
      </w:r>
      <w:r w:rsidRPr="0029557B">
        <w:t xml:space="preserve">n October 23, 2020, a petition was filed against the renewal of Mr. Akhras' detention order. As part of the petition, a request for an interim order, according to which Mr. Akhras would stay at "Kaplan" Medical Center as opposed to being moved to the IPS medical facility, was filed. The Military Commander responded that the stay at "Kaplan" Medical Center would be acceptable, and clarified that he </w:t>
      </w:r>
      <w:r w:rsidRPr="0029557B">
        <w:lastRenderedPageBreak/>
        <w:t>would remain under detainee status. The request for interim order was granted that day.</w:t>
      </w:r>
    </w:p>
    <w:p w14:paraId="3B2E8A8B" w14:textId="77777777" w:rsidR="00BD513B" w:rsidRPr="0029557B" w:rsidRDefault="00BD513B" w:rsidP="00BD513B">
      <w:pPr>
        <w:numPr>
          <w:ilvl w:val="0"/>
          <w:numId w:val="2"/>
        </w:numPr>
        <w:spacing w:before="0" w:after="120"/>
      </w:pPr>
      <w:r w:rsidRPr="0029557B">
        <w:t>Following the State's response to the petition, which was filed on October 25, 2020, the Court ruled that during the hospitalization of Mr. Akhras, the detention order will be suspended, in accordance with the terms set in its original decision (HCJ 7300/20).</w:t>
      </w:r>
    </w:p>
    <w:p w14:paraId="0385DC1A" w14:textId="77777777" w:rsidR="00BD513B" w:rsidRPr="0029557B" w:rsidRDefault="00BD513B" w:rsidP="00BD513B">
      <w:pPr>
        <w:numPr>
          <w:ilvl w:val="0"/>
          <w:numId w:val="2"/>
        </w:numPr>
        <w:spacing w:before="0" w:after="120"/>
      </w:pPr>
      <w:r w:rsidRPr="0029557B">
        <w:t xml:space="preserve">On October 27, 2020, Mr. Akhras filed a new petition to the High Court of Justice, requesting that he be moved to An-Najah hospital in Nablus or to Makassed hospital in the Eastern neighborhoods of Jerusalem, where he would be willing to receive medical treatment and to cease the hunger strike. He claimed that as Makassed hospital was in Israeli territory, monitoring and renewal of the detention was possible. On October 28, 2020, the Court ruled that there was no medical advantage to hospitalization in Makassed hospital as opposed to "Kaplan" Medical Center, and that Mr. Akhras' choice of ceasing the hunger strike in one hospital but not in another did not justify accepting the petition. </w:t>
      </w:r>
    </w:p>
    <w:p w14:paraId="12B5CD51" w14:textId="77777777" w:rsidR="001C0D67" w:rsidRPr="0029557B" w:rsidRDefault="00BD513B" w:rsidP="00514D19">
      <w:pPr>
        <w:numPr>
          <w:ilvl w:val="0"/>
          <w:numId w:val="2"/>
        </w:numPr>
        <w:spacing w:before="0" w:after="120"/>
        <w:rPr>
          <w:b/>
          <w:bCs/>
          <w:u w:val="single"/>
        </w:rPr>
      </w:pPr>
      <w:r w:rsidRPr="0029557B">
        <w:t xml:space="preserve">Mr. Akhras was hospitalized at "Kaplan" Medical Center until the date of his release </w:t>
      </w:r>
      <w:r w:rsidR="001A5283" w:rsidRPr="0029557B">
        <w:t xml:space="preserve">from detention </w:t>
      </w:r>
      <w:r w:rsidRPr="0029557B">
        <w:t>on 26 November, 2020, and has ceased the hunger strike on 6 November 2020.</w:t>
      </w:r>
    </w:p>
    <w:p w14:paraId="45AE03BF" w14:textId="50E595EF" w:rsidR="005B778B" w:rsidRPr="005B778B" w:rsidRDefault="006B79F7" w:rsidP="00BB339C">
      <w:pPr>
        <w:pStyle w:val="af"/>
        <w:spacing w:after="240" w:line="360" w:lineRule="auto"/>
        <w:ind w:left="720" w:right="-283" w:hanging="720"/>
        <w:rPr>
          <w:b/>
          <w:bCs/>
          <w:szCs w:val="24"/>
          <w:u w:val="single"/>
        </w:rPr>
      </w:pPr>
      <w:r w:rsidRPr="005B778B">
        <w:rPr>
          <w:b/>
          <w:bCs/>
          <w:u w:val="single"/>
        </w:rPr>
        <w:t xml:space="preserve">H.C.J. 7236/18 </w:t>
      </w:r>
      <w:r w:rsidRPr="005B778B">
        <w:rPr>
          <w:b/>
          <w:bCs/>
          <w:i/>
          <w:iCs/>
          <w:u w:val="single"/>
        </w:rPr>
        <w:t>Physicians for Human Rights – Israel v. Israel Prison Service</w:t>
      </w:r>
    </w:p>
    <w:p w14:paraId="3FD28177" w14:textId="5CE19BAB" w:rsidR="005B778B" w:rsidRPr="005B778B" w:rsidRDefault="006B79F7" w:rsidP="00344C1B">
      <w:pPr>
        <w:pStyle w:val="aa"/>
        <w:numPr>
          <w:ilvl w:val="0"/>
          <w:numId w:val="2"/>
        </w:numPr>
        <w:ind w:left="567" w:hanging="567"/>
        <w:contextualSpacing w:val="0"/>
      </w:pPr>
      <w:r w:rsidRPr="005B778B">
        <w:t xml:space="preserve">On 15 October, 2018, Physicians for Human Rights petitioned the High Court of Justice on the MoH policy for </w:t>
      </w:r>
      <w:r w:rsidR="00316F94">
        <w:t>diagnosing</w:t>
      </w:r>
      <w:r w:rsidR="00316F94" w:rsidRPr="005B778B">
        <w:t xml:space="preserve"> </w:t>
      </w:r>
      <w:r w:rsidRPr="005B778B">
        <w:t>Hepatitis C among prisoners. The MoH had decided to hold a general survey among the general population on Hepatitis C, but not among prisoners. The petitioners asked for the Court to rule that the State must conduct such examinations among prisoners as well, in accordance with the World Health Organization recommendations.</w:t>
      </w:r>
    </w:p>
    <w:p w14:paraId="09BD8C39" w14:textId="0CA6CE56" w:rsidR="005B778B" w:rsidRPr="005B778B" w:rsidRDefault="006B79F7" w:rsidP="00307550">
      <w:pPr>
        <w:pStyle w:val="aa"/>
        <w:numPr>
          <w:ilvl w:val="0"/>
          <w:numId w:val="2"/>
        </w:numPr>
        <w:ind w:left="567" w:hanging="567"/>
        <w:contextualSpacing w:val="0"/>
      </w:pPr>
      <w:r w:rsidRPr="005B778B">
        <w:t>On 19 September, 2019, the Court requested the State to explain why both examinations cannot be conducted simultaneously. On June</w:t>
      </w:r>
      <w:r w:rsidR="00344C1B">
        <w:t xml:space="preserve"> 8</w:t>
      </w:r>
      <w:r w:rsidRPr="005B778B">
        <w:t xml:space="preserve">, 2020, the Court erased the petition due to the State's announcement according to which a </w:t>
      </w:r>
      <w:r w:rsidR="00316F94">
        <w:t>procedure</w:t>
      </w:r>
      <w:r w:rsidRPr="005B778B">
        <w:t xml:space="preserve"> has been adopted in the IPS, which would promote a policy of </w:t>
      </w:r>
      <w:r w:rsidR="00316F94">
        <w:t>testing</w:t>
      </w:r>
      <w:r w:rsidR="00316F94" w:rsidRPr="005B778B">
        <w:t xml:space="preserve"> </w:t>
      </w:r>
      <w:r w:rsidRPr="005B778B">
        <w:t xml:space="preserve">prisoners for Hepatitis C. The </w:t>
      </w:r>
      <w:r w:rsidR="00316F94">
        <w:t>procedure</w:t>
      </w:r>
      <w:r w:rsidR="00316F94" w:rsidRPr="005B778B">
        <w:t xml:space="preserve"> </w:t>
      </w:r>
      <w:r w:rsidR="00F01D94">
        <w:t>entered into force on July 7, 2020</w:t>
      </w:r>
      <w:r w:rsidRPr="005B778B">
        <w:t xml:space="preserve">, </w:t>
      </w:r>
      <w:r w:rsidR="00316F94">
        <w:lastRenderedPageBreak/>
        <w:t xml:space="preserve">following which all prisoners and detainees </w:t>
      </w:r>
      <w:r w:rsidR="00F01D94">
        <w:t>have been</w:t>
      </w:r>
      <w:r w:rsidR="00316F94">
        <w:t xml:space="preserve"> requested to fill in a questionnaire aimed at diagnosing </w:t>
      </w:r>
      <w:r w:rsidR="00316F94" w:rsidRPr="005B778B">
        <w:t>Hepatitis C</w:t>
      </w:r>
      <w:r w:rsidR="00316F94">
        <w:t xml:space="preserve"> carriers upon their entry into</w:t>
      </w:r>
      <w:r w:rsidR="009136B9">
        <w:t xml:space="preserve"> the detention facility</w:t>
      </w:r>
      <w:r w:rsidR="00307550">
        <w:t xml:space="preserve"> (the procedure is published online and may be accessed here: </w:t>
      </w:r>
      <w:hyperlink r:id="rId9" w:history="1">
        <w:r w:rsidR="00307550">
          <w:rPr>
            <w:rStyle w:val="Hyperlink"/>
          </w:rPr>
          <w:t>https://www.gov.il/he/departments/policies/nohal_hepatitisc</w:t>
        </w:r>
      </w:hyperlink>
      <w:r w:rsidR="00307550">
        <w:t>)</w:t>
      </w:r>
      <w:r w:rsidR="00316F94">
        <w:t>. In addition, as of</w:t>
      </w:r>
      <w:r w:rsidRPr="005B778B">
        <w:t xml:space="preserve"> March</w:t>
      </w:r>
      <w:r w:rsidR="00344C1B">
        <w:t xml:space="preserve"> 1</w:t>
      </w:r>
      <w:r w:rsidRPr="005B778B">
        <w:t xml:space="preserve">, 2021, </w:t>
      </w:r>
      <w:r w:rsidR="009136B9">
        <w:t xml:space="preserve">the second stage of the </w:t>
      </w:r>
      <w:r w:rsidRPr="005B778B">
        <w:t xml:space="preserve">voluntary identification of Hepatitis C carriers </w:t>
      </w:r>
      <w:r w:rsidR="009136B9">
        <w:t xml:space="preserve">in IPS facilities </w:t>
      </w:r>
      <w:r w:rsidRPr="005B778B">
        <w:t xml:space="preserve">will </w:t>
      </w:r>
      <w:r w:rsidR="009136B9">
        <w:t xml:space="preserve">commence, </w:t>
      </w:r>
      <w:r w:rsidR="00550D28" w:rsidRPr="00550D28">
        <w:t>entailing the publication of information brochures in IPS medical clinics, informing prisoners of the availability of Hepatitis C tests to them.</w:t>
      </w:r>
    </w:p>
    <w:p w14:paraId="47B91FF4" w14:textId="77777777" w:rsidR="005B778B" w:rsidRPr="005B778B" w:rsidRDefault="006B79F7" w:rsidP="00BB339C">
      <w:pPr>
        <w:pStyle w:val="af"/>
        <w:spacing w:after="240" w:line="360" w:lineRule="auto"/>
        <w:ind w:right="-283"/>
        <w:rPr>
          <w:szCs w:val="24"/>
        </w:rPr>
      </w:pPr>
      <w:r w:rsidRPr="005B778B">
        <w:rPr>
          <w:b/>
          <w:bCs/>
          <w:u w:val="single"/>
        </w:rPr>
        <w:t xml:space="preserve">Pr.Ap.Rq.H.C.J. 6214/19 </w:t>
      </w:r>
      <w:r w:rsidRPr="005B778B">
        <w:rPr>
          <w:b/>
          <w:bCs/>
          <w:i/>
          <w:iCs/>
          <w:u w:val="single"/>
        </w:rPr>
        <w:t>Wadia Abu Amar v. State of Israel – Israel Prison Service</w:t>
      </w:r>
    </w:p>
    <w:p w14:paraId="240BA4CA" w14:textId="4C26AAA5" w:rsidR="005B778B" w:rsidRPr="005B778B" w:rsidRDefault="006B79F7" w:rsidP="001F52F8">
      <w:pPr>
        <w:pStyle w:val="aa"/>
        <w:numPr>
          <w:ilvl w:val="0"/>
          <w:numId w:val="2"/>
        </w:numPr>
        <w:ind w:left="567" w:hanging="567"/>
        <w:contextualSpacing w:val="0"/>
      </w:pPr>
      <w:r w:rsidRPr="005B778B">
        <w:t>In 2017-2018, several prisoners petitioned against the IPS decision to halt their provision of Ritalin, afforded due to their ADHD. The IPS claimed that Ritalin was a dangerous and addictive drug, that allowing it into the prison may lead to drug trade, and that it was providing the prisoners with alternative behavioral care. On February</w:t>
      </w:r>
      <w:r w:rsidR="008248E2">
        <w:t xml:space="preserve"> 4</w:t>
      </w:r>
      <w:r w:rsidRPr="005B778B">
        <w:t xml:space="preserve">, 2019, the District Court ruled that in the case of Abu Amar, while the IPS's policy does not prohibit the provision of Ritalin </w:t>
      </w:r>
      <w:r w:rsidR="008248E2">
        <w:t xml:space="preserve">to </w:t>
      </w:r>
      <w:r w:rsidRPr="005B778B">
        <w:t>prisoners, the particular circumstances of the petitioner do not justify the provision of Ritalin and IPS's position was not unreasonable.</w:t>
      </w:r>
    </w:p>
    <w:p w14:paraId="6DBDA85B" w14:textId="77777777" w:rsidR="005B778B" w:rsidRPr="005B778B" w:rsidRDefault="006B79F7" w:rsidP="001F52F8">
      <w:pPr>
        <w:pStyle w:val="aa"/>
        <w:numPr>
          <w:ilvl w:val="0"/>
          <w:numId w:val="2"/>
        </w:numPr>
        <w:ind w:left="567" w:hanging="567"/>
        <w:contextualSpacing w:val="0"/>
      </w:pPr>
      <w:r w:rsidRPr="005B778B">
        <w:t xml:space="preserve">In 2019, the prisoners filed a request to appeal to the Supreme Court, and Physicians for Human Rights and the Clinique for Rights of Detainees and Prisoners in the Academic Center for Law and Business joined as </w:t>
      </w:r>
      <w:r w:rsidRPr="005B778B">
        <w:rPr>
          <w:i/>
          <w:iCs/>
        </w:rPr>
        <w:t>amicus curiae</w:t>
      </w:r>
      <w:r w:rsidRPr="005B778B">
        <w:t xml:space="preserve">. They presented expert opinions according to which the IPS was not abiding by accepted medical standards. </w:t>
      </w:r>
    </w:p>
    <w:p w14:paraId="1FF09622" w14:textId="55E900DC" w:rsidR="005B778B" w:rsidRPr="005B778B" w:rsidRDefault="006B79F7" w:rsidP="008248E2">
      <w:pPr>
        <w:pStyle w:val="aa"/>
        <w:numPr>
          <w:ilvl w:val="0"/>
          <w:numId w:val="2"/>
        </w:numPr>
        <w:ind w:left="567" w:hanging="567"/>
        <w:contextualSpacing w:val="0"/>
      </w:pPr>
      <w:r w:rsidRPr="005B778B">
        <w:t>On March</w:t>
      </w:r>
      <w:r w:rsidR="008248E2">
        <w:t xml:space="preserve"> 11</w:t>
      </w:r>
      <w:r w:rsidRPr="005B778B">
        <w:t>, 2020, the Court requested the IPS to inform the Court if it is willing to form a committee, which would include external medical officials. On 2 June, 2020, the IPS announced that it would form such a committee which includes mostly external members. As the committee was formed, the Court erased the appeal, whilst reserving the appellants' right to file a petition after the committee published its findings or if the process is delayed.</w:t>
      </w:r>
    </w:p>
    <w:p w14:paraId="6BBC5F8E" w14:textId="77777777" w:rsidR="005B778B" w:rsidRPr="005B778B" w:rsidRDefault="006B79F7" w:rsidP="00BB339C">
      <w:pPr>
        <w:rPr>
          <w:b/>
          <w:bCs/>
          <w:u w:val="single"/>
        </w:rPr>
      </w:pPr>
      <w:r>
        <w:rPr>
          <w:b/>
          <w:bCs/>
          <w:u w:val="single"/>
        </w:rPr>
        <w:t>Disciplinary and a</w:t>
      </w:r>
      <w:r w:rsidRPr="005B778B">
        <w:rPr>
          <w:b/>
          <w:bCs/>
          <w:u w:val="single"/>
        </w:rPr>
        <w:t>dministrative measures relating to hunger striking prisoners</w:t>
      </w:r>
    </w:p>
    <w:p w14:paraId="34AAB62F" w14:textId="77777777" w:rsidR="005B778B" w:rsidRPr="005B778B" w:rsidRDefault="006B79F7" w:rsidP="001F52F8">
      <w:pPr>
        <w:pStyle w:val="aa"/>
        <w:numPr>
          <w:ilvl w:val="0"/>
          <w:numId w:val="2"/>
        </w:numPr>
        <w:ind w:left="567" w:hanging="567"/>
        <w:contextualSpacing w:val="0"/>
      </w:pPr>
      <w:r w:rsidRPr="005B778B">
        <w:lastRenderedPageBreak/>
        <w:t xml:space="preserve">On September 11, 2016, the HCJ ruled on a petition filed by the Israeli Medical Association and several NGOs, asking to determine that this Amendment is unconstitutional. The petition focused on Section 19(14)(e) of the Law, instructing a court presiding over a request for medical treatment to take into account </w:t>
      </w:r>
      <w:r w:rsidRPr="005B778B">
        <w:rPr>
          <w:i/>
          <w:iCs/>
        </w:rPr>
        <w:t>"considerations of threat to human life, or substantial threat of severe harm to the security of the state, according to relevant evidence brought before it".</w:t>
      </w:r>
      <w:r w:rsidRPr="005B778B">
        <w:t xml:space="preserve"> The HCJ rejected this petition and determined that the Amendment is constitutional.</w:t>
      </w:r>
    </w:p>
    <w:p w14:paraId="141BFC9F" w14:textId="77777777" w:rsidR="005B778B" w:rsidRPr="005B778B" w:rsidRDefault="006B79F7" w:rsidP="001F52F8">
      <w:pPr>
        <w:pStyle w:val="aa"/>
        <w:numPr>
          <w:ilvl w:val="0"/>
          <w:numId w:val="2"/>
        </w:numPr>
        <w:ind w:left="567" w:hanging="567"/>
        <w:contextualSpacing w:val="0"/>
      </w:pPr>
      <w:r w:rsidRPr="005B778B">
        <w:t xml:space="preserve">The Court concluded that the Amendment balances between the values of sanctity of life, public interest and the right of the individual to human dignity. The Court noted that the </w:t>
      </w:r>
      <w:r w:rsidRPr="005B778B">
        <w:rPr>
          <w:i/>
          <w:iCs/>
        </w:rPr>
        <w:t>Basic Law - Human Dignity and Libert</w:t>
      </w:r>
      <w:r w:rsidRPr="005B778B">
        <w:t xml:space="preserve">y not only safeguards the sanctity of life but also obliges the State to actively protect the life of any person. The Court further noted that the State has additional responsibility for the security of the prison, the wellbeing of other prisoners and an obligation and responsibility for the wellbeing and security of the general public that may be affected by events related to hunger strikes by groups of prisoners. </w:t>
      </w:r>
    </w:p>
    <w:p w14:paraId="10B7278C" w14:textId="77777777" w:rsidR="005B778B" w:rsidRPr="005B778B" w:rsidRDefault="006B79F7" w:rsidP="001F52F8">
      <w:pPr>
        <w:pStyle w:val="aa"/>
        <w:numPr>
          <w:ilvl w:val="0"/>
          <w:numId w:val="2"/>
        </w:numPr>
        <w:ind w:left="567" w:hanging="567"/>
        <w:contextualSpacing w:val="0"/>
      </w:pPr>
      <w:r w:rsidRPr="005B778B">
        <w:t>With regard to Section 19(14)(e) of the Law – the main purpose of which is to safeguard security – the Court ruled that while this section is constitutional, it must nevertheless be used very narrowly and subject to the required evidence (</w:t>
      </w:r>
      <w:r w:rsidRPr="005B778B">
        <w:rPr>
          <w:i/>
          <w:iCs/>
        </w:rPr>
        <w:t>H.C.J. 5304/15 The Israeli Medical Association v. The Israeli Knesset</w:t>
      </w:r>
      <w:r w:rsidRPr="005B778B">
        <w:t xml:space="preserve"> (11.9.16)).</w:t>
      </w:r>
    </w:p>
    <w:p w14:paraId="5D74D9C9" w14:textId="77777777" w:rsidR="006567A6" w:rsidRPr="00973082" w:rsidRDefault="004877A0" w:rsidP="00BB339C">
      <w:pPr>
        <w:pStyle w:val="1"/>
        <w:shd w:val="clear" w:color="auto" w:fill="BFBFBF"/>
        <w:spacing w:after="240"/>
        <w:rPr>
          <w:rFonts w:ascii="Times New Roman" w:hAnsi="Times New Roman"/>
          <w:b/>
          <w:bCs/>
          <w:color w:val="auto"/>
          <w:sz w:val="24"/>
          <w:szCs w:val="24"/>
          <w:u w:val="single"/>
        </w:rPr>
      </w:pPr>
      <w:bookmarkStart w:id="15" w:name="_Toc60141930"/>
      <w:r w:rsidRPr="00973082">
        <w:rPr>
          <w:rFonts w:ascii="Times New Roman" w:hAnsi="Times New Roman"/>
          <w:b/>
          <w:bCs/>
          <w:color w:val="auto"/>
          <w:sz w:val="24"/>
          <w:szCs w:val="24"/>
          <w:u w:val="single"/>
        </w:rPr>
        <w:t>Question No. 25</w:t>
      </w:r>
      <w:bookmarkEnd w:id="15"/>
    </w:p>
    <w:p w14:paraId="66D3C923" w14:textId="7B0BDF30" w:rsidR="004877A0" w:rsidRDefault="006B79F7" w:rsidP="006F2C66">
      <w:pPr>
        <w:rPr>
          <w:u w:val="single"/>
        </w:rPr>
      </w:pPr>
      <w:r>
        <w:rPr>
          <w:u w:val="single"/>
        </w:rPr>
        <w:t>Saharonim Facility</w:t>
      </w:r>
    </w:p>
    <w:p w14:paraId="65D82ABD" w14:textId="5FD5B9C4" w:rsidR="004877A0" w:rsidRPr="004877A0" w:rsidRDefault="006B79F7" w:rsidP="006F2C66">
      <w:pPr>
        <w:pStyle w:val="aa"/>
        <w:numPr>
          <w:ilvl w:val="0"/>
          <w:numId w:val="2"/>
        </w:numPr>
        <w:ind w:left="567" w:hanging="567"/>
        <w:contextualSpacing w:val="0"/>
        <w:rPr>
          <w:b/>
          <w:bCs/>
        </w:rPr>
      </w:pPr>
      <w:r w:rsidRPr="004877A0">
        <w:rPr>
          <w:b/>
          <w:bCs/>
        </w:rPr>
        <w:t>Note that due to the C</w:t>
      </w:r>
      <w:r w:rsidR="006F2C66">
        <w:rPr>
          <w:b/>
          <w:bCs/>
        </w:rPr>
        <w:t>ovid</w:t>
      </w:r>
      <w:r w:rsidRPr="004877A0">
        <w:rPr>
          <w:b/>
          <w:bCs/>
        </w:rPr>
        <w:t xml:space="preserve">-19 Pandemic, </w:t>
      </w:r>
      <w:r w:rsidR="00FD265E">
        <w:rPr>
          <w:b/>
          <w:bCs/>
        </w:rPr>
        <w:t>"</w:t>
      </w:r>
      <w:r w:rsidRPr="004877A0">
        <w:rPr>
          <w:b/>
          <w:bCs/>
        </w:rPr>
        <w:t>Saharonim</w:t>
      </w:r>
      <w:r w:rsidR="00FD265E">
        <w:rPr>
          <w:b/>
          <w:bCs/>
        </w:rPr>
        <w:t>"</w:t>
      </w:r>
      <w:r w:rsidRPr="004877A0">
        <w:rPr>
          <w:b/>
          <w:bCs/>
        </w:rPr>
        <w:t xml:space="preserve"> was evacuated and most of the foreign detainees </w:t>
      </w:r>
      <w:r w:rsidRPr="00E91E1B">
        <w:rPr>
          <w:b/>
          <w:bCs/>
        </w:rPr>
        <w:t xml:space="preserve">were transferred to the </w:t>
      </w:r>
      <w:r w:rsidR="00FD265E" w:rsidRPr="00E91E1B">
        <w:rPr>
          <w:b/>
          <w:bCs/>
        </w:rPr>
        <w:t>"</w:t>
      </w:r>
      <w:r w:rsidRPr="004877A0">
        <w:rPr>
          <w:b/>
          <w:bCs/>
        </w:rPr>
        <w:t>Giv'on</w:t>
      </w:r>
      <w:r w:rsidR="00FD265E">
        <w:rPr>
          <w:b/>
          <w:bCs/>
        </w:rPr>
        <w:t>"</w:t>
      </w:r>
      <w:r w:rsidRPr="004877A0">
        <w:rPr>
          <w:b/>
          <w:bCs/>
        </w:rPr>
        <w:t xml:space="preserve"> facility. </w:t>
      </w:r>
    </w:p>
    <w:p w14:paraId="30EC8B7F" w14:textId="46803832" w:rsidR="004877A0" w:rsidRPr="004877A0" w:rsidRDefault="006B79F7" w:rsidP="006F2C66">
      <w:pPr>
        <w:pStyle w:val="aa"/>
        <w:numPr>
          <w:ilvl w:val="0"/>
          <w:numId w:val="2"/>
        </w:numPr>
        <w:ind w:left="567" w:hanging="567"/>
        <w:contextualSpacing w:val="0"/>
      </w:pPr>
      <w:r w:rsidRPr="004877A0">
        <w:t xml:space="preserve">The "Saharonim" </w:t>
      </w:r>
      <w:r w:rsidR="006F2C66">
        <w:t>d</w:t>
      </w:r>
      <w:r w:rsidRPr="004877A0">
        <w:t xml:space="preserve">etention </w:t>
      </w:r>
      <w:r w:rsidR="006F2C66">
        <w:t>f</w:t>
      </w:r>
      <w:r w:rsidRPr="004877A0">
        <w:t>acility is located in the Negev, the southern part of Israel. The purpose of this facility was to detain persons who entered Israel illegally initially, immediately following their illegal entry into Israel, mainly from the Sinai Peninsula.</w:t>
      </w:r>
    </w:p>
    <w:p w14:paraId="7DB0641F" w14:textId="77777777" w:rsidR="004877A0" w:rsidRPr="004877A0" w:rsidRDefault="006B79F7" w:rsidP="001F52F8">
      <w:pPr>
        <w:pStyle w:val="aa"/>
        <w:numPr>
          <w:ilvl w:val="0"/>
          <w:numId w:val="2"/>
        </w:numPr>
        <w:ind w:left="567" w:hanging="567"/>
        <w:contextualSpacing w:val="0"/>
      </w:pPr>
      <w:r w:rsidRPr="004877A0">
        <w:lastRenderedPageBreak/>
        <w:t xml:space="preserve">Any person detained in </w:t>
      </w:r>
      <w:r w:rsidR="00FD265E">
        <w:t>"</w:t>
      </w:r>
      <w:r w:rsidRPr="004877A0">
        <w:t>Saharonim</w:t>
      </w:r>
      <w:r w:rsidR="00FD265E">
        <w:t>"</w:t>
      </w:r>
      <w:r w:rsidRPr="004877A0">
        <w:t xml:space="preserve"> was entitled to a hearing by the MoI. In addition, DRT Judges conducted monthly reviews of the status of detainees.</w:t>
      </w:r>
    </w:p>
    <w:p w14:paraId="72FDE30F" w14:textId="76B9FD79" w:rsidR="004877A0" w:rsidRPr="004877A0" w:rsidRDefault="006B79F7" w:rsidP="003A63B7">
      <w:pPr>
        <w:pStyle w:val="aa"/>
        <w:numPr>
          <w:ilvl w:val="0"/>
          <w:numId w:val="2"/>
        </w:numPr>
        <w:ind w:left="567" w:hanging="567"/>
        <w:contextualSpacing w:val="0"/>
      </w:pPr>
      <w:r w:rsidRPr="004877A0">
        <w:t xml:space="preserve">According to the </w:t>
      </w:r>
      <w:r w:rsidRPr="004877A0">
        <w:rPr>
          <w:i/>
          <w:iCs/>
        </w:rPr>
        <w:t xml:space="preserve">Prevention of Infiltration (Offences and Jurisdiction) Law </w:t>
      </w:r>
      <w:r w:rsidRPr="004877A0">
        <w:t>5714-1954, persons who entered Israel illegally were held at "Saharonim" from the time of their entry into Israel for a maximum of three (3) months. The purpose of this initial period at "Saharonim" was to determine their identity and nationality, and explore alternatives for their departure from Israel. As of 201</w:t>
      </w:r>
      <w:r w:rsidR="00D13759">
        <w:t>7</w:t>
      </w:r>
      <w:r w:rsidRPr="004877A0">
        <w:t xml:space="preserve">, no new illegal entries from the Sinai Peninsula were recorded and therefore there were no new arrivals to the detention facility. However, several dozens were still detained in the facility prior to its evacuation, mostly illegal migrants who violated the terms of their stay in Israel, or those whose release from detention may pose a risk to the national security, the public order or the public health according to Section 13F(b)(2) to the </w:t>
      </w:r>
      <w:r w:rsidRPr="004877A0">
        <w:rPr>
          <w:i/>
          <w:iCs/>
        </w:rPr>
        <w:t>Entry Into Israel Law</w:t>
      </w:r>
      <w:r w:rsidRPr="004877A0">
        <w:t>.</w:t>
      </w:r>
    </w:p>
    <w:p w14:paraId="10FCA293" w14:textId="77777777" w:rsidR="004877A0" w:rsidRPr="004877A0" w:rsidRDefault="006B79F7" w:rsidP="00BB339C">
      <w:pPr>
        <w:numPr>
          <w:ilvl w:val="0"/>
          <w:numId w:val="2"/>
        </w:numPr>
      </w:pPr>
      <w:r w:rsidRPr="004877A0">
        <w:t>The facility was managed by the IPS, and the conditions of the facility met the relevant national and international standards and regulations of detention facilities.</w:t>
      </w:r>
    </w:p>
    <w:p w14:paraId="46F59913" w14:textId="77777777" w:rsidR="004877A0" w:rsidRPr="004877A0" w:rsidRDefault="006B79F7" w:rsidP="001F52F8">
      <w:pPr>
        <w:pStyle w:val="aa"/>
        <w:numPr>
          <w:ilvl w:val="0"/>
          <w:numId w:val="2"/>
        </w:numPr>
        <w:ind w:left="567" w:hanging="567"/>
        <w:contextualSpacing w:val="0"/>
      </w:pPr>
      <w:r w:rsidRPr="004877A0">
        <w:t>Detainees followed a routine schedule, which included designated time for walking or partaking in physical activity at a yard equipped with fitness facilities. Furthermore, detainees were eligible for visits, including visits from the ICRC, the UN and other aid organizations. The detainees also retained the right to consult with attorneys and to be visited by consuls and embassy representatives.</w:t>
      </w:r>
    </w:p>
    <w:p w14:paraId="56FE462B" w14:textId="77777777" w:rsidR="004877A0" w:rsidRPr="004877A0" w:rsidRDefault="006B79F7" w:rsidP="001F52F8">
      <w:pPr>
        <w:pStyle w:val="aa"/>
        <w:numPr>
          <w:ilvl w:val="0"/>
          <w:numId w:val="2"/>
        </w:numPr>
        <w:ind w:left="567" w:hanging="567"/>
        <w:contextualSpacing w:val="0"/>
        <w:rPr>
          <w:b/>
          <w:bCs/>
        </w:rPr>
      </w:pPr>
      <w:r w:rsidRPr="004877A0">
        <w:t xml:space="preserve">Detainees were held in wing 10, which contained 102 beds. As of November 2019, there were 52 detainees in </w:t>
      </w:r>
      <w:r w:rsidR="00FD265E">
        <w:t>"</w:t>
      </w:r>
      <w:r w:rsidRPr="004877A0">
        <w:t>Saharonim</w:t>
      </w:r>
      <w:r w:rsidR="00FD265E">
        <w:t>"</w:t>
      </w:r>
      <w:r w:rsidRPr="004877A0">
        <w:t xml:space="preserve"> detention facility. </w:t>
      </w:r>
    </w:p>
    <w:p w14:paraId="73D6B869" w14:textId="77777777" w:rsidR="004877A0" w:rsidRPr="004877A0" w:rsidRDefault="006B79F7" w:rsidP="001F52F8">
      <w:pPr>
        <w:pStyle w:val="aa"/>
        <w:numPr>
          <w:ilvl w:val="0"/>
          <w:numId w:val="2"/>
        </w:numPr>
        <w:ind w:left="567" w:hanging="567"/>
        <w:contextualSpacing w:val="0"/>
      </w:pPr>
      <w:r w:rsidRPr="004877A0">
        <w:t xml:space="preserve">Every detainee in need of personal items received a package from the IPS including hygiene products, under garments, bedding, and items of clothing in accordance with the season. </w:t>
      </w:r>
    </w:p>
    <w:p w14:paraId="0F6D775A" w14:textId="77777777" w:rsidR="004877A0" w:rsidRPr="004877A0" w:rsidRDefault="006B79F7" w:rsidP="001F52F8">
      <w:pPr>
        <w:pStyle w:val="aa"/>
        <w:numPr>
          <w:ilvl w:val="0"/>
          <w:numId w:val="2"/>
        </w:numPr>
        <w:ind w:left="567" w:hanging="567"/>
        <w:contextualSpacing w:val="0"/>
      </w:pPr>
      <w:r w:rsidRPr="004877A0">
        <w:t xml:space="preserve">The wing was equipped with a washing machine, a dryer and laundry detergent which the detainees may utilize. </w:t>
      </w:r>
    </w:p>
    <w:p w14:paraId="75887E0D" w14:textId="77777777" w:rsidR="004877A0" w:rsidRPr="004877A0" w:rsidRDefault="006B79F7" w:rsidP="001F52F8">
      <w:pPr>
        <w:pStyle w:val="aa"/>
        <w:numPr>
          <w:ilvl w:val="0"/>
          <w:numId w:val="2"/>
        </w:numPr>
        <w:ind w:left="567" w:hanging="567"/>
        <w:contextualSpacing w:val="0"/>
      </w:pPr>
      <w:r w:rsidRPr="004877A0">
        <w:t xml:space="preserve">Detainees who were entitled to assistance from the ICRC received a monthly stipend of 200 NIS (58 USD) for purchasing items at the commissary.  </w:t>
      </w:r>
    </w:p>
    <w:p w14:paraId="1058A812" w14:textId="77777777" w:rsidR="004877A0" w:rsidRPr="004877A0" w:rsidRDefault="006B79F7" w:rsidP="001F52F8">
      <w:pPr>
        <w:pStyle w:val="aa"/>
        <w:numPr>
          <w:ilvl w:val="0"/>
          <w:numId w:val="2"/>
        </w:numPr>
        <w:ind w:left="567" w:hanging="567"/>
        <w:contextualSpacing w:val="0"/>
      </w:pPr>
      <w:r w:rsidRPr="004877A0">
        <w:lastRenderedPageBreak/>
        <w:t>The ICRC provided the detainees with a dialing card to Africa at the beginning of each month.</w:t>
      </w:r>
    </w:p>
    <w:p w14:paraId="34346B05" w14:textId="77777777" w:rsidR="004877A0" w:rsidRPr="004877A0" w:rsidRDefault="006B79F7" w:rsidP="00BB339C">
      <w:pPr>
        <w:ind w:left="0" w:firstLine="0"/>
      </w:pPr>
      <w:r w:rsidRPr="004877A0">
        <w:rPr>
          <w:u w:val="single"/>
        </w:rPr>
        <w:t>Health services</w:t>
      </w:r>
    </w:p>
    <w:p w14:paraId="59FA664C" w14:textId="77777777" w:rsidR="004877A0" w:rsidRPr="004877A0" w:rsidRDefault="006B79F7" w:rsidP="001F52F8">
      <w:pPr>
        <w:pStyle w:val="aa"/>
        <w:numPr>
          <w:ilvl w:val="0"/>
          <w:numId w:val="2"/>
        </w:numPr>
        <w:ind w:left="567" w:hanging="567"/>
        <w:contextualSpacing w:val="0"/>
      </w:pPr>
      <w:r w:rsidRPr="004877A0">
        <w:t xml:space="preserve">A medic visited the wing twice a day for the purposes of providing prompt medical aid, distributing medications and taking roll call for the sick. </w:t>
      </w:r>
    </w:p>
    <w:p w14:paraId="76335663" w14:textId="2E662271" w:rsidR="004877A0" w:rsidRPr="004877A0" w:rsidRDefault="006B79F7" w:rsidP="003A63B7">
      <w:pPr>
        <w:pStyle w:val="aa"/>
        <w:numPr>
          <w:ilvl w:val="0"/>
          <w:numId w:val="2"/>
        </w:numPr>
        <w:ind w:left="567" w:hanging="567"/>
        <w:contextualSpacing w:val="0"/>
      </w:pPr>
      <w:r w:rsidRPr="004877A0">
        <w:t xml:space="preserve">A general practitioner and a dentist were present on site. Every detainee requiring their services was able </w:t>
      </w:r>
      <w:r w:rsidR="003A63B7">
        <w:t>to seek treatment at</w:t>
      </w:r>
      <w:r w:rsidRPr="004877A0">
        <w:t xml:space="preserve"> the clinic.</w:t>
      </w:r>
    </w:p>
    <w:p w14:paraId="2A85F992" w14:textId="77777777" w:rsidR="004877A0" w:rsidRPr="004877A0" w:rsidRDefault="006B79F7" w:rsidP="001F52F8">
      <w:pPr>
        <w:pStyle w:val="aa"/>
        <w:numPr>
          <w:ilvl w:val="0"/>
          <w:numId w:val="2"/>
        </w:numPr>
        <w:ind w:left="567" w:hanging="567"/>
        <w:contextualSpacing w:val="0"/>
      </w:pPr>
      <w:r w:rsidRPr="004877A0">
        <w:t>Detainees requiring psychiatric treatment were referred to a psychiatrist who visited the facility on a monthly basis.</w:t>
      </w:r>
    </w:p>
    <w:p w14:paraId="70C41533" w14:textId="77777777" w:rsidR="004877A0" w:rsidRPr="004877A0" w:rsidRDefault="006B79F7" w:rsidP="001F52F8">
      <w:pPr>
        <w:pStyle w:val="aa"/>
        <w:numPr>
          <w:ilvl w:val="0"/>
          <w:numId w:val="2"/>
        </w:numPr>
        <w:ind w:left="567" w:hanging="567"/>
        <w:contextualSpacing w:val="0"/>
      </w:pPr>
      <w:r w:rsidRPr="004877A0">
        <w:t xml:space="preserve">Additional medical care was provided to detainees in "Saharonim" both by the specialist clinic at the Eshel compound and by specialist doctors who treated inmates at Ktzi'ot prison, and any request for medical treatment was responded to accordingly. </w:t>
      </w:r>
    </w:p>
    <w:p w14:paraId="2D6E4A74" w14:textId="77777777" w:rsidR="004877A0" w:rsidRPr="004877A0" w:rsidRDefault="006B79F7" w:rsidP="00BB339C">
      <w:pPr>
        <w:ind w:left="0" w:firstLine="0"/>
        <w:rPr>
          <w:u w:val="single"/>
        </w:rPr>
      </w:pPr>
      <w:r w:rsidRPr="004877A0">
        <w:rPr>
          <w:u w:val="single"/>
        </w:rPr>
        <w:t>Employment</w:t>
      </w:r>
    </w:p>
    <w:p w14:paraId="7B2B009B" w14:textId="77777777" w:rsidR="004877A0" w:rsidRPr="004877A0" w:rsidRDefault="006B79F7" w:rsidP="001F52F8">
      <w:pPr>
        <w:pStyle w:val="aa"/>
        <w:numPr>
          <w:ilvl w:val="0"/>
          <w:numId w:val="2"/>
        </w:numPr>
        <w:ind w:left="567" w:hanging="567"/>
        <w:contextualSpacing w:val="0"/>
      </w:pPr>
      <w:r w:rsidRPr="004877A0">
        <w:t>Detainees at "Saharonim" were encouraged to seek employment in the facility. As for November 2019, fifteen (15) detainees were employed in the wing and outside of it.</w:t>
      </w:r>
    </w:p>
    <w:p w14:paraId="3BC32A8D" w14:textId="47A7ADED" w:rsidR="004877A0" w:rsidRPr="004877A0" w:rsidRDefault="006B79F7" w:rsidP="003A63B7">
      <w:pPr>
        <w:ind w:left="0" w:firstLine="0"/>
        <w:rPr>
          <w:u w:val="single"/>
        </w:rPr>
      </w:pPr>
      <w:r w:rsidRPr="004877A0">
        <w:rPr>
          <w:u w:val="single"/>
        </w:rPr>
        <w:t>Social Services</w:t>
      </w:r>
    </w:p>
    <w:p w14:paraId="494440F5" w14:textId="77777777" w:rsidR="004877A0" w:rsidRPr="004877A0" w:rsidRDefault="006B79F7" w:rsidP="001F52F8">
      <w:pPr>
        <w:pStyle w:val="aa"/>
        <w:numPr>
          <w:ilvl w:val="0"/>
          <w:numId w:val="2"/>
        </w:numPr>
        <w:ind w:left="567" w:hanging="567"/>
        <w:contextualSpacing w:val="0"/>
      </w:pPr>
      <w:r w:rsidRPr="004877A0">
        <w:t>Every detainee held in "Saharonim" met with a social worker for the purposes of assessing the detainee's state and for providing the detainee with social services according to his/her needs. Furthermore, the attending social worker held follow-up meetings with detainees who were under supervision on a regular basis. The "Saharonim" staff were receptive to any request made by a detainee regarding the provision of social services.</w:t>
      </w:r>
    </w:p>
    <w:p w14:paraId="5A7CD9C2" w14:textId="77777777" w:rsidR="004877A0" w:rsidRPr="004877A0" w:rsidRDefault="006B79F7" w:rsidP="00BB339C">
      <w:pPr>
        <w:ind w:left="0" w:firstLine="0"/>
      </w:pPr>
      <w:r w:rsidRPr="004877A0">
        <w:rPr>
          <w:u w:val="single"/>
        </w:rPr>
        <w:t xml:space="preserve">Education </w:t>
      </w:r>
    </w:p>
    <w:p w14:paraId="02BAD0C1" w14:textId="77777777" w:rsidR="004877A0" w:rsidRPr="004877A0" w:rsidRDefault="006B79F7" w:rsidP="001F52F8">
      <w:pPr>
        <w:pStyle w:val="aa"/>
        <w:numPr>
          <w:ilvl w:val="0"/>
          <w:numId w:val="2"/>
        </w:numPr>
        <w:ind w:left="567" w:hanging="567"/>
        <w:contextualSpacing w:val="0"/>
      </w:pPr>
      <w:r w:rsidRPr="004877A0">
        <w:lastRenderedPageBreak/>
        <w:t>Twice a week the detainees are invited to participate in art classes which were guided by an external instructor.</w:t>
      </w:r>
    </w:p>
    <w:p w14:paraId="53E73775" w14:textId="77777777" w:rsidR="004877A0" w:rsidRPr="004877A0" w:rsidRDefault="006B79F7" w:rsidP="001F52F8">
      <w:pPr>
        <w:pStyle w:val="aa"/>
        <w:numPr>
          <w:ilvl w:val="0"/>
          <w:numId w:val="2"/>
        </w:numPr>
        <w:ind w:left="567" w:hanging="567"/>
        <w:contextualSpacing w:val="0"/>
      </w:pPr>
      <w:r w:rsidRPr="004877A0">
        <w:t>The Education Officer held workshops and interactive meetings and lent books in English, Amharic and Arabic.</w:t>
      </w:r>
    </w:p>
    <w:p w14:paraId="684757F3" w14:textId="77777777" w:rsidR="004877A0" w:rsidRPr="004877A0" w:rsidRDefault="006B79F7" w:rsidP="00BB339C">
      <w:pPr>
        <w:ind w:left="0" w:firstLine="0"/>
      </w:pPr>
      <w:r w:rsidRPr="004877A0">
        <w:rPr>
          <w:u w:val="single"/>
        </w:rPr>
        <w:t>Group Discussions</w:t>
      </w:r>
    </w:p>
    <w:p w14:paraId="1405EAF5" w14:textId="77777777" w:rsidR="004877A0" w:rsidRPr="004877A0" w:rsidRDefault="006B79F7" w:rsidP="001F52F8">
      <w:pPr>
        <w:pStyle w:val="aa"/>
        <w:numPr>
          <w:ilvl w:val="0"/>
          <w:numId w:val="2"/>
        </w:numPr>
        <w:ind w:left="567" w:hanging="567"/>
        <w:contextualSpacing w:val="0"/>
      </w:pPr>
      <w:r w:rsidRPr="004877A0">
        <w:t>Throughout the year, an Education Officer and a social worker held group discussions on life skills.</w:t>
      </w:r>
    </w:p>
    <w:p w14:paraId="42137F23" w14:textId="77777777" w:rsidR="006567A6" w:rsidRPr="00973082" w:rsidRDefault="00884961" w:rsidP="00BB339C">
      <w:pPr>
        <w:pStyle w:val="1"/>
        <w:shd w:val="clear" w:color="auto" w:fill="BFBFBF"/>
        <w:spacing w:after="240"/>
        <w:rPr>
          <w:rFonts w:ascii="Times New Roman" w:hAnsi="Times New Roman"/>
          <w:b/>
          <w:bCs/>
          <w:color w:val="auto"/>
          <w:sz w:val="24"/>
          <w:szCs w:val="24"/>
          <w:u w:val="single"/>
        </w:rPr>
      </w:pPr>
      <w:bookmarkStart w:id="16" w:name="_Toc60141931"/>
      <w:r w:rsidRPr="00973082">
        <w:rPr>
          <w:rFonts w:ascii="Times New Roman" w:hAnsi="Times New Roman"/>
          <w:b/>
          <w:bCs/>
          <w:color w:val="auto"/>
          <w:sz w:val="24"/>
          <w:szCs w:val="24"/>
          <w:u w:val="single"/>
        </w:rPr>
        <w:t>Question No. 2</w:t>
      </w:r>
      <w:r w:rsidR="00865C19" w:rsidRPr="00973082">
        <w:rPr>
          <w:rFonts w:ascii="Times New Roman" w:hAnsi="Times New Roman"/>
          <w:b/>
          <w:bCs/>
          <w:color w:val="auto"/>
          <w:sz w:val="24"/>
          <w:szCs w:val="24"/>
          <w:u w:val="single"/>
        </w:rPr>
        <w:t>8</w:t>
      </w:r>
      <w:bookmarkEnd w:id="16"/>
    </w:p>
    <w:p w14:paraId="01013C28" w14:textId="77777777" w:rsidR="00884961" w:rsidRDefault="006B79F7" w:rsidP="00BB339C">
      <w:pPr>
        <w:ind w:left="360" w:hanging="360"/>
        <w:rPr>
          <w:u w:val="single"/>
        </w:rPr>
      </w:pPr>
      <w:r>
        <w:rPr>
          <w:b/>
          <w:bCs/>
          <w:u w:val="single"/>
        </w:rPr>
        <w:t>Death of an inmate in Police custody</w:t>
      </w:r>
    </w:p>
    <w:p w14:paraId="276D873A" w14:textId="77777777" w:rsidR="00884961" w:rsidRPr="00181B2B" w:rsidRDefault="006B79F7" w:rsidP="001F52F8">
      <w:pPr>
        <w:pStyle w:val="aa"/>
        <w:numPr>
          <w:ilvl w:val="0"/>
          <w:numId w:val="2"/>
        </w:numPr>
        <w:ind w:left="567" w:hanging="567"/>
        <w:contextualSpacing w:val="0"/>
      </w:pPr>
      <w:r w:rsidRPr="00181B2B">
        <w:t>The data provided by DIPO indicated two (2) cases in which events of deaths in custody were reported and investigated during the reporting period:</w:t>
      </w:r>
    </w:p>
    <w:p w14:paraId="2FE9747E" w14:textId="1E1229BB" w:rsidR="00884961" w:rsidRPr="00181B2B" w:rsidRDefault="006B79F7" w:rsidP="00BB339C">
      <w:pPr>
        <w:numPr>
          <w:ilvl w:val="0"/>
          <w:numId w:val="14"/>
        </w:numPr>
        <w:ind w:left="993" w:hanging="426"/>
      </w:pPr>
      <w:r w:rsidRPr="00181B2B">
        <w:t xml:space="preserve">A detainee that died at the Police station – On August 20, 2017, the deceased was arrested by the Police. The arrest required the use of pepper spray and a </w:t>
      </w:r>
      <w:r w:rsidR="003A63B7">
        <w:t>t</w:t>
      </w:r>
      <w:r w:rsidRPr="00181B2B">
        <w:t>aser. While at the Police station, the deceased was communicative, yet he later experienced physical distress. The medical treatment provided to the deceased had failed, resulting in his death. The pathological examination could not indicate the cause and the exact time of death. The case was brought before the Police Disciplinary Department, in order to examine the procedures relating to the treatment and supervision of the detainee, as it was found that the police officer in charge of the deceased at the time, was only partly present in the cell prior to the deceased's death. The case was closed due to lack of sufficient evidence (DIPO Case 3790/1</w:t>
      </w:r>
      <w:r w:rsidRPr="00181B2B">
        <w:rPr>
          <w:rFonts w:hint="cs"/>
          <w:rtl/>
        </w:rPr>
        <w:t>7</w:t>
      </w:r>
      <w:r w:rsidRPr="00181B2B">
        <w:t>).</w:t>
      </w:r>
    </w:p>
    <w:p w14:paraId="2A26E280" w14:textId="77777777" w:rsidR="00884961" w:rsidRPr="00181B2B" w:rsidRDefault="006B79F7" w:rsidP="00BB339C">
      <w:pPr>
        <w:numPr>
          <w:ilvl w:val="0"/>
          <w:numId w:val="14"/>
        </w:numPr>
        <w:ind w:left="993" w:hanging="426"/>
      </w:pPr>
      <w:r w:rsidRPr="00181B2B">
        <w:t xml:space="preserve">On July 18, 2017, a detainee committed suicide while in detention at the Police station, shortly after his arrest and arrival at to the Police station. The deceased was found dead with his cuffs wrapped around his neck. The pathological examination of the deceased's body indicated that he committed suicide, while a large amount of alcohol was found in his blood. After an investigation by the DIPO, it was decided that under the circumstances, no </w:t>
      </w:r>
      <w:r w:rsidRPr="00181B2B">
        <w:lastRenderedPageBreak/>
        <w:t>suspicion arose of an offense regarding the circumstances of the detainee's suicide (DIPO Case 3158/17).</w:t>
      </w:r>
    </w:p>
    <w:p w14:paraId="30CC06BB" w14:textId="77777777" w:rsidR="006567A6" w:rsidRPr="00973082" w:rsidRDefault="001D5103" w:rsidP="00BB339C">
      <w:pPr>
        <w:pStyle w:val="1"/>
        <w:shd w:val="clear" w:color="auto" w:fill="BFBFBF"/>
        <w:spacing w:after="240"/>
        <w:rPr>
          <w:rFonts w:ascii="Times New Roman" w:hAnsi="Times New Roman"/>
          <w:b/>
          <w:bCs/>
          <w:color w:val="auto"/>
          <w:sz w:val="24"/>
          <w:szCs w:val="24"/>
          <w:u w:val="single"/>
        </w:rPr>
      </w:pPr>
      <w:bookmarkStart w:id="17" w:name="_Toc60141932"/>
      <w:r w:rsidRPr="00973082">
        <w:rPr>
          <w:rFonts w:ascii="Times New Roman" w:hAnsi="Times New Roman"/>
          <w:b/>
          <w:bCs/>
          <w:color w:val="auto"/>
          <w:sz w:val="24"/>
          <w:szCs w:val="24"/>
          <w:u w:val="single"/>
        </w:rPr>
        <w:t>Question No. 2</w:t>
      </w:r>
      <w:r w:rsidR="00865C19" w:rsidRPr="00973082">
        <w:rPr>
          <w:rFonts w:ascii="Times New Roman" w:hAnsi="Times New Roman"/>
          <w:b/>
          <w:bCs/>
          <w:color w:val="auto"/>
          <w:sz w:val="24"/>
          <w:szCs w:val="24"/>
          <w:u w:val="single"/>
        </w:rPr>
        <w:t>9</w:t>
      </w:r>
      <w:bookmarkEnd w:id="17"/>
    </w:p>
    <w:p w14:paraId="1E2AF4F0" w14:textId="77777777" w:rsidR="001D5103" w:rsidRDefault="006B79F7" w:rsidP="00BB339C">
      <w:pPr>
        <w:rPr>
          <w:b/>
          <w:bCs/>
          <w:u w:val="single"/>
        </w:rPr>
      </w:pPr>
      <w:r>
        <w:rPr>
          <w:b/>
          <w:bCs/>
          <w:u w:val="single"/>
        </w:rPr>
        <w:t>ISA</w:t>
      </w:r>
    </w:p>
    <w:p w14:paraId="71035178" w14:textId="77777777" w:rsidR="001D5103" w:rsidRPr="001D5103" w:rsidRDefault="006B79F7" w:rsidP="001F52F8">
      <w:pPr>
        <w:pStyle w:val="aa"/>
        <w:numPr>
          <w:ilvl w:val="0"/>
          <w:numId w:val="2"/>
        </w:numPr>
        <w:ind w:left="567" w:hanging="567"/>
        <w:contextualSpacing w:val="0"/>
        <w:rPr>
          <w:b/>
          <w:bCs/>
          <w:i/>
          <w:iCs/>
        </w:rPr>
      </w:pPr>
      <w:r w:rsidRPr="001D5103">
        <w:rPr>
          <w:b/>
          <w:bCs/>
          <w:u w:val="single"/>
        </w:rPr>
        <w:t>The status of cases handled by the Inspector</w:t>
      </w:r>
      <w:r w:rsidRPr="001D5103">
        <w:t>- As of August 2020, there were 46 open cases (compared to 147 in August 2019 – a decrease of 68%). The complaints in 71.7% of these cases were received between 2019 and 2020 and 28.2% of the complaints were received prior to 2019.</w:t>
      </w:r>
    </w:p>
    <w:p w14:paraId="27596C95" w14:textId="77777777" w:rsidR="001D5103" w:rsidRPr="001D5103" w:rsidRDefault="006B79F7" w:rsidP="001F52F8">
      <w:pPr>
        <w:pStyle w:val="aa"/>
        <w:numPr>
          <w:ilvl w:val="0"/>
          <w:numId w:val="2"/>
        </w:numPr>
        <w:ind w:left="567" w:hanging="567"/>
        <w:contextualSpacing w:val="0"/>
        <w:rPr>
          <w:b/>
          <w:bCs/>
          <w:i/>
          <w:iCs/>
        </w:rPr>
      </w:pPr>
      <w:r w:rsidRPr="001D5103">
        <w:t>In 2019, the Inspector initiated 36 inquiries into complaints filed by interrogatees, or on their behalf, regarding their interrogation by ISA interrogators.</w:t>
      </w:r>
    </w:p>
    <w:p w14:paraId="2CA7554A" w14:textId="55E0174F" w:rsidR="001D5103" w:rsidRPr="00A9039B" w:rsidRDefault="006B79F7" w:rsidP="008C43CE">
      <w:pPr>
        <w:pStyle w:val="aa"/>
        <w:numPr>
          <w:ilvl w:val="0"/>
          <w:numId w:val="2"/>
        </w:numPr>
        <w:ind w:left="567" w:hanging="567"/>
        <w:contextualSpacing w:val="0"/>
      </w:pPr>
      <w:r w:rsidRPr="001D5103">
        <w:t>With regard to audio-visual documentation of ISA interrogations (in this regard see detailed information in Question No. 7 above). Also</w:t>
      </w:r>
      <w:r w:rsidRPr="00C96441">
        <w:t>, in 201</w:t>
      </w:r>
      <w:r w:rsidR="00C96441" w:rsidRPr="001401B1">
        <w:t>9</w:t>
      </w:r>
      <w:r w:rsidRPr="00C96441">
        <w:t xml:space="preserve">, </w:t>
      </w:r>
      <w:r w:rsidR="00C96441" w:rsidRPr="00EC1C43">
        <w:t>34</w:t>
      </w:r>
      <w:r w:rsidR="00C96441" w:rsidRPr="00C96441">
        <w:t xml:space="preserve"> </w:t>
      </w:r>
      <w:r w:rsidRPr="00C96441">
        <w:t xml:space="preserve">reports </w:t>
      </w:r>
      <w:r w:rsidR="00535297" w:rsidRPr="001401B1">
        <w:t xml:space="preserve">concerning exceptional events </w:t>
      </w:r>
      <w:r w:rsidR="00845BB0" w:rsidRPr="001401B1">
        <w:t xml:space="preserve">during interrogations </w:t>
      </w:r>
      <w:r w:rsidRPr="00C96441">
        <w:t xml:space="preserve">were made to the Unit by the MoJ supervisors who examine the abovementioned control room. </w:t>
      </w:r>
      <w:r w:rsidR="00535297" w:rsidRPr="00C96441">
        <w:t>Note</w:t>
      </w:r>
      <w:r w:rsidR="00535297">
        <w:t xml:space="preserve"> that as of 2019, </w:t>
      </w:r>
      <w:r w:rsidR="00845BB0">
        <w:t xml:space="preserve">such </w:t>
      </w:r>
      <w:r w:rsidR="00535297">
        <w:t>reports</w:t>
      </w:r>
      <w:r w:rsidR="00845BB0">
        <w:t xml:space="preserve"> include </w:t>
      </w:r>
      <w:r w:rsidR="008C43CE">
        <w:t xml:space="preserve">every </w:t>
      </w:r>
      <w:r w:rsidR="00845BB0">
        <w:t xml:space="preserve">exceptional event that may occur during an interrogation, </w:t>
      </w:r>
      <w:r w:rsidR="00EC1C43">
        <w:t>and are not limited to exceptional e</w:t>
      </w:r>
      <w:r w:rsidR="00845BB0">
        <w:t>vent</w:t>
      </w:r>
      <w:r w:rsidR="00EC1C43">
        <w:t>s caused by the interrogator</w:t>
      </w:r>
      <w:r w:rsidR="00845BB0">
        <w:t>.</w:t>
      </w:r>
    </w:p>
    <w:p w14:paraId="2A7FC476" w14:textId="77777777" w:rsidR="00A9039B" w:rsidRPr="00A9039B" w:rsidRDefault="006B79F7" w:rsidP="00BB339C">
      <w:pPr>
        <w:rPr>
          <w:b/>
          <w:bCs/>
          <w:u w:val="single"/>
        </w:rPr>
      </w:pPr>
      <w:r w:rsidRPr="00A9039B">
        <w:rPr>
          <w:b/>
          <w:bCs/>
          <w:u w:val="single"/>
        </w:rPr>
        <w:t>The Police</w:t>
      </w:r>
    </w:p>
    <w:p w14:paraId="5156AFF0" w14:textId="20B5E066" w:rsidR="00D806E6" w:rsidRPr="0029557B" w:rsidRDefault="00D806E6" w:rsidP="00536DB1">
      <w:pPr>
        <w:ind w:left="0" w:firstLine="0"/>
        <w:rPr>
          <w:b/>
          <w:bCs/>
          <w:u w:val="single"/>
        </w:rPr>
      </w:pPr>
      <w:r w:rsidRPr="0029557B">
        <w:rPr>
          <w:b/>
          <w:bCs/>
          <w:u w:val="single"/>
        </w:rPr>
        <w:t>Recent State Attorney Guidelines concerning treatment of complaints made against Police personnel</w:t>
      </w:r>
    </w:p>
    <w:p w14:paraId="22369370" w14:textId="1632599A" w:rsidR="00D806E6" w:rsidRPr="0029557B" w:rsidRDefault="00D806E6" w:rsidP="00536DB1">
      <w:pPr>
        <w:pStyle w:val="aa"/>
        <w:numPr>
          <w:ilvl w:val="0"/>
          <w:numId w:val="2"/>
        </w:numPr>
        <w:ind w:left="567" w:hanging="567"/>
        <w:contextualSpacing w:val="0"/>
        <w:rPr>
          <w:rFonts w:asciiTheme="majorBidi" w:hAnsiTheme="majorBidi" w:cstheme="majorBidi"/>
        </w:rPr>
      </w:pPr>
      <w:r w:rsidRPr="0029557B">
        <w:rPr>
          <w:rFonts w:asciiTheme="majorBidi" w:hAnsiTheme="majorBidi" w:cstheme="majorBidi"/>
        </w:rPr>
        <w:t xml:space="preserve">On August 18, 2020, the Deputy State Attorney (Criminal Affairs) published State Attorney Guideline 1.16, regarding the enforcement policy in cases of unlawful use of force by the Police. The Guideline sets out the cases in which criminal charges will be filed against Police personnel following unlawful use of force, as well as those cases in which a disciplinary hearing will be conducted alternatively. </w:t>
      </w:r>
    </w:p>
    <w:p w14:paraId="22C2EAE2" w14:textId="77777777" w:rsidR="00D806E6" w:rsidRPr="0029557B" w:rsidRDefault="00D806E6" w:rsidP="000746ED">
      <w:pPr>
        <w:pStyle w:val="aa"/>
        <w:numPr>
          <w:ilvl w:val="0"/>
          <w:numId w:val="2"/>
        </w:numPr>
        <w:ind w:left="567" w:hanging="567"/>
        <w:contextualSpacing w:val="0"/>
        <w:rPr>
          <w:rFonts w:asciiTheme="majorBidi" w:hAnsiTheme="majorBidi" w:cstheme="majorBidi"/>
        </w:rPr>
      </w:pPr>
      <w:r w:rsidRPr="0029557B">
        <w:rPr>
          <w:rFonts w:asciiTheme="majorBidi" w:hAnsiTheme="majorBidi" w:cstheme="majorBidi"/>
        </w:rPr>
        <w:t xml:space="preserve">On the same day, the Deputy State Attorney (Criminal Affairs) issued an update to State Attorney Guideline 2.18, regarding the prosecution policy in cases where during the investigation of a suspect of a crime committed against Police </w:t>
      </w:r>
      <w:r w:rsidRPr="0029557B">
        <w:rPr>
          <w:rFonts w:asciiTheme="majorBidi" w:hAnsiTheme="majorBidi" w:cstheme="majorBidi"/>
        </w:rPr>
        <w:lastRenderedPageBreak/>
        <w:t xml:space="preserve">personnel, the suspect has raised a complaint regarding use of force by the Police. The Guideline is aimed at giving preference to the complaint concerning use of force by the Police, by ensuring that the latter complaint is examined before a decision is taken with regard to whether or not to indict the suspect for offenses allegedly committed against Police personnel.        </w:t>
      </w:r>
    </w:p>
    <w:p w14:paraId="02A0AEC6" w14:textId="04D235B5" w:rsidR="00A9039B" w:rsidRPr="0029557B" w:rsidRDefault="006B79F7" w:rsidP="00BB339C">
      <w:pPr>
        <w:pStyle w:val="Default"/>
        <w:spacing w:line="360" w:lineRule="auto"/>
        <w:rPr>
          <w:b/>
          <w:bCs/>
          <w:color w:val="auto"/>
          <w:u w:val="single"/>
        </w:rPr>
      </w:pPr>
      <w:r w:rsidRPr="0029557B">
        <w:rPr>
          <w:b/>
          <w:bCs/>
          <w:color w:val="auto"/>
          <w:u w:val="single"/>
        </w:rPr>
        <w:t>Statistical data regarding the DIPO</w:t>
      </w:r>
    </w:p>
    <w:p w14:paraId="695D957A" w14:textId="6DB0A4EA" w:rsidR="00A9039B" w:rsidRPr="0029557B" w:rsidRDefault="006B79F7" w:rsidP="003A63B7">
      <w:pPr>
        <w:pStyle w:val="aa"/>
        <w:numPr>
          <w:ilvl w:val="0"/>
          <w:numId w:val="2"/>
        </w:numPr>
        <w:ind w:left="567" w:hanging="567"/>
        <w:contextualSpacing w:val="0"/>
      </w:pPr>
      <w:r w:rsidRPr="0029557B">
        <w:t xml:space="preserve">In </w:t>
      </w:r>
      <w:r w:rsidR="00AC2FD8" w:rsidRPr="0029557B">
        <w:t>2019</w:t>
      </w:r>
      <w:r w:rsidRPr="0029557B">
        <w:t>, 6</w:t>
      </w:r>
      <w:r w:rsidR="00AC2FD8" w:rsidRPr="0029557B">
        <w:t>6</w:t>
      </w:r>
      <w:r w:rsidRPr="0029557B">
        <w:t xml:space="preserve"> indictments were filed by the DIPO and </w:t>
      </w:r>
      <w:r w:rsidR="00AC2FD8" w:rsidRPr="0029557B">
        <w:t>32</w:t>
      </w:r>
      <w:r w:rsidRPr="0029557B">
        <w:t xml:space="preserve"> conditional arrangements were reached. </w:t>
      </w:r>
      <w:r w:rsidR="00AC2FD8" w:rsidRPr="0029557B">
        <w:t>60</w:t>
      </w:r>
      <w:r w:rsidRPr="0029557B">
        <w:t xml:space="preserve"> of these indictments were filed to Magistrate Courts and </w:t>
      </w:r>
      <w:r w:rsidR="00AC2FD8" w:rsidRPr="0029557B">
        <w:t>six</w:t>
      </w:r>
      <w:r w:rsidRPr="0029557B">
        <w:t xml:space="preserve"> (</w:t>
      </w:r>
      <w:r w:rsidR="00AC2FD8" w:rsidRPr="0029557B">
        <w:t>6</w:t>
      </w:r>
      <w:r w:rsidRPr="0029557B">
        <w:t xml:space="preserve">) to District Courts. Also, of the </w:t>
      </w:r>
      <w:r w:rsidR="00AC2FD8" w:rsidRPr="0029557B">
        <w:t xml:space="preserve">80 </w:t>
      </w:r>
      <w:r w:rsidRPr="0029557B">
        <w:t>cases in which a decision was made</w:t>
      </w:r>
      <w:r w:rsidR="00AC2FD8" w:rsidRPr="0029557B">
        <w:t xml:space="preserve"> during 2019</w:t>
      </w:r>
      <w:r w:rsidRPr="0029557B">
        <w:t xml:space="preserve">, in </w:t>
      </w:r>
      <w:r w:rsidR="00AC2FD8" w:rsidRPr="0029557B">
        <w:t xml:space="preserve">63 </w:t>
      </w:r>
      <w:r w:rsidRPr="0029557B">
        <w:t>cases (</w:t>
      </w:r>
      <w:r w:rsidR="00AC2FD8" w:rsidRPr="0029557B">
        <w:t>79</w:t>
      </w:r>
      <w:r w:rsidRPr="0029557B">
        <w:t xml:space="preserve">%) the defendant was convicted (fully or partially), </w:t>
      </w:r>
      <w:r w:rsidR="00AC2FD8" w:rsidRPr="0029557B">
        <w:t xml:space="preserve">eleven </w:t>
      </w:r>
      <w:r w:rsidRPr="0029557B">
        <w:t>(</w:t>
      </w:r>
      <w:r w:rsidR="00AC2FD8" w:rsidRPr="0029557B">
        <w:t>11</w:t>
      </w:r>
      <w:r w:rsidRPr="0029557B">
        <w:t>) cases (</w:t>
      </w:r>
      <w:r w:rsidR="00AC2FD8" w:rsidRPr="0029557B">
        <w:t>14</w:t>
      </w:r>
      <w:r w:rsidRPr="0029557B">
        <w:t xml:space="preserve">%) ended with the prosecution retracting the indictment or with stay </w:t>
      </w:r>
      <w:r w:rsidR="00EE492F" w:rsidRPr="0029557B">
        <w:t xml:space="preserve">or suspension of </w:t>
      </w:r>
      <w:r w:rsidRPr="0029557B">
        <w:t>proceedings</w:t>
      </w:r>
      <w:r w:rsidR="00AC2FD8" w:rsidRPr="0029557B">
        <w:t>,</w:t>
      </w:r>
      <w:r w:rsidRPr="0029557B">
        <w:t xml:space="preserve"> </w:t>
      </w:r>
      <w:r w:rsidR="00EE492F" w:rsidRPr="0029557B">
        <w:t xml:space="preserve">and </w:t>
      </w:r>
      <w:r w:rsidR="00AC2FD8" w:rsidRPr="0029557B">
        <w:t xml:space="preserve">six </w:t>
      </w:r>
      <w:r w:rsidRPr="0029557B">
        <w:t>(</w:t>
      </w:r>
      <w:r w:rsidR="00AC2FD8" w:rsidRPr="0029557B">
        <w:t>6</w:t>
      </w:r>
      <w:r w:rsidRPr="0029557B">
        <w:t>) cases (</w:t>
      </w:r>
      <w:r w:rsidR="00AC2FD8" w:rsidRPr="0029557B">
        <w:t>7</w:t>
      </w:r>
      <w:r w:rsidRPr="0029557B">
        <w:t xml:space="preserve">%) ended with an acquittal. </w:t>
      </w:r>
      <w:r w:rsidR="003C29FB" w:rsidRPr="0029557B">
        <w:t>N</w:t>
      </w:r>
      <w:r w:rsidR="00054DEC" w:rsidRPr="0029557B">
        <w:t>ote that 3</w:t>
      </w:r>
      <w:r w:rsidR="00AC2FD8" w:rsidRPr="0029557B">
        <w:t>6</w:t>
      </w:r>
      <w:r w:rsidR="00054DEC" w:rsidRPr="0029557B">
        <w:t>% of the indictments filed against Police officers by the DIPO concerned violence offences</w:t>
      </w:r>
      <w:r w:rsidR="00AC2FD8" w:rsidRPr="0029557B">
        <w:t xml:space="preserve"> and</w:t>
      </w:r>
      <w:r w:rsidR="00054DEC" w:rsidRPr="0029557B">
        <w:t xml:space="preserve"> </w:t>
      </w:r>
      <w:r w:rsidR="00AC2FD8" w:rsidRPr="0029557B">
        <w:t>18</w:t>
      </w:r>
      <w:r w:rsidR="00054DEC" w:rsidRPr="0029557B">
        <w:t>% concerned sex offences.</w:t>
      </w:r>
      <w:r w:rsidR="0039331C" w:rsidRPr="0029557B">
        <w:t xml:space="preserve"> 178 decisions were made in 2019 in cases concerning violence offences following investigation of Police officers under warning. In 13% of these cases criminal charges were filed, and in 13% percent of these cases </w:t>
      </w:r>
      <w:r w:rsidR="00584124" w:rsidRPr="0029557B">
        <w:t xml:space="preserve">it was </w:t>
      </w:r>
      <w:r w:rsidR="0039331C" w:rsidRPr="0029557B">
        <w:t>deci</w:t>
      </w:r>
      <w:r w:rsidR="00584124" w:rsidRPr="0029557B">
        <w:t>ded</w:t>
      </w:r>
      <w:r w:rsidR="0039331C" w:rsidRPr="0029557B">
        <w:t xml:space="preserve"> to </w:t>
      </w:r>
      <w:r w:rsidR="00EE1B4E" w:rsidRPr="0029557B">
        <w:t xml:space="preserve">conduct </w:t>
      </w:r>
      <w:r w:rsidR="0039331C" w:rsidRPr="0029557B">
        <w:t>disciplinary h</w:t>
      </w:r>
      <w:r w:rsidR="00584124" w:rsidRPr="0029557B">
        <w:t>earings.</w:t>
      </w:r>
    </w:p>
    <w:p w14:paraId="463C6853" w14:textId="765EB8B2" w:rsidR="00A9039B" w:rsidRPr="0029557B" w:rsidRDefault="006B79F7" w:rsidP="003A63B7">
      <w:pPr>
        <w:pStyle w:val="aa"/>
        <w:numPr>
          <w:ilvl w:val="0"/>
          <w:numId w:val="2"/>
        </w:numPr>
        <w:ind w:left="567" w:hanging="567"/>
        <w:contextualSpacing w:val="0"/>
      </w:pPr>
      <w:r w:rsidRPr="0029557B">
        <w:t>In 201</w:t>
      </w:r>
      <w:r w:rsidR="0094073B" w:rsidRPr="0029557B">
        <w:t>9</w:t>
      </w:r>
      <w:r w:rsidRPr="0029557B">
        <w:t xml:space="preserve">, the DIPO reached a decision regarding </w:t>
      </w:r>
      <w:r w:rsidR="0094073B" w:rsidRPr="0029557B">
        <w:t xml:space="preserve">539 </w:t>
      </w:r>
      <w:r w:rsidRPr="0029557B">
        <w:t xml:space="preserve">cases in which Police officers had been investigated under warning (every case included one (1) Police officer or more). </w:t>
      </w:r>
      <w:r w:rsidR="0085389D" w:rsidRPr="0029557B">
        <w:t xml:space="preserve">225 cases were decided during 2019 following investigation. </w:t>
      </w:r>
      <w:r w:rsidRPr="0029557B">
        <w:t>In 6</w:t>
      </w:r>
      <w:r w:rsidR="0094073B" w:rsidRPr="0029557B">
        <w:t>6</w:t>
      </w:r>
      <w:r w:rsidRPr="0029557B">
        <w:t xml:space="preserve"> of these cases (</w:t>
      </w:r>
      <w:r w:rsidR="0094073B" w:rsidRPr="0029557B">
        <w:t>2</w:t>
      </w:r>
      <w:r w:rsidRPr="0029557B">
        <w:t xml:space="preserve">9%) a criminal indictment was issued, in </w:t>
      </w:r>
      <w:r w:rsidR="0094073B" w:rsidRPr="0029557B">
        <w:t>32</w:t>
      </w:r>
      <w:r w:rsidRPr="0029557B">
        <w:t xml:space="preserve"> </w:t>
      </w:r>
      <w:r w:rsidR="0085389D" w:rsidRPr="0029557B">
        <w:t xml:space="preserve">of these </w:t>
      </w:r>
      <w:r w:rsidRPr="0029557B">
        <w:t>cases (</w:t>
      </w:r>
      <w:r w:rsidR="0094073B" w:rsidRPr="0029557B">
        <w:t>14</w:t>
      </w:r>
      <w:r w:rsidRPr="0029557B">
        <w:t xml:space="preserve">%) conditional arrangements were reached, </w:t>
      </w:r>
      <w:r w:rsidR="0085389D" w:rsidRPr="0029557B">
        <w:t xml:space="preserve">and </w:t>
      </w:r>
      <w:r w:rsidR="0094073B" w:rsidRPr="0029557B">
        <w:t xml:space="preserve">127 </w:t>
      </w:r>
      <w:r w:rsidRPr="0029557B">
        <w:t>of these cases (</w:t>
      </w:r>
      <w:r w:rsidR="0094073B" w:rsidRPr="0029557B">
        <w:t>57</w:t>
      </w:r>
      <w:r w:rsidRPr="0029557B">
        <w:t xml:space="preserve">%) were transferred to the Police Disciplinary Department alongside an obligating decision to hold disciplinary hearings. </w:t>
      </w:r>
      <w:r w:rsidR="0085389D" w:rsidRPr="0029557B">
        <w:t xml:space="preserve">136 </w:t>
      </w:r>
      <w:r w:rsidRPr="0029557B">
        <w:t>of these cases (</w:t>
      </w:r>
      <w:r w:rsidR="0085389D" w:rsidRPr="0029557B">
        <w:t>43</w:t>
      </w:r>
      <w:r w:rsidRPr="0029557B">
        <w:t xml:space="preserve">%) were closed for lack of guilt, </w:t>
      </w:r>
      <w:r w:rsidR="0085389D" w:rsidRPr="0029557B">
        <w:t xml:space="preserve">71 </w:t>
      </w:r>
      <w:r w:rsidRPr="0029557B">
        <w:t>cases (2</w:t>
      </w:r>
      <w:r w:rsidR="0085389D" w:rsidRPr="0029557B">
        <w:t>3</w:t>
      </w:r>
      <w:r w:rsidRPr="0029557B">
        <w:t xml:space="preserve">%) were closed as they did not justify criminal or legal proceedings (mainly </w:t>
      </w:r>
      <w:r w:rsidR="003A63B7" w:rsidRPr="0029557B">
        <w:t xml:space="preserve">in </w:t>
      </w:r>
      <w:r w:rsidRPr="0029557B">
        <w:t xml:space="preserve">very minor offences or when the complainant does not cooperate with the investigation), and </w:t>
      </w:r>
      <w:r w:rsidR="0085389D" w:rsidRPr="0029557B">
        <w:t>107</w:t>
      </w:r>
      <w:r w:rsidRPr="0029557B">
        <w:t xml:space="preserve"> cases (3</w:t>
      </w:r>
      <w:r w:rsidR="0085389D" w:rsidRPr="0029557B">
        <w:t>4</w:t>
      </w:r>
      <w:r w:rsidRPr="0029557B">
        <w:t xml:space="preserve">%) were closed </w:t>
      </w:r>
      <w:r w:rsidR="003C29FB" w:rsidRPr="0029557B">
        <w:t xml:space="preserve">due to </w:t>
      </w:r>
      <w:r w:rsidRPr="0029557B">
        <w:t>lack of evidence.</w:t>
      </w:r>
    </w:p>
    <w:p w14:paraId="61C85A63" w14:textId="0ACF1802" w:rsidR="0085389D" w:rsidRPr="0029557B" w:rsidRDefault="003C29FB" w:rsidP="003C29FB">
      <w:pPr>
        <w:pStyle w:val="aa"/>
        <w:numPr>
          <w:ilvl w:val="0"/>
          <w:numId w:val="2"/>
        </w:numPr>
        <w:ind w:left="567" w:hanging="567"/>
        <w:contextualSpacing w:val="0"/>
      </w:pPr>
      <w:r w:rsidRPr="0029557B">
        <w:t xml:space="preserve">The DIPO may also initiate an investigation independently based on Police material gathered from the evidence in criminal cases dealt by the Police, which </w:t>
      </w:r>
      <w:r w:rsidRPr="0029557B">
        <w:lastRenderedPageBreak/>
        <w:t xml:space="preserve">include statements or complaints raised by suspects during police investigations concerning the use of force against the suspects by Police officers. The Police material is automatically submitted to DIPO, towards its independent examination of such cases. During 2019, 2,300 Police materials were received by DIPO. The cases arising from these materials were examined by the DIPO through an administrative procedure. The </w:t>
      </w:r>
      <w:r w:rsidR="004F7DA7" w:rsidRPr="0029557B">
        <w:t xml:space="preserve">DIPO invests significant resources in locating the suspects who </w:t>
      </w:r>
      <w:r w:rsidR="00CE2978" w:rsidRPr="0029557B">
        <w:t>raised</w:t>
      </w:r>
      <w:r w:rsidR="004F7DA7" w:rsidRPr="0029557B">
        <w:t xml:space="preserve"> the complaints. However, during 2019, only 368 (16%) of the complainants chose to proceed with their complaint and gave witness, while the remaining complainants (84%) </w:t>
      </w:r>
      <w:r w:rsidR="004A6AF4" w:rsidRPr="0029557B">
        <w:t>abandoned their complaints.</w:t>
      </w:r>
      <w:r w:rsidR="004F7DA7" w:rsidRPr="0029557B">
        <w:t xml:space="preserve"> </w:t>
      </w:r>
      <w:r w:rsidR="0043625F" w:rsidRPr="0029557B">
        <w:t xml:space="preserve">    </w:t>
      </w:r>
    </w:p>
    <w:p w14:paraId="167B246D" w14:textId="567F077C" w:rsidR="00CD7AED" w:rsidRPr="0029557B" w:rsidRDefault="007A66D1" w:rsidP="00EA0636">
      <w:pPr>
        <w:rPr>
          <w:b/>
          <w:bCs/>
          <w:u w:val="single"/>
          <w:lang w:bidi="ar-SA"/>
        </w:rPr>
      </w:pPr>
      <w:r w:rsidRPr="0029557B">
        <w:rPr>
          <w:b/>
          <w:bCs/>
          <w:u w:val="single"/>
          <w:lang w:bidi="ar-SA"/>
        </w:rPr>
        <w:t>Case Law</w:t>
      </w:r>
    </w:p>
    <w:p w14:paraId="0D312F22" w14:textId="4BE574A9" w:rsidR="007A66D1" w:rsidRPr="007A66D1" w:rsidRDefault="006B79F7" w:rsidP="00EA0636">
      <w:pPr>
        <w:pStyle w:val="aa"/>
        <w:numPr>
          <w:ilvl w:val="0"/>
          <w:numId w:val="2"/>
        </w:numPr>
        <w:ind w:left="567" w:hanging="567"/>
        <w:contextualSpacing w:val="0"/>
        <w:rPr>
          <w:b/>
          <w:bCs/>
          <w:i/>
          <w:iCs/>
        </w:rPr>
      </w:pPr>
      <w:r w:rsidRPr="0029557B">
        <w:t xml:space="preserve">H.C.J. 6036/19 </w:t>
      </w:r>
      <w:r w:rsidRPr="0029557B">
        <w:rPr>
          <w:i/>
          <w:iCs/>
        </w:rPr>
        <w:t>Ahmad Salah Musa v. The Attorney General</w:t>
      </w:r>
      <w:r w:rsidRPr="0029557B">
        <w:t xml:space="preserve"> – In September 2019, the petitioner applied to the HCJ, requesting that the Inspector reach a decision following his complaint. On November 24, 2019, shortly after the Inspector had reached a decision</w:t>
      </w:r>
      <w:r w:rsidRPr="007A66D1">
        <w:t xml:space="preserve">, the HCJ dismissed the </w:t>
      </w:r>
      <w:r w:rsidR="00EA0636">
        <w:t>petition</w:t>
      </w:r>
      <w:r w:rsidRPr="007A66D1">
        <w:t xml:space="preserve"> in light of the fact that the Inspector had reached a decision concerning the petitioner's complaint. However, in light of the delayed response of the Inspector, the Court charged the respondent with the trial costs. Under Israeli law, an applicant or his/her representative wishing to appeal the decision of the Inspector, may submit an appeal to the SAO. Such a procedure was initiated by the Public Committee Against Torture in Israel on behalf of the petitioner, and is currently underway. </w:t>
      </w:r>
    </w:p>
    <w:p w14:paraId="32E9F468" w14:textId="77777777" w:rsidR="007A66D1" w:rsidRPr="007A66D1" w:rsidRDefault="006B79F7" w:rsidP="001F52F8">
      <w:pPr>
        <w:pStyle w:val="aa"/>
        <w:numPr>
          <w:ilvl w:val="0"/>
          <w:numId w:val="2"/>
        </w:numPr>
        <w:ind w:left="567" w:hanging="567"/>
        <w:contextualSpacing w:val="0"/>
        <w:rPr>
          <w:b/>
          <w:bCs/>
        </w:rPr>
      </w:pPr>
      <w:r w:rsidRPr="007A66D1">
        <w:t xml:space="preserve">S.Cr.Ca. (Be'er-Sheva District Court) 32966-12-17 </w:t>
      </w:r>
      <w:r w:rsidRPr="007A66D1">
        <w:rPr>
          <w:i/>
          <w:iCs/>
        </w:rPr>
        <w:t>The State of Israel v. Meir Merotzagai</w:t>
      </w:r>
      <w:r w:rsidRPr="007A66D1">
        <w:t xml:space="preserve"> – In January 2020, the Be'er-Sheva District Court convicted a warden for the commission of a variety of sexual offences against an inmate. The Court allocated a significant portion of the ruling to the description and condemnation of these heinous crimes. Moreover, the Court held that the warden's cruel exploitation of his position of power constituted a significant aggravating factor in his sentencing. Thus, the defendant was sentenced to twelve (12) years of imprisonment, in addition to a 150,000 NIS (41,666 USD) fine. In its opinion, the Court expressed its intention that this punishment serve as a clear message regarding the duty to protect prisoners from harm, including potential harm caused by law enforcement officials.</w:t>
      </w:r>
    </w:p>
    <w:p w14:paraId="54521771" w14:textId="05A1ADDA" w:rsidR="007A66D1" w:rsidRPr="007A66D1" w:rsidRDefault="006B79F7" w:rsidP="00EA0636">
      <w:pPr>
        <w:pStyle w:val="aa"/>
        <w:numPr>
          <w:ilvl w:val="0"/>
          <w:numId w:val="2"/>
        </w:numPr>
        <w:ind w:left="567" w:hanging="567"/>
        <w:contextualSpacing w:val="0"/>
        <w:rPr>
          <w:b/>
          <w:bCs/>
          <w:u w:val="single"/>
        </w:rPr>
      </w:pPr>
      <w:r w:rsidRPr="007A66D1">
        <w:lastRenderedPageBreak/>
        <w:t>On January 24, 2016, the H</w:t>
      </w:r>
      <w:r w:rsidR="00EA0636">
        <w:t>CJ</w:t>
      </w:r>
      <w:r w:rsidRPr="007A66D1">
        <w:t xml:space="preserve"> ruled in the matter of </w:t>
      </w:r>
      <w:r w:rsidRPr="007A66D1">
        <w:rPr>
          <w:i/>
          <w:iCs/>
        </w:rPr>
        <w:t>Anonymous v. The Attorney General</w:t>
      </w:r>
      <w:r w:rsidRPr="007A66D1">
        <w:t>. This petition concerned interrogations of women by the ISA and claims that their gender was misused during the interrogation, and that some of the interrogation measures that were used harmed their dignity. An additional claim concerned the prolonged review process of complaints filed against ISA interrogators in this regard. The petitioners requested the Court to order the respondents to establish a procedure relating to the questioning of women specifically. The petition with respect to the petitioners' private interest was denied after the handling of their specific complaint was completed. The Court also denied the second prong of the petition after being convinced that the questioning of women by the ISA is also carried out in accordance with a regulated procedure that provides adequate protection for the interrogatees and prevents abuse based on their gender. At the same time, the Court ruled that the leaflet on rights distributed to interrogatees should be updated in order to reflect the concrete rights granted to women, and further clarify in the leaflet ISA's procedure, according to which, in the absence of a hindrance, the female interrogatees may demand that another woman will be present in the interrogation room during her interrogation</w:t>
      </w:r>
      <w:r w:rsidRPr="007A66D1">
        <w:rPr>
          <w:b/>
          <w:bCs/>
        </w:rPr>
        <w:t xml:space="preserve"> (</w:t>
      </w:r>
      <w:r w:rsidRPr="007A66D1">
        <w:t xml:space="preserve">H.C.J. 8899/13 </w:t>
      </w:r>
      <w:r w:rsidRPr="007A66D1">
        <w:rPr>
          <w:i/>
          <w:iCs/>
        </w:rPr>
        <w:t>Anonymous v. The Attorney General</w:t>
      </w:r>
      <w:r w:rsidRPr="007A66D1">
        <w:t xml:space="preserve"> (24.1.16)).</w:t>
      </w:r>
    </w:p>
    <w:p w14:paraId="6C5A25D6" w14:textId="77777777" w:rsidR="007A66D1" w:rsidRPr="007A66D1" w:rsidRDefault="006B79F7" w:rsidP="001F52F8">
      <w:pPr>
        <w:pStyle w:val="aa"/>
        <w:numPr>
          <w:ilvl w:val="0"/>
          <w:numId w:val="2"/>
        </w:numPr>
        <w:ind w:left="567" w:hanging="567"/>
        <w:contextualSpacing w:val="0"/>
      </w:pPr>
      <w:r w:rsidRPr="007A66D1">
        <w:t xml:space="preserve">Ci.C. (Ashkelon Magistrate's Court) 39124-05-17, </w:t>
      </w:r>
      <w:r w:rsidRPr="007A66D1">
        <w:rPr>
          <w:i/>
          <w:iCs/>
        </w:rPr>
        <w:t>Yalo et. al. v. The State of Israel</w:t>
      </w:r>
      <w:r w:rsidRPr="007A66D1">
        <w:t xml:space="preserve"> </w:t>
      </w:r>
      <w:r w:rsidRPr="007A66D1">
        <w:rPr>
          <w:b/>
          <w:bCs/>
        </w:rPr>
        <w:t xml:space="preserve">– </w:t>
      </w:r>
      <w:r w:rsidRPr="007A66D1">
        <w:t>The case concerned police officers who mistakenly identified the plaintiffs' home as the home address written in a search warrant and therefore proceeded to search the plaintiffs' home without legal grounds and absent their permission. Pursuant to the police officers' denial of the plaintiffs' request to view the arrest warrant, one (1) of the plaintiffs (hereafter: "plaintiff No. 1") attempted to leave the premises. Subsequently, the officers blocked plaintiff No. 1's path, pushed him onto the couch and incapacitated him using handcuffs in order to prevent him from leaving. The altercation escalated as the police officers inflicted physical force against the four (4) other plaintiffs who were present at the house during the illegal search.</w:t>
      </w:r>
    </w:p>
    <w:p w14:paraId="596A7023" w14:textId="19E677EB" w:rsidR="007A66D1" w:rsidRPr="007A66D1" w:rsidRDefault="006B79F7" w:rsidP="00EA0636">
      <w:pPr>
        <w:pStyle w:val="aa"/>
        <w:numPr>
          <w:ilvl w:val="0"/>
          <w:numId w:val="2"/>
        </w:numPr>
        <w:ind w:left="567" w:hanging="567"/>
        <w:contextualSpacing w:val="0"/>
      </w:pPr>
      <w:r w:rsidRPr="007A66D1">
        <w:t xml:space="preserve">After realizing their mistake, the officers nevertheless arrested plaintiff No. 1 for assaulting a police officer and led him to their vehicle, handcuffed, in full view </w:t>
      </w:r>
      <w:r w:rsidRPr="007A66D1">
        <w:lastRenderedPageBreak/>
        <w:t xml:space="preserve">of the plaintiffs' neighbors. At the </w:t>
      </w:r>
      <w:r w:rsidR="00EA0636">
        <w:t>P</w:t>
      </w:r>
      <w:r w:rsidRPr="007A66D1">
        <w:t>olice station, plaintiff No. 1's hands and feet remained cuffed for four (4) hours, during which time he was subjected to a search. Further, the plaintiff argued that he was dragged across the floor of the station and kicked by a police officer during his detention.</w:t>
      </w:r>
    </w:p>
    <w:p w14:paraId="635CD00B" w14:textId="77777777" w:rsidR="007A66D1" w:rsidRDefault="006B79F7" w:rsidP="001F52F8">
      <w:pPr>
        <w:pStyle w:val="aa"/>
        <w:numPr>
          <w:ilvl w:val="0"/>
          <w:numId w:val="2"/>
        </w:numPr>
        <w:ind w:left="567" w:hanging="567"/>
        <w:contextualSpacing w:val="0"/>
      </w:pPr>
      <w:r w:rsidRPr="007A66D1">
        <w:rPr>
          <w:rFonts w:eastAsia="Times New Roman"/>
          <w:lang w:eastAsia="he-IL"/>
        </w:rPr>
        <w:t>In</w:t>
      </w:r>
      <w:r w:rsidRPr="007A66D1">
        <w:t xml:space="preserve"> response to these events, the plaintiffs filed a civil suit against the State, seeking reparations for the police officers' negligent conduct which caused them physical pain and emotional distress, as well as for slander and for the violation of their rights to dignity, reputation and privacy. The Court acceded to the plaintiffs' claims concerning the violation of their rights to privacy and respect, in addition to their claims of extreme emotional distress, and ordered the State to compensate them in the sum of 10,000 NIS (2,777 USD) per plaintiff. Plaintiff No. 1 received additional compensation, amounting to a total of 25,000 NIS (6,944 USD) for his illegal arrest and incapacitation. The Court rejected the plaintiff's argument that he was dragged across the floor of the station and kicked by a police officer during his detention.</w:t>
      </w:r>
      <w:r>
        <w:t xml:space="preserve"> </w:t>
      </w:r>
    </w:p>
    <w:p w14:paraId="7AA63452"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18" w:name="_Toc60141933"/>
      <w:r w:rsidRPr="00973082">
        <w:rPr>
          <w:rFonts w:ascii="Times New Roman" w:hAnsi="Times New Roman"/>
          <w:b/>
          <w:bCs/>
          <w:color w:val="auto"/>
          <w:sz w:val="24"/>
          <w:szCs w:val="24"/>
          <w:u w:val="single"/>
        </w:rPr>
        <w:t xml:space="preserve">Question No. </w:t>
      </w:r>
      <w:r w:rsidR="007A66D1" w:rsidRPr="00973082">
        <w:rPr>
          <w:rFonts w:ascii="Times New Roman" w:hAnsi="Times New Roman"/>
          <w:b/>
          <w:bCs/>
          <w:color w:val="auto"/>
          <w:sz w:val="24"/>
          <w:szCs w:val="24"/>
          <w:u w:val="single"/>
        </w:rPr>
        <w:t>3</w:t>
      </w:r>
      <w:r w:rsidR="00865C19" w:rsidRPr="00973082">
        <w:rPr>
          <w:rFonts w:ascii="Times New Roman" w:hAnsi="Times New Roman"/>
          <w:b/>
          <w:bCs/>
          <w:color w:val="auto"/>
          <w:sz w:val="24"/>
          <w:szCs w:val="24"/>
          <w:u w:val="single"/>
        </w:rPr>
        <w:t>0</w:t>
      </w:r>
      <w:bookmarkEnd w:id="18"/>
    </w:p>
    <w:p w14:paraId="5532376E" w14:textId="77048DF5" w:rsidR="007A66D1" w:rsidRPr="007A66D1" w:rsidRDefault="006B79F7" w:rsidP="00EA0636">
      <w:pPr>
        <w:pStyle w:val="a3"/>
        <w:widowControl w:val="0"/>
        <w:tabs>
          <w:tab w:val="left" w:pos="720"/>
        </w:tabs>
        <w:adjustRightInd w:val="0"/>
        <w:spacing w:after="240" w:line="360" w:lineRule="auto"/>
        <w:textAlignment w:val="baseline"/>
        <w:rPr>
          <w:rFonts w:cs="Times New Roman"/>
          <w:sz w:val="24"/>
          <w:szCs w:val="24"/>
        </w:rPr>
      </w:pPr>
      <w:r w:rsidRPr="007A66D1">
        <w:rPr>
          <w:rFonts w:cs="Times New Roman"/>
          <w:sz w:val="24"/>
          <w:szCs w:val="24"/>
          <w:u w:val="single"/>
        </w:rPr>
        <w:t>The H</w:t>
      </w:r>
      <w:r w:rsidR="00EA0636">
        <w:rPr>
          <w:rFonts w:cs="Times New Roman"/>
          <w:sz w:val="24"/>
          <w:szCs w:val="24"/>
          <w:u w:val="single"/>
        </w:rPr>
        <w:t>CJ</w:t>
      </w:r>
      <w:r w:rsidRPr="007A66D1">
        <w:rPr>
          <w:rFonts w:cs="Times New Roman"/>
          <w:sz w:val="24"/>
          <w:szCs w:val="24"/>
          <w:u w:val="single"/>
        </w:rPr>
        <w:t xml:space="preserve"> </w:t>
      </w:r>
      <w:r w:rsidR="00EA0636">
        <w:rPr>
          <w:rFonts w:cs="Times New Roman"/>
          <w:sz w:val="24"/>
          <w:szCs w:val="24"/>
          <w:u w:val="single"/>
        </w:rPr>
        <w:t>r</w:t>
      </w:r>
      <w:r w:rsidRPr="007A66D1">
        <w:rPr>
          <w:rFonts w:cs="Times New Roman"/>
          <w:sz w:val="24"/>
          <w:szCs w:val="24"/>
          <w:u w:val="single"/>
        </w:rPr>
        <w:t>uling regarding Fares Tbeish (26.11.18)</w:t>
      </w:r>
    </w:p>
    <w:p w14:paraId="02856ABB" w14:textId="77777777" w:rsidR="007A66D1" w:rsidRPr="007A66D1" w:rsidRDefault="006B79F7" w:rsidP="001F52F8">
      <w:pPr>
        <w:pStyle w:val="aa"/>
        <w:numPr>
          <w:ilvl w:val="0"/>
          <w:numId w:val="2"/>
        </w:numPr>
        <w:ind w:left="567" w:hanging="567"/>
        <w:contextualSpacing w:val="0"/>
      </w:pPr>
      <w:r w:rsidRPr="007A66D1">
        <w:t xml:space="preserve">On November 2011, Mr. Fares Tbeish was arrested by an administrative detention order for suspicion of membership and activity in the Hamas terrorist organization and trafficking of weaponry linked to terrorist attacks within Israel (specifically, harboring and trafficking of weaponry linked to terrorist attacks within Israel). Following his interrogation, he admitted to an amended indictment and was convicted through a plea bargain. Mr. Tbeish was sentenced to 36 months' imprisonment, 36 months of suspended imprisonment for a period of five (5) years and a fine of 20,000 NIS (5,400 USD). On April 2013, Mr. Tbeish filed a petition to the HCJ claiming he was tortured by ISA interrogators. In his petition, he requested the Court to instruct the AG to cancel his decision not to open a criminal investigation against his interrogators, and to cancel an AG's guideline, which according to the petitioner, allows for the use of special interrogation means. </w:t>
      </w:r>
    </w:p>
    <w:p w14:paraId="535C2D66" w14:textId="77777777" w:rsidR="007A66D1" w:rsidRPr="007A66D1" w:rsidRDefault="006B79F7" w:rsidP="001F52F8">
      <w:pPr>
        <w:pStyle w:val="aa"/>
        <w:numPr>
          <w:ilvl w:val="0"/>
          <w:numId w:val="2"/>
        </w:numPr>
        <w:ind w:left="567" w:hanging="567"/>
        <w:contextualSpacing w:val="0"/>
      </w:pPr>
      <w:r w:rsidRPr="007A66D1">
        <w:lastRenderedPageBreak/>
        <w:t xml:space="preserve">On November 26, 2018 the HCJ ruled on Mr. Tbeish's petition. The Court noted that Mr. Tbeish filed a complaint to the Inspector, which examined all the investigations materials in his regard. The Court also noted that the Inspector met with the petitioner in order to further examine his complaint. However, in these meetings the petitioner did not recall the course of his interrogation, nor what actions his interrogators took and the threats against him. The petitioner also refused to be examined by a lie detector. On September 12, 2016, the Inspector's Supervisor, a senior advocate in the SAO, notified the petitioners that the State Attorney decided that the case will be closed due to insufficient findings that justify the opening of a criminal investigation, disciplinary measures or other measures against the ISA interrogators. </w:t>
      </w:r>
    </w:p>
    <w:p w14:paraId="12467501" w14:textId="77777777" w:rsidR="007A66D1" w:rsidRPr="007A66D1" w:rsidRDefault="006B79F7" w:rsidP="001F52F8">
      <w:pPr>
        <w:pStyle w:val="aa"/>
        <w:numPr>
          <w:ilvl w:val="0"/>
          <w:numId w:val="2"/>
        </w:numPr>
        <w:ind w:left="567" w:hanging="567"/>
        <w:contextualSpacing w:val="0"/>
      </w:pPr>
      <w:r w:rsidRPr="007A66D1">
        <w:t xml:space="preserve">After careful examination of all the information presented to it, the Court noted, </w:t>
      </w:r>
      <w:r w:rsidRPr="007A66D1">
        <w:rPr>
          <w:i/>
          <w:iCs/>
        </w:rPr>
        <w:t>inter alia</w:t>
      </w:r>
      <w:r w:rsidRPr="007A66D1">
        <w:t xml:space="preserve">, that the petitioner's version, as presented in his affidavits, did not manage to prove a suspicion of criminal offence by the ISA interrogators, in a manner that contradicts the Inspector and the Supervisor's recommendations. The Court further noted that there were substantial inconsistencies in the petitioner's version and therefore it did not find any reason to accept it. </w:t>
      </w:r>
    </w:p>
    <w:p w14:paraId="340374C4" w14:textId="77777777" w:rsidR="007A66D1" w:rsidRPr="007A66D1" w:rsidRDefault="006B79F7" w:rsidP="001F52F8">
      <w:pPr>
        <w:pStyle w:val="aa"/>
        <w:numPr>
          <w:ilvl w:val="0"/>
          <w:numId w:val="2"/>
        </w:numPr>
        <w:ind w:left="567" w:hanging="567"/>
        <w:contextualSpacing w:val="0"/>
      </w:pPr>
      <w:r w:rsidRPr="007A66D1">
        <w:t xml:space="preserve">In regard to the claim that the use of special interrogations means by the ISA interrogators are not covered by the "necessity" defense, the Court noted that the said means were elaborated before the Court in an </w:t>
      </w:r>
      <w:r w:rsidRPr="007A66D1">
        <w:rPr>
          <w:i/>
          <w:iCs/>
        </w:rPr>
        <w:t>ex-parte</w:t>
      </w:r>
      <w:r w:rsidRPr="007A66D1">
        <w:t xml:space="preserve"> hearing, in which it was emphasized that such means did not include violence towards the petitioner as described in his complaint and his petition. In this regard, the Court noted that it accepts the determination of the Supervisor, that the scope and level of these means are substantially far from the petitioner's claims. In these circumstances, the Court noted it is convinced that the use of the special means in the petitioner's interrogation is covered by the "necessity" defense.</w:t>
      </w:r>
    </w:p>
    <w:p w14:paraId="03A34F09" w14:textId="77777777" w:rsidR="007A66D1" w:rsidRPr="007A66D1" w:rsidRDefault="006B79F7" w:rsidP="001F52F8">
      <w:pPr>
        <w:pStyle w:val="aa"/>
        <w:numPr>
          <w:ilvl w:val="0"/>
          <w:numId w:val="2"/>
        </w:numPr>
        <w:ind w:left="567" w:hanging="567"/>
        <w:contextualSpacing w:val="0"/>
      </w:pPr>
      <w:r w:rsidRPr="007A66D1">
        <w:t xml:space="preserve">The Court further noted that </w:t>
      </w:r>
      <w:r w:rsidRPr="007A66D1">
        <w:rPr>
          <w:lang w:val="en"/>
        </w:rPr>
        <w:t xml:space="preserve">the circumstances of the petitioner's interrogation </w:t>
      </w:r>
      <w:r w:rsidRPr="007A66D1">
        <w:t>clearly</w:t>
      </w:r>
      <w:r w:rsidRPr="007A66D1">
        <w:rPr>
          <w:lang w:val="en"/>
        </w:rPr>
        <w:t xml:space="preserve"> indicate that the investigation was intended to prevent a</w:t>
      </w:r>
      <w:r w:rsidRPr="007A66D1">
        <w:t>n</w:t>
      </w:r>
      <w:r w:rsidRPr="007A66D1">
        <w:rPr>
          <w:lang w:val="en"/>
        </w:rPr>
        <w:t xml:space="preserve"> actual and concrete danger to human life, which took place at a high level of certainty. The "</w:t>
      </w:r>
      <w:r w:rsidRPr="007A66D1">
        <w:t>necessity</w:t>
      </w:r>
      <w:r w:rsidRPr="007A66D1">
        <w:rPr>
          <w:lang w:val="en"/>
        </w:rPr>
        <w:t xml:space="preserve">" that underlies at the petitioner's interrogation must be understood and </w:t>
      </w:r>
      <w:r w:rsidRPr="001F52F8">
        <w:t>interpreted</w:t>
      </w:r>
      <w:r w:rsidRPr="007A66D1">
        <w:rPr>
          <w:lang w:val="en"/>
        </w:rPr>
        <w:t xml:space="preserve"> in light of the complex security reality of the State of Israel. The </w:t>
      </w:r>
      <w:r w:rsidRPr="007A66D1">
        <w:rPr>
          <w:lang w:val="en"/>
        </w:rPr>
        <w:lastRenderedPageBreak/>
        <w:t xml:space="preserve">petitioner was active in a terrorist organization that carried out and continues to carry out serious terrorist attacks, including mercilessly murder of innocent men, women and children. </w:t>
      </w:r>
      <w:r w:rsidRPr="007A66D1">
        <w:t>The</w:t>
      </w:r>
      <w:r w:rsidRPr="007A66D1">
        <w:rPr>
          <w:lang w:val="en"/>
        </w:rPr>
        <w:t xml:space="preserve"> special means used in the interrogation of the petitioner, as argued before the Court, were proportionate to the severe injury that they were employed to prevent, and the Court confirmed the Supervisor's determination that "the use of the special means of interrogation in the circumstances is protected under the necessity defense"</w:t>
      </w:r>
      <w:r w:rsidRPr="007A66D1">
        <w:t>.</w:t>
      </w:r>
    </w:p>
    <w:p w14:paraId="2B1BB8DA" w14:textId="77777777" w:rsidR="007A66D1" w:rsidRPr="007A66D1" w:rsidRDefault="006B79F7" w:rsidP="001F52F8">
      <w:pPr>
        <w:pStyle w:val="aa"/>
        <w:numPr>
          <w:ilvl w:val="0"/>
          <w:numId w:val="2"/>
        </w:numPr>
        <w:ind w:left="567" w:hanging="567"/>
        <w:contextualSpacing w:val="0"/>
        <w:rPr>
          <w:lang w:val="en"/>
        </w:rPr>
      </w:pPr>
      <w:r w:rsidRPr="007A66D1">
        <w:t>The</w:t>
      </w:r>
      <w:r w:rsidRPr="007A66D1">
        <w:rPr>
          <w:lang w:val="en"/>
        </w:rPr>
        <w:t xml:space="preserve"> Court did not accept the argument that in every case in which a complaint is filed regarding the use of torture during interrogations and a defense of "necessity" is </w:t>
      </w:r>
      <w:r w:rsidRPr="001F52F8">
        <w:t>raised</w:t>
      </w:r>
      <w:r w:rsidRPr="007A66D1">
        <w:rPr>
          <w:lang w:val="en"/>
        </w:rPr>
        <w:t xml:space="preserve"> by ISA interrogators, a criminal investigation must be opened against the interrogators, and only after a decision to prosecute them can they claim the "necessity" defense.</w:t>
      </w:r>
    </w:p>
    <w:p w14:paraId="618F5FF4" w14:textId="77777777" w:rsidR="007A66D1" w:rsidRPr="007A66D1" w:rsidRDefault="006B79F7" w:rsidP="001F52F8">
      <w:pPr>
        <w:pStyle w:val="aa"/>
        <w:numPr>
          <w:ilvl w:val="0"/>
          <w:numId w:val="2"/>
        </w:numPr>
        <w:ind w:left="567" w:hanging="567"/>
        <w:contextualSpacing w:val="0"/>
      </w:pPr>
      <w:r w:rsidRPr="007A66D1">
        <w:t>The</w:t>
      </w:r>
      <w:r w:rsidRPr="007A66D1">
        <w:rPr>
          <w:lang w:val="en"/>
        </w:rPr>
        <w:t xml:space="preserve"> </w:t>
      </w:r>
      <w:r w:rsidRPr="007A66D1">
        <w:t>Court</w:t>
      </w:r>
      <w:r w:rsidRPr="007A66D1">
        <w:rPr>
          <w:lang w:val="en"/>
        </w:rPr>
        <w:t xml:space="preserve"> found no reason to intervene in the AG's decision to approve the </w:t>
      </w:r>
      <w:r w:rsidRPr="007A66D1">
        <w:t xml:space="preserve">Supervisor's </w:t>
      </w:r>
      <w:r w:rsidRPr="007A66D1">
        <w:rPr>
          <w:lang w:val="en"/>
        </w:rPr>
        <w:t xml:space="preserve">decision not to open a criminal investigation against the petitioner's </w:t>
      </w:r>
      <w:r w:rsidRPr="007A66D1">
        <w:t>interrogators</w:t>
      </w:r>
      <w:r w:rsidRPr="007A66D1">
        <w:rPr>
          <w:lang w:val="en"/>
        </w:rPr>
        <w:t xml:space="preserve"> and to close the investigation file in the matter of his complaint. Contrary to the petitioner's claims, the decision that the petitioner was not tortured in his </w:t>
      </w:r>
      <w:r w:rsidRPr="001F52F8">
        <w:t>interrogation</w:t>
      </w:r>
      <w:r w:rsidRPr="007A66D1">
        <w:rPr>
          <w:lang w:val="en"/>
        </w:rPr>
        <w:t xml:space="preserve"> and therefore the "necessity" defense absolves the interrogators of criminal responsibility for applying "special means of interrogation" in his interrogation, does not deviate from the range of reasonableness. In addition, the petitioner's request for revocation of the AG guideline should be rejected since the said guideline does not contradict the law</w:t>
      </w:r>
      <w:r w:rsidRPr="007A66D1">
        <w:t>.</w:t>
      </w:r>
    </w:p>
    <w:p w14:paraId="54610EE6" w14:textId="77777777" w:rsidR="007A66D1" w:rsidRPr="00973082" w:rsidRDefault="006B79F7" w:rsidP="001F52F8">
      <w:pPr>
        <w:pStyle w:val="aa"/>
        <w:numPr>
          <w:ilvl w:val="0"/>
          <w:numId w:val="2"/>
        </w:numPr>
        <w:ind w:left="567" w:hanging="567"/>
        <w:contextualSpacing w:val="0"/>
        <w:rPr>
          <w:rStyle w:val="20"/>
          <w:rFonts w:ascii="Times New Roman" w:eastAsia="Calibri" w:hAnsi="Times New Roman"/>
          <w:sz w:val="24"/>
          <w:szCs w:val="24"/>
        </w:rPr>
      </w:pPr>
      <w:r w:rsidRPr="007A66D1">
        <w:t>On February 25, 2019, the Court rejected a request for an additional hearing in this case (Ad.H.H.C.J</w:t>
      </w:r>
      <w:r w:rsidR="009102B3">
        <w:t>.</w:t>
      </w:r>
      <w:r w:rsidRPr="007A66D1">
        <w:t xml:space="preserve"> 9105/18 </w:t>
      </w:r>
      <w:r w:rsidRPr="007A66D1">
        <w:rPr>
          <w:i/>
          <w:iCs/>
        </w:rPr>
        <w:t>Fares Tbeish et. al. v. The Attorney General et. al.</w:t>
      </w:r>
      <w:r w:rsidRPr="007A66D1">
        <w:t xml:space="preserve"> (25.2.19)).</w:t>
      </w:r>
    </w:p>
    <w:p w14:paraId="2A855FAD" w14:textId="7E5E6081" w:rsidR="007A66D1" w:rsidRPr="007A66D1" w:rsidRDefault="006B79F7" w:rsidP="00651BCA">
      <w:pPr>
        <w:pStyle w:val="a3"/>
        <w:widowControl w:val="0"/>
        <w:tabs>
          <w:tab w:val="left" w:pos="720"/>
        </w:tabs>
        <w:adjustRightInd w:val="0"/>
        <w:spacing w:after="240" w:line="360" w:lineRule="auto"/>
        <w:textAlignment w:val="baseline"/>
      </w:pPr>
      <w:r w:rsidRPr="007A66D1">
        <w:rPr>
          <w:rFonts w:cs="Times New Roman"/>
          <w:sz w:val="24"/>
          <w:szCs w:val="24"/>
          <w:u w:val="single"/>
        </w:rPr>
        <w:t xml:space="preserve">The </w:t>
      </w:r>
      <w:r w:rsidR="00651BCA">
        <w:rPr>
          <w:rFonts w:cs="Times New Roman"/>
          <w:sz w:val="24"/>
          <w:szCs w:val="24"/>
          <w:u w:val="single"/>
        </w:rPr>
        <w:t>HCJ r</w:t>
      </w:r>
      <w:r w:rsidRPr="007A66D1">
        <w:rPr>
          <w:rFonts w:cs="Times New Roman"/>
          <w:sz w:val="24"/>
          <w:szCs w:val="24"/>
          <w:u w:val="single"/>
        </w:rPr>
        <w:t>uling regarding Abu-Gosh (12.12.17)</w:t>
      </w:r>
      <w:r w:rsidRPr="007A66D1">
        <w:rPr>
          <w:rFonts w:cs="Times New Roman"/>
          <w:sz w:val="24"/>
          <w:szCs w:val="24"/>
        </w:rPr>
        <w:t xml:space="preserve"> </w:t>
      </w:r>
    </w:p>
    <w:p w14:paraId="59B44CAF" w14:textId="77777777" w:rsidR="007A66D1" w:rsidRPr="007A66D1" w:rsidRDefault="006B79F7" w:rsidP="001F52F8">
      <w:pPr>
        <w:pStyle w:val="aa"/>
        <w:numPr>
          <w:ilvl w:val="0"/>
          <w:numId w:val="2"/>
        </w:numPr>
        <w:ind w:left="567" w:hanging="567"/>
        <w:contextualSpacing w:val="0"/>
      </w:pPr>
      <w:r w:rsidRPr="007A66D1">
        <w:t xml:space="preserve">On December 12, 2017, the HCJ ruled that the AG's decision not to order the opening of a criminal investigation regarding methods used by ISA interrogators during an interrogation of a detainee involved in terrorist activity is reasonable, and rejected the petition. The Court held that the interrogation methods used do not constitute torture and that the interrogators are entitled to the claim that they </w:t>
      </w:r>
      <w:r w:rsidRPr="007A66D1">
        <w:lastRenderedPageBreak/>
        <w:t xml:space="preserve">acted under the "necessity" defense regarding certain exceptional methods that were used. </w:t>
      </w:r>
    </w:p>
    <w:p w14:paraId="74EEB16F" w14:textId="77777777" w:rsidR="007A66D1" w:rsidRPr="007A66D1" w:rsidRDefault="006B79F7" w:rsidP="001F52F8">
      <w:pPr>
        <w:pStyle w:val="aa"/>
        <w:numPr>
          <w:ilvl w:val="0"/>
          <w:numId w:val="2"/>
        </w:numPr>
        <w:ind w:left="567" w:hanging="567"/>
        <w:contextualSpacing w:val="0"/>
      </w:pPr>
      <w:r w:rsidRPr="007A66D1">
        <w:t xml:space="preserve">The petitioner was arrested on September 3, 2007 on suspicion that he was the explosives expert of an active Hamas terrorist cell in Nablus, possessing information pertaining to its explosives lab, explosive devices and plans for terrorist attacks. These suspicions were based on highly credible information. Therefore, there were concrete grounds to assume that the petitioner was in possession of information that was crucial to the aversion of a real and substantial threat to human life. Due to the immediate need to attain this urgent information in order to save lives, the interrogators employed certain exceptional measures during his interrogation.  </w:t>
      </w:r>
    </w:p>
    <w:p w14:paraId="0419E3B1" w14:textId="77777777" w:rsidR="007A66D1" w:rsidRPr="007A66D1" w:rsidRDefault="006B79F7" w:rsidP="001F52F8">
      <w:pPr>
        <w:pStyle w:val="aa"/>
        <w:numPr>
          <w:ilvl w:val="0"/>
          <w:numId w:val="2"/>
        </w:numPr>
        <w:ind w:left="567" w:hanging="567"/>
        <w:contextualSpacing w:val="0"/>
      </w:pPr>
      <w:r w:rsidRPr="007A66D1">
        <w:t xml:space="preserve">During the course of his interrogation, the petitioner revealed the location of the explosives lab in which he produced explosive materials and explosive devices and the details of a person to whom he had given an explosive belt that he had manufactured. The petitioner also gave his interrogators information about another explosives lab and a warehouse for chemical substances used in the preparation of explosive materials. The information provided by the petitioner led to the apprehension on September 22, 2007 of a ready-to-use explosive belt that was left in the heart of Tel Aviv-Jaffa, for a terrorist to collect and use to carry out a mass terrorist attack. That information also led to the discovery of two (2) additional explosives labs in which many explosive materials were found.  </w:t>
      </w:r>
    </w:p>
    <w:p w14:paraId="7040B438" w14:textId="77777777" w:rsidR="007A66D1" w:rsidRPr="007A66D1" w:rsidRDefault="006B79F7" w:rsidP="001F52F8">
      <w:pPr>
        <w:pStyle w:val="aa"/>
        <w:numPr>
          <w:ilvl w:val="0"/>
          <w:numId w:val="2"/>
        </w:numPr>
        <w:ind w:left="567" w:hanging="567"/>
        <w:contextualSpacing w:val="0"/>
      </w:pPr>
      <w:r w:rsidRPr="007A66D1">
        <w:t>The HCJ ruled that the petitioner's complaints filed regarding the interrogation were examined on a number of separate occasions by the most senior Israeli legal professionals, including the State Attorney and the AG. The Inspector conducted three (3) inquiries of the matter: in 2007 when the initial complaint was filed on behalf of the petitioner, in 2014 and in 2015, after the Inspector became part of the MoJ. On these occasions, the Inspector recommended not to open a criminal investigation on the basis of its findings. The recommendation of the Inspector was brought before the State Attorney and the AG for review on several occasions, when the positions were held by different persons, and time and again it was decided that a criminal investigation was not warranted.</w:t>
      </w:r>
    </w:p>
    <w:p w14:paraId="7D4ECE03" w14:textId="0C7BDEC6" w:rsidR="007A66D1" w:rsidRPr="007A66D1" w:rsidRDefault="006B79F7" w:rsidP="00651BCA">
      <w:pPr>
        <w:pStyle w:val="aa"/>
        <w:numPr>
          <w:ilvl w:val="0"/>
          <w:numId w:val="2"/>
        </w:numPr>
        <w:ind w:left="567" w:hanging="567"/>
        <w:contextualSpacing w:val="0"/>
        <w:rPr>
          <w:rtl/>
        </w:rPr>
      </w:pPr>
      <w:r w:rsidRPr="007A66D1">
        <w:lastRenderedPageBreak/>
        <w:t>The H</w:t>
      </w:r>
      <w:r w:rsidR="00651BCA">
        <w:t>CJ</w:t>
      </w:r>
      <w:r w:rsidRPr="007A66D1">
        <w:t xml:space="preserve"> found that certain exceptional methods of interrogation were used, but they do not constitute torture as they did not cause severe pain and suffering according to Article 1 of the CAT. The Court based this decision on the severity of events described by the petitioner in his initial complaints and in accordance with the material presented by the AG and the ISA, and rejected a more severe description of the events that was raised by the petitioner at a later time (upon his release from prison in 2012). The Court found that a forensic evaluation of the petitioner conducted according to the Manual on the Effective Investigation and Documentation of Torture (Istanbul Protocol), did not have substantial evidentiary weight as it was based on his later complaints, did not have sufficient medical documentation from the time of the interrogation and could not point to a direct and substantial link between the medical assessments and the investigation. </w:t>
      </w:r>
    </w:p>
    <w:p w14:paraId="53424B17" w14:textId="5B0740E0" w:rsidR="007A66D1" w:rsidRPr="007A66D1" w:rsidRDefault="006B79F7" w:rsidP="00B457F4">
      <w:pPr>
        <w:pStyle w:val="aa"/>
        <w:numPr>
          <w:ilvl w:val="0"/>
          <w:numId w:val="2"/>
        </w:numPr>
        <w:ind w:left="567" w:hanging="567"/>
        <w:contextualSpacing w:val="0"/>
      </w:pPr>
      <w:r w:rsidRPr="007A66D1">
        <w:t xml:space="preserve">The Court stated that according to the AG's guidelines the "necessity" defense cannot be applied when interrogation methods of the ISA amount to torture. Since it was established in this case that the ISA interrogation methods did not constitute torture, and there was a real and substantial threat to human life, the Court ruled that the interrogators are entitled to the "necessity" defense and therefore should not be subjected to a criminal investigation or prosecution (H.C.J. 5722/12 </w:t>
      </w:r>
      <w:r w:rsidRPr="007A66D1">
        <w:rPr>
          <w:i/>
          <w:iCs/>
        </w:rPr>
        <w:t>As'ad Abu-Gosh v. The Attorney General</w:t>
      </w:r>
      <w:r w:rsidRPr="007A66D1">
        <w:t xml:space="preserve"> (12.12.2017)).</w:t>
      </w:r>
    </w:p>
    <w:p w14:paraId="6E4AC514"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19" w:name="_Toc60141934"/>
      <w:bookmarkStart w:id="20" w:name="_GoBack"/>
      <w:bookmarkEnd w:id="20"/>
      <w:r w:rsidRPr="00973082">
        <w:rPr>
          <w:rFonts w:ascii="Times New Roman" w:hAnsi="Times New Roman"/>
          <w:b/>
          <w:bCs/>
          <w:color w:val="auto"/>
          <w:sz w:val="24"/>
          <w:szCs w:val="24"/>
          <w:u w:val="single"/>
        </w:rPr>
        <w:t xml:space="preserve">Question No. </w:t>
      </w:r>
      <w:r w:rsidR="004F7053" w:rsidRPr="00973082">
        <w:rPr>
          <w:rFonts w:ascii="Times New Roman" w:hAnsi="Times New Roman"/>
          <w:b/>
          <w:bCs/>
          <w:color w:val="auto"/>
          <w:sz w:val="24"/>
          <w:szCs w:val="24"/>
          <w:u w:val="single"/>
        </w:rPr>
        <w:t>35</w:t>
      </w:r>
      <w:bookmarkEnd w:id="19"/>
    </w:p>
    <w:p w14:paraId="457781A2" w14:textId="77777777" w:rsidR="004F7053" w:rsidRDefault="006B79F7" w:rsidP="00BB339C">
      <w:pPr>
        <w:pStyle w:val="Default"/>
        <w:spacing w:line="360" w:lineRule="auto"/>
        <w:rPr>
          <w:b/>
          <w:bCs/>
          <w:color w:val="auto"/>
          <w:u w:val="single"/>
        </w:rPr>
      </w:pPr>
      <w:r w:rsidRPr="004F7053">
        <w:rPr>
          <w:b/>
          <w:bCs/>
          <w:color w:val="auto"/>
          <w:u w:val="single"/>
        </w:rPr>
        <w:t>Case law</w:t>
      </w:r>
    </w:p>
    <w:p w14:paraId="34EFB8F6" w14:textId="788B9277" w:rsidR="00EC6A32" w:rsidRDefault="00EC6A32" w:rsidP="00D12244">
      <w:pPr>
        <w:pStyle w:val="aa"/>
        <w:numPr>
          <w:ilvl w:val="0"/>
          <w:numId w:val="2"/>
        </w:numPr>
        <w:ind w:left="567" w:hanging="567"/>
        <w:contextualSpacing w:val="0"/>
      </w:pPr>
      <w:r w:rsidRPr="00D12244">
        <w:rPr>
          <w:b/>
          <w:bCs/>
        </w:rPr>
        <w:t xml:space="preserve">HCJ 1591/18 </w:t>
      </w:r>
      <w:r w:rsidRPr="00D12244">
        <w:rPr>
          <w:b/>
          <w:bCs/>
          <w:i/>
          <w:iCs/>
        </w:rPr>
        <w:t>Anonymous v. The Minister of Justice and the Police Inspector General</w:t>
      </w:r>
      <w:r>
        <w:rPr>
          <w:b/>
          <w:bCs/>
        </w:rPr>
        <w:t xml:space="preserve"> (17.9.2020)</w:t>
      </w:r>
      <w:r w:rsidRPr="00D12244">
        <w:rPr>
          <w:b/>
          <w:bCs/>
        </w:rPr>
        <w:t>-</w:t>
      </w:r>
      <w:r>
        <w:t xml:space="preserve"> The Plaintiff, an Israeli national of Bedouin descent, appealed to the HCJ regarding the State’s rejection of her application to be recognized as a victim of trafficking in persons. The </w:t>
      </w:r>
      <w:r w:rsidR="00B457F4">
        <w:t>p</w:t>
      </w:r>
      <w:r>
        <w:t>laintiff, then a minor</w:t>
      </w:r>
      <w:r w:rsidR="00AC3779">
        <w:t xml:space="preserve"> aged sixteen (16)</w:t>
      </w:r>
      <w:r>
        <w:t>, who was subjected to an arranged marriage to an older man by her parents</w:t>
      </w:r>
      <w:r w:rsidR="00AC3779">
        <w:t>,</w:t>
      </w:r>
      <w:r>
        <w:t xml:space="preserve"> in exchange for a monetary dowry, endured emotional and physical abuse by both her husband and family, and her freedom was sometimes physically restricted. </w:t>
      </w:r>
      <w:r w:rsidR="00AC3779">
        <w:t>A</w:t>
      </w:r>
      <w:r>
        <w:t xml:space="preserve">fter </w:t>
      </w:r>
      <w:r w:rsidR="00AC3779">
        <w:t xml:space="preserve">two (2) suicide attempts, her father finally agreed to her divorce from her first husband, in return of half the dowry, and within a month of her </w:t>
      </w:r>
      <w:r w:rsidR="00AC3779">
        <w:lastRenderedPageBreak/>
        <w:t xml:space="preserve">release from hospital due to the second suicide attempt, at the age of seventeen (17), her </w:t>
      </w:r>
      <w:r>
        <w:t>parents arranged her marriage to another man, much older than</w:t>
      </w:r>
      <w:r w:rsidR="00AC3779">
        <w:t xml:space="preserve"> her, who was already married to another woman, who abused her physically</w:t>
      </w:r>
      <w:r>
        <w:t xml:space="preserve"> and sexually during their wedding night. The plaintiff, </w:t>
      </w:r>
      <w:r w:rsidR="00AC3779">
        <w:t xml:space="preserve">after pleading to her sister in law to be allowed to return to her parents' home, was refused and reminded that her father had already agreed to one </w:t>
      </w:r>
      <w:r w:rsidR="00BC1D1D">
        <w:t xml:space="preserve">(1) </w:t>
      </w:r>
      <w:r w:rsidR="00AC3779">
        <w:t>divorce and would not agree to another</w:t>
      </w:r>
      <w:r>
        <w:t xml:space="preserve">, stabbed her second husband to death on the day after her sexual assault. The Plaintiff was subsequently indicted and convicted of threatening her first husband and of intentionally murdering her second husband, and was sentenced to eleven (11) years of imprisonment (in 2018 the Plaintiff was granted pardon and her punishment was reduced to nine (9) years and one (1) month). </w:t>
      </w:r>
    </w:p>
    <w:p w14:paraId="6B978B75" w14:textId="7E032C4B" w:rsidR="00EC6A32" w:rsidRDefault="00EC6A32" w:rsidP="00BC1D1D">
      <w:pPr>
        <w:pStyle w:val="aa"/>
        <w:numPr>
          <w:ilvl w:val="0"/>
          <w:numId w:val="2"/>
        </w:numPr>
        <w:ind w:left="567" w:hanging="567"/>
        <w:contextualSpacing w:val="0"/>
      </w:pPr>
      <w:r>
        <w:t xml:space="preserve">The issue brought before the HCJ was whether the State erred in its decision not to recognize the Plaintiff as a victim of </w:t>
      </w:r>
      <w:r w:rsidR="00BC1D1D">
        <w:t>TIP</w:t>
      </w:r>
      <w:r>
        <w:t>. Such a status is granted to victims of trafficking in persons</w:t>
      </w:r>
      <w:r w:rsidDel="00A37366">
        <w:t xml:space="preserve"> </w:t>
      </w:r>
      <w:r>
        <w:t xml:space="preserve">proscribed in Section 377a of the </w:t>
      </w:r>
      <w:r w:rsidRPr="00551015">
        <w:rPr>
          <w:i/>
          <w:iCs/>
        </w:rPr>
        <w:t>Penal Law</w:t>
      </w:r>
      <w:r>
        <w:t xml:space="preserve">, who underwent acts (including, </w:t>
      </w:r>
      <w:r w:rsidRPr="00CE32E8">
        <w:rPr>
          <w:i/>
          <w:iCs/>
        </w:rPr>
        <w:t>inter alia,</w:t>
      </w:r>
      <w:r>
        <w:t xml:space="preserve"> organ trafficking, slavery, and involuntary prostitution) accompanied by the required </w:t>
      </w:r>
      <w:r w:rsidRPr="00CE32E8">
        <w:rPr>
          <w:i/>
          <w:iCs/>
        </w:rPr>
        <w:t>mens rea</w:t>
      </w:r>
      <w:r>
        <w:t xml:space="preserve">. The Plaintiff's request further relied on Section 375a of the </w:t>
      </w:r>
      <w:r w:rsidRPr="00551015">
        <w:rPr>
          <w:i/>
          <w:iCs/>
        </w:rPr>
        <w:t>Penal Law</w:t>
      </w:r>
      <w:r>
        <w:t>, which stipulates a criminal prohibition on holding a person under conditions of slavery. T</w:t>
      </w:r>
      <w:r w:rsidR="00BC1D1D">
        <w:t>IP</w:t>
      </w:r>
      <w:r>
        <w:t xml:space="preserve"> victims are accordingly eligible to rights in both criminal proceedings and in civil matters, including a policy of non-punishment for offences stemming from the human trafficking offences performed against them, the right to conduct their hearings behind closed doors, the right to free legal aid in civil proceedings related to those offences, the right to apply for funds for rehabilitation from a designated fund, and the right to receive medical and psychological care in shelters for victims of trafficking for a one (1)-year period. The Police, which has the authority to recognize </w:t>
      </w:r>
      <w:r w:rsidR="00BC1D1D">
        <w:t>TIP</w:t>
      </w:r>
      <w:r>
        <w:t xml:space="preserve"> victims decided not to recognize the </w:t>
      </w:r>
      <w:r w:rsidR="00BC1D1D">
        <w:t>p</w:t>
      </w:r>
      <w:r>
        <w:t xml:space="preserve">laintiff as such; claiming that there was insufficient evidence to establish that the </w:t>
      </w:r>
      <w:r w:rsidR="00BC1D1D">
        <w:t>p</w:t>
      </w:r>
      <w:r>
        <w:t xml:space="preserve">laintiff’s parents had foreseen the violations that would occur against her, and as such, that the </w:t>
      </w:r>
      <w:r w:rsidRPr="005C4A30">
        <w:rPr>
          <w:i/>
          <w:iCs/>
        </w:rPr>
        <w:t>mens rea</w:t>
      </w:r>
      <w:r>
        <w:t xml:space="preserve"> element was not fulfilled. </w:t>
      </w:r>
    </w:p>
    <w:p w14:paraId="2FCDFC65" w14:textId="3AC0933F" w:rsidR="00EC6A32" w:rsidRDefault="00EC6A32" w:rsidP="00BC1D1D">
      <w:pPr>
        <w:pStyle w:val="aa"/>
        <w:numPr>
          <w:ilvl w:val="0"/>
          <w:numId w:val="2"/>
        </w:numPr>
        <w:ind w:left="567" w:hanging="567"/>
        <w:contextualSpacing w:val="0"/>
      </w:pPr>
      <w:r>
        <w:t xml:space="preserve">In its decision, the HCJ accepted the </w:t>
      </w:r>
      <w:r w:rsidR="00BC1D1D">
        <w:t>p</w:t>
      </w:r>
      <w:r>
        <w:t xml:space="preserve">laintiff’s petition partially, holding that the relevant authorities must conduct an additional review of the </w:t>
      </w:r>
      <w:r w:rsidR="00BC1D1D">
        <w:t>p</w:t>
      </w:r>
      <w:r>
        <w:t xml:space="preserve">laintiff’s status. While acknowledging that an arranged marriage does not constitute </w:t>
      </w:r>
      <w:r w:rsidR="00BC1D1D">
        <w:t>TIP</w:t>
      </w:r>
      <w:r>
        <w:t xml:space="preserve"> </w:t>
      </w:r>
      <w:r w:rsidRPr="00CF5E56">
        <w:rPr>
          <w:i/>
          <w:iCs/>
        </w:rPr>
        <w:t xml:space="preserve">ipso </w:t>
      </w:r>
      <w:r w:rsidRPr="00CF5E56">
        <w:rPr>
          <w:i/>
          <w:iCs/>
        </w:rPr>
        <w:lastRenderedPageBreak/>
        <w:t>facto</w:t>
      </w:r>
      <w:r>
        <w:t xml:space="preserve">, the Court recognized that where an arranged marriage includes both elements of the </w:t>
      </w:r>
      <w:r w:rsidR="00BC1D1D">
        <w:t>TIP</w:t>
      </w:r>
      <w:r>
        <w:t xml:space="preserve">'s offence; namely, the transactional action coupled with the intent or knowledge of the potential violations as legislated, then an arranged marriage may be considered as human trafficking </w:t>
      </w:r>
      <w:r w:rsidRPr="00914C05">
        <w:rPr>
          <w:i/>
          <w:iCs/>
        </w:rPr>
        <w:t>de jure</w:t>
      </w:r>
      <w:r>
        <w:t xml:space="preserve">. Accordingly, the Court held that the Police must review the Plaintiff’s status in light of a determination regarding whether her parents could have foreseen the possibility that she would be subjected to sexual offences resulting from the arranged marriage. </w:t>
      </w:r>
      <w:r w:rsidR="00AC3779">
        <w:t>In this regard it should be mentioned that the evidence in the murder case indicated that it was known that her first husband had divorced a previous wife due to violence against her.</w:t>
      </w:r>
    </w:p>
    <w:p w14:paraId="03692A41" w14:textId="2639D830" w:rsidR="00EC6A32" w:rsidRDefault="00EC6A32" w:rsidP="00BC1D1D">
      <w:pPr>
        <w:pStyle w:val="aa"/>
        <w:numPr>
          <w:ilvl w:val="0"/>
          <w:numId w:val="2"/>
        </w:numPr>
        <w:ind w:left="567" w:hanging="567"/>
        <w:contextualSpacing w:val="0"/>
      </w:pPr>
      <w:r>
        <w:t xml:space="preserve">In making its decision, the HCJ stressed that the Police must apply the low </w:t>
      </w:r>
      <w:r w:rsidR="00AC3779">
        <w:t xml:space="preserve">administrative </w:t>
      </w:r>
      <w:r>
        <w:t xml:space="preserve">evidentiary threshold required for the purposes of such status determinations – </w:t>
      </w:r>
      <w:r w:rsidRPr="00CF2AE8">
        <w:rPr>
          <w:i/>
          <w:iCs/>
          <w:u w:val="single"/>
        </w:rPr>
        <w:t>prima facie</w:t>
      </w:r>
      <w:r>
        <w:t xml:space="preserve"> evidence, a lower threshold than that required in criminal proceedings, as its main purpose is granting access to rehabilitation to victims), and must ensure that the assessment of the evidence in light of this threshold is conducted by an official with </w:t>
      </w:r>
      <w:r w:rsidR="00AC3779">
        <w:t xml:space="preserve">expertise in the field and relevant </w:t>
      </w:r>
      <w:r>
        <w:t xml:space="preserve">legal training. Moreover, the determination must be based on an interview with the </w:t>
      </w:r>
      <w:r w:rsidR="00BC1D1D">
        <w:t>p</w:t>
      </w:r>
      <w:r>
        <w:t xml:space="preserve">laintiff, who ought to be treated as a victim rather than as a perpetrator; the Court criticized the process that relied </w:t>
      </w:r>
      <w:r w:rsidR="00AC3779">
        <w:t xml:space="preserve">solely </w:t>
      </w:r>
      <w:r>
        <w:t xml:space="preserve">on evidence collected during the criminal proceedings against the Plaintiff. In arriving to this conclusion, the HCJ referred to Israel’s obligations under international law, as stemming from the UN </w:t>
      </w:r>
      <w:r w:rsidRPr="002D710B">
        <w:t>Protocol to Prevent, Suppress and Punish Trafficking in Persons Especially Women and Children, supplementing the</w:t>
      </w:r>
      <w:r w:rsidRPr="00CF2AE8">
        <w:t xml:space="preserve"> </w:t>
      </w:r>
      <w:r w:rsidRPr="002D710B">
        <w:t>United Nations Convention</w:t>
      </w:r>
      <w:r w:rsidRPr="00CF2AE8">
        <w:t xml:space="preserve"> </w:t>
      </w:r>
      <w:r w:rsidRPr="002D710B">
        <w:t>against</w:t>
      </w:r>
      <w:r w:rsidRPr="00CF2AE8">
        <w:t xml:space="preserve"> </w:t>
      </w:r>
      <w:r w:rsidRPr="002D710B">
        <w:t>Transnational</w:t>
      </w:r>
      <w:r w:rsidRPr="00CF2AE8">
        <w:t xml:space="preserve"> </w:t>
      </w:r>
      <w:r w:rsidRPr="002D710B">
        <w:t>Organized</w:t>
      </w:r>
      <w:r w:rsidRPr="00CF2AE8">
        <w:t xml:space="preserve"> </w:t>
      </w:r>
      <w:r w:rsidRPr="002D710B">
        <w:t>Crime</w:t>
      </w:r>
      <w:r w:rsidRPr="002D710B">
        <w:br/>
      </w:r>
      <w:r>
        <w:t xml:space="preserve">("The Palermo Protocol"), </w:t>
      </w:r>
      <w:r w:rsidR="00BC1D1D">
        <w:t>t</w:t>
      </w:r>
      <w:r>
        <w:t xml:space="preserve">he Slavery Convention of 1926 and the Optional Protocol to the Convention on the Rights of the Child on the Sale of Children, Child Prostitution and Child Pornography. The HCJ further noted both amendments to </w:t>
      </w:r>
      <w:r w:rsidRPr="0039127D">
        <w:rPr>
          <w:i/>
          <w:iCs/>
        </w:rPr>
        <w:t>Penal Law</w:t>
      </w:r>
      <w:r>
        <w:t xml:space="preserve"> and policy measures which have been adopted in order to protect victims of </w:t>
      </w:r>
      <w:r w:rsidR="00BC1D1D">
        <w:t>TIP</w:t>
      </w:r>
      <w:r w:rsidDel="00A37366">
        <w:t xml:space="preserve"> </w:t>
      </w:r>
      <w:r>
        <w:t xml:space="preserve">in accordance with Israel’s </w:t>
      </w:r>
      <w:r w:rsidR="00BC1D1D">
        <w:t>i</w:t>
      </w:r>
      <w:r>
        <w:t>nternational obligations.</w:t>
      </w:r>
    </w:p>
    <w:p w14:paraId="7CCD3CE1" w14:textId="54A0944C" w:rsidR="00EC6A32" w:rsidRPr="004F7053" w:rsidRDefault="00EC6A32" w:rsidP="00D12244">
      <w:pPr>
        <w:pStyle w:val="aa"/>
        <w:numPr>
          <w:ilvl w:val="0"/>
          <w:numId w:val="2"/>
        </w:numPr>
        <w:ind w:left="567" w:hanging="567"/>
        <w:contextualSpacing w:val="0"/>
      </w:pPr>
      <w:r w:rsidRPr="00D12244">
        <w:rPr>
          <w:b/>
          <w:bCs/>
        </w:rPr>
        <w:t xml:space="preserve">Appeal 5492-17 </w:t>
      </w:r>
      <w:r w:rsidRPr="00D12244">
        <w:rPr>
          <w:b/>
          <w:bCs/>
          <w:i/>
          <w:iCs/>
        </w:rPr>
        <w:t>Anonymous v. The Population and Immigration Authority-</w:t>
      </w:r>
      <w:r w:rsidRPr="004F7053">
        <w:t xml:space="preserve"> On July</w:t>
      </w:r>
      <w:r w:rsidR="00EF6939">
        <w:t xml:space="preserve"> 3,</w:t>
      </w:r>
      <w:r w:rsidRPr="004F7053">
        <w:t xml:space="preserve"> 2018, the Jerusalem Appeals Tribunal, in Appeal 5492-17 </w:t>
      </w:r>
      <w:r w:rsidRPr="004F7053">
        <w:rPr>
          <w:i/>
          <w:iCs/>
        </w:rPr>
        <w:t>Anonymous v. The Population and Immigration Authority</w:t>
      </w:r>
      <w:r w:rsidRPr="004F7053">
        <w:t xml:space="preserve"> accepted an appeal concerning the </w:t>
      </w:r>
      <w:r w:rsidRPr="004F7053">
        <w:lastRenderedPageBreak/>
        <w:t xml:space="preserve">objection to the decision of the Respondent's CEO. After a discussion at the inter-ministerial committee, </w:t>
      </w:r>
      <w:r w:rsidR="00EF6939">
        <w:t xml:space="preserve">it was decided </w:t>
      </w:r>
      <w:r w:rsidRPr="004F7053">
        <w:t xml:space="preserve">to deny the Appellant's status in Israel for humanitarian reasons, at the end of the rehabilitation year at the "Ma'agan" shelter. The Appellant is an Ethiopian woman who was kidnapped in the Sinai </w:t>
      </w:r>
      <w:r w:rsidR="00D12244">
        <w:t>Peninsula and</w:t>
      </w:r>
      <w:r w:rsidRPr="004F7053">
        <w:t xml:space="preserve"> has been subjected to severe violence and heinous crimes and sexual violence. The Tribunal accepted the appeal and ordered the granting of a B/1 visa, which includes a work permit in Israel for two (2) years. The Tribunal ruled that the main consideration was the Appellant's mental state, and the intensity of the harsh encounters she experienced in her life, in particular the ordeal she suffered in Sinai. The Tribunal ruled that removing the Appellant from the professional support system she has in Israel and her return to Ethiopia at this stage could significantly impair her chances of rehabilitation. </w:t>
      </w:r>
    </w:p>
    <w:p w14:paraId="14B4F6F3" w14:textId="6F6D7B8B" w:rsidR="004F7053" w:rsidRPr="004F7053" w:rsidRDefault="00EC6A32" w:rsidP="00EF6939">
      <w:pPr>
        <w:pStyle w:val="aa"/>
        <w:numPr>
          <w:ilvl w:val="0"/>
          <w:numId w:val="2"/>
        </w:numPr>
        <w:ind w:left="567" w:hanging="567"/>
        <w:contextualSpacing w:val="0"/>
      </w:pPr>
      <w:r w:rsidRPr="00D12244">
        <w:rPr>
          <w:b/>
          <w:bCs/>
        </w:rPr>
        <w:t xml:space="preserve">Cr.Ap.Rq. 2707/17 </w:t>
      </w:r>
      <w:r w:rsidRPr="00D12244">
        <w:rPr>
          <w:b/>
          <w:bCs/>
          <w:i/>
          <w:iCs/>
        </w:rPr>
        <w:t>Anonymous v. The State of Israel</w:t>
      </w:r>
      <w:r w:rsidRPr="00D12244">
        <w:rPr>
          <w:b/>
          <w:bCs/>
        </w:rPr>
        <w:t>-</w:t>
      </w:r>
      <w:r w:rsidRPr="00D12244">
        <w:rPr>
          <w:u w:val="single"/>
        </w:rPr>
        <w:t xml:space="preserve"> </w:t>
      </w:r>
      <w:r w:rsidR="006B79F7" w:rsidRPr="004F7053">
        <w:t xml:space="preserve">On July 6, 2017, the Supreme Court ruled in the appeal of Cr.Ap.Rq. 2707/17, </w:t>
      </w:r>
      <w:r w:rsidR="006B79F7" w:rsidRPr="004F7053">
        <w:rPr>
          <w:i/>
          <w:iCs/>
        </w:rPr>
        <w:t>Anonymous v. The State of Israel</w:t>
      </w:r>
      <w:r w:rsidR="006B79F7" w:rsidRPr="004F7053">
        <w:t xml:space="preserve">. The Supreme Court discussed whether or not the lower instance may award compensation under Section 38(a) of the </w:t>
      </w:r>
      <w:r w:rsidR="006B79F7" w:rsidRPr="004F7053">
        <w:rPr>
          <w:i/>
          <w:iCs/>
        </w:rPr>
        <w:t>Criminal Procedure (Arrests)</w:t>
      </w:r>
      <w:r w:rsidR="006B79F7" w:rsidRPr="004F7053">
        <w:t xml:space="preserve"> </w:t>
      </w:r>
      <w:r w:rsidR="006B79F7" w:rsidRPr="004F7053">
        <w:rPr>
          <w:i/>
          <w:iCs/>
        </w:rPr>
        <w:t>Law</w:t>
      </w:r>
      <w:r w:rsidR="006B79F7" w:rsidRPr="004F7053">
        <w:t xml:space="preserve">, before the prosecution has decided not to indict the suspect. The Court held that the wording of Section 38(a) indicated that in order for award compensation to be paid under section 38(a), it is insufficient that the suspect is released from custody, and that there was no basis for the arrest, but that the termination of the proceeding without an indictment is an essential condition that restricts the Court's authority to award compensation in favor of the suspect. According to the Court's position, the wording of the section creates a firm link between the question of the suspect's guilt and the assessment of the need for detention, suggesting that the possibility of awarding compensation was dedicated uniquely to cases where the decision not to indict raises concern that there was no reason to arrest the suspect in the first place. The Court noted that insofar as the PDO finds it appropriate to allow monetary compensation under Section 38(a) to suspects for false arrest, even in cases in which it was decided to indict them or when it has not yet been decided whether to indict, such compensation should be incorporated into the </w:t>
      </w:r>
      <w:r w:rsidR="006B79F7" w:rsidRPr="004F7053">
        <w:rPr>
          <w:i/>
          <w:iCs/>
        </w:rPr>
        <w:t>Criminal Procedure (Arrests)</w:t>
      </w:r>
      <w:r w:rsidR="006B79F7" w:rsidRPr="004F7053">
        <w:t xml:space="preserve"> </w:t>
      </w:r>
      <w:r w:rsidR="006B79F7" w:rsidRPr="004F7053">
        <w:rPr>
          <w:i/>
          <w:iCs/>
        </w:rPr>
        <w:t>Law</w:t>
      </w:r>
      <w:r w:rsidR="006B79F7" w:rsidRPr="004F7053">
        <w:t xml:space="preserve"> by way of legislation amendment.</w:t>
      </w:r>
    </w:p>
    <w:p w14:paraId="2E892FB0" w14:textId="44B386AB" w:rsidR="004F7053" w:rsidRPr="000D40CC" w:rsidRDefault="006B79F7" w:rsidP="00EF6939">
      <w:pPr>
        <w:pStyle w:val="aa"/>
        <w:numPr>
          <w:ilvl w:val="0"/>
          <w:numId w:val="2"/>
        </w:numPr>
        <w:ind w:left="567" w:hanging="567"/>
        <w:contextualSpacing w:val="0"/>
      </w:pPr>
      <w:r w:rsidRPr="004F7053">
        <w:lastRenderedPageBreak/>
        <w:t xml:space="preserve">On March 6, 2013, the Court ruled regarding the </w:t>
      </w:r>
      <w:r w:rsidR="00D12244" w:rsidRPr="004F7053">
        <w:t>Appellant's</w:t>
      </w:r>
      <w:r w:rsidRPr="004F7053">
        <w:t xml:space="preserve"> request, and ordered her immediate release to her cousin's home in Tel Aviv-Jaffa (Ad.Ap. 22981-02-13 </w:t>
      </w:r>
      <w:r w:rsidRPr="004F7053">
        <w:rPr>
          <w:i/>
          <w:iCs/>
        </w:rPr>
        <w:t>Tosfay (Prisoner) v. The Ministry of Interior</w:t>
      </w:r>
      <w:r w:rsidRPr="004F7053">
        <w:t xml:space="preserve"> (the Administrative Court in Be'er-Sheva))</w:t>
      </w:r>
      <w:r w:rsidR="00EF6939">
        <w:t>.</w:t>
      </w:r>
      <w:r w:rsidRPr="004F7053">
        <w:t xml:space="preserve"> The Appellant, an Eritrean woman, entered Israel in 2012 and was held at </w:t>
      </w:r>
      <w:r w:rsidR="00FD265E">
        <w:t>"</w:t>
      </w:r>
      <w:r w:rsidRPr="004F7053">
        <w:t>Saharonim</w:t>
      </w:r>
      <w:r w:rsidR="00FD265E">
        <w:t>"</w:t>
      </w:r>
      <w:r w:rsidRPr="004F7053">
        <w:t xml:space="preserve">. While the State was of the </w:t>
      </w:r>
      <w:r w:rsidRPr="000D40CC">
        <w:t xml:space="preserve">view that the Appellant should be held in a shelter rather than in </w:t>
      </w:r>
      <w:r w:rsidR="00FD265E">
        <w:t>"</w:t>
      </w:r>
      <w:r w:rsidRPr="000D40CC">
        <w:t>Saharonim</w:t>
      </w:r>
      <w:r w:rsidR="00FD265E">
        <w:t>"</w:t>
      </w:r>
      <w:r w:rsidRPr="000D40CC">
        <w:t>, at that time there was no vacancy at the "Ma'agan" shelter. She underwent severe violence and heinous crimes in Sinai, was beaten, raped and humiliated daily for two (2) months. She requested the PIA to be released to her cousin's home until a place is found in the shelter, but the PIA rejected her request, as it believed that she should only be released to a place where she could continue her rehabilitation process. This decision set a precedence according to which, victims of trafficking and slavery shall not be held in custody.</w:t>
      </w:r>
      <w:r w:rsidRPr="000D40CC">
        <w:rPr>
          <w:rtl/>
        </w:rPr>
        <w:t xml:space="preserve"> </w:t>
      </w:r>
    </w:p>
    <w:p w14:paraId="5FF745E2" w14:textId="72FB4DFB" w:rsidR="000D40CC" w:rsidRPr="000D40CC" w:rsidRDefault="006B79F7" w:rsidP="00D73B2F">
      <w:pPr>
        <w:tabs>
          <w:tab w:val="left" w:pos="851"/>
          <w:tab w:val="left" w:pos="1134"/>
        </w:tabs>
        <w:ind w:right="19"/>
        <w:rPr>
          <w:b/>
          <w:u w:val="single"/>
        </w:rPr>
      </w:pPr>
      <w:r w:rsidRPr="000D40CC">
        <w:rPr>
          <w:b/>
          <w:u w:val="single"/>
        </w:rPr>
        <w:t xml:space="preserve">Rights of </w:t>
      </w:r>
      <w:r w:rsidR="00D73B2F">
        <w:rPr>
          <w:b/>
          <w:u w:val="single"/>
        </w:rPr>
        <w:t>TIP</w:t>
      </w:r>
      <w:r w:rsidRPr="000D40CC">
        <w:rPr>
          <w:b/>
          <w:u w:val="single"/>
        </w:rPr>
        <w:t xml:space="preserve"> </w:t>
      </w:r>
      <w:r w:rsidR="00D73B2F">
        <w:rPr>
          <w:b/>
          <w:u w:val="single"/>
        </w:rPr>
        <w:t>v</w:t>
      </w:r>
      <w:r w:rsidRPr="000D40CC">
        <w:rPr>
          <w:b/>
          <w:u w:val="single"/>
        </w:rPr>
        <w:t>ictims</w:t>
      </w:r>
    </w:p>
    <w:p w14:paraId="2C40CBDD" w14:textId="77777777" w:rsidR="000D40CC" w:rsidRPr="000D40CC" w:rsidRDefault="006B79F7" w:rsidP="00BB339C">
      <w:pPr>
        <w:autoSpaceDE w:val="0"/>
        <w:autoSpaceDN w:val="0"/>
        <w:adjustRightInd w:val="0"/>
        <w:rPr>
          <w:u w:val="single"/>
        </w:rPr>
      </w:pPr>
      <w:r w:rsidRPr="000D40CC">
        <w:rPr>
          <w:u w:val="single"/>
        </w:rPr>
        <w:t>Medical services</w:t>
      </w:r>
    </w:p>
    <w:p w14:paraId="4CD9B22E" w14:textId="7A51414C" w:rsidR="000D40CC" w:rsidRPr="000D40CC" w:rsidRDefault="006B79F7" w:rsidP="00D73B2F">
      <w:pPr>
        <w:pStyle w:val="aa"/>
        <w:numPr>
          <w:ilvl w:val="0"/>
          <w:numId w:val="2"/>
        </w:numPr>
        <w:ind w:left="567" w:hanging="567"/>
        <w:contextualSpacing w:val="0"/>
      </w:pPr>
      <w:r w:rsidRPr="000D40CC">
        <w:t xml:space="preserve">In accordance with the </w:t>
      </w:r>
      <w:r w:rsidRPr="000D40CC">
        <w:rPr>
          <w:i/>
          <w:iCs/>
        </w:rPr>
        <w:t>Patients Rights' Law 5756-1996</w:t>
      </w:r>
      <w:r w:rsidRPr="000D40CC">
        <w:t xml:space="preserve">, any person is entitled to urgent medical care and hospitalization. This right is not conditioned </w:t>
      </w:r>
      <w:r w:rsidR="00D73B2F">
        <w:t>upon</w:t>
      </w:r>
      <w:r w:rsidRPr="000D40CC">
        <w:t xml:space="preserve"> pre-payment or requires that the patient would be an Israeli citizen. </w:t>
      </w:r>
    </w:p>
    <w:p w14:paraId="569560D5" w14:textId="66446D68" w:rsidR="000D40CC" w:rsidRPr="000D40CC" w:rsidRDefault="006B79F7" w:rsidP="00D73B2F">
      <w:pPr>
        <w:pStyle w:val="aa"/>
        <w:numPr>
          <w:ilvl w:val="0"/>
          <w:numId w:val="2"/>
        </w:numPr>
        <w:ind w:left="567" w:hanging="567"/>
        <w:contextualSpacing w:val="0"/>
      </w:pPr>
      <w:r w:rsidRPr="000D40CC">
        <w:t xml:space="preserve">TIP </w:t>
      </w:r>
      <w:r w:rsidR="00D73B2F">
        <w:t>v</w:t>
      </w:r>
      <w:r w:rsidRPr="000D40CC">
        <w:t xml:space="preserve">ictims residing in a shelter receive complete medical care free of charge, including, </w:t>
      </w:r>
      <w:r w:rsidRPr="000D40CC">
        <w:rPr>
          <w:i/>
          <w:iCs/>
        </w:rPr>
        <w:t>inter alia</w:t>
      </w:r>
      <w:r w:rsidRPr="000D40CC">
        <w:t>, hospitalization, medical enquiries, free medicines, and counseling. The shelter's assigned physician arrives twice a week at fixed times.</w:t>
      </w:r>
    </w:p>
    <w:p w14:paraId="3BB0A837" w14:textId="77777777" w:rsidR="000D40CC" w:rsidRPr="000D40CC" w:rsidRDefault="006B79F7" w:rsidP="001F52F8">
      <w:pPr>
        <w:pStyle w:val="aa"/>
        <w:numPr>
          <w:ilvl w:val="0"/>
          <w:numId w:val="2"/>
        </w:numPr>
        <w:ind w:left="567" w:hanging="567"/>
        <w:contextualSpacing w:val="0"/>
      </w:pPr>
      <w:r w:rsidRPr="000D40CC">
        <w:t xml:space="preserve">In addition, in 2018 the MoH approved the provision of a secondary medical treatment for victims of trafficking who are entitled to a year of rehabilitation but choose not to stay at the shelters. Furthermore, in 2018, an arrangement was made with a gynecologist at the Beilinson Hospital, who now provides gynecological follow-ups, including pregnancy follow-up, to the residents of the shelter and apartments. </w:t>
      </w:r>
    </w:p>
    <w:p w14:paraId="033221D9" w14:textId="1E12C185" w:rsidR="000D40CC" w:rsidRPr="000D40CC" w:rsidRDefault="006B79F7" w:rsidP="00D73B2F">
      <w:pPr>
        <w:pStyle w:val="aa"/>
        <w:numPr>
          <w:ilvl w:val="0"/>
          <w:numId w:val="2"/>
        </w:numPr>
        <w:ind w:left="567" w:hanging="567"/>
        <w:contextualSpacing w:val="0"/>
      </w:pPr>
      <w:r w:rsidRPr="000D40CC">
        <w:t xml:space="preserve">Children of victims of </w:t>
      </w:r>
      <w:r w:rsidR="00D73B2F">
        <w:t>TIP</w:t>
      </w:r>
      <w:r w:rsidRPr="000D40CC">
        <w:t xml:space="preserve"> receive free and full medical care through the health insurance provided to them by the "Meuhedet" health fund. Furthermore, family </w:t>
      </w:r>
      <w:r w:rsidRPr="000D40CC">
        <w:lastRenderedPageBreak/>
        <w:t>health centers provide child development screening tests; follow-up examinations during pregnancy, and all the required vaccinations.</w:t>
      </w:r>
    </w:p>
    <w:p w14:paraId="35492978" w14:textId="77777777" w:rsidR="000D40CC" w:rsidRPr="000D40CC" w:rsidRDefault="006B79F7" w:rsidP="001F52F8">
      <w:pPr>
        <w:pStyle w:val="aa"/>
        <w:numPr>
          <w:ilvl w:val="0"/>
          <w:numId w:val="2"/>
        </w:numPr>
        <w:ind w:left="567" w:hanging="567"/>
        <w:contextualSpacing w:val="0"/>
      </w:pPr>
      <w:r w:rsidRPr="000D40CC">
        <w:t xml:space="preserve">Childbirth services are provided without a condition of prepayment in every hospital in Israel, including full treatment for babies and for preemies. </w:t>
      </w:r>
    </w:p>
    <w:p w14:paraId="52C8BDCE" w14:textId="2B0A70DE" w:rsidR="000D40CC" w:rsidRPr="000D40CC" w:rsidRDefault="006B79F7" w:rsidP="00D73B2F">
      <w:pPr>
        <w:pStyle w:val="aa"/>
        <w:numPr>
          <w:ilvl w:val="0"/>
          <w:numId w:val="2"/>
        </w:numPr>
        <w:ind w:left="567" w:hanging="567"/>
        <w:contextualSpacing w:val="0"/>
      </w:pPr>
      <w:r w:rsidRPr="000D40CC">
        <w:t>The "Terem" Clinic, located in Tel Aviv-Jaffa, is funded by the MoH and provides primary medical care, including a doctor's examination, laboratory services and imaging services (x-ray and ultrasound). The clinic provides 36,000 appointments each year, and 260 chronic patients receive full services (including treatment, follow-up, testing, diabetes and hypertension medication</w:t>
      </w:r>
      <w:r w:rsidR="00D73B2F">
        <w:t xml:space="preserve"> and</w:t>
      </w:r>
      <w:r w:rsidRPr="000D40CC">
        <w:t xml:space="preserve"> home testing kits). Chronic patients undergo a fundoscopic exam once a year, and blood testing twice a year. Until the end of 2018, </w:t>
      </w:r>
      <w:r w:rsidR="00D73B2F">
        <w:t>"</w:t>
      </w:r>
      <w:r w:rsidRPr="000D40CC">
        <w:t>Terem</w:t>
      </w:r>
      <w:r w:rsidR="00D73B2F">
        <w:t>"</w:t>
      </w:r>
      <w:r w:rsidRPr="000D40CC">
        <w:t xml:space="preserve"> operated a specialist's clinic that was ran by volunteers. </w:t>
      </w:r>
    </w:p>
    <w:p w14:paraId="7A26772D" w14:textId="77777777" w:rsidR="000D40CC" w:rsidRPr="000D40CC" w:rsidRDefault="006B79F7" w:rsidP="001F52F8">
      <w:pPr>
        <w:pStyle w:val="aa"/>
        <w:numPr>
          <w:ilvl w:val="0"/>
          <w:numId w:val="2"/>
        </w:numPr>
        <w:ind w:left="567" w:hanging="567"/>
        <w:contextualSpacing w:val="0"/>
      </w:pPr>
      <w:r w:rsidRPr="000D40CC">
        <w:t>During 2019, the MoH was in the midst of a tender process for the continuation of the provision of the said service for emergency medicine and the treatment of chronic diseases to population without residential status. However, in the absence of a permanent Government and an annual budget for Government Ministries, the tender process was halted, and the services continue to be provided by the said "Terem" clinic based on the existing contract, which is extended periodically.</w:t>
      </w:r>
    </w:p>
    <w:p w14:paraId="30B6F667" w14:textId="62106A2C" w:rsidR="000D40CC" w:rsidRPr="000D40CC" w:rsidRDefault="006B79F7" w:rsidP="00D73B2F">
      <w:pPr>
        <w:autoSpaceDE w:val="0"/>
        <w:autoSpaceDN w:val="0"/>
        <w:adjustRightInd w:val="0"/>
        <w:rPr>
          <w:u w:val="single"/>
        </w:rPr>
      </w:pPr>
      <w:r w:rsidRPr="000D40CC">
        <w:rPr>
          <w:u w:val="single"/>
        </w:rPr>
        <w:t>Treatment of Infectious Diseases</w:t>
      </w:r>
    </w:p>
    <w:p w14:paraId="7617AD66" w14:textId="07C94FA2" w:rsidR="000D40CC" w:rsidRPr="000D40CC" w:rsidRDefault="006B79F7" w:rsidP="00D73B2F">
      <w:pPr>
        <w:pStyle w:val="aa"/>
        <w:numPr>
          <w:ilvl w:val="0"/>
          <w:numId w:val="2"/>
        </w:numPr>
        <w:ind w:left="567" w:hanging="567"/>
        <w:contextualSpacing w:val="0"/>
      </w:pPr>
      <w:r w:rsidRPr="000D40CC">
        <w:t xml:space="preserve">The MoH Clinics for Sexually Transmitted Diseases and the MoH Clinic for Foreign Residents, provide free medical services, including gynecology services to all foreign populations in need, including victims of </w:t>
      </w:r>
      <w:r w:rsidR="00D73B2F">
        <w:t>TIP</w:t>
      </w:r>
      <w:r w:rsidRPr="000D40CC">
        <w:t xml:space="preserve">. The </w:t>
      </w:r>
      <w:r w:rsidR="00D73B2F">
        <w:t>c</w:t>
      </w:r>
      <w:r w:rsidRPr="000D40CC">
        <w:t xml:space="preserve">linics offer physicians and nursing services, as well as a social worker and free medicines, in addition to X-ray and an </w:t>
      </w:r>
      <w:r w:rsidR="00D73B2F">
        <w:t>u</w:t>
      </w:r>
      <w:r w:rsidRPr="000D40CC">
        <w:t xml:space="preserve">ltrasound machines. It also operates a mobile clinic that provides services to all in need, including victims of trafficking. </w:t>
      </w:r>
    </w:p>
    <w:p w14:paraId="0564160C" w14:textId="51A1656C" w:rsidR="000D40CC" w:rsidRPr="000D40CC" w:rsidRDefault="006B79F7" w:rsidP="00D73B2F">
      <w:pPr>
        <w:pStyle w:val="aa"/>
        <w:numPr>
          <w:ilvl w:val="0"/>
          <w:numId w:val="2"/>
        </w:numPr>
        <w:ind w:left="567" w:hanging="567"/>
        <w:contextualSpacing w:val="0"/>
      </w:pPr>
      <w:r w:rsidRPr="000D40CC">
        <w:t>Diagnosis and treatment of tuberculosis is funded by the MoH, which provides treatment for tuberculosis patients at Centers for the Diagnosis and Treatment of Tuberculosis throughout the country, and hospitalization of tuberculosis patients at "Shmuel Ha</w:t>
      </w:r>
      <w:r w:rsidR="00322EDB">
        <w:t>'</w:t>
      </w:r>
      <w:r w:rsidRPr="000D40CC">
        <w:t xml:space="preserve">Rofeh" </w:t>
      </w:r>
      <w:r w:rsidR="00D73B2F">
        <w:t>H</w:t>
      </w:r>
      <w:r w:rsidRPr="000D40CC">
        <w:t>ospital.</w:t>
      </w:r>
    </w:p>
    <w:p w14:paraId="6BAE84BA" w14:textId="111C1026" w:rsidR="000D40CC" w:rsidRPr="000D40CC" w:rsidRDefault="006B79F7" w:rsidP="00BB339C">
      <w:pPr>
        <w:autoSpaceDE w:val="0"/>
        <w:autoSpaceDN w:val="0"/>
        <w:adjustRightInd w:val="0"/>
        <w:ind w:left="0" w:firstLine="0"/>
        <w:rPr>
          <w:u w:val="single"/>
        </w:rPr>
      </w:pPr>
      <w:r w:rsidRPr="000D40CC">
        <w:rPr>
          <w:u w:val="single"/>
        </w:rPr>
        <w:lastRenderedPageBreak/>
        <w:t>Mental Health</w:t>
      </w:r>
    </w:p>
    <w:p w14:paraId="2126C085" w14:textId="77777777" w:rsidR="000D40CC" w:rsidRPr="000D40CC" w:rsidRDefault="006B79F7" w:rsidP="001F52F8">
      <w:pPr>
        <w:pStyle w:val="aa"/>
        <w:numPr>
          <w:ilvl w:val="0"/>
          <w:numId w:val="2"/>
        </w:numPr>
        <w:ind w:left="567" w:hanging="567"/>
        <w:contextualSpacing w:val="0"/>
      </w:pPr>
      <w:r w:rsidRPr="000D40CC">
        <w:t xml:space="preserve">Since 2016, psychiatric care at the shelters was provided by a psychiatrist from the MoH "Gesher" clinic, trained and experienced in both cultural sensitivity and treatment of trauma. The psychiatrist visits the shelter every other week, and the services provided to victims were significantly enhanced by her availability and because of the frequency of her meetings with patients. In 2019, due to the closure of the "Gesher" mental health clinic, the psychiatric care of trafficking victims was transferred to the "Ruth" clinic, operated by "AMCHA" NGO, which has abundant experience in treating persecuted and traumatized populations (such as holocaust survivors). </w:t>
      </w:r>
    </w:p>
    <w:p w14:paraId="66B465FC" w14:textId="1A7725E7" w:rsidR="000D40CC" w:rsidRPr="000D40CC" w:rsidRDefault="006B79F7" w:rsidP="00D73B2F">
      <w:pPr>
        <w:pStyle w:val="aa"/>
        <w:numPr>
          <w:ilvl w:val="0"/>
          <w:numId w:val="2"/>
        </w:numPr>
        <w:ind w:left="567" w:hanging="567"/>
        <w:contextualSpacing w:val="0"/>
      </w:pPr>
      <w:r w:rsidRPr="000D40CC">
        <w:t xml:space="preserve">In 2019, </w:t>
      </w:r>
      <w:r w:rsidR="00D73B2F">
        <w:t>p</w:t>
      </w:r>
      <w:r w:rsidRPr="000D40CC">
        <w:t>sychiatric care was provided in the shelters and transitional apartments to 28 victims: seventeen (17) women and eleven (11) men – in both the shelter and the apartments. Most of the female patients that were treated in 2019 were in a complex mental state, such as psychotic episodes, and needed intense treatment.</w:t>
      </w:r>
    </w:p>
    <w:p w14:paraId="31B9732D" w14:textId="77777777" w:rsidR="000D40CC" w:rsidRPr="000D40CC" w:rsidRDefault="006B79F7" w:rsidP="00BB339C">
      <w:pPr>
        <w:rPr>
          <w:b/>
          <w:bCs/>
          <w:u w:val="single"/>
        </w:rPr>
      </w:pPr>
      <w:r w:rsidRPr="000D40CC">
        <w:rPr>
          <w:b/>
          <w:bCs/>
          <w:u w:val="single"/>
        </w:rPr>
        <w:t>Shelters and day centers for victims of slavery or human trafficking</w:t>
      </w:r>
    </w:p>
    <w:p w14:paraId="32845E24" w14:textId="33650320" w:rsidR="000D40CC" w:rsidRPr="000D40CC" w:rsidRDefault="006B79F7" w:rsidP="00D73B2F">
      <w:pPr>
        <w:pStyle w:val="aa"/>
        <w:numPr>
          <w:ilvl w:val="0"/>
          <w:numId w:val="2"/>
        </w:numPr>
        <w:ind w:left="567" w:hanging="567"/>
        <w:contextualSpacing w:val="0"/>
      </w:pPr>
      <w:r w:rsidRPr="000D40CC">
        <w:t xml:space="preserve">Israeli legislation provides for the provision of an array of services to individuals that are recognized as victims of slavery or TIP. The MoLSAaSS has been provided with an annual budget of 8,000,000 NIS (approximately 2.2 million USD) for the operating of several shelters that treat </w:t>
      </w:r>
      <w:r w:rsidR="00D73B2F">
        <w:t>TIP</w:t>
      </w:r>
      <w:r w:rsidR="00D73B2F" w:rsidRPr="000D40CC">
        <w:t xml:space="preserve"> </w:t>
      </w:r>
      <w:r w:rsidRPr="000D40CC">
        <w:t xml:space="preserve">victims and their children, as well as a further 580,000 NIS (approximately 160,000 USD) for the operation of a National Center for Survivors of Slavery and TIP (formerly: the Day Center) in Tel Aviv-Jaffa. The shelters include a 35-bed shelter for female </w:t>
      </w:r>
      <w:r w:rsidR="00D73B2F">
        <w:t>TIP</w:t>
      </w:r>
      <w:r w:rsidR="00D73B2F" w:rsidRPr="000D40CC">
        <w:t xml:space="preserve"> </w:t>
      </w:r>
      <w:r w:rsidRPr="000D40CC">
        <w:t xml:space="preserve">victims and a 35-bed shelter for male </w:t>
      </w:r>
      <w:r w:rsidR="00D73B2F">
        <w:t>TIP</w:t>
      </w:r>
      <w:r w:rsidR="00D73B2F" w:rsidRPr="000D40CC">
        <w:t xml:space="preserve"> </w:t>
      </w:r>
      <w:r w:rsidRPr="000D40CC">
        <w:t xml:space="preserve">victims, as well as transitional apartments with eighteen (18) beds for female victims and six (6) beds for male victims. The shelters offer one (1) year of rehabilitative services, including job training, psychosocial support, medical treatment, language training, and legal assistance, and all residents are allowed to leave freely. Victims who choose to cooperate with the enforcement and investigative authorities are entitled to stay in the shelters, and receive all the above mentioned aid and rights, for the entire duration of the investigation and the legal proceedings, following which they are entitled to a further year of rehabilitation in the shelters. All recognized victims of </w:t>
      </w:r>
      <w:r w:rsidRPr="000D40CC">
        <w:lastRenderedPageBreak/>
        <w:t xml:space="preserve">trafficking or slavery are also provided with State-funded legal aid by the Legal Aid Administration (LAA) </w:t>
      </w:r>
      <w:r w:rsidR="00D73B2F">
        <w:t>at</w:t>
      </w:r>
      <w:r w:rsidRPr="000D40CC">
        <w:t xml:space="preserve"> the MoJ and work visas provided by the PIA.</w:t>
      </w:r>
    </w:p>
    <w:p w14:paraId="1B1C47EC" w14:textId="519611CC" w:rsidR="000D40CC" w:rsidRPr="000D40CC" w:rsidRDefault="006B79F7" w:rsidP="00D73B2F">
      <w:pPr>
        <w:pStyle w:val="aa"/>
        <w:numPr>
          <w:ilvl w:val="0"/>
          <w:numId w:val="2"/>
        </w:numPr>
        <w:ind w:left="567" w:hanging="567"/>
        <w:contextualSpacing w:val="0"/>
      </w:pPr>
      <w:r w:rsidRPr="000D40CC">
        <w:t xml:space="preserve">The aforementioned National Center provided services to 230 male and female </w:t>
      </w:r>
      <w:r w:rsidR="00D73B2F">
        <w:t>TIP</w:t>
      </w:r>
      <w:r w:rsidR="00D73B2F" w:rsidRPr="000D40CC">
        <w:t xml:space="preserve"> </w:t>
      </w:r>
      <w:r w:rsidRPr="000D40CC">
        <w:t>victims in 2019, as well as 125 of their children. The individuals treated by the National Center, the majority of whom are of Eritrean origin, were either waiting for a space at one of the shelters, had already completed one (1) year at a shelter, or had opted not to reside at a shelter. There is no time limit for receiving assistance at the National Center, which has five (5) staff members. Services provided include psychosocial therapy, food aid, financial assistance, mediation and accompanying to various external services, assistance in the exercising of rights, therapeutic groups, and social events.</w:t>
      </w:r>
    </w:p>
    <w:p w14:paraId="26FFEF18" w14:textId="77777777" w:rsidR="000D40CC" w:rsidRPr="000D40CC" w:rsidRDefault="006B79F7" w:rsidP="001F52F8">
      <w:pPr>
        <w:pStyle w:val="aa"/>
        <w:numPr>
          <w:ilvl w:val="0"/>
          <w:numId w:val="2"/>
        </w:numPr>
        <w:ind w:left="567" w:hanging="567"/>
        <w:contextualSpacing w:val="0"/>
      </w:pPr>
      <w:r w:rsidRPr="000D40CC">
        <w:t>Due to the increase in the number of victims who are treated by the National Center, the MoLSAaSS increased the yearly budget of the National Center by 33% in 2019. Accordingly, the current yearly budget allocated to the National Center by the MoLSAaSS is 771,400 NIS (223, 291 USD).</w:t>
      </w:r>
    </w:p>
    <w:p w14:paraId="438434B3" w14:textId="77777777" w:rsidR="000D40CC" w:rsidRPr="000D40CC" w:rsidRDefault="006B79F7" w:rsidP="00BB339C">
      <w:pPr>
        <w:autoSpaceDE w:val="0"/>
        <w:autoSpaceDN w:val="0"/>
        <w:adjustRightInd w:val="0"/>
        <w:rPr>
          <w:b/>
          <w:bCs/>
          <w:u w:val="single"/>
        </w:rPr>
      </w:pPr>
      <w:r w:rsidRPr="000D40CC">
        <w:rPr>
          <w:b/>
          <w:bCs/>
          <w:u w:val="single"/>
        </w:rPr>
        <w:t>State funding to victims' protection and assistance</w:t>
      </w:r>
    </w:p>
    <w:p w14:paraId="41E68DB8" w14:textId="77777777" w:rsidR="000D40CC" w:rsidRPr="000D40CC" w:rsidRDefault="006B79F7" w:rsidP="001F52F8">
      <w:pPr>
        <w:pStyle w:val="aa"/>
        <w:numPr>
          <w:ilvl w:val="0"/>
          <w:numId w:val="2"/>
        </w:numPr>
        <w:ind w:left="567" w:hanging="567"/>
        <w:contextualSpacing w:val="0"/>
        <w:rPr>
          <w:snapToGrid w:val="0"/>
        </w:rPr>
      </w:pPr>
      <w:r w:rsidRPr="000D40CC">
        <w:rPr>
          <w:i/>
          <w:iCs/>
          <w:u w:val="single"/>
        </w:rPr>
        <w:t>MoH:</w:t>
      </w:r>
      <w:r w:rsidRPr="000D40CC">
        <w:rPr>
          <w:b/>
          <w:bCs/>
        </w:rPr>
        <w:t xml:space="preserve"> </w:t>
      </w:r>
      <w:r w:rsidRPr="000D40CC">
        <w:rPr>
          <w:snapToGrid w:val="0"/>
        </w:rPr>
        <w:t xml:space="preserve">In </w:t>
      </w:r>
      <w:r w:rsidRPr="000D40CC">
        <w:t>2019</w:t>
      </w:r>
      <w:r w:rsidRPr="000D40CC">
        <w:rPr>
          <w:snapToGrid w:val="0"/>
        </w:rPr>
        <w:t xml:space="preserve">, the </w:t>
      </w:r>
      <w:r w:rsidR="009102B3" w:rsidRPr="000D40CC">
        <w:rPr>
          <w:snapToGrid w:val="0"/>
        </w:rPr>
        <w:t>M</w:t>
      </w:r>
      <w:r w:rsidR="009102B3">
        <w:rPr>
          <w:snapToGrid w:val="0"/>
        </w:rPr>
        <w:t>o</w:t>
      </w:r>
      <w:r w:rsidR="009102B3" w:rsidRPr="000D40CC">
        <w:rPr>
          <w:snapToGrid w:val="0"/>
        </w:rPr>
        <w:t xml:space="preserve">H </w:t>
      </w:r>
      <w:r w:rsidRPr="000D40CC">
        <w:rPr>
          <w:snapToGrid w:val="0"/>
        </w:rPr>
        <w:t xml:space="preserve">invested a total annual budget of 695,000 NIS (200,986 USD) for treatment of TIP victims, as follow: </w:t>
      </w:r>
    </w:p>
    <w:p w14:paraId="44D7ABC1" w14:textId="77777777" w:rsidR="000D40CC" w:rsidRPr="000D40CC" w:rsidRDefault="006B79F7" w:rsidP="00BB339C">
      <w:pPr>
        <w:numPr>
          <w:ilvl w:val="1"/>
          <w:numId w:val="20"/>
        </w:numPr>
        <w:rPr>
          <w:snapToGrid w:val="0"/>
        </w:rPr>
      </w:pPr>
      <w:r w:rsidRPr="000D40CC">
        <w:rPr>
          <w:snapToGrid w:val="0"/>
        </w:rPr>
        <w:t xml:space="preserve">A budget of 145,000 NIS (41,932 USD) to employ a </w:t>
      </w:r>
      <w:r w:rsidRPr="000D40CC">
        <w:t>physician</w:t>
      </w:r>
      <w:r w:rsidRPr="000D40CC">
        <w:rPr>
          <w:snapToGrid w:val="0"/>
        </w:rPr>
        <w:t xml:space="preserve"> in the shelters; </w:t>
      </w:r>
    </w:p>
    <w:p w14:paraId="20E4D1C6" w14:textId="77777777" w:rsidR="000D40CC" w:rsidRPr="000D40CC" w:rsidRDefault="006B79F7" w:rsidP="00BB339C">
      <w:pPr>
        <w:numPr>
          <w:ilvl w:val="1"/>
          <w:numId w:val="20"/>
        </w:numPr>
        <w:rPr>
          <w:snapToGrid w:val="0"/>
        </w:rPr>
      </w:pPr>
      <w:r w:rsidRPr="000D40CC">
        <w:rPr>
          <w:snapToGrid w:val="0"/>
        </w:rPr>
        <w:t xml:space="preserve">A budget of 500,000 NIS (144,594 USD) was given to the Rabin Medical Center in Petah Tikvah, for treatment provided to TIP victims who are entitled to a year of rehabilitation but chose not to stay at the shelters; </w:t>
      </w:r>
    </w:p>
    <w:p w14:paraId="0550576C" w14:textId="77777777" w:rsidR="000D40CC" w:rsidRPr="000D40CC" w:rsidRDefault="006B79F7" w:rsidP="00BB339C">
      <w:pPr>
        <w:numPr>
          <w:ilvl w:val="1"/>
          <w:numId w:val="20"/>
        </w:numPr>
        <w:rPr>
          <w:snapToGrid w:val="0"/>
        </w:rPr>
      </w:pPr>
      <w:r w:rsidRPr="000D40CC">
        <w:rPr>
          <w:snapToGrid w:val="0"/>
        </w:rPr>
        <w:t xml:space="preserve">A budget of 50,000 NIS (14,459) for miscellaneous, such as medicine or health insurance to minors who are residing with TIP victims in the shelters. </w:t>
      </w:r>
    </w:p>
    <w:p w14:paraId="76369070" w14:textId="77777777" w:rsidR="000D40CC" w:rsidRPr="000D40CC" w:rsidRDefault="006B79F7" w:rsidP="001F52F8">
      <w:pPr>
        <w:pStyle w:val="aa"/>
        <w:numPr>
          <w:ilvl w:val="0"/>
          <w:numId w:val="2"/>
        </w:numPr>
        <w:ind w:left="567" w:hanging="567"/>
        <w:contextualSpacing w:val="0"/>
      </w:pPr>
      <w:r w:rsidRPr="000D40CC">
        <w:rPr>
          <w:i/>
          <w:iCs/>
          <w:u w:val="single"/>
        </w:rPr>
        <w:t>Police:</w:t>
      </w:r>
      <w:r w:rsidRPr="000D40CC">
        <w:t xml:space="preserve"> In 2019, the police allocated over 30,000 NIS (8,798 USD) from its witness protection </w:t>
      </w:r>
      <w:r w:rsidRPr="000D40CC">
        <w:rPr>
          <w:snapToGrid w:val="0"/>
        </w:rPr>
        <w:t>budget</w:t>
      </w:r>
      <w:r w:rsidRPr="000D40CC">
        <w:t xml:space="preserve"> for purposes such as plane tickets and housing victims in hotels (for various reasons).</w:t>
      </w:r>
    </w:p>
    <w:p w14:paraId="26502076" w14:textId="77777777" w:rsidR="000D40CC" w:rsidRPr="000D40CC" w:rsidRDefault="006B79F7" w:rsidP="001F52F8">
      <w:pPr>
        <w:pStyle w:val="aa"/>
        <w:numPr>
          <w:ilvl w:val="0"/>
          <w:numId w:val="2"/>
        </w:numPr>
        <w:ind w:left="567" w:hanging="567"/>
        <w:contextualSpacing w:val="0"/>
      </w:pPr>
      <w:r w:rsidRPr="000D40CC">
        <w:rPr>
          <w:i/>
          <w:iCs/>
          <w:u w:val="single"/>
        </w:rPr>
        <w:lastRenderedPageBreak/>
        <w:t>MoLSAaSS:</w:t>
      </w:r>
      <w:r w:rsidRPr="000D40CC">
        <w:t xml:space="preserve"> The yearly </w:t>
      </w:r>
      <w:r w:rsidRPr="000D40CC">
        <w:rPr>
          <w:snapToGrid w:val="0"/>
        </w:rPr>
        <w:t>operating</w:t>
      </w:r>
      <w:r w:rsidRPr="000D40CC">
        <w:t xml:space="preserve"> budget of the shelters and transitional apartments, provided by the MoLSAaSS in 2019, is 7,780,784 NIS (2,252,238 USD).</w:t>
      </w:r>
    </w:p>
    <w:p w14:paraId="6AFA0770" w14:textId="505A42FB" w:rsidR="000D40CC" w:rsidRPr="000D40CC" w:rsidRDefault="006B79F7" w:rsidP="001F52F8">
      <w:pPr>
        <w:pStyle w:val="aa"/>
        <w:numPr>
          <w:ilvl w:val="0"/>
          <w:numId w:val="2"/>
        </w:numPr>
        <w:ind w:left="567" w:hanging="567"/>
        <w:contextualSpacing w:val="0"/>
      </w:pPr>
      <w:r w:rsidRPr="000D40CC">
        <w:rPr>
          <w:i/>
          <w:iCs/>
          <w:u w:val="single"/>
        </w:rPr>
        <w:t>MoJ</w:t>
      </w:r>
      <w:r w:rsidRPr="000D40CC">
        <w:rPr>
          <w:b/>
          <w:bCs/>
          <w:u w:val="single"/>
        </w:rPr>
        <w:t>:</w:t>
      </w:r>
      <w:r w:rsidRPr="000D40CC">
        <w:t xml:space="preserve"> In 2018, the total annual cost was roughly 3,633,000 NIS (1,000,000 USD). This includes the annual </w:t>
      </w:r>
      <w:r w:rsidRPr="000D40CC">
        <w:rPr>
          <w:snapToGrid w:val="0"/>
        </w:rPr>
        <w:t>funding</w:t>
      </w:r>
      <w:r w:rsidRPr="000D40CC">
        <w:t xml:space="preserve"> of the LAA, </w:t>
      </w:r>
      <w:r w:rsidR="00B3640B">
        <w:t xml:space="preserve">the </w:t>
      </w:r>
      <w:r w:rsidRPr="000D40CC">
        <w:t>NATU, the SAO and the Office of the Deputy Attorney General (International Law) and the Office of the Deputy Attorney General (Criminal Law).</w:t>
      </w:r>
    </w:p>
    <w:p w14:paraId="14FC32D9" w14:textId="77777777" w:rsidR="000D40CC" w:rsidRPr="000D40CC" w:rsidRDefault="006B79F7" w:rsidP="001F52F8">
      <w:pPr>
        <w:pStyle w:val="aa"/>
        <w:numPr>
          <w:ilvl w:val="0"/>
          <w:numId w:val="2"/>
        </w:numPr>
        <w:ind w:left="567" w:hanging="567"/>
        <w:contextualSpacing w:val="0"/>
      </w:pPr>
      <w:r w:rsidRPr="000D40CC">
        <w:t xml:space="preserve">In 2019, a sum of 165,000 NIS (47,924 USD) was paid by </w:t>
      </w:r>
      <w:r w:rsidRPr="000D40CC">
        <w:rPr>
          <w:snapToGrid w:val="0"/>
        </w:rPr>
        <w:t>the</w:t>
      </w:r>
      <w:r w:rsidRPr="000D40CC">
        <w:t xml:space="preserve"> LAA to external lawyers who represented victims of TIP for the LAA in legal proceedings according to law.</w:t>
      </w:r>
    </w:p>
    <w:p w14:paraId="2A377CAF" w14:textId="31F0C486" w:rsidR="000D40CC" w:rsidRPr="000D40CC" w:rsidRDefault="006B79F7" w:rsidP="00B3640B">
      <w:pPr>
        <w:autoSpaceDE w:val="0"/>
        <w:autoSpaceDN w:val="0"/>
        <w:adjustRightInd w:val="0"/>
        <w:rPr>
          <w:b/>
          <w:bCs/>
          <w:u w:val="single"/>
        </w:rPr>
      </w:pPr>
      <w:r w:rsidRPr="000D40CC">
        <w:rPr>
          <w:b/>
          <w:bCs/>
          <w:u w:val="single"/>
        </w:rPr>
        <w:t>The Treatment Centers</w:t>
      </w:r>
      <w:r w:rsidR="009D3DE1">
        <w:rPr>
          <w:b/>
          <w:bCs/>
          <w:u w:val="single"/>
        </w:rPr>
        <w:t xml:space="preserve"> - </w:t>
      </w:r>
      <w:r w:rsidRPr="000D40CC">
        <w:rPr>
          <w:b/>
          <w:bCs/>
          <w:u w:val="single"/>
        </w:rPr>
        <w:t>Overview</w:t>
      </w:r>
    </w:p>
    <w:p w14:paraId="2DB714DA" w14:textId="056DA9AB" w:rsidR="000D40CC" w:rsidRPr="000A674F" w:rsidRDefault="006B79F7" w:rsidP="00B3640B">
      <w:pPr>
        <w:pStyle w:val="aa"/>
        <w:ind w:left="0" w:firstLine="0"/>
        <w:contextualSpacing w:val="0"/>
        <w:rPr>
          <w:rFonts w:eastAsia="Times New Roman"/>
          <w:b/>
          <w:bCs/>
          <w:u w:val="single"/>
        </w:rPr>
      </w:pPr>
      <w:r w:rsidRPr="000A674F">
        <w:rPr>
          <w:rFonts w:eastAsia="Times New Roman"/>
          <w:b/>
          <w:bCs/>
          <w:u w:val="single"/>
        </w:rPr>
        <w:t xml:space="preserve">Main </w:t>
      </w:r>
      <w:r w:rsidRPr="000A674F">
        <w:rPr>
          <w:b/>
          <w:bCs/>
          <w:u w:val="single"/>
        </w:rPr>
        <w:t>Developments</w:t>
      </w:r>
      <w:r w:rsidRPr="000A674F">
        <w:rPr>
          <w:rFonts w:eastAsia="Times New Roman"/>
          <w:b/>
          <w:bCs/>
          <w:u w:val="single"/>
        </w:rPr>
        <w:t xml:space="preserve"> and Innovations in the Frameworks for Human Trafficking Victims in 2019 </w:t>
      </w:r>
    </w:p>
    <w:p w14:paraId="63A7A96A" w14:textId="77777777" w:rsidR="000D40CC" w:rsidRPr="000A674F" w:rsidRDefault="006B79F7" w:rsidP="00BB339C">
      <w:pPr>
        <w:tabs>
          <w:tab w:val="left" w:pos="851"/>
          <w:tab w:val="left" w:pos="1134"/>
        </w:tabs>
        <w:spacing w:before="120"/>
        <w:ind w:right="619"/>
        <w:rPr>
          <w:i/>
          <w:iCs/>
          <w:u w:val="single"/>
          <w:rtl/>
        </w:rPr>
      </w:pPr>
      <w:r w:rsidRPr="000A674F">
        <w:rPr>
          <w:i/>
          <w:iCs/>
          <w:u w:val="single"/>
        </w:rPr>
        <w:t xml:space="preserve">Improvement of the living conditions </w:t>
      </w:r>
    </w:p>
    <w:p w14:paraId="321B2685" w14:textId="42F50165" w:rsidR="000D40CC" w:rsidRPr="000D40CC" w:rsidRDefault="006B79F7" w:rsidP="00B3640B">
      <w:pPr>
        <w:pStyle w:val="aa"/>
        <w:numPr>
          <w:ilvl w:val="0"/>
          <w:numId w:val="2"/>
        </w:numPr>
        <w:ind w:left="567" w:hanging="567"/>
        <w:contextualSpacing w:val="0"/>
      </w:pPr>
      <w:r w:rsidRPr="000D40CC">
        <w:t xml:space="preserve">In 2019, the team of the shelters formed collaboration with a social enterprise named "Social Eyes" project, who re-designed the "Ma'agan" shelter and the family apartments, using donations from different companies and funds. As part of the project, new furniture was purchased (including dressers, closets, beds and mattresses) and the tenants of the "Ma'agan" shelter received a donation of fitness appliances, such as weights, hula-hoops and jump ropes, which were placed in the common room that was re-designed for that purpose. </w:t>
      </w:r>
    </w:p>
    <w:p w14:paraId="56A17C14" w14:textId="77777777" w:rsidR="000D40CC" w:rsidRPr="000D40CC" w:rsidRDefault="006B79F7" w:rsidP="001F52F8">
      <w:pPr>
        <w:pStyle w:val="aa"/>
        <w:numPr>
          <w:ilvl w:val="0"/>
          <w:numId w:val="2"/>
        </w:numPr>
        <w:ind w:left="567" w:hanging="567"/>
        <w:contextualSpacing w:val="0"/>
      </w:pPr>
      <w:r w:rsidRPr="000D40CC">
        <w:t xml:space="preserve">In accordance with the new standards of the MoLSAaSS, during 2019, some of the beds were removed from both of the shelters in order to make the rooms more spacious. According to the guidelines, the staff of the shelters is prepared to remove beds from the family apartments as well, in order to accommodate one (1) family in each apartment, instead of two (2), if possible. </w:t>
      </w:r>
    </w:p>
    <w:p w14:paraId="0C21FB36" w14:textId="77777777" w:rsidR="000D40CC" w:rsidRPr="000A674F" w:rsidRDefault="006B79F7" w:rsidP="00BB339C">
      <w:pPr>
        <w:tabs>
          <w:tab w:val="left" w:pos="851"/>
          <w:tab w:val="left" w:pos="1134"/>
        </w:tabs>
        <w:spacing w:before="120"/>
        <w:ind w:right="619"/>
        <w:rPr>
          <w:i/>
          <w:iCs/>
          <w:u w:val="single"/>
        </w:rPr>
      </w:pPr>
      <w:r w:rsidRPr="000A674F">
        <w:rPr>
          <w:i/>
          <w:iCs/>
          <w:u w:val="single"/>
        </w:rPr>
        <w:t>Improvement of the nutrition in the shelters</w:t>
      </w:r>
    </w:p>
    <w:p w14:paraId="0EAF0855" w14:textId="77777777" w:rsidR="000D40CC" w:rsidRPr="000D40CC" w:rsidRDefault="006B79F7" w:rsidP="001F52F8">
      <w:pPr>
        <w:pStyle w:val="aa"/>
        <w:numPr>
          <w:ilvl w:val="0"/>
          <w:numId w:val="2"/>
        </w:numPr>
        <w:ind w:left="567" w:hanging="567"/>
        <w:contextualSpacing w:val="0"/>
      </w:pPr>
      <w:r w:rsidRPr="000D40CC">
        <w:lastRenderedPageBreak/>
        <w:t xml:space="preserve">A nutritionist was employed by the shelters, in order to improve the quality of the food provided to the tenants and according to the recommendations of the MoLSAaSS. The nutritionist developed different monthly menus, which are culturally tailored to the tenants' nationalities and include five (5) meals per day. Due to the tenants' difficulties in maintaining the menus, which concerned the requirement to cook after long days of work, both superintendents were also appointed as full-time cooks. </w:t>
      </w:r>
    </w:p>
    <w:p w14:paraId="6BDF63D1" w14:textId="1D0D1FC5" w:rsidR="000D40CC" w:rsidRPr="001F52F8" w:rsidRDefault="006B79F7" w:rsidP="00B3640B">
      <w:pPr>
        <w:pStyle w:val="aa"/>
        <w:ind w:left="0" w:firstLine="0"/>
        <w:contextualSpacing w:val="0"/>
        <w:rPr>
          <w:rFonts w:eastAsia="Times New Roman"/>
          <w:i/>
          <w:iCs/>
          <w:u w:val="single"/>
        </w:rPr>
      </w:pPr>
      <w:bookmarkStart w:id="21" w:name="_Toc33088981"/>
      <w:r w:rsidRPr="001F52F8">
        <w:rPr>
          <w:rFonts w:eastAsia="Times New Roman"/>
          <w:i/>
          <w:iCs/>
          <w:u w:val="single"/>
        </w:rPr>
        <w:t xml:space="preserve">Medical </w:t>
      </w:r>
      <w:r w:rsidRPr="001F52F8">
        <w:rPr>
          <w:i/>
          <w:iCs/>
          <w:u w:val="single"/>
        </w:rPr>
        <w:t>Treatment</w:t>
      </w:r>
      <w:r w:rsidRPr="001F52F8">
        <w:rPr>
          <w:rFonts w:eastAsia="Times New Roman"/>
          <w:i/>
          <w:iCs/>
          <w:u w:val="single"/>
        </w:rPr>
        <w:t xml:space="preserve"> - Changes and Innovations</w:t>
      </w:r>
      <w:bookmarkEnd w:id="21"/>
    </w:p>
    <w:p w14:paraId="740538F1" w14:textId="77777777" w:rsidR="000D40CC" w:rsidRPr="000D40CC" w:rsidRDefault="006B79F7" w:rsidP="001F52F8">
      <w:pPr>
        <w:pStyle w:val="aa"/>
        <w:numPr>
          <w:ilvl w:val="0"/>
          <w:numId w:val="2"/>
        </w:numPr>
        <w:ind w:left="567" w:hanging="567"/>
        <w:contextualSpacing w:val="0"/>
        <w:rPr>
          <w:rtl/>
        </w:rPr>
      </w:pPr>
      <w:r w:rsidRPr="000D40CC">
        <w:t>In 2019, too, regular medical care was provided in the frameworks, which was characterized by visits by a family physician twice a week in each of the shelters on regular days and times. In situations where hospital referrals were required for specialist medical care and in emergency situations, the women and men continued to receive medical care at the Beilinson and Hasharon Hospitals, funded by the MoH.</w:t>
      </w:r>
    </w:p>
    <w:p w14:paraId="076664AC" w14:textId="58CA6FE9" w:rsidR="000D40CC" w:rsidRPr="000D40CC" w:rsidRDefault="006B79F7" w:rsidP="001F52F8">
      <w:pPr>
        <w:pStyle w:val="aa"/>
        <w:numPr>
          <w:ilvl w:val="0"/>
          <w:numId w:val="2"/>
        </w:numPr>
        <w:ind w:left="567" w:hanging="567"/>
        <w:contextualSpacing w:val="0"/>
      </w:pPr>
      <w:r w:rsidRPr="000D40CC">
        <w:t xml:space="preserve">In 2019, a number of changes and innovations were </w:t>
      </w:r>
      <w:r w:rsidR="00D12244" w:rsidRPr="000D40CC">
        <w:t>introduced,</w:t>
      </w:r>
      <w:r w:rsidRPr="000D40CC">
        <w:t xml:space="preserve"> as follows:</w:t>
      </w:r>
    </w:p>
    <w:p w14:paraId="7E30DC58" w14:textId="77777777" w:rsidR="000D40CC" w:rsidRPr="000D40CC" w:rsidRDefault="006B79F7" w:rsidP="001F52F8">
      <w:pPr>
        <w:pStyle w:val="aa"/>
        <w:numPr>
          <w:ilvl w:val="0"/>
          <w:numId w:val="2"/>
        </w:numPr>
        <w:ind w:left="567" w:hanging="567"/>
        <w:contextualSpacing w:val="0"/>
      </w:pPr>
      <w:r w:rsidRPr="000D40CC">
        <w:rPr>
          <w:u w:val="single"/>
        </w:rPr>
        <w:t>Collaboration with the "Dina" nursing school</w:t>
      </w:r>
      <w:r w:rsidRPr="000D40CC">
        <w:t xml:space="preserve"> – in 2019, two (2) students from the "Dina" nursing school arrived to the "Ma'agan" shelter and after observations, formulated a questionnaire for the tenants and staff of the shelter. After the data was gathered and analyzed, it was decided to provide first aid training to the staff of the shelter and the tenants. </w:t>
      </w:r>
    </w:p>
    <w:p w14:paraId="33820F36" w14:textId="77777777" w:rsidR="000D40CC" w:rsidRPr="000D40CC" w:rsidRDefault="006B79F7" w:rsidP="001F52F8">
      <w:pPr>
        <w:pStyle w:val="aa"/>
        <w:numPr>
          <w:ilvl w:val="0"/>
          <w:numId w:val="2"/>
        </w:numPr>
        <w:ind w:left="567" w:hanging="567"/>
        <w:contextualSpacing w:val="0"/>
      </w:pPr>
      <w:r w:rsidRPr="000D40CC">
        <w:rPr>
          <w:u w:val="single"/>
        </w:rPr>
        <w:t>Collaboration with a medical clinic for treating scars</w:t>
      </w:r>
      <w:r w:rsidRPr="000D40CC">
        <w:t xml:space="preserve"> – in 2019, a tenant of the "Atlas" shelter, who suffers from severe scaring of his back due to the heinous crimes that were committed against him at the Sinai camps, was given a pro-bono consultation by a private medical clinic that specializes in treating scars. The diagnosis that was given to the tenant, according to which the scars are untreatable due to the prolonged time they were left untreated, was a milestone in his rehabilitative process. </w:t>
      </w:r>
    </w:p>
    <w:p w14:paraId="1F8E4C2F" w14:textId="77777777" w:rsidR="000D40CC" w:rsidRPr="000D40CC" w:rsidRDefault="006B79F7" w:rsidP="001F52F8">
      <w:pPr>
        <w:pStyle w:val="aa"/>
        <w:numPr>
          <w:ilvl w:val="0"/>
          <w:numId w:val="2"/>
        </w:numPr>
        <w:ind w:left="567" w:hanging="567"/>
        <w:contextualSpacing w:val="0"/>
      </w:pPr>
      <w:r w:rsidRPr="000D40CC">
        <w:rPr>
          <w:u w:val="single"/>
        </w:rPr>
        <w:lastRenderedPageBreak/>
        <w:t>Dental care for children</w:t>
      </w:r>
      <w:r w:rsidRPr="000D40CC">
        <w:t xml:space="preserve"> – the shelters financed anesthesia for a dental operation of a child, which was not covered by the child's insurance, by using a part of the grant that was given to the shelters by the Forfeiture Fund.</w:t>
      </w:r>
    </w:p>
    <w:p w14:paraId="310D5814" w14:textId="5BEF27A0" w:rsidR="00BC0F3A" w:rsidRPr="000D40CC" w:rsidRDefault="000D40CC" w:rsidP="00B3640B">
      <w:pPr>
        <w:pStyle w:val="aa"/>
        <w:numPr>
          <w:ilvl w:val="0"/>
          <w:numId w:val="2"/>
        </w:numPr>
        <w:ind w:left="567" w:hanging="567"/>
        <w:contextualSpacing w:val="0"/>
        <w:rPr>
          <w:lang w:bidi="ar-SA"/>
        </w:rPr>
      </w:pPr>
      <w:r w:rsidRPr="000D40CC">
        <w:t xml:space="preserve">The collaboration with the "Terem" dental clinic, which enabled the tenants of the frameworks to receive dental care with symbolic payment, was discontinued due to the closure of the "Terem" dental clinic </w:t>
      </w:r>
      <w:r w:rsidR="00B3640B">
        <w:t>at</w:t>
      </w:r>
      <w:r w:rsidR="00B3640B" w:rsidRPr="000D40CC">
        <w:t xml:space="preserve"> </w:t>
      </w:r>
      <w:r w:rsidRPr="000D40CC">
        <w:t>the end of 2019. In exceptional cases, in which a tenant does not work, the staff of the frameworks may finance the procedure from the grant that was given to the shelters by the Forfeiture Fund.</w:t>
      </w:r>
    </w:p>
    <w:p w14:paraId="67F8C929"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22" w:name="_Toc60141935"/>
      <w:r w:rsidRPr="00973082">
        <w:rPr>
          <w:rFonts w:ascii="Times New Roman" w:hAnsi="Times New Roman"/>
          <w:b/>
          <w:bCs/>
          <w:color w:val="auto"/>
          <w:sz w:val="24"/>
          <w:szCs w:val="24"/>
          <w:u w:val="single"/>
        </w:rPr>
        <w:t xml:space="preserve">Question No. </w:t>
      </w:r>
      <w:r w:rsidR="00130B90" w:rsidRPr="00973082">
        <w:rPr>
          <w:rFonts w:ascii="Times New Roman" w:hAnsi="Times New Roman"/>
          <w:b/>
          <w:bCs/>
          <w:color w:val="auto"/>
          <w:sz w:val="24"/>
          <w:szCs w:val="24"/>
          <w:u w:val="single"/>
        </w:rPr>
        <w:t>36</w:t>
      </w:r>
      <w:bookmarkEnd w:id="22"/>
    </w:p>
    <w:p w14:paraId="4E4A1830" w14:textId="0316A2C6" w:rsidR="00130B90" w:rsidRPr="00130B90" w:rsidRDefault="006B79F7" w:rsidP="00322EDB">
      <w:pPr>
        <w:rPr>
          <w:b/>
          <w:bCs/>
          <w:u w:val="single"/>
        </w:rPr>
      </w:pPr>
      <w:r w:rsidRPr="00130B90">
        <w:rPr>
          <w:b/>
          <w:bCs/>
          <w:u w:val="single"/>
        </w:rPr>
        <w:t>Case Law</w:t>
      </w:r>
    </w:p>
    <w:p w14:paraId="0B8ED1AB" w14:textId="75B858F9" w:rsidR="00130B90" w:rsidRPr="00130B90" w:rsidRDefault="006B79F7" w:rsidP="00B3640B">
      <w:pPr>
        <w:pStyle w:val="aa"/>
        <w:numPr>
          <w:ilvl w:val="0"/>
          <w:numId w:val="2"/>
        </w:numPr>
        <w:ind w:left="567" w:hanging="567"/>
        <w:contextualSpacing w:val="0"/>
      </w:pPr>
      <w:r w:rsidRPr="00130B90">
        <w:rPr>
          <w:b/>
          <w:bCs/>
        </w:rPr>
        <w:t xml:space="preserve">Cr.C. 893-01-16 </w:t>
      </w:r>
      <w:r w:rsidRPr="00130B90">
        <w:rPr>
          <w:b/>
          <w:bCs/>
          <w:i/>
          <w:iCs/>
        </w:rPr>
        <w:t>The State of Israel v. C.Y.B (Minor)</w:t>
      </w:r>
      <w:r w:rsidRPr="00130B90">
        <w:rPr>
          <w:b/>
          <w:bCs/>
        </w:rPr>
        <w:t xml:space="preserve"> (Lod District Court) (1.1.19):</w:t>
      </w:r>
      <w:r w:rsidRPr="00130B90">
        <w:t xml:space="preserve"> The case involved two (2) defendants accused of participating in the setting on fire of the Dormition Abbey. The ruling concerned the confessions given by one (1) of the defendants, a minor, who challenged the admissibility of his confessions. The judge held that the Police actions in this matter amounted to severe violations of the minor-defendant's rights to human dignity and a fair trial, and therefore the defendant's confessions concerning the alleged setting on fire of the Dormition Abbey were inadmissible. Following the decision to exclude the confessions, the prosecution declared that it lacked further evidence to proceed against both of the defendants, and the Court therefore closed the case on March</w:t>
      </w:r>
      <w:r w:rsidR="00B3640B">
        <w:t xml:space="preserve"> 11</w:t>
      </w:r>
      <w:r w:rsidRPr="00130B90">
        <w:t>, 2019.</w:t>
      </w:r>
    </w:p>
    <w:p w14:paraId="010E33A3" w14:textId="2E237532" w:rsidR="00130B90" w:rsidRPr="00130B90" w:rsidRDefault="006B79F7" w:rsidP="00B3640B">
      <w:pPr>
        <w:pStyle w:val="aa"/>
        <w:numPr>
          <w:ilvl w:val="0"/>
          <w:numId w:val="2"/>
        </w:numPr>
        <w:ind w:left="567" w:hanging="567"/>
        <w:contextualSpacing w:val="0"/>
      </w:pPr>
      <w:r w:rsidRPr="00130B90">
        <w:rPr>
          <w:b/>
          <w:bCs/>
        </w:rPr>
        <w:t xml:space="preserve">In regard to Cr.C. 932-01-16 </w:t>
      </w:r>
      <w:r w:rsidRPr="00130B90">
        <w:rPr>
          <w:b/>
          <w:bCs/>
          <w:i/>
          <w:iCs/>
        </w:rPr>
        <w:t xml:space="preserve">The State of Israel v. </w:t>
      </w:r>
      <w:r w:rsidRPr="00130B90">
        <w:rPr>
          <w:b/>
          <w:bCs/>
        </w:rPr>
        <w:t>Amiran Ben-Uliel</w:t>
      </w:r>
      <w:r w:rsidRPr="00130B90">
        <w:rPr>
          <w:b/>
          <w:bCs/>
          <w:i/>
          <w:iCs/>
        </w:rPr>
        <w:t xml:space="preserve"> et. al.</w:t>
      </w:r>
      <w:r w:rsidRPr="00130B90">
        <w:rPr>
          <w:b/>
          <w:bCs/>
        </w:rPr>
        <w:t xml:space="preserve"> (Lod District Court): </w:t>
      </w:r>
      <w:r w:rsidRPr="00130B90">
        <w:t xml:space="preserve">On January 3, 2016, the Central District Attorney's Office filed an indictment with the Central District's Court, against two (2) defendants: Amiran Ben-Uliel (Defendant No. 1), aged </w:t>
      </w:r>
      <w:r w:rsidR="00B3640B">
        <w:t>twenty one (</w:t>
      </w:r>
      <w:r w:rsidRPr="00130B90">
        <w:t>21</w:t>
      </w:r>
      <w:r w:rsidR="00B3640B">
        <w:t>)</w:t>
      </w:r>
      <w:r w:rsidRPr="00130B90">
        <w:t xml:space="preserve"> and a minor defendant (Defendant No. 2), aged</w:t>
      </w:r>
      <w:r w:rsidR="00B3640B">
        <w:t xml:space="preserve"> seventeen (</w:t>
      </w:r>
      <w:r w:rsidRPr="00130B90">
        <w:t>17</w:t>
      </w:r>
      <w:r w:rsidR="00B3640B">
        <w:t>)</w:t>
      </w:r>
      <w:r w:rsidRPr="00130B90">
        <w:t>. Amiran Ben-Uliel was indicted for three (3) counts of murder - the murder of the three (3) Dawabshe family members (the parents Sa'ed and Riham and Ali-Sa'ed, aged</w:t>
      </w:r>
      <w:r w:rsidR="00B3640B">
        <w:t xml:space="preserve"> eighteen (</w:t>
      </w:r>
      <w:r w:rsidRPr="00130B90">
        <w:t>18</w:t>
      </w:r>
      <w:r w:rsidR="00B3640B">
        <w:t>)</w:t>
      </w:r>
      <w:r w:rsidRPr="00130B90">
        <w:t xml:space="preserve"> months) in the village of Duma, attempted murder of an additional Dawabshe family member (Ahmad Dawabshe, aged four (4)) and additional offences of attempted murder and arson </w:t>
      </w:r>
      <w:r w:rsidRPr="00130B90">
        <w:lastRenderedPageBreak/>
        <w:t xml:space="preserve">committed with a racist motive. Defendant No. 2 was indicted for conspiracy to commit murder with a racist motive, malicious damage with a racist motive and additional offences, among them the arson of the </w:t>
      </w:r>
      <w:r w:rsidRPr="00130B90">
        <w:rPr>
          <w:shd w:val="clear" w:color="auto" w:fill="FFFFFF"/>
        </w:rPr>
        <w:t>Dormition</w:t>
      </w:r>
      <w:r w:rsidRPr="00130B90">
        <w:rPr>
          <w:rStyle w:val="apple-converted-space"/>
          <w:shd w:val="clear" w:color="auto" w:fill="FFFFFF"/>
        </w:rPr>
        <w:t> </w:t>
      </w:r>
      <w:r w:rsidRPr="00130B90">
        <w:t xml:space="preserve">Abbey. </w:t>
      </w:r>
    </w:p>
    <w:p w14:paraId="18DFB5A1" w14:textId="671B10B4" w:rsidR="00130B90" w:rsidRPr="00195916" w:rsidRDefault="006B79F7" w:rsidP="00B3640B">
      <w:pPr>
        <w:pStyle w:val="aa"/>
        <w:numPr>
          <w:ilvl w:val="0"/>
          <w:numId w:val="2"/>
        </w:numPr>
        <w:ind w:left="567" w:hanging="567"/>
        <w:contextualSpacing w:val="0"/>
      </w:pPr>
      <w:r w:rsidRPr="00130B90">
        <w:t xml:space="preserve">According to this indictment, following the murder of Malachi Rosenfeld in June 2015, both defendants conspired to take their revenge against Arabs and kill people. Defendant No. 1, made the necessary preparations, including the preparation of a bag with two (2) bottles filled with a flammable liquid, a lighter, a matchbox, gloves and black spray paint. </w:t>
      </w:r>
      <w:r w:rsidR="00E03E63">
        <w:t>Subsequently, on the night between the 30 and the 31 of December 2015,</w:t>
      </w:r>
      <w:r w:rsidRPr="00130B90">
        <w:t xml:space="preserve"> </w:t>
      </w:r>
      <w:r w:rsidR="00E03E63">
        <w:rPr>
          <w:color w:val="222222"/>
        </w:rPr>
        <w:t xml:space="preserve">he went on to meet Defendant No. 2 in an agreed upon location. However, </w:t>
      </w:r>
      <w:r w:rsidRPr="00130B90">
        <w:t xml:space="preserve">since defendant No. 2 </w:t>
      </w:r>
      <w:r w:rsidR="00E03E63">
        <w:t xml:space="preserve">did not arrive </w:t>
      </w:r>
      <w:r w:rsidR="00B3640B">
        <w:t>a</w:t>
      </w:r>
      <w:r w:rsidR="00E03E63">
        <w:t>t the meeting point</w:t>
      </w:r>
      <w:r w:rsidRPr="00130B90">
        <w:t xml:space="preserve">, he decided to continue on his own. According to the indictment, defendant No. 1 tied a shirt around his head and donned his gloves; he then looked for indications for an inhabited house, sprayed "revenge" and "long live the messiah" on the house and threw an incendiary device into the house with the intent of killing its residents. This house was empty. Defendant No. 1 then immediately turned to the home of Sa'ed and Riham Dawabshe, carrying the second incendiary device. After unsuccessful attempts to open two (2) windows, he managed to open the window of the bedroom in which the family was sleeping. Defendant No.1 then </w:t>
      </w:r>
      <w:r w:rsidR="00E03E63">
        <w:t>lit</w:t>
      </w:r>
      <w:r w:rsidR="00E03E63" w:rsidRPr="00130B90">
        <w:t xml:space="preserve"> </w:t>
      </w:r>
      <w:r w:rsidRPr="00130B90">
        <w:t xml:space="preserve">the incendiary device, threw it through the window and escaped, killing three (3) family members (the parents, Sa'ed and Riham and Ali-Saed aged </w:t>
      </w:r>
      <w:r w:rsidR="00077940">
        <w:t>eighteen (</w:t>
      </w:r>
      <w:r w:rsidRPr="00130B90">
        <w:t>18</w:t>
      </w:r>
      <w:r w:rsidR="00077940">
        <w:t>)</w:t>
      </w:r>
      <w:r w:rsidRPr="00130B90">
        <w:t xml:space="preserve"> months) and causing severe burns to Ahmad Dawabshe, aged four (4). Defendant No. 2, who was a minor at the time of the commission of the offences confessed to an amended indictment, that </w:t>
      </w:r>
      <w:r w:rsidR="00E03E63">
        <w:rPr>
          <w:color w:val="222222"/>
        </w:rPr>
        <w:t xml:space="preserve">included the crimes of conspiracy to commit arson, the setting on fire </w:t>
      </w:r>
      <w:r w:rsidR="00CF7D55">
        <w:rPr>
          <w:color w:val="222222"/>
        </w:rPr>
        <w:t>of</w:t>
      </w:r>
      <w:r w:rsidR="00E03E63">
        <w:rPr>
          <w:color w:val="222222"/>
        </w:rPr>
        <w:t xml:space="preserve"> a taxi </w:t>
      </w:r>
      <w:r w:rsidRPr="00130B90">
        <w:t xml:space="preserve">in Yassouf village, arson of a warehouse in a close vicinity to a residential house in the village of Akrabe and damage to </w:t>
      </w:r>
      <w:r w:rsidR="00E03E63">
        <w:t>eleven (</w:t>
      </w:r>
      <w:r w:rsidRPr="00130B90">
        <w:t>11</w:t>
      </w:r>
      <w:r w:rsidR="00E03E63">
        <w:t>)</w:t>
      </w:r>
      <w:r w:rsidRPr="00130B90">
        <w:t xml:space="preserve"> vehicles in Beit-Tzafafa. The Court accepted his confession and requested, due to his age at the time of the offences, a probation service </w:t>
      </w:r>
      <w:r w:rsidR="00E03E63">
        <w:t>assessment</w:t>
      </w:r>
      <w:r w:rsidR="00E03E63" w:rsidRPr="00130B90">
        <w:t xml:space="preserve"> </w:t>
      </w:r>
      <w:r w:rsidRPr="00130B90">
        <w:t xml:space="preserve">in his regard. This defendant did not confess to the offence of membership in a terrorist </w:t>
      </w:r>
      <w:r w:rsidRPr="00195916">
        <w:t>organization</w:t>
      </w:r>
      <w:r w:rsidR="00E03E63" w:rsidRPr="00195916">
        <w:t>.</w:t>
      </w:r>
      <w:r w:rsidRPr="00195916">
        <w:t xml:space="preserve"> </w:t>
      </w:r>
      <w:r w:rsidR="00E03E63" w:rsidRPr="00195916">
        <w:t>H</w:t>
      </w:r>
      <w:r w:rsidRPr="00195916">
        <w:t xml:space="preserve">owever, after hearing </w:t>
      </w:r>
      <w:r w:rsidR="00CF7D55" w:rsidRPr="00195916">
        <w:t>both the prosecution and the defence</w:t>
      </w:r>
      <w:r w:rsidRPr="00195916">
        <w:t>, on October 24, 2019, the Court convicted defendant No. 2 for membership in a terrorist organization.</w:t>
      </w:r>
      <w:r w:rsidR="00727922" w:rsidRPr="00195916">
        <w:t xml:space="preserve"> On September 16, 2020, he was sentenced to three and a half (3.5) years of imprisonment, of which he had already </w:t>
      </w:r>
      <w:r w:rsidR="00727922" w:rsidRPr="00195916">
        <w:lastRenderedPageBreak/>
        <w:t xml:space="preserve">served 32 months, and a suspended sentence of eighteen (18) months. Additionally, he was ordered to pay 25,000 </w:t>
      </w:r>
      <w:r w:rsidR="00195916" w:rsidRPr="00195916">
        <w:t>NIS</w:t>
      </w:r>
      <w:r w:rsidR="00727922" w:rsidRPr="00195916">
        <w:t xml:space="preserve"> compensation (approx. 7,300 USD) to the victims.</w:t>
      </w:r>
    </w:p>
    <w:p w14:paraId="5947AAEB" w14:textId="3562282E" w:rsidR="00130B90" w:rsidRPr="00130B90" w:rsidRDefault="006B79F7" w:rsidP="00077940">
      <w:pPr>
        <w:pStyle w:val="aa"/>
        <w:numPr>
          <w:ilvl w:val="0"/>
          <w:numId w:val="2"/>
        </w:numPr>
        <w:ind w:left="567" w:hanging="567"/>
        <w:contextualSpacing w:val="0"/>
      </w:pPr>
      <w:r w:rsidRPr="00130B90">
        <w:t xml:space="preserve">On May 18, 2020, the Court convicted Defendant No. 1 for murder of the three (3) </w:t>
      </w:r>
      <w:r w:rsidR="00077940">
        <w:t>m</w:t>
      </w:r>
      <w:r w:rsidRPr="00130B90">
        <w:t xml:space="preserve">embers of the Dawabshe </w:t>
      </w:r>
      <w:r w:rsidR="00077940">
        <w:t>f</w:t>
      </w:r>
      <w:r w:rsidRPr="00130B90">
        <w:t xml:space="preserve">amily, the additional offences of attempted murder, two (2) offences of arson, and conspiracy to commit a crime </w:t>
      </w:r>
      <w:r w:rsidR="00CF7D55">
        <w:t>with</w:t>
      </w:r>
      <w:r w:rsidRPr="00130B90">
        <w:t xml:space="preserve"> racial motive</w:t>
      </w:r>
      <w:r w:rsidR="00CF7D55">
        <w:t>s</w:t>
      </w:r>
      <w:r w:rsidRPr="00130B90">
        <w:t xml:space="preserve">. The defendant was found not guilty of membership in a terrorist organization. </w:t>
      </w:r>
    </w:p>
    <w:p w14:paraId="2D74DF03" w14:textId="7F6B9218" w:rsidR="00130B90" w:rsidRDefault="006B79F7" w:rsidP="00077940">
      <w:pPr>
        <w:pStyle w:val="aa"/>
        <w:numPr>
          <w:ilvl w:val="0"/>
          <w:numId w:val="2"/>
        </w:numPr>
        <w:ind w:left="567" w:hanging="567"/>
        <w:contextualSpacing w:val="0"/>
      </w:pPr>
      <w:r w:rsidRPr="00130B90">
        <w:t>This indictment is the outcome of a thorough investigation conducted by the ISA and the Police (Judea and Samaria District). The AG and the State Attorney approved the filing of this indictment.</w:t>
      </w:r>
    </w:p>
    <w:p w14:paraId="779C4BF4" w14:textId="38414A44" w:rsidR="00CF7D55" w:rsidRPr="00130B90" w:rsidRDefault="006B79F7" w:rsidP="00077940">
      <w:pPr>
        <w:pStyle w:val="aa"/>
        <w:numPr>
          <w:ilvl w:val="0"/>
          <w:numId w:val="2"/>
        </w:numPr>
        <w:ind w:left="567" w:hanging="567"/>
        <w:contextualSpacing w:val="0"/>
      </w:pPr>
      <w:r>
        <w:rPr>
          <w:color w:val="222222"/>
        </w:rPr>
        <w:t xml:space="preserve">Following his conviction, on September 14, 2020, the Lod District Court sentenced Defendant No. 1 to three (3) life sentences, to be served consecutively. This, one (1) week after the Court rejected the Defendant's motion to acquit him of all charges based on an alleged contradiction between the indictment and the surviving victim's statements to the press. In addition to the three (3) life sentences, the Defendant was sentenced to seventeen (17) years </w:t>
      </w:r>
      <w:r w:rsidR="00D32C8B">
        <w:rPr>
          <w:color w:val="222222"/>
        </w:rPr>
        <w:t xml:space="preserve">and additional ten (10) years </w:t>
      </w:r>
      <w:r>
        <w:rPr>
          <w:color w:val="222222"/>
        </w:rPr>
        <w:t xml:space="preserve">imprisonment for the attempted murder of </w:t>
      </w:r>
      <w:r w:rsidR="00D32C8B">
        <w:rPr>
          <w:color w:val="222222"/>
        </w:rPr>
        <w:t>Ahmad Dawabshe and Mamun Dawabshe.</w:t>
      </w:r>
    </w:p>
    <w:p w14:paraId="421AD5FD" w14:textId="77777777" w:rsidR="006567A6" w:rsidRPr="00973082" w:rsidRDefault="006B79F7" w:rsidP="00BB339C">
      <w:pPr>
        <w:pStyle w:val="1"/>
        <w:shd w:val="clear" w:color="auto" w:fill="BFBFBF"/>
        <w:spacing w:after="240"/>
        <w:rPr>
          <w:rFonts w:ascii="Times New Roman" w:hAnsi="Times New Roman"/>
          <w:b/>
          <w:bCs/>
          <w:color w:val="auto"/>
          <w:sz w:val="24"/>
          <w:szCs w:val="24"/>
          <w:u w:val="single"/>
        </w:rPr>
      </w:pPr>
      <w:bookmarkStart w:id="23" w:name="_Toc60141936"/>
      <w:r w:rsidRPr="00973082">
        <w:rPr>
          <w:rFonts w:ascii="Times New Roman" w:hAnsi="Times New Roman"/>
          <w:b/>
          <w:bCs/>
          <w:color w:val="auto"/>
          <w:sz w:val="24"/>
          <w:szCs w:val="24"/>
          <w:u w:val="single"/>
        </w:rPr>
        <w:t xml:space="preserve">Question No. </w:t>
      </w:r>
      <w:r w:rsidR="00610363" w:rsidRPr="00973082">
        <w:rPr>
          <w:rFonts w:ascii="Times New Roman" w:hAnsi="Times New Roman"/>
          <w:b/>
          <w:bCs/>
          <w:color w:val="auto"/>
          <w:sz w:val="24"/>
          <w:szCs w:val="24"/>
          <w:u w:val="single"/>
        </w:rPr>
        <w:t>37</w:t>
      </w:r>
      <w:bookmarkEnd w:id="23"/>
    </w:p>
    <w:p w14:paraId="1A90189D" w14:textId="6076210C" w:rsidR="00610363" w:rsidRPr="0029557B" w:rsidRDefault="006B79F7" w:rsidP="00077940">
      <w:pPr>
        <w:ind w:left="0" w:firstLine="0"/>
        <w:rPr>
          <w:b/>
          <w:bCs/>
          <w:u w:val="single"/>
        </w:rPr>
      </w:pPr>
      <w:r w:rsidRPr="0029557B">
        <w:rPr>
          <w:b/>
          <w:bCs/>
          <w:u w:val="single"/>
        </w:rPr>
        <w:t>Israel’s Investigation and Prosecution of Ideologically Motivated Offences Against Palestinians in the West Bank</w:t>
      </w:r>
    </w:p>
    <w:p w14:paraId="250D0060" w14:textId="53CE3367" w:rsidR="00610363" w:rsidRPr="005235CF" w:rsidRDefault="006B79F7" w:rsidP="00514D19">
      <w:pPr>
        <w:pStyle w:val="aa"/>
        <w:numPr>
          <w:ilvl w:val="0"/>
          <w:numId w:val="2"/>
        </w:numPr>
        <w:ind w:left="567" w:hanging="567"/>
        <w:contextualSpacing w:val="0"/>
        <w:rPr>
          <w:b/>
          <w:bCs/>
          <w:u w:val="single"/>
        </w:rPr>
      </w:pPr>
      <w:r w:rsidRPr="0029557B">
        <w:t xml:space="preserve">Cr.A. 1466/20 </w:t>
      </w:r>
      <w:r w:rsidRPr="0029557B">
        <w:rPr>
          <w:i/>
          <w:iCs/>
        </w:rPr>
        <w:t>The State of Israel v. Anonymous</w:t>
      </w:r>
      <w:r w:rsidRPr="0029557B">
        <w:t xml:space="preserve"> (22.7.2020) - the </w:t>
      </w:r>
      <w:r w:rsidR="00514D19" w:rsidRPr="00CE58B3">
        <w:t>D</w:t>
      </w:r>
      <w:r w:rsidR="00077940" w:rsidRPr="002D4390">
        <w:t xml:space="preserve">efendant </w:t>
      </w:r>
      <w:r w:rsidRPr="002D4390">
        <w:t xml:space="preserve">challenged the sentencing rendered by the Jerusalem Juvenile District Court of 26 </w:t>
      </w:r>
      <w:r w:rsidR="00D12244" w:rsidRPr="005235CF">
        <w:t>months'</w:t>
      </w:r>
      <w:r w:rsidRPr="005235CF">
        <w:t xml:space="preserve"> imprisonment, ten (10) months suspended sentence, and a 4,000 NIS (1,111 USD) fine, for a juvenile charged with stone-throwing in one (1) case, and with petrol bombs (“Molotov cocktails”) throwing in two (2) further cases. According to the indictment, the respondent and two (2) others brought flammable substances and three (3) petrol bombs to a Jewish residential area. The </w:t>
      </w:r>
      <w:r w:rsidR="00514D19" w:rsidRPr="005235CF">
        <w:lastRenderedPageBreak/>
        <w:t>D</w:t>
      </w:r>
      <w:r w:rsidR="00077940" w:rsidRPr="005235CF">
        <w:t>efendant</w:t>
      </w:r>
      <w:r w:rsidRPr="005235CF">
        <w:t xml:space="preserve">, who was supposed to be on house arrest at the time, covered his face and threw the petrol bombs at a house, while its residents were home. Note that less than one (1) year prior to this offense the </w:t>
      </w:r>
      <w:r w:rsidR="00514D19" w:rsidRPr="005235CF">
        <w:t>D</w:t>
      </w:r>
      <w:r w:rsidR="00077940" w:rsidRPr="005235CF">
        <w:t xml:space="preserve">efendant </w:t>
      </w:r>
      <w:r w:rsidRPr="005235CF">
        <w:t>committed a similar offense against a vehicle carrying Jewish passengers.</w:t>
      </w:r>
    </w:p>
    <w:p w14:paraId="7ED42555" w14:textId="66D9BF7A" w:rsidR="00610363" w:rsidRPr="005235CF" w:rsidRDefault="006B79F7" w:rsidP="00D562B9">
      <w:pPr>
        <w:pStyle w:val="aa"/>
        <w:numPr>
          <w:ilvl w:val="0"/>
          <w:numId w:val="2"/>
        </w:numPr>
        <w:ind w:left="567" w:hanging="567"/>
        <w:contextualSpacing w:val="0"/>
      </w:pPr>
      <w:r w:rsidRPr="005235CF">
        <w:t xml:space="preserve">During the proceedings in the District Court, the </w:t>
      </w:r>
      <w:r w:rsidR="00D562B9" w:rsidRPr="005235CF">
        <w:t>D</w:t>
      </w:r>
      <w:r w:rsidR="00077940" w:rsidRPr="005235CF">
        <w:t xml:space="preserve">efendant </w:t>
      </w:r>
      <w:r w:rsidRPr="005235CF">
        <w:t xml:space="preserve">and the appellant, the State, reached a plea bargain regarding the indictment only. The prosecution charged the respondent with terrorism offenses in accordance with the </w:t>
      </w:r>
      <w:r w:rsidRPr="005235CF">
        <w:rPr>
          <w:i/>
          <w:iCs/>
        </w:rPr>
        <w:t>Counter-Terrorism</w:t>
      </w:r>
      <w:r w:rsidRPr="005235CF">
        <w:t xml:space="preserve"> </w:t>
      </w:r>
      <w:r w:rsidRPr="005235CF">
        <w:rPr>
          <w:i/>
          <w:iCs/>
        </w:rPr>
        <w:t>Law</w:t>
      </w:r>
      <w:r w:rsidRPr="005235CF">
        <w:t xml:space="preserve">, which calls for harsher sentencing in terrorism-related cases. The Supreme Court held that the sentencing rendered by the District Court did not take into account both the policy for harsher sentencing proscribed by Section 37 of the </w:t>
      </w:r>
      <w:r w:rsidRPr="005235CF">
        <w:rPr>
          <w:i/>
          <w:iCs/>
        </w:rPr>
        <w:t>Counter-Terrorism Law</w:t>
      </w:r>
      <w:r w:rsidRPr="005235CF">
        <w:t xml:space="preserve">, and the aggravating circumstances in the defendant’s case. Thus, the Supreme Court raised the sentence to 32 </w:t>
      </w:r>
      <w:r w:rsidR="00D12244" w:rsidRPr="005235CF">
        <w:t>months'</w:t>
      </w:r>
      <w:r w:rsidRPr="005235CF">
        <w:t xml:space="preserve"> imprisonment, with the hope that the increased sentence will deter the defendant from committing future acts of terrorism (Cr.A. 1446/20 </w:t>
      </w:r>
      <w:r w:rsidRPr="005235CF">
        <w:rPr>
          <w:i/>
          <w:iCs/>
        </w:rPr>
        <w:t>The State of Israel v. Anonymous</w:t>
      </w:r>
      <w:r w:rsidRPr="005235CF">
        <w:t xml:space="preserve"> (22.7.2020)). </w:t>
      </w:r>
    </w:p>
    <w:p w14:paraId="2BA93281" w14:textId="09D8B194" w:rsidR="00610363" w:rsidRPr="005235CF" w:rsidRDefault="006B79F7" w:rsidP="005811B2">
      <w:pPr>
        <w:pStyle w:val="aa"/>
        <w:numPr>
          <w:ilvl w:val="0"/>
          <w:numId w:val="2"/>
        </w:numPr>
        <w:ind w:left="567" w:hanging="567"/>
        <w:contextualSpacing w:val="0"/>
      </w:pPr>
      <w:r w:rsidRPr="005235CF">
        <w:t xml:space="preserve">On September 19, 2017, the Be'er-Sheva Magistrate Court convicted a defendant for several offences of prohibited publication of incitement to racism and incitement to racism or terrorism, after he opened a Facebook group to which he uploaded materials inciting to violence against Arabs. After hearing both parties, the Court convicted the defendant, Lior Cohen, in all the charges against him. On July 7, 2019, the Court sentenced the defendant to six (6) months' imprisonment and an additional suspended sentence which was previously issued against him, of three (3) months' imprisonment – nine (9) months' imprisonment in total that will be served by community service, twelve (12) months' suspended imprisonment for a period of three (3) years and probation supervision order for a period of six (6) months. The Court took into account, </w:t>
      </w:r>
      <w:r w:rsidRPr="005235CF">
        <w:rPr>
          <w:i/>
          <w:iCs/>
        </w:rPr>
        <w:t>inter alia</w:t>
      </w:r>
      <w:r w:rsidRPr="005235CF">
        <w:t xml:space="preserve">, the sincere remorse expressed by the defendant, the rehabilitation process the defendant went through, his understanding of his actions, the close supervision of the Adult Probation Service and the positive social worker's survey in his regard. The Court noted, </w:t>
      </w:r>
      <w:r w:rsidRPr="005235CF">
        <w:rPr>
          <w:i/>
          <w:iCs/>
        </w:rPr>
        <w:t>inter alia</w:t>
      </w:r>
      <w:r w:rsidRPr="005235CF">
        <w:t xml:space="preserve">, that </w:t>
      </w:r>
      <w:r w:rsidRPr="005235CF">
        <w:rPr>
          <w:lang w:val="en"/>
        </w:rPr>
        <w:t>the defendant's statements in his Facebook publications were of a racist dimension and included calls for physical violence against the Arab population.</w:t>
      </w:r>
      <w:r w:rsidRPr="005235CF">
        <w:t xml:space="preserve"> However, due consideration should be given to that fact that the </w:t>
      </w:r>
      <w:r w:rsidRPr="005235CF">
        <w:lastRenderedPageBreak/>
        <w:t xml:space="preserve">number of viewings and likes these publications received were very low (Cr.C. 41705-08-14 </w:t>
      </w:r>
      <w:r w:rsidRPr="005235CF">
        <w:rPr>
          <w:i/>
          <w:iCs/>
        </w:rPr>
        <w:t>The State of Israel v. Lior Cohen</w:t>
      </w:r>
      <w:r w:rsidRPr="005235CF">
        <w:t xml:space="preserve"> (7.7.19)).</w:t>
      </w:r>
      <w:r w:rsidRPr="005235CF">
        <w:rPr>
          <w:rStyle w:val="af2"/>
        </w:rPr>
        <w:t xml:space="preserve"> </w:t>
      </w:r>
    </w:p>
    <w:p w14:paraId="150345D3" w14:textId="0728400F" w:rsidR="00610363" w:rsidRPr="005235CF" w:rsidRDefault="006B79F7" w:rsidP="001F52F8">
      <w:pPr>
        <w:pStyle w:val="aa"/>
        <w:numPr>
          <w:ilvl w:val="0"/>
          <w:numId w:val="2"/>
        </w:numPr>
        <w:ind w:left="567" w:hanging="567"/>
        <w:contextualSpacing w:val="0"/>
      </w:pPr>
      <w:r w:rsidRPr="005235CF">
        <w:t xml:space="preserve">A further example is the 2018 Supreme Court decision to harshen the punishment against a defendant who was convicted and sentenced under a plea bargain. In this case, according to the indictment, prior to June 17, 2015, </w:t>
      </w:r>
      <w:r w:rsidRPr="005235CF">
        <w:rPr>
          <w:b/>
          <w:bCs/>
        </w:rPr>
        <w:t>defendant No. 1 (Yinon Reuveni) and defendant No. 2 conspired with other persons, whose identity is unknown (hereinafter: "the others"),</w:t>
      </w:r>
      <w:r w:rsidRPr="005235CF">
        <w:t xml:space="preserve"> to set fire to the </w:t>
      </w:r>
      <w:r w:rsidRPr="005235CF">
        <w:rPr>
          <w:shd w:val="clear" w:color="auto" w:fill="FFFFFF"/>
        </w:rPr>
        <w:t>Church of the Multiplication of the Loaves and Fish</w:t>
      </w:r>
      <w:r w:rsidRPr="005235CF">
        <w:t xml:space="preserve"> in Nahum Village in order to damage sanctities of the Christian faith. On July 3, 2017, defendant No. 2 was acquitted of all the charges against him and defendant No. 1 was convicted by the Court. On December 12, 2017, defendant No. 1 was sentenced to four (4) years</w:t>
      </w:r>
      <w:r w:rsidR="00077940" w:rsidRPr="005235CF">
        <w:t>'</w:t>
      </w:r>
      <w:r w:rsidRPr="005235CF">
        <w:t xml:space="preserve"> imprisonment, twelve (12) months suspended imprisonment for a period of three (3) years, six (6) months suspended imprisonment for a period of three (3) years, compensation to the Church in the sum of 50,000 NIS (13,500 USD) and a fine of 5,000 NIS (1,350 USD). Following this sentence, two (2) appeals were filed against the verdict and sentence, one by the defendant and the other by the State against the leniency of the sentence. </w:t>
      </w:r>
    </w:p>
    <w:p w14:paraId="399A63A7" w14:textId="77777777" w:rsidR="00610363" w:rsidRPr="005235CF" w:rsidRDefault="006B79F7" w:rsidP="001F52F8">
      <w:pPr>
        <w:pStyle w:val="aa"/>
        <w:numPr>
          <w:ilvl w:val="0"/>
          <w:numId w:val="2"/>
        </w:numPr>
        <w:ind w:left="567" w:hanging="567"/>
        <w:contextualSpacing w:val="0"/>
      </w:pPr>
      <w:r w:rsidRPr="005235CF">
        <w:t xml:space="preserve">On August 16, 2018, the Supreme Court rejected the defendant's appeal, and </w:t>
      </w:r>
      <w:r w:rsidRPr="005235CF">
        <w:rPr>
          <w:lang w:val="en"/>
        </w:rPr>
        <w:t xml:space="preserve">accepted the State's appeal, noting, </w:t>
      </w:r>
      <w:r w:rsidRPr="005235CF">
        <w:rPr>
          <w:i/>
          <w:iCs/>
          <w:lang w:val="en"/>
        </w:rPr>
        <w:t>inter alia</w:t>
      </w:r>
      <w:r w:rsidRPr="005235CF">
        <w:rPr>
          <w:lang w:val="en"/>
        </w:rPr>
        <w:t xml:space="preserve">, that "the characteristics of this case are more severe than in other cases that were mentioned in regard to the sentence. Apart from the fact that this is an arson committed based on a </w:t>
      </w:r>
      <w:r w:rsidRPr="005235CF">
        <w:t>religious</w:t>
      </w:r>
      <w:r w:rsidRPr="005235CF">
        <w:rPr>
          <w:lang w:val="en"/>
        </w:rPr>
        <w:t xml:space="preserve">-ideological motive, it was specifically aimed at harming a historic religious center that is a central symbol of the Christian religion in Israel". The Court therefore increased the defendant's sentence from four (4) to five and a half (5.5) years' imprisonment (without changing the other components of the sentence) (Cr. </w:t>
      </w:r>
      <w:r w:rsidR="00FE3E5C" w:rsidRPr="005235CF">
        <w:rPr>
          <w:lang w:val="en"/>
        </w:rPr>
        <w:t>Ap.</w:t>
      </w:r>
      <w:r w:rsidRPr="005235CF">
        <w:rPr>
          <w:lang w:val="en"/>
        </w:rPr>
        <w:t xml:space="preserve"> 6928/18 </w:t>
      </w:r>
      <w:r w:rsidRPr="005235CF">
        <w:rPr>
          <w:i/>
          <w:iCs/>
          <w:lang w:val="en"/>
        </w:rPr>
        <w:t xml:space="preserve">The State of Israel v. </w:t>
      </w:r>
      <w:r w:rsidRPr="005235CF">
        <w:rPr>
          <w:i/>
          <w:iCs/>
        </w:rPr>
        <w:t>Yehuda Asraf</w:t>
      </w:r>
      <w:r w:rsidRPr="005235CF">
        <w:t xml:space="preserve"> (16.8.18))</w:t>
      </w:r>
      <w:r w:rsidRPr="005235CF">
        <w:rPr>
          <w:lang w:val="en"/>
        </w:rPr>
        <w:t>.</w:t>
      </w:r>
      <w:r w:rsidRPr="005235CF">
        <w:t xml:space="preserve"> </w:t>
      </w:r>
      <w:r w:rsidR="00FE3E5C" w:rsidRPr="005235CF">
        <w:t xml:space="preserve">As of January 2017, the Government of Israel had transferred 1.5 Million NIS (431,925 USD) for the complete renovation of the Church. On September 21, 2015, the Jerusalem District Court convicted Itzhak Gabay (the third person), of arson, defacing property, possession of a knife, incitement to violence, incitement to racism and support of a terrorist organization. </w:t>
      </w:r>
      <w:r w:rsidRPr="005235CF">
        <w:t xml:space="preserve">On December 1, 2015, the Court sentenced Mr. Gabay to 36 months' imprisonment, fourteen (14) months' suspended </w:t>
      </w:r>
      <w:r w:rsidRPr="005235CF">
        <w:lastRenderedPageBreak/>
        <w:t>imprisonment for a period of three (3) years and compensation to the school in the sum of 10,000 NIS (2,500 USD) (</w:t>
      </w:r>
      <w:r w:rsidRPr="005235CF">
        <w:rPr>
          <w:i/>
          <w:iCs/>
        </w:rPr>
        <w:t>Cr.C. 31351-12-14 The State of Israel v. Itzhak Gabay</w:t>
      </w:r>
      <w:r w:rsidRPr="005235CF">
        <w:t xml:space="preserve"> (1.12.15)). Here also, both sides appealed to the Supreme Court in regard to the sentence. The State claimed among other things, that the lower court's sentence is too lenient and does not reflect the substantial severity of the arson and the threat still posed by the defendant. On September 28, 2016, after hearing both sides and receiving additional information about the defendant, the Court raised the defendant's sentence by additional four (4) months (from 36 to 40 months' imprisonment) (Cr.A. 401/16</w:t>
      </w:r>
      <w:r w:rsidRPr="005235CF">
        <w:rPr>
          <w:i/>
        </w:rPr>
        <w:t xml:space="preserve"> The State of Israel v. Yitzhak Gabay</w:t>
      </w:r>
      <w:r w:rsidRPr="005235CF">
        <w:t xml:space="preserve"> (28.9.16)).</w:t>
      </w:r>
    </w:p>
    <w:p w14:paraId="067D9001" w14:textId="775F4DA1" w:rsidR="001246D9" w:rsidRPr="0029557B" w:rsidRDefault="001246D9" w:rsidP="00B00A08">
      <w:pPr>
        <w:pStyle w:val="aa"/>
        <w:numPr>
          <w:ilvl w:val="0"/>
          <w:numId w:val="2"/>
        </w:numPr>
        <w:ind w:left="567" w:hanging="567"/>
        <w:contextualSpacing w:val="0"/>
      </w:pPr>
      <w:r w:rsidRPr="005235CF">
        <w:t xml:space="preserve">One of the most egregious examples was the kidnapping and murder of a sixteen (16) year old Palestinian, </w:t>
      </w:r>
      <w:r w:rsidRPr="005235CF">
        <w:rPr>
          <w:b/>
          <w:bCs/>
        </w:rPr>
        <w:t xml:space="preserve">Muhammed Abu Khdeir </w:t>
      </w:r>
      <w:r w:rsidRPr="005235CF">
        <w:t xml:space="preserve">from the neighborhood of Shuafat in Jerusalem. Following an intensive investigation of Abu Khdeir's murder by the Police, the State filed an indictment </w:t>
      </w:r>
      <w:r w:rsidR="00B00A08" w:rsidRPr="005235CF">
        <w:t>to</w:t>
      </w:r>
      <w:r w:rsidRPr="005235CF">
        <w:t xml:space="preserve"> the Jerusalem District Court against three (3) Israelis, of which two (2) were minors.</w:t>
      </w:r>
      <w:r w:rsidRPr="0029557B">
        <w:rPr>
          <w:rStyle w:val="af2"/>
        </w:rPr>
        <w:footnoteReference w:id="1"/>
      </w:r>
      <w:r w:rsidRPr="0029557B">
        <w:t xml:space="preserve"> On November 30, 2015, the Court convicted both minor defendants in the murder of Abu Khdeir and determined that defendant No. 1, Yossef Haim Ben David, was also involved in the murder. </w:t>
      </w:r>
    </w:p>
    <w:p w14:paraId="72EDD9C1" w14:textId="35491A5F" w:rsidR="00610363" w:rsidRPr="005235CF" w:rsidRDefault="006B79F7" w:rsidP="001246D9">
      <w:pPr>
        <w:pStyle w:val="aa"/>
        <w:numPr>
          <w:ilvl w:val="0"/>
          <w:numId w:val="2"/>
        </w:numPr>
        <w:ind w:left="567" w:hanging="567"/>
        <w:contextualSpacing w:val="0"/>
      </w:pPr>
      <w:r w:rsidRPr="00CE58B3">
        <w:t>On February 4, 2016, the Court sentenced Defendant No. 2 (minor) to</w:t>
      </w:r>
      <w:r w:rsidRPr="002D4390">
        <w:rPr>
          <w:b/>
          <w:bCs/>
        </w:rPr>
        <w:t xml:space="preserve"> life imprisonment</w:t>
      </w:r>
      <w:r w:rsidRPr="002D4390">
        <w:t>, an additional three (3) years' imprisonment to be served concurrently, compensation of 5,000 NIS (1,300 USD) to the famil</w:t>
      </w:r>
      <w:r w:rsidRPr="005235CF">
        <w:t xml:space="preserve">y of another boy the three (3) had tried to kidnap and compensation of 30,000 NIS (7,800 USD) to Abu Khdeir's family. In addition, the Court sentenced defendant No. 3 (minor) to </w:t>
      </w:r>
      <w:r w:rsidRPr="005235CF">
        <w:rPr>
          <w:b/>
          <w:bCs/>
        </w:rPr>
        <w:t>21 years' imprisonment</w:t>
      </w:r>
      <w:r w:rsidRPr="005235CF">
        <w:t xml:space="preserve">, one (1) year suspended imprisonment and compensation of 30,000 NIS (7,800 USD) to the victim's family. On April 19, 2016, after reviewing psychiatric expert opinions provided by both sides, the Court accepted the opinion provided by the prosecution and noted, </w:t>
      </w:r>
      <w:r w:rsidRPr="005235CF">
        <w:rPr>
          <w:i/>
          <w:iCs/>
        </w:rPr>
        <w:t>inter alia,</w:t>
      </w:r>
      <w:r w:rsidRPr="005235CF">
        <w:t xml:space="preserve"> that </w:t>
      </w:r>
      <w:r w:rsidRPr="005235CF">
        <w:lastRenderedPageBreak/>
        <w:t>at the time of the incident, defendant No. 1 was not in a psychotic state, he understood what he was doing and was responsible for his actions. The Court therefore concluded that defendant No. 1 had initiated the crimes and convicted him of Abu Khdeir's murder, in addition to kidnapping for the purpose of murder, assault causing grave bodily harm and attempted arson. On May 3, 2016, the Court sentenced Yossef Haim Ben David to</w:t>
      </w:r>
      <w:r w:rsidRPr="005235CF">
        <w:rPr>
          <w:b/>
          <w:bCs/>
        </w:rPr>
        <w:t xml:space="preserve"> life imprisonment, an additional 20 years' imprisonment to be served concurrently</w:t>
      </w:r>
      <w:r w:rsidRPr="005235CF">
        <w:t>. Ben David was also sentenced to compensation of 20,000 NIS (5,260 USD) to the family of the other boy the three (3) had tried to kidnap and compensation of 150,000 NIS (39,500 USD) to the victim's family (</w:t>
      </w:r>
      <w:r w:rsidRPr="005235CF">
        <w:rPr>
          <w:i/>
          <w:iCs/>
        </w:rPr>
        <w:t xml:space="preserve">The Jerusalem District Court, S.Cr.C. 34700-07-14, The State of Israel v. Yossef Haim Ben David </w:t>
      </w:r>
      <w:r w:rsidRPr="005235CF">
        <w:t>(19.4.2016)).</w:t>
      </w:r>
    </w:p>
    <w:p w14:paraId="0047673A" w14:textId="77777777" w:rsidR="00610363" w:rsidRPr="005235CF" w:rsidRDefault="006B79F7" w:rsidP="001F52F8">
      <w:pPr>
        <w:pStyle w:val="aa"/>
        <w:numPr>
          <w:ilvl w:val="0"/>
          <w:numId w:val="2"/>
        </w:numPr>
        <w:ind w:left="567" w:hanging="567"/>
        <w:contextualSpacing w:val="0"/>
      </w:pPr>
      <w:r w:rsidRPr="005235CF">
        <w:t xml:space="preserve">Another such example is the Supreme Court decision to harshen the punishment against two (2) defendants who were convicted and sentenced under a plea bargain. In this case, according to the indictment, on November 28, 2014, Shlomo Tweeto (Defendant No. 1), Nachman Tweeto (Defendant No.2) and a third person </w:t>
      </w:r>
      <w:r w:rsidRPr="005235CF">
        <w:rPr>
          <w:u w:val="single"/>
        </w:rPr>
        <w:t>conspired to set fire to a bilingual school in Jerusalem</w:t>
      </w:r>
      <w:r w:rsidRPr="005235CF">
        <w:t xml:space="preserve"> and deface real estate in protest against co-existence between Jews and Arabs. According to the indictment, on November 29, 2014, the three (3) made the necessary preparations, and broke into the school, spilled gasoline and sprayed racial slurs on walls outside the classrooms. After Defendant No. 1 left the school, the third person set fire to the classrooms and they all ran to their car and escaped.</w:t>
      </w:r>
    </w:p>
    <w:p w14:paraId="4E4FCB0D" w14:textId="77777777" w:rsidR="00610363" w:rsidRPr="005235CF" w:rsidRDefault="006B79F7" w:rsidP="001F52F8">
      <w:pPr>
        <w:pStyle w:val="aa"/>
        <w:numPr>
          <w:ilvl w:val="0"/>
          <w:numId w:val="2"/>
        </w:numPr>
        <w:ind w:left="567" w:hanging="567"/>
        <w:contextualSpacing w:val="0"/>
      </w:pPr>
      <w:r w:rsidRPr="005235CF">
        <w:t xml:space="preserve">Following an investigation of this case and the indictment of the three (3) men, the Jerusalem District Court convicted Defendant No. 1 of arson and of the defacing property and sentenced him to 24 months' imprisonment, eight (8) months suspended imprisonment for a period of three (3) years, a fine of 1,500 NIS (375 USD) and compensation in the sum of 10,000 NIS (2,500 USD) to the school. Defendant No. 2 was convicted of arson, defacing real estate and incitement to violence (for the publication of terrorist organizations' symbols and content inciting violence and racism on his Facebook account) and was sentenced to 30 months' imprisonment, ten (10) months suspended imprisonment for a period of three (3) years, and compensation to the school in the sum of 15,000 </w:t>
      </w:r>
      <w:r w:rsidRPr="005235CF">
        <w:lastRenderedPageBreak/>
        <w:t>NIS (3,750 USD). (</w:t>
      </w:r>
      <w:r w:rsidRPr="005235CF">
        <w:rPr>
          <w:i/>
          <w:iCs/>
        </w:rPr>
        <w:t>Cr.C. 4001-05-15 The State of Israel v. Shlomo Tweeto et. al.</w:t>
      </w:r>
      <w:r w:rsidRPr="005235CF">
        <w:t xml:space="preserve"> (22.7.15)).</w:t>
      </w:r>
    </w:p>
    <w:p w14:paraId="4A54DB2D" w14:textId="77777777" w:rsidR="00B00A08" w:rsidRPr="005235CF" w:rsidRDefault="00B00A08" w:rsidP="00B00A08">
      <w:pPr>
        <w:pStyle w:val="aa"/>
        <w:numPr>
          <w:ilvl w:val="0"/>
          <w:numId w:val="2"/>
        </w:numPr>
        <w:ind w:left="567" w:hanging="567"/>
        <w:contextualSpacing w:val="0"/>
      </w:pPr>
      <w:r w:rsidRPr="005235CF">
        <w:t xml:space="preserve">The State decided to appeal this sentence to the Supreme Court, arguing among other things, that the sentences were too lenient and do not reflect the substantial damage to the social values that were harmed, the aggravated circumstances in which these offences were committed and the need to deter others from committing such offences. The Court raised both defendants' sentences by an additional eight (8) months imprisonment, stating, </w:t>
      </w:r>
      <w:r w:rsidRPr="005235CF">
        <w:rPr>
          <w:i/>
          <w:iCs/>
        </w:rPr>
        <w:t>inter alia</w:t>
      </w:r>
      <w:r w:rsidRPr="005235CF">
        <w:t>, that "with their actions the defendants harmed the entire society. Acts such as these may increase tension and inflame hatred between various groups in the population. They […] harm values of tolerance, equality and co-existence". Justice Rubinstein added that "Anyone who considers engaging in such acts […] should know that the punishment will be severe. The State of Israel is a Jewish and democratic state and anyone who sets fire to those who seek co-existence between Jews and Arabs, even if he disagrees with them, harms not only Israel's democratic values but its Jewish values as well. Instead of acting in tolerance and peace, he wages war and inflames hatred. This court and all courts have the duty to fight this" (</w:t>
      </w:r>
      <w:r w:rsidRPr="005235CF">
        <w:rPr>
          <w:i/>
          <w:iCs/>
        </w:rPr>
        <w:t>Cr.A. 5794/15 The State of Israel v. Shlomo Tweeto et. al.</w:t>
      </w:r>
      <w:r w:rsidRPr="005235CF">
        <w:t xml:space="preserve"> (31.1.16)).</w:t>
      </w:r>
    </w:p>
    <w:p w14:paraId="662D874A" w14:textId="77777777" w:rsidR="006567A6" w:rsidRPr="0029557B" w:rsidRDefault="006B79F7" w:rsidP="00BB339C">
      <w:pPr>
        <w:pStyle w:val="1"/>
        <w:shd w:val="clear" w:color="auto" w:fill="BFBFBF"/>
        <w:spacing w:after="240"/>
        <w:rPr>
          <w:rFonts w:ascii="Times New Roman" w:hAnsi="Times New Roman"/>
          <w:b/>
          <w:bCs/>
          <w:color w:val="auto"/>
          <w:sz w:val="28"/>
          <w:szCs w:val="28"/>
          <w:u w:val="single"/>
        </w:rPr>
      </w:pPr>
      <w:bookmarkStart w:id="24" w:name="_Toc60141937"/>
      <w:r w:rsidRPr="0029557B">
        <w:rPr>
          <w:rFonts w:ascii="Times New Roman" w:hAnsi="Times New Roman"/>
          <w:b/>
          <w:bCs/>
          <w:color w:val="auto"/>
          <w:sz w:val="28"/>
          <w:szCs w:val="28"/>
          <w:u w:val="single"/>
        </w:rPr>
        <w:t xml:space="preserve">Question No. </w:t>
      </w:r>
      <w:r w:rsidR="00363E5D" w:rsidRPr="0029557B">
        <w:rPr>
          <w:rFonts w:ascii="Times New Roman" w:hAnsi="Times New Roman"/>
          <w:b/>
          <w:bCs/>
          <w:color w:val="auto"/>
          <w:sz w:val="28"/>
          <w:szCs w:val="28"/>
          <w:u w:val="single"/>
        </w:rPr>
        <w:t>40</w:t>
      </w:r>
      <w:bookmarkEnd w:id="24"/>
    </w:p>
    <w:p w14:paraId="7BAC1ABD" w14:textId="77777777" w:rsidR="00363E5D" w:rsidRPr="0029557B" w:rsidRDefault="006B79F7" w:rsidP="00BB339C">
      <w:pPr>
        <w:rPr>
          <w:b/>
          <w:bCs/>
          <w:u w:val="single"/>
          <w:lang w:val="en"/>
        </w:rPr>
      </w:pPr>
      <w:r w:rsidRPr="0029557B">
        <w:rPr>
          <w:b/>
          <w:bCs/>
          <w:u w:val="single"/>
          <w:lang w:val="en"/>
        </w:rPr>
        <w:t xml:space="preserve">The return of bodies of </w:t>
      </w:r>
      <w:r w:rsidRPr="0029557B">
        <w:rPr>
          <w:b/>
          <w:bCs/>
          <w:u w:val="single"/>
        </w:rPr>
        <w:t>deceased Palestinians</w:t>
      </w:r>
      <w:r w:rsidRPr="0029557B">
        <w:rPr>
          <w:b/>
          <w:bCs/>
          <w:u w:val="single"/>
          <w:lang w:val="en"/>
        </w:rPr>
        <w:t xml:space="preserve"> to their relatives</w:t>
      </w:r>
    </w:p>
    <w:p w14:paraId="148AC457" w14:textId="57B652D0" w:rsidR="00363E5D" w:rsidRPr="005235CF" w:rsidRDefault="006B79F7" w:rsidP="00182E74">
      <w:pPr>
        <w:pStyle w:val="aa"/>
        <w:numPr>
          <w:ilvl w:val="0"/>
          <w:numId w:val="2"/>
        </w:numPr>
        <w:ind w:left="567" w:hanging="567"/>
        <w:contextualSpacing w:val="0"/>
        <w:rPr>
          <w:b/>
          <w:bCs/>
          <w:u w:val="single"/>
        </w:rPr>
      </w:pPr>
      <w:r w:rsidRPr="00CE58B3">
        <w:t>On</w:t>
      </w:r>
      <w:r w:rsidRPr="002D4390">
        <w:rPr>
          <w:lang w:val="en"/>
        </w:rPr>
        <w:t xml:space="preserve"> </w:t>
      </w:r>
      <w:r w:rsidRPr="002D4390">
        <w:t>December</w:t>
      </w:r>
      <w:r w:rsidRPr="002D4390">
        <w:rPr>
          <w:lang w:val="en"/>
        </w:rPr>
        <w:t xml:space="preserve"> 14, 2017, the HCJ ruled that Regulation 133(3) of the </w:t>
      </w:r>
      <w:r w:rsidRPr="005235CF">
        <w:rPr>
          <w:i/>
          <w:iCs/>
          <w:lang w:val="en"/>
        </w:rPr>
        <w:t xml:space="preserve">Defense </w:t>
      </w:r>
      <w:r w:rsidRPr="005235CF">
        <w:rPr>
          <w:i/>
          <w:iCs/>
        </w:rPr>
        <w:t>Regulations</w:t>
      </w:r>
      <w:r w:rsidRPr="005235CF">
        <w:rPr>
          <w:lang w:val="en"/>
        </w:rPr>
        <w:t xml:space="preserve"> does not constitute a primary, specific and explicit source of legislation for the IDF </w:t>
      </w:r>
      <w:r w:rsidRPr="005235CF">
        <w:t>military</w:t>
      </w:r>
      <w:r w:rsidRPr="005235CF">
        <w:rPr>
          <w:lang w:val="en"/>
        </w:rPr>
        <w:t xml:space="preserve"> commander to order the temporary burial of the remains of terrorists in order to hold them for the purpose of negotiating the return of </w:t>
      </w:r>
      <w:r w:rsidRPr="005235CF">
        <w:t>Israeli</w:t>
      </w:r>
      <w:r w:rsidRPr="005235CF">
        <w:rPr>
          <w:lang w:val="en"/>
        </w:rPr>
        <w:t xml:space="preserve"> citizens and the remains of Israeli soldiers held by the Hamas terrorist organization. The Court </w:t>
      </w:r>
      <w:r w:rsidR="00182E74" w:rsidRPr="005235CF">
        <w:rPr>
          <w:lang w:val="en"/>
        </w:rPr>
        <w:t>decided to allow</w:t>
      </w:r>
      <w:r w:rsidRPr="005235CF">
        <w:rPr>
          <w:lang w:val="en"/>
        </w:rPr>
        <w:t xml:space="preserve"> the State an opportunity to formulate a full and complete legal arrangement, in explicit and specific primary legislation that meets the relevant legal standards, which will be devoted to the subject of holding remains of terrorists for the required purposes. In light of the above, </w:t>
      </w:r>
      <w:r w:rsidRPr="005235CF">
        <w:t xml:space="preserve">the Court ordered a suspended annulment of the burial orders of the terrorists' </w:t>
      </w:r>
      <w:r w:rsidRPr="005235CF">
        <w:lastRenderedPageBreak/>
        <w:t>remains</w:t>
      </w:r>
      <w:r w:rsidRPr="005235CF">
        <w:rPr>
          <w:lang w:val="en"/>
        </w:rPr>
        <w:t xml:space="preserve">, which will grant the State time to formulate a full legal arrangement within six (6) months from the date of issuing this judgment. In case the State does not formulate an arrangement until that date, the remains of the terrorists whose cases were discussed in the petitions </w:t>
      </w:r>
      <w:r w:rsidR="00182E74" w:rsidRPr="005235CF">
        <w:rPr>
          <w:lang w:val="en"/>
        </w:rPr>
        <w:t xml:space="preserve">were to </w:t>
      </w:r>
      <w:r w:rsidRPr="005235CF">
        <w:rPr>
          <w:lang w:val="en"/>
        </w:rPr>
        <w:t xml:space="preserve">be returned to their families </w:t>
      </w:r>
      <w:r w:rsidRPr="005235CF">
        <w:t xml:space="preserve">(H.C.J. 4466/16 </w:t>
      </w:r>
      <w:r w:rsidRPr="005235CF">
        <w:rPr>
          <w:i/>
          <w:iCs/>
        </w:rPr>
        <w:t>Mohamad Alian et. al. v. The IDF Commander of the West Bank et. al.</w:t>
      </w:r>
      <w:r w:rsidRPr="005235CF">
        <w:t xml:space="preserve"> (14.12.17)). </w:t>
      </w:r>
    </w:p>
    <w:p w14:paraId="2A9B04DD" w14:textId="3B3B5B6D" w:rsidR="00363E5D" w:rsidRPr="005235CF" w:rsidRDefault="006B79F7" w:rsidP="00E5772A">
      <w:pPr>
        <w:pStyle w:val="aa"/>
        <w:numPr>
          <w:ilvl w:val="0"/>
          <w:numId w:val="2"/>
        </w:numPr>
        <w:ind w:left="567" w:hanging="567"/>
        <w:contextualSpacing w:val="0"/>
        <w:rPr>
          <w:b/>
          <w:bCs/>
          <w:u w:val="single"/>
        </w:rPr>
      </w:pPr>
      <w:r w:rsidRPr="005235CF">
        <w:rPr>
          <w:lang w:val="en"/>
        </w:rPr>
        <w:t>The State filed a request for further hearing on this matter</w:t>
      </w:r>
      <w:r w:rsidRPr="005235CF">
        <w:t xml:space="preserve"> which focused on the Court's determination regarding the lack of authority</w:t>
      </w:r>
      <w:r w:rsidRPr="005235CF">
        <w:rPr>
          <w:lang w:val="en"/>
        </w:rPr>
        <w:t xml:space="preserve">. The request was approved by the Court. </w:t>
      </w:r>
      <w:r w:rsidRPr="005235CF">
        <w:t xml:space="preserve">On September 9, 2019, the Court issued its ruling, in which it stated that </w:t>
      </w:r>
      <w:r w:rsidRPr="005235CF">
        <w:rPr>
          <w:lang w:val="en"/>
        </w:rPr>
        <w:t xml:space="preserve">Regulation 133(3) of the </w:t>
      </w:r>
      <w:r w:rsidRPr="005235CF">
        <w:rPr>
          <w:i/>
          <w:iCs/>
          <w:lang w:val="en"/>
        </w:rPr>
        <w:t>Defense Regulations</w:t>
      </w:r>
      <w:r w:rsidRPr="005235CF">
        <w:rPr>
          <w:lang w:val="en"/>
        </w:rPr>
        <w:t xml:space="preserve"> authorizes the Military Commander to order a temporary burial of enemy soldiers or terrorists remains, while protecting the dignity of the deceased and of his/her family, for reasons of state security and the safety of its citizens, for the purpose of negotiating the return of Israeli soldiers (dead or alive) and Israeli citizens held by the terrorist organizations. </w:t>
      </w:r>
      <w:r w:rsidR="00E5772A" w:rsidRPr="005235CF">
        <w:rPr>
          <w:lang w:val="en"/>
        </w:rPr>
        <w:t xml:space="preserve">The Court further stated that this authority should be implemented in a proportionate manner, both in policy decisions made by the Government and in concrete decisions made by the military commander in this regard </w:t>
      </w:r>
      <w:r w:rsidRPr="005235CF">
        <w:rPr>
          <w:lang w:val="en"/>
        </w:rPr>
        <w:t>(Ad.H.H.C.J</w:t>
      </w:r>
      <w:r w:rsidR="009102B3" w:rsidRPr="005235CF">
        <w:rPr>
          <w:lang w:val="en"/>
        </w:rPr>
        <w:t>.</w:t>
      </w:r>
      <w:r w:rsidRPr="005235CF">
        <w:rPr>
          <w:lang w:val="en"/>
        </w:rPr>
        <w:t xml:space="preserve"> 10190/17 </w:t>
      </w:r>
      <w:r w:rsidRPr="005235CF">
        <w:rPr>
          <w:i/>
          <w:iCs/>
        </w:rPr>
        <w:t>The IDF Commander of the West Bank et. al.</w:t>
      </w:r>
      <w:r w:rsidRPr="005235CF">
        <w:rPr>
          <w:lang w:val="en"/>
        </w:rPr>
        <w:t xml:space="preserve"> </w:t>
      </w:r>
      <w:r w:rsidRPr="005235CF">
        <w:rPr>
          <w:i/>
          <w:iCs/>
          <w:lang w:val="en"/>
        </w:rPr>
        <w:t>v.</w:t>
      </w:r>
      <w:r w:rsidRPr="005235CF">
        <w:rPr>
          <w:lang w:val="en"/>
        </w:rPr>
        <w:t xml:space="preserve"> </w:t>
      </w:r>
      <w:r w:rsidRPr="005235CF">
        <w:rPr>
          <w:i/>
          <w:iCs/>
        </w:rPr>
        <w:t>Mohamad Alian et. al.</w:t>
      </w:r>
      <w:r w:rsidRPr="005235CF">
        <w:rPr>
          <w:lang w:val="en"/>
        </w:rPr>
        <w:t xml:space="preserve"> (9.9.19)).</w:t>
      </w:r>
    </w:p>
    <w:p w14:paraId="18166229" w14:textId="77777777" w:rsidR="006567A6" w:rsidRPr="0029557B" w:rsidRDefault="006B79F7" w:rsidP="00BB339C">
      <w:pPr>
        <w:pStyle w:val="1"/>
        <w:shd w:val="clear" w:color="auto" w:fill="BFBFBF"/>
        <w:spacing w:after="240"/>
        <w:rPr>
          <w:rFonts w:ascii="Times New Roman" w:hAnsi="Times New Roman"/>
          <w:b/>
          <w:bCs/>
          <w:color w:val="auto"/>
          <w:sz w:val="28"/>
          <w:szCs w:val="28"/>
        </w:rPr>
      </w:pPr>
      <w:bookmarkStart w:id="25" w:name="_Toc60141938"/>
      <w:r w:rsidRPr="0029557B">
        <w:rPr>
          <w:rFonts w:ascii="Times New Roman" w:hAnsi="Times New Roman"/>
          <w:b/>
          <w:bCs/>
          <w:color w:val="auto"/>
          <w:sz w:val="28"/>
          <w:szCs w:val="28"/>
        </w:rPr>
        <w:t xml:space="preserve">Question No. </w:t>
      </w:r>
      <w:r w:rsidR="00866942" w:rsidRPr="0029557B">
        <w:rPr>
          <w:rFonts w:ascii="Times New Roman" w:hAnsi="Times New Roman"/>
          <w:b/>
          <w:bCs/>
          <w:color w:val="auto"/>
          <w:sz w:val="28"/>
          <w:szCs w:val="28"/>
        </w:rPr>
        <w:t>4</w:t>
      </w:r>
      <w:r w:rsidRPr="0029557B">
        <w:rPr>
          <w:rFonts w:ascii="Times New Roman" w:hAnsi="Times New Roman"/>
          <w:b/>
          <w:bCs/>
          <w:color w:val="auto"/>
          <w:sz w:val="28"/>
          <w:szCs w:val="28"/>
        </w:rPr>
        <w:t>1</w:t>
      </w:r>
      <w:bookmarkEnd w:id="25"/>
    </w:p>
    <w:p w14:paraId="2DC08A80" w14:textId="77777777" w:rsidR="00866942" w:rsidRPr="0029557B" w:rsidRDefault="006B79F7" w:rsidP="00BB339C">
      <w:pPr>
        <w:rPr>
          <w:b/>
          <w:bCs/>
          <w:u w:val="single"/>
        </w:rPr>
      </w:pPr>
      <w:r w:rsidRPr="0029557B">
        <w:rPr>
          <w:b/>
          <w:bCs/>
          <w:u w:val="single"/>
        </w:rPr>
        <w:t xml:space="preserve">Human rights defenders and aspects relating to freedom of expression in Israel </w:t>
      </w:r>
    </w:p>
    <w:p w14:paraId="4E8E0E8A" w14:textId="00AE53DB" w:rsidR="00866942" w:rsidRPr="0029557B" w:rsidRDefault="006B79F7" w:rsidP="00B00A08">
      <w:pPr>
        <w:pStyle w:val="aa"/>
        <w:numPr>
          <w:ilvl w:val="0"/>
          <w:numId w:val="2"/>
        </w:numPr>
        <w:ind w:left="567" w:hanging="567"/>
        <w:contextualSpacing w:val="0"/>
        <w:rPr>
          <w:rFonts w:ascii="Calibri" w:hAnsi="Calibri" w:cs="Arial"/>
          <w:rtl/>
        </w:rPr>
      </w:pPr>
      <w:r w:rsidRPr="0029557B">
        <w:rPr>
          <w:b/>
          <w:bCs/>
          <w:u w:val="single"/>
        </w:rPr>
        <w:t>Freedom of Assembly-</w:t>
      </w:r>
      <w:r w:rsidRPr="0029557B">
        <w:rPr>
          <w:rFonts w:ascii="Calibri" w:hAnsi="Calibri" w:cs="Arial"/>
          <w:sz w:val="22"/>
          <w:szCs w:val="22"/>
        </w:rPr>
        <w:t xml:space="preserve"> </w:t>
      </w:r>
      <w:r w:rsidRPr="0029557B">
        <w:t>On October 8, 2017, the High Court of Justice rendered a decision regarding the freedom of assembly and ruled that demonstrations which are held adjacent to the AG's home are legal and are protected as part of the right to freedom of expression. The Court further emphasized that although the Law (</w:t>
      </w:r>
      <w:r w:rsidRPr="0029557B">
        <w:rPr>
          <w:i/>
          <w:iCs/>
        </w:rPr>
        <w:t>Police Ordinance (New Version) 5731-1971</w:t>
      </w:r>
      <w:r w:rsidRPr="0029557B">
        <w:t xml:space="preserve">) authorizes the Police to demand a permit for a demonstration when </w:t>
      </w:r>
      <w:r w:rsidR="00CF3744" w:rsidRPr="0029557B">
        <w:t xml:space="preserve">gathering </w:t>
      </w:r>
      <w:r w:rsidR="00874A71" w:rsidRPr="0029557B">
        <w:t>for a political protest</w:t>
      </w:r>
      <w:r w:rsidRPr="0029557B">
        <w:t xml:space="preserve"> (a section originating from the previous British Mandate Ordinance), this authority must be interpreted narrowly</w:t>
      </w:r>
      <w:r w:rsidR="00874A71" w:rsidRPr="0029557B">
        <w:t xml:space="preserve"> and implemented with great caution</w:t>
      </w:r>
      <w:r w:rsidR="00134585" w:rsidRPr="0029557B">
        <w:t xml:space="preserve"> (</w:t>
      </w:r>
      <w:r w:rsidR="00134585" w:rsidRPr="0029557B">
        <w:rPr>
          <w:i/>
          <w:iCs/>
        </w:rPr>
        <w:t>The Movement for Quality Government in Israel v. The Police (H.C.J. 6536/17))</w:t>
      </w:r>
      <w:r w:rsidRPr="0029557B">
        <w:t>.</w:t>
      </w:r>
    </w:p>
    <w:p w14:paraId="3AD0AD42" w14:textId="77777777" w:rsidR="002A5B0C" w:rsidRPr="00973082" w:rsidRDefault="006B79F7" w:rsidP="00BB339C">
      <w:pPr>
        <w:pStyle w:val="1"/>
        <w:shd w:val="clear" w:color="auto" w:fill="BFBFBF"/>
        <w:spacing w:after="240"/>
        <w:rPr>
          <w:rFonts w:ascii="Times New Roman" w:hAnsi="Times New Roman"/>
          <w:b/>
          <w:bCs/>
          <w:color w:val="auto"/>
          <w:sz w:val="28"/>
          <w:szCs w:val="28"/>
        </w:rPr>
      </w:pPr>
      <w:bookmarkStart w:id="26" w:name="_Toc60141939"/>
      <w:r w:rsidRPr="0029557B">
        <w:rPr>
          <w:rFonts w:ascii="Times New Roman" w:hAnsi="Times New Roman"/>
          <w:b/>
          <w:bCs/>
          <w:color w:val="auto"/>
          <w:sz w:val="28"/>
          <w:szCs w:val="28"/>
        </w:rPr>
        <w:lastRenderedPageBreak/>
        <w:t>Question No. 43</w:t>
      </w:r>
      <w:bookmarkEnd w:id="26"/>
    </w:p>
    <w:p w14:paraId="729390BE" w14:textId="77777777" w:rsidR="00D3543B" w:rsidRDefault="002A5B0C" w:rsidP="00BB339C">
      <w:r w:rsidRPr="002A5B0C">
        <w:rPr>
          <w:b/>
          <w:bCs/>
          <w:u w:val="single"/>
        </w:rPr>
        <w:t xml:space="preserve">Indictments pursuant to the </w:t>
      </w:r>
      <w:r w:rsidRPr="002A5B0C">
        <w:rPr>
          <w:b/>
          <w:bCs/>
          <w:i/>
          <w:iCs/>
          <w:u w:val="single"/>
        </w:rPr>
        <w:t>Counter Terrorism Law</w:t>
      </w:r>
      <w:r w:rsidRPr="002A5B0C">
        <w:t xml:space="preserve"> </w:t>
      </w:r>
    </w:p>
    <w:p w14:paraId="2224CC13" w14:textId="77777777" w:rsidR="002A5B0C" w:rsidRPr="004E03F2" w:rsidRDefault="006B79F7" w:rsidP="001F52F8">
      <w:pPr>
        <w:pStyle w:val="aa"/>
        <w:numPr>
          <w:ilvl w:val="0"/>
          <w:numId w:val="2"/>
        </w:numPr>
        <w:ind w:left="567" w:hanging="567"/>
        <w:contextualSpacing w:val="0"/>
      </w:pPr>
      <w:r w:rsidRPr="002A5B0C">
        <w:t xml:space="preserve">During 2018, 59 indictments that included offences pursuant to the </w:t>
      </w:r>
      <w:r w:rsidRPr="002A5B0C">
        <w:rPr>
          <w:i/>
          <w:iCs/>
        </w:rPr>
        <w:t>Counter Terrorism Law</w:t>
      </w:r>
      <w:r w:rsidRPr="002A5B0C">
        <w:t xml:space="preserve">, </w:t>
      </w:r>
      <w:r w:rsidRPr="002A5B0C">
        <w:rPr>
          <w:lang w:eastAsia="he-IL"/>
        </w:rPr>
        <w:t>were</w:t>
      </w:r>
      <w:r w:rsidRPr="002A5B0C">
        <w:t xml:space="preserve"> filed to the </w:t>
      </w:r>
      <w:r w:rsidRPr="002A5B0C">
        <w:rPr>
          <w:lang w:eastAsia="he-IL"/>
        </w:rPr>
        <w:t>relevant</w:t>
      </w:r>
      <w:r w:rsidRPr="002A5B0C">
        <w:t xml:space="preserve"> courts. In twelve (12) of these indictments, the offenders were convicted. In addition, </w:t>
      </w:r>
      <w:r w:rsidRPr="002A5B0C">
        <w:rPr>
          <w:lang w:eastAsia="he-IL"/>
        </w:rPr>
        <w:t>in</w:t>
      </w:r>
      <w:r w:rsidRPr="002A5B0C">
        <w:t xml:space="preserve"> 41 of the </w:t>
      </w:r>
      <w:r w:rsidRPr="002A5B0C">
        <w:rPr>
          <w:lang w:eastAsia="he-IL"/>
        </w:rPr>
        <w:t>total</w:t>
      </w:r>
      <w:r w:rsidRPr="002A5B0C">
        <w:t xml:space="preserve"> 59 cases, the indictment's main offence was </w:t>
      </w:r>
      <w:r w:rsidRPr="002A5B0C">
        <w:rPr>
          <w:rFonts w:eastAsia="David"/>
        </w:rPr>
        <w:t>a</w:t>
      </w:r>
      <w:r w:rsidRPr="002A5B0C">
        <w:t xml:space="preserve">n offence set by the </w:t>
      </w:r>
      <w:r w:rsidRPr="002A5B0C">
        <w:rPr>
          <w:i/>
          <w:iCs/>
        </w:rPr>
        <w:t>Counter-Terrorism Law</w:t>
      </w:r>
      <w:r w:rsidRPr="002A5B0C">
        <w:t>, and in ten (10) of these 41 cases the offenders were convicted.</w:t>
      </w:r>
    </w:p>
    <w:p w14:paraId="78B5C2E6" w14:textId="77777777" w:rsidR="004E03F2" w:rsidRPr="00973082" w:rsidRDefault="006B79F7" w:rsidP="00BB339C">
      <w:pPr>
        <w:pStyle w:val="1"/>
        <w:shd w:val="clear" w:color="auto" w:fill="BFBFBF"/>
        <w:spacing w:after="240"/>
        <w:rPr>
          <w:rFonts w:ascii="Times New Roman" w:hAnsi="Times New Roman"/>
          <w:b/>
          <w:bCs/>
          <w:color w:val="auto"/>
          <w:sz w:val="28"/>
          <w:szCs w:val="28"/>
        </w:rPr>
      </w:pPr>
      <w:bookmarkStart w:id="27" w:name="_Toc60141940"/>
      <w:r w:rsidRPr="00973082">
        <w:rPr>
          <w:rFonts w:ascii="Times New Roman" w:hAnsi="Times New Roman"/>
          <w:b/>
          <w:bCs/>
          <w:color w:val="auto"/>
          <w:sz w:val="28"/>
          <w:szCs w:val="28"/>
        </w:rPr>
        <w:t>Question No. 44</w:t>
      </w:r>
      <w:bookmarkEnd w:id="27"/>
    </w:p>
    <w:p w14:paraId="7002F520" w14:textId="77777777" w:rsidR="004E03F2" w:rsidRPr="004E03F2" w:rsidRDefault="006B79F7" w:rsidP="001F52F8">
      <w:pPr>
        <w:pStyle w:val="aa"/>
        <w:numPr>
          <w:ilvl w:val="0"/>
          <w:numId w:val="2"/>
        </w:numPr>
        <w:ind w:left="567" w:hanging="567"/>
        <w:contextualSpacing w:val="0"/>
      </w:pPr>
      <w:r w:rsidRPr="004E03F2">
        <w:t xml:space="preserve">On May 10, 2020, the Lod District Court ruled in a petition concerning the reward received by prisoners working in private entrepreneur factories inside the prisons. The petitioner, serving a life sentence of 40 years' imprisonment, petitioned for a raise in prisoners' reward and for a change in the form of payment, from a productivity wage, to an hourly wage. </w:t>
      </w:r>
    </w:p>
    <w:p w14:paraId="3C82CB54" w14:textId="1737CBAB" w:rsidR="004E03F2" w:rsidRPr="004E03F2" w:rsidRDefault="006B79F7" w:rsidP="00F82773">
      <w:pPr>
        <w:pStyle w:val="aa"/>
        <w:numPr>
          <w:ilvl w:val="0"/>
          <w:numId w:val="2"/>
        </w:numPr>
        <w:ind w:left="567" w:hanging="567"/>
        <w:contextualSpacing w:val="0"/>
      </w:pPr>
      <w:r w:rsidRPr="004E03F2">
        <w:t xml:space="preserve">In accordance with the previous ruling of the </w:t>
      </w:r>
      <w:r w:rsidR="00F82773">
        <w:t>HCJ</w:t>
      </w:r>
      <w:r w:rsidRPr="004E03F2">
        <w:t xml:space="preserve"> on the matter of </w:t>
      </w:r>
      <w:r w:rsidRPr="004E03F2">
        <w:rPr>
          <w:b/>
          <w:bCs/>
        </w:rPr>
        <w:t>Sadot</w:t>
      </w:r>
      <w:r w:rsidRPr="004E03F2">
        <w:t>,</w:t>
      </w:r>
      <w:r>
        <w:rPr>
          <w:rStyle w:val="af2"/>
          <w:sz w:val="24"/>
        </w:rPr>
        <w:footnoteReference w:id="2"/>
      </w:r>
      <w:r w:rsidRPr="004E03F2">
        <w:t xml:space="preserve"> the Court ruled on the four (4) issues brought before it by the petitioner. First, the petitioner argued that according to the </w:t>
      </w:r>
      <w:r w:rsidRPr="004E03F2">
        <w:rPr>
          <w:i/>
          <w:iCs/>
        </w:rPr>
        <w:t>Penal Law</w:t>
      </w:r>
      <w:r w:rsidRPr="004E03F2">
        <w:t xml:space="preserve">, prisoners' work "outside of state facilities", will only be done with the prisoner's agreement and with accepted working conditions. The petitioner claimed that the term "outside of state facilities" should not be understood geographically, but rather as referring to the relation of the employing establishment to the state. Therefore, the petitioner claimed, as private factories are not state entities, employment by them, even if on prison grounds, was employment "outside of state facilities". The Court ruled against the petitioner, as was ruled in the </w:t>
      </w:r>
      <w:r w:rsidRPr="004E03F2">
        <w:rPr>
          <w:b/>
          <w:bCs/>
        </w:rPr>
        <w:t>Sadot case</w:t>
      </w:r>
      <w:r w:rsidRPr="004E03F2">
        <w:t>, and determined that the term "outside of state facilities" should be understood literally-geographically, meaning employment on prison grounds, even if by a non-state entity, was not employment "outside of state facilities".</w:t>
      </w:r>
    </w:p>
    <w:p w14:paraId="00BF355A" w14:textId="77777777" w:rsidR="004E03F2" w:rsidRPr="004E03F2" w:rsidRDefault="006B79F7" w:rsidP="001F52F8">
      <w:pPr>
        <w:pStyle w:val="aa"/>
        <w:numPr>
          <w:ilvl w:val="0"/>
          <w:numId w:val="2"/>
        </w:numPr>
        <w:ind w:left="567" w:hanging="567"/>
        <w:contextualSpacing w:val="0"/>
      </w:pPr>
      <w:r w:rsidRPr="004E03F2">
        <w:lastRenderedPageBreak/>
        <w:t xml:space="preserve">On the petitioner's claim that the employment of prisoners in private entrepreneur factories on a basis of productivity was done with lack of authority, the Court ruled that the authority to determine the form of payment and size of reward was given to the Prisons Service Commissioner. This includes the authority to set productivity-based payments, as long as reasonable rewards, provided all relevant considerations, are payed. However, the wording of the </w:t>
      </w:r>
      <w:r w:rsidRPr="004E03F2">
        <w:rPr>
          <w:i/>
          <w:iCs/>
        </w:rPr>
        <w:t>Employment Order</w:t>
      </w:r>
      <w:r w:rsidRPr="004E03F2">
        <w:t xml:space="preserve"> on the matter is unclear, and should be clarified to apply to private entrepreneur factories. The Court also pointed out that the petitioner's place of employment is classified as "contractor activity in IPS factories" and not as a private factory.</w:t>
      </w:r>
    </w:p>
    <w:p w14:paraId="426E7D62" w14:textId="77777777" w:rsidR="004E03F2" w:rsidRPr="004E03F2" w:rsidRDefault="006B79F7" w:rsidP="001F52F8">
      <w:pPr>
        <w:pStyle w:val="aa"/>
        <w:numPr>
          <w:ilvl w:val="0"/>
          <w:numId w:val="2"/>
        </w:numPr>
        <w:ind w:left="567" w:hanging="567"/>
        <w:contextualSpacing w:val="0"/>
      </w:pPr>
      <w:r w:rsidRPr="004E03F2">
        <w:t>The petitioner also made the claim that regardless of the authority to do so, it was unjust to set productivity wages, as they were significantly lower than hourly wages, and harm the weaker or older prisoners. The Court ruled that using productivity wages incentivizes diligence, and is suitable for the purposes of prisoners' work. It also protects entrepreneurs. The sum of the payments to all the prisoners remains the same, and only the distribution is affected by productivity, which prevents exploitation by the employer. However, the Court noted that this form of payment may cause discrimination on the basis of age, medical state, disabilities or other objective features, which causes harm to the weakest prisoners. The Court instructed the IPS to find appropriate solutions, especially for physical work or work that entails special skills.</w:t>
      </w:r>
    </w:p>
    <w:p w14:paraId="23CD0194" w14:textId="77777777" w:rsidR="004E03F2" w:rsidRPr="004E03F2" w:rsidRDefault="006B79F7" w:rsidP="001F52F8">
      <w:pPr>
        <w:pStyle w:val="aa"/>
        <w:numPr>
          <w:ilvl w:val="0"/>
          <w:numId w:val="2"/>
        </w:numPr>
        <w:ind w:left="567" w:hanging="567"/>
        <w:contextualSpacing w:val="0"/>
        <w:rPr>
          <w:rStyle w:val="10"/>
          <w:rFonts w:ascii="Times New Roman" w:eastAsia="Calibri" w:hAnsi="Times New Roman"/>
          <w:sz w:val="24"/>
          <w:szCs w:val="24"/>
          <w:lang w:bidi="ar-SA"/>
        </w:rPr>
      </w:pPr>
      <w:r w:rsidRPr="004E03F2">
        <w:t xml:space="preserve">Lastly, the petitioner argued that the hourly wage should be determined in relation to the general minimum wage, even if not made equal to it, according to the ruling in the </w:t>
      </w:r>
      <w:r w:rsidRPr="004E03F2">
        <w:rPr>
          <w:b/>
          <w:bCs/>
        </w:rPr>
        <w:t xml:space="preserve">Sadot </w:t>
      </w:r>
      <w:r w:rsidRPr="004E03F2">
        <w:t xml:space="preserve">case. He claimed that setting the prisoners' reward at about 47% of the general minimum wage was unreasonable, and infringed upon the prisoners' human dignity. In response, the respondent pointed out that according to the HCJ ruling, there are other considerations to determining prisoners' reward. On this issue the Court sided with the petitioner and ruled that the Commissioner did not consider the general minimum wage as a central consideration, as decided in the </w:t>
      </w:r>
      <w:r w:rsidRPr="004E03F2">
        <w:rPr>
          <w:b/>
          <w:bCs/>
        </w:rPr>
        <w:t>Sadot</w:t>
      </w:r>
      <w:r w:rsidRPr="004E03F2">
        <w:t xml:space="preserve"> ruling. The Court did not determine what the reasonable reward was or change the petitioner's reward, as it would have significant financial implications and in light of the ongoing examination process of the hourly wage within the IPS, but stated that the Commissioner must determine the new prisoner reward </w:t>
      </w:r>
      <w:r w:rsidRPr="004E03F2">
        <w:lastRenderedPageBreak/>
        <w:t xml:space="preserve">within six (6) months, in the framework of which, appropriate weight will also be given to the minimum wage and the reasonable gap between it and the rewards of prisoners in entrepreneur factories. (Pr.P. 4051-01-19 </w:t>
      </w:r>
      <w:r w:rsidRPr="004E03F2">
        <w:rPr>
          <w:i/>
          <w:iCs/>
        </w:rPr>
        <w:t>Kariv v. Israel Prisons Service</w:t>
      </w:r>
      <w:r w:rsidRPr="004E03F2">
        <w:t xml:space="preserve"> (District Court Lod) (10.5.20)).</w:t>
      </w:r>
    </w:p>
    <w:p w14:paraId="0AC25C11" w14:textId="77777777" w:rsidR="004E03F2" w:rsidRPr="002A5B0C" w:rsidRDefault="004E03F2" w:rsidP="00BB339C"/>
    <w:sectPr w:rsidR="004E03F2" w:rsidRPr="002A5B0C" w:rsidSect="00F40477">
      <w:footerReference w:type="default" r:id="rId10"/>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AEC94" w14:textId="77777777" w:rsidR="0029557B" w:rsidRDefault="0029557B">
      <w:pPr>
        <w:spacing w:before="0" w:after="0" w:line="240" w:lineRule="auto"/>
      </w:pPr>
      <w:r>
        <w:separator/>
      </w:r>
    </w:p>
  </w:endnote>
  <w:endnote w:type="continuationSeparator" w:id="0">
    <w:p w14:paraId="3B572DB3" w14:textId="77777777" w:rsidR="0029557B" w:rsidRDefault="002955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arkisim">
    <w:panose1 w:val="020E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vid">
    <w:altName w:val="Malgun Gothic Semilight"/>
    <w:panose1 w:val="020E0502060401010101"/>
    <w:charset w:val="00"/>
    <w:family w:val="swiss"/>
    <w:pitch w:val="variable"/>
    <w:sig w:usb0="00000803" w:usb1="00000000" w:usb2="00000000" w:usb3="00000000" w:csb0="00000021" w:csb1="00000000"/>
  </w:font>
  <w:font w:name="Arial TUR">
    <w:charset w:val="00"/>
    <w:family w:val="swiss"/>
    <w:pitch w:val="variable"/>
    <w:sig w:usb0="E0002EFF" w:usb1="C0007843" w:usb2="00000009" w:usb3="00000000" w:csb0="000001FF" w:csb1="00000000"/>
  </w:font>
  <w:font w:name="FrankRuehl">
    <w:panose1 w:val="020E0503060101010101"/>
    <w:charset w:val="00"/>
    <w:family w:val="swiss"/>
    <w:pitch w:val="variable"/>
    <w:sig w:usb0="00000803" w:usb1="00000000" w:usb2="00000000" w:usb3="00000000" w:csb0="00000021"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E392A" w14:textId="3D26E27B" w:rsidR="0029557B" w:rsidRDefault="0029557B">
    <w:pPr>
      <w:pStyle w:val="af5"/>
      <w:jc w:val="center"/>
      <w:rPr>
        <w:rtl/>
        <w:cs/>
      </w:rPr>
    </w:pPr>
    <w:r>
      <w:fldChar w:fldCharType="begin"/>
    </w:r>
    <w:r>
      <w:rPr>
        <w:rtl/>
        <w:cs/>
      </w:rPr>
      <w:instrText>PAGE   \* MERGEFORMAT</w:instrText>
    </w:r>
    <w:r>
      <w:fldChar w:fldCharType="separate"/>
    </w:r>
    <w:r w:rsidR="00785D77" w:rsidRPr="00785D77">
      <w:rPr>
        <w:noProof/>
        <w:lang w:val="he-IL"/>
      </w:rPr>
      <w:t>45</w:t>
    </w:r>
    <w:r>
      <w:fldChar w:fldCharType="end"/>
    </w:r>
  </w:p>
  <w:p w14:paraId="2B23F945" w14:textId="77777777" w:rsidR="0029557B" w:rsidRDefault="0029557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639C7" w14:textId="77777777" w:rsidR="0029557B" w:rsidRDefault="0029557B" w:rsidP="00971167">
      <w:pPr>
        <w:spacing w:after="0" w:line="240" w:lineRule="auto"/>
      </w:pPr>
      <w:r>
        <w:separator/>
      </w:r>
    </w:p>
  </w:footnote>
  <w:footnote w:type="continuationSeparator" w:id="0">
    <w:p w14:paraId="1CB37CF4" w14:textId="77777777" w:rsidR="0029557B" w:rsidRDefault="0029557B" w:rsidP="00971167">
      <w:pPr>
        <w:spacing w:after="0" w:line="240" w:lineRule="auto"/>
      </w:pPr>
      <w:r>
        <w:continuationSeparator/>
      </w:r>
    </w:p>
  </w:footnote>
  <w:footnote w:id="1">
    <w:p w14:paraId="1A0A1C5B" w14:textId="77777777" w:rsidR="0029557B" w:rsidRDefault="0029557B" w:rsidP="001246D9">
      <w:pPr>
        <w:pStyle w:val="af3"/>
        <w:ind w:left="142" w:firstLine="0"/>
      </w:pPr>
      <w:r>
        <w:rPr>
          <w:rStyle w:val="af2"/>
        </w:rPr>
        <w:footnoteRef/>
      </w:r>
      <w:r>
        <w:t xml:space="preserve"> For detailed information on this case, see Criminal Proceedings in the Murder of Mohammad Abu-Khdeir, State of Israel, Ministry of Justice, The Legal Counseling and Legislation Department (International Law) (Jan. 29, 2015), available at </w:t>
      </w:r>
      <w:hyperlink r:id="rId1" w:history="1">
        <w:r w:rsidRPr="00973082">
          <w:rPr>
            <w:rStyle w:val="Hyperlink"/>
          </w:rPr>
          <w:t>http://index.justice.gov.il/Units/InternationalAgreements/InternationalRelations/Faq/Criminal%20Proceedings%20in%20the%20Murder%20Case%20of%20Mohammad%20Abu-Khdeir.pdf</w:t>
        </w:r>
      </w:hyperlink>
      <w:r>
        <w:t>.</w:t>
      </w:r>
    </w:p>
  </w:footnote>
  <w:footnote w:id="2">
    <w:p w14:paraId="5DE1F34D" w14:textId="77777777" w:rsidR="0029557B" w:rsidRDefault="0029557B" w:rsidP="000A674F">
      <w:pPr>
        <w:pStyle w:val="af3"/>
        <w:spacing w:before="0"/>
      </w:pPr>
      <w:r w:rsidRPr="00973082">
        <w:rPr>
          <w:rStyle w:val="af2"/>
        </w:rPr>
        <w:footnoteRef/>
      </w:r>
      <w:r>
        <w:rPr>
          <w:rtl/>
        </w:rPr>
        <w:t xml:space="preserve"> </w:t>
      </w:r>
      <w:r>
        <w:t xml:space="preserve">HCJ 1163/98 </w:t>
      </w:r>
      <w:r>
        <w:rPr>
          <w:i/>
          <w:iCs/>
        </w:rPr>
        <w:t>Sadot et. al. v. Israel Prisons Service</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3C08"/>
    <w:multiLevelType w:val="hybridMultilevel"/>
    <w:tmpl w:val="B0D0A716"/>
    <w:lvl w:ilvl="0" w:tplc="6EE60950">
      <w:start w:val="1"/>
      <w:numFmt w:val="lowerLetter"/>
      <w:lvlText w:val="%1."/>
      <w:lvlJc w:val="left"/>
      <w:pPr>
        <w:ind w:left="720" w:hanging="360"/>
      </w:pPr>
    </w:lvl>
    <w:lvl w:ilvl="1" w:tplc="BDBA0D12">
      <w:start w:val="1"/>
      <w:numFmt w:val="lowerLetter"/>
      <w:lvlText w:val="%2."/>
      <w:lvlJc w:val="left"/>
      <w:pPr>
        <w:ind w:left="1440" w:hanging="360"/>
      </w:pPr>
    </w:lvl>
    <w:lvl w:ilvl="2" w:tplc="BB7C0A32">
      <w:start w:val="1"/>
      <w:numFmt w:val="lowerRoman"/>
      <w:lvlText w:val="%3."/>
      <w:lvlJc w:val="right"/>
      <w:pPr>
        <w:ind w:left="2160" w:hanging="180"/>
      </w:pPr>
    </w:lvl>
    <w:lvl w:ilvl="3" w:tplc="8D78B36A">
      <w:start w:val="1"/>
      <w:numFmt w:val="decimal"/>
      <w:lvlText w:val="%4."/>
      <w:lvlJc w:val="left"/>
      <w:pPr>
        <w:ind w:left="2880" w:hanging="360"/>
      </w:pPr>
    </w:lvl>
    <w:lvl w:ilvl="4" w:tplc="86B8A546">
      <w:start w:val="1"/>
      <w:numFmt w:val="lowerLetter"/>
      <w:lvlText w:val="%5."/>
      <w:lvlJc w:val="left"/>
      <w:pPr>
        <w:ind w:left="3600" w:hanging="360"/>
      </w:pPr>
    </w:lvl>
    <w:lvl w:ilvl="5" w:tplc="E860589A">
      <w:start w:val="1"/>
      <w:numFmt w:val="lowerRoman"/>
      <w:lvlText w:val="%6."/>
      <w:lvlJc w:val="right"/>
      <w:pPr>
        <w:ind w:left="4320" w:hanging="180"/>
      </w:pPr>
    </w:lvl>
    <w:lvl w:ilvl="6" w:tplc="989E498A">
      <w:start w:val="1"/>
      <w:numFmt w:val="decimal"/>
      <w:lvlText w:val="%7."/>
      <w:lvlJc w:val="left"/>
      <w:pPr>
        <w:ind w:left="5040" w:hanging="360"/>
      </w:pPr>
    </w:lvl>
    <w:lvl w:ilvl="7" w:tplc="82044DD4">
      <w:start w:val="1"/>
      <w:numFmt w:val="lowerLetter"/>
      <w:lvlText w:val="%8."/>
      <w:lvlJc w:val="left"/>
      <w:pPr>
        <w:ind w:left="5760" w:hanging="360"/>
      </w:pPr>
    </w:lvl>
    <w:lvl w:ilvl="8" w:tplc="182A4900">
      <w:start w:val="1"/>
      <w:numFmt w:val="lowerRoman"/>
      <w:lvlText w:val="%9."/>
      <w:lvlJc w:val="right"/>
      <w:pPr>
        <w:ind w:left="6480" w:hanging="180"/>
      </w:pPr>
    </w:lvl>
  </w:abstractNum>
  <w:abstractNum w:abstractNumId="1" w15:restartNumberingAfterBreak="0">
    <w:nsid w:val="11DD74DF"/>
    <w:multiLevelType w:val="multilevel"/>
    <w:tmpl w:val="A9C8076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C173CA"/>
    <w:multiLevelType w:val="hybridMultilevel"/>
    <w:tmpl w:val="FEAE0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2505DD"/>
    <w:multiLevelType w:val="multilevel"/>
    <w:tmpl w:val="5D086BB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BE7562"/>
    <w:multiLevelType w:val="hybridMultilevel"/>
    <w:tmpl w:val="1BF2533E"/>
    <w:lvl w:ilvl="0" w:tplc="91DAF20A">
      <w:start w:val="1"/>
      <w:numFmt w:val="decimal"/>
      <w:lvlText w:val="%1."/>
      <w:lvlJc w:val="left"/>
      <w:pPr>
        <w:ind w:left="720" w:hanging="360"/>
      </w:pPr>
      <w:rPr>
        <w:rFonts w:ascii="Times New Roman" w:hAnsi="Times New Roman" w:cs="Narkisim" w:hint="default"/>
        <w:b w:val="0"/>
        <w:bCs/>
        <w:i w:val="0"/>
        <w:iCs/>
        <w:szCs w:val="24"/>
      </w:rPr>
    </w:lvl>
    <w:lvl w:ilvl="1" w:tplc="E9AC2B16">
      <w:start w:val="1"/>
      <w:numFmt w:val="lowerLetter"/>
      <w:lvlText w:val="%2."/>
      <w:lvlJc w:val="left"/>
      <w:pPr>
        <w:ind w:left="1440" w:hanging="360"/>
      </w:pPr>
    </w:lvl>
    <w:lvl w:ilvl="2" w:tplc="43A44C48">
      <w:start w:val="1"/>
      <w:numFmt w:val="lowerRoman"/>
      <w:lvlText w:val="%3."/>
      <w:lvlJc w:val="right"/>
      <w:pPr>
        <w:ind w:left="2160" w:hanging="180"/>
      </w:pPr>
    </w:lvl>
    <w:lvl w:ilvl="3" w:tplc="EB524C8C">
      <w:start w:val="1"/>
      <w:numFmt w:val="decimal"/>
      <w:lvlText w:val="%4."/>
      <w:lvlJc w:val="left"/>
      <w:pPr>
        <w:ind w:left="2880" w:hanging="360"/>
      </w:pPr>
    </w:lvl>
    <w:lvl w:ilvl="4" w:tplc="F8F212CC">
      <w:start w:val="1"/>
      <w:numFmt w:val="lowerLetter"/>
      <w:lvlText w:val="%5."/>
      <w:lvlJc w:val="left"/>
      <w:pPr>
        <w:ind w:left="3600" w:hanging="360"/>
      </w:pPr>
    </w:lvl>
    <w:lvl w:ilvl="5" w:tplc="6DFE439C">
      <w:start w:val="1"/>
      <w:numFmt w:val="lowerRoman"/>
      <w:lvlText w:val="%6."/>
      <w:lvlJc w:val="right"/>
      <w:pPr>
        <w:ind w:left="4320" w:hanging="180"/>
      </w:pPr>
    </w:lvl>
    <w:lvl w:ilvl="6" w:tplc="4B42AE9A">
      <w:start w:val="1"/>
      <w:numFmt w:val="decimal"/>
      <w:lvlText w:val="%7."/>
      <w:lvlJc w:val="left"/>
      <w:pPr>
        <w:ind w:left="5040" w:hanging="360"/>
      </w:pPr>
    </w:lvl>
    <w:lvl w:ilvl="7" w:tplc="00DAEA78">
      <w:start w:val="1"/>
      <w:numFmt w:val="lowerLetter"/>
      <w:lvlText w:val="%8."/>
      <w:lvlJc w:val="left"/>
      <w:pPr>
        <w:ind w:left="5760" w:hanging="360"/>
      </w:pPr>
    </w:lvl>
    <w:lvl w:ilvl="8" w:tplc="7A663718">
      <w:start w:val="1"/>
      <w:numFmt w:val="lowerRoman"/>
      <w:lvlText w:val="%9."/>
      <w:lvlJc w:val="right"/>
      <w:pPr>
        <w:ind w:left="6480" w:hanging="180"/>
      </w:pPr>
    </w:lvl>
  </w:abstractNum>
  <w:abstractNum w:abstractNumId="5" w15:restartNumberingAfterBreak="0">
    <w:nsid w:val="37C06CCD"/>
    <w:multiLevelType w:val="hybridMultilevel"/>
    <w:tmpl w:val="75AEFAD2"/>
    <w:lvl w:ilvl="0" w:tplc="7B56333E">
      <w:start w:val="1"/>
      <w:numFmt w:val="lowerLetter"/>
      <w:lvlText w:val="%1."/>
      <w:lvlJc w:val="left"/>
      <w:pPr>
        <w:ind w:left="360" w:hanging="360"/>
      </w:pPr>
      <w:rPr>
        <w:rFonts w:ascii="Times New Roman" w:hAnsi="Times New Roman" w:cs="Times New Roman" w:hint="default"/>
        <w:b/>
        <w:sz w:val="24"/>
        <w:u w:val="single"/>
      </w:rPr>
    </w:lvl>
    <w:lvl w:ilvl="1" w:tplc="4F20EB3A" w:tentative="1">
      <w:start w:val="1"/>
      <w:numFmt w:val="lowerLetter"/>
      <w:lvlText w:val="%2."/>
      <w:lvlJc w:val="left"/>
      <w:pPr>
        <w:ind w:left="1440" w:hanging="360"/>
      </w:pPr>
    </w:lvl>
    <w:lvl w:ilvl="2" w:tplc="A26EEB80" w:tentative="1">
      <w:start w:val="1"/>
      <w:numFmt w:val="lowerRoman"/>
      <w:lvlText w:val="%3."/>
      <w:lvlJc w:val="right"/>
      <w:pPr>
        <w:ind w:left="2160" w:hanging="180"/>
      </w:pPr>
    </w:lvl>
    <w:lvl w:ilvl="3" w:tplc="1516716A" w:tentative="1">
      <w:start w:val="1"/>
      <w:numFmt w:val="decimal"/>
      <w:lvlText w:val="%4."/>
      <w:lvlJc w:val="left"/>
      <w:pPr>
        <w:ind w:left="2880" w:hanging="360"/>
      </w:pPr>
    </w:lvl>
    <w:lvl w:ilvl="4" w:tplc="8CD2BF2A" w:tentative="1">
      <w:start w:val="1"/>
      <w:numFmt w:val="lowerLetter"/>
      <w:lvlText w:val="%5."/>
      <w:lvlJc w:val="left"/>
      <w:pPr>
        <w:ind w:left="3600" w:hanging="360"/>
      </w:pPr>
    </w:lvl>
    <w:lvl w:ilvl="5" w:tplc="51CA4C6C" w:tentative="1">
      <w:start w:val="1"/>
      <w:numFmt w:val="lowerRoman"/>
      <w:lvlText w:val="%6."/>
      <w:lvlJc w:val="right"/>
      <w:pPr>
        <w:ind w:left="4320" w:hanging="180"/>
      </w:pPr>
    </w:lvl>
    <w:lvl w:ilvl="6" w:tplc="5F2EC982" w:tentative="1">
      <w:start w:val="1"/>
      <w:numFmt w:val="decimal"/>
      <w:lvlText w:val="%7."/>
      <w:lvlJc w:val="left"/>
      <w:pPr>
        <w:ind w:left="5040" w:hanging="360"/>
      </w:pPr>
    </w:lvl>
    <w:lvl w:ilvl="7" w:tplc="3100585E" w:tentative="1">
      <w:start w:val="1"/>
      <w:numFmt w:val="lowerLetter"/>
      <w:lvlText w:val="%8."/>
      <w:lvlJc w:val="left"/>
      <w:pPr>
        <w:ind w:left="5760" w:hanging="360"/>
      </w:pPr>
    </w:lvl>
    <w:lvl w:ilvl="8" w:tplc="69F08BFC" w:tentative="1">
      <w:start w:val="1"/>
      <w:numFmt w:val="lowerRoman"/>
      <w:lvlText w:val="%9."/>
      <w:lvlJc w:val="right"/>
      <w:pPr>
        <w:ind w:left="6480" w:hanging="180"/>
      </w:pPr>
    </w:lvl>
  </w:abstractNum>
  <w:abstractNum w:abstractNumId="6" w15:restartNumberingAfterBreak="0">
    <w:nsid w:val="39786F0B"/>
    <w:multiLevelType w:val="hybridMultilevel"/>
    <w:tmpl w:val="B0F88D36"/>
    <w:lvl w:ilvl="0" w:tplc="82300F36">
      <w:start w:val="2"/>
      <w:numFmt w:val="bullet"/>
      <w:lvlText w:val="-"/>
      <w:lvlJc w:val="left"/>
      <w:pPr>
        <w:ind w:left="720" w:hanging="360"/>
      </w:pPr>
      <w:rPr>
        <w:rFonts w:ascii="Tahoma" w:eastAsia="Calibri" w:hAnsi="Tahoma" w:cs="Tahoma" w:hint="default"/>
      </w:rPr>
    </w:lvl>
    <w:lvl w:ilvl="1" w:tplc="D780F8A8">
      <w:start w:val="1"/>
      <w:numFmt w:val="bullet"/>
      <w:lvlText w:val="o"/>
      <w:lvlJc w:val="left"/>
      <w:pPr>
        <w:ind w:left="1440" w:hanging="360"/>
      </w:pPr>
      <w:rPr>
        <w:rFonts w:ascii="Courier New" w:hAnsi="Courier New" w:cs="Courier New" w:hint="default"/>
      </w:rPr>
    </w:lvl>
    <w:lvl w:ilvl="2" w:tplc="EF24DDE0">
      <w:start w:val="1"/>
      <w:numFmt w:val="bullet"/>
      <w:lvlText w:val=""/>
      <w:lvlJc w:val="left"/>
      <w:pPr>
        <w:ind w:left="2160" w:hanging="360"/>
      </w:pPr>
      <w:rPr>
        <w:rFonts w:ascii="Wingdings" w:hAnsi="Wingdings" w:hint="default"/>
      </w:rPr>
    </w:lvl>
    <w:lvl w:ilvl="3" w:tplc="60B8F5E2">
      <w:start w:val="1"/>
      <w:numFmt w:val="bullet"/>
      <w:lvlText w:val=""/>
      <w:lvlJc w:val="left"/>
      <w:pPr>
        <w:ind w:left="2880" w:hanging="360"/>
      </w:pPr>
      <w:rPr>
        <w:rFonts w:ascii="Symbol" w:hAnsi="Symbol" w:hint="default"/>
      </w:rPr>
    </w:lvl>
    <w:lvl w:ilvl="4" w:tplc="833E7A3E">
      <w:start w:val="1"/>
      <w:numFmt w:val="bullet"/>
      <w:lvlText w:val="o"/>
      <w:lvlJc w:val="left"/>
      <w:pPr>
        <w:ind w:left="3600" w:hanging="360"/>
      </w:pPr>
      <w:rPr>
        <w:rFonts w:ascii="Courier New" w:hAnsi="Courier New" w:cs="Courier New" w:hint="default"/>
      </w:rPr>
    </w:lvl>
    <w:lvl w:ilvl="5" w:tplc="28F4963C">
      <w:start w:val="1"/>
      <w:numFmt w:val="bullet"/>
      <w:lvlText w:val=""/>
      <w:lvlJc w:val="left"/>
      <w:pPr>
        <w:ind w:left="4320" w:hanging="360"/>
      </w:pPr>
      <w:rPr>
        <w:rFonts w:ascii="Wingdings" w:hAnsi="Wingdings" w:hint="default"/>
      </w:rPr>
    </w:lvl>
    <w:lvl w:ilvl="6" w:tplc="F580EC88">
      <w:start w:val="1"/>
      <w:numFmt w:val="bullet"/>
      <w:lvlText w:val=""/>
      <w:lvlJc w:val="left"/>
      <w:pPr>
        <w:ind w:left="5040" w:hanging="360"/>
      </w:pPr>
      <w:rPr>
        <w:rFonts w:ascii="Symbol" w:hAnsi="Symbol" w:hint="default"/>
      </w:rPr>
    </w:lvl>
    <w:lvl w:ilvl="7" w:tplc="C00E82BC">
      <w:start w:val="1"/>
      <w:numFmt w:val="bullet"/>
      <w:lvlText w:val="o"/>
      <w:lvlJc w:val="left"/>
      <w:pPr>
        <w:ind w:left="5760" w:hanging="360"/>
      </w:pPr>
      <w:rPr>
        <w:rFonts w:ascii="Courier New" w:hAnsi="Courier New" w:cs="Courier New" w:hint="default"/>
      </w:rPr>
    </w:lvl>
    <w:lvl w:ilvl="8" w:tplc="C56EA094">
      <w:start w:val="1"/>
      <w:numFmt w:val="bullet"/>
      <w:lvlText w:val=""/>
      <w:lvlJc w:val="left"/>
      <w:pPr>
        <w:ind w:left="6480" w:hanging="360"/>
      </w:pPr>
      <w:rPr>
        <w:rFonts w:ascii="Wingdings" w:hAnsi="Wingdings" w:hint="default"/>
      </w:rPr>
    </w:lvl>
  </w:abstractNum>
  <w:abstractNum w:abstractNumId="7" w15:restartNumberingAfterBreak="0">
    <w:nsid w:val="3CAE22AB"/>
    <w:multiLevelType w:val="singleLevel"/>
    <w:tmpl w:val="7E3A05CC"/>
    <w:lvl w:ilvl="0">
      <w:numFmt w:val="chosung"/>
      <w:lvlText w:val="-"/>
      <w:lvlJc w:val="left"/>
      <w:pPr>
        <w:tabs>
          <w:tab w:val="num" w:pos="360"/>
        </w:tabs>
        <w:ind w:left="360" w:right="360" w:hanging="360"/>
      </w:pPr>
      <w:rPr>
        <w:rFonts w:cs="Times New Roman" w:hint="default"/>
      </w:rPr>
    </w:lvl>
  </w:abstractNum>
  <w:abstractNum w:abstractNumId="8" w15:restartNumberingAfterBreak="0">
    <w:nsid w:val="3CB061AB"/>
    <w:multiLevelType w:val="singleLevel"/>
    <w:tmpl w:val="43E62BE4"/>
    <w:lvl w:ilvl="0">
      <w:start w:val="1"/>
      <w:numFmt w:val="decimal"/>
      <w:pStyle w:val="ParaNo"/>
      <w:lvlText w:val="%1."/>
      <w:lvlJc w:val="left"/>
      <w:pPr>
        <w:tabs>
          <w:tab w:val="num" w:pos="360"/>
        </w:tabs>
        <w:ind w:left="-1" w:firstLine="1"/>
      </w:pPr>
      <w:rPr>
        <w:rFonts w:ascii="Times New Roman" w:hAnsi="Times New Roman" w:cs="Times New Roman" w:hint="default"/>
        <w:b w:val="0"/>
        <w:i w:val="0"/>
        <w:sz w:val="24"/>
      </w:rPr>
    </w:lvl>
  </w:abstractNum>
  <w:abstractNum w:abstractNumId="9" w15:restartNumberingAfterBreak="0">
    <w:nsid w:val="3EA20CEA"/>
    <w:multiLevelType w:val="multilevel"/>
    <w:tmpl w:val="44DE8E4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967158"/>
    <w:multiLevelType w:val="hybridMultilevel"/>
    <w:tmpl w:val="A03478D8"/>
    <w:lvl w:ilvl="0" w:tplc="D4B60370">
      <w:start w:val="3"/>
      <w:numFmt w:val="lowerLetter"/>
      <w:lvlText w:val="%1."/>
      <w:lvlJc w:val="left"/>
      <w:pPr>
        <w:ind w:left="720" w:hanging="360"/>
      </w:pPr>
      <w:rPr>
        <w:rFonts w:ascii="Times New Roman" w:hAnsi="Times New Roman" w:cs="Times New Roman" w:hint="default"/>
        <w:b/>
        <w:sz w:val="24"/>
        <w:u w:val="single"/>
      </w:rPr>
    </w:lvl>
    <w:lvl w:ilvl="1" w:tplc="25EAE2E4" w:tentative="1">
      <w:start w:val="1"/>
      <w:numFmt w:val="lowerLetter"/>
      <w:lvlText w:val="%2."/>
      <w:lvlJc w:val="left"/>
      <w:pPr>
        <w:ind w:left="1440" w:hanging="360"/>
      </w:pPr>
    </w:lvl>
    <w:lvl w:ilvl="2" w:tplc="E9DC488A" w:tentative="1">
      <w:start w:val="1"/>
      <w:numFmt w:val="lowerRoman"/>
      <w:lvlText w:val="%3."/>
      <w:lvlJc w:val="right"/>
      <w:pPr>
        <w:ind w:left="2160" w:hanging="180"/>
      </w:pPr>
    </w:lvl>
    <w:lvl w:ilvl="3" w:tplc="67521C30" w:tentative="1">
      <w:start w:val="1"/>
      <w:numFmt w:val="decimal"/>
      <w:lvlText w:val="%4."/>
      <w:lvlJc w:val="left"/>
      <w:pPr>
        <w:ind w:left="2880" w:hanging="360"/>
      </w:pPr>
    </w:lvl>
    <w:lvl w:ilvl="4" w:tplc="9D16D73C" w:tentative="1">
      <w:start w:val="1"/>
      <w:numFmt w:val="lowerLetter"/>
      <w:lvlText w:val="%5."/>
      <w:lvlJc w:val="left"/>
      <w:pPr>
        <w:ind w:left="3600" w:hanging="360"/>
      </w:pPr>
    </w:lvl>
    <w:lvl w:ilvl="5" w:tplc="C0B8CC38" w:tentative="1">
      <w:start w:val="1"/>
      <w:numFmt w:val="lowerRoman"/>
      <w:lvlText w:val="%6."/>
      <w:lvlJc w:val="right"/>
      <w:pPr>
        <w:ind w:left="4320" w:hanging="180"/>
      </w:pPr>
    </w:lvl>
    <w:lvl w:ilvl="6" w:tplc="2F32E22C" w:tentative="1">
      <w:start w:val="1"/>
      <w:numFmt w:val="decimal"/>
      <w:lvlText w:val="%7."/>
      <w:lvlJc w:val="left"/>
      <w:pPr>
        <w:ind w:left="5040" w:hanging="360"/>
      </w:pPr>
    </w:lvl>
    <w:lvl w:ilvl="7" w:tplc="6694CD1C" w:tentative="1">
      <w:start w:val="1"/>
      <w:numFmt w:val="lowerLetter"/>
      <w:lvlText w:val="%8."/>
      <w:lvlJc w:val="left"/>
      <w:pPr>
        <w:ind w:left="5760" w:hanging="360"/>
      </w:pPr>
    </w:lvl>
    <w:lvl w:ilvl="8" w:tplc="4876516A" w:tentative="1">
      <w:start w:val="1"/>
      <w:numFmt w:val="lowerRoman"/>
      <w:lvlText w:val="%9."/>
      <w:lvlJc w:val="right"/>
      <w:pPr>
        <w:ind w:left="6480" w:hanging="180"/>
      </w:pPr>
    </w:lvl>
  </w:abstractNum>
  <w:abstractNum w:abstractNumId="11" w15:restartNumberingAfterBreak="0">
    <w:nsid w:val="4716500A"/>
    <w:multiLevelType w:val="hybridMultilevel"/>
    <w:tmpl w:val="6EA09320"/>
    <w:lvl w:ilvl="0" w:tplc="58308EAA">
      <w:start w:val="1"/>
      <w:numFmt w:val="decimal"/>
      <w:lvlText w:val="(%1)"/>
      <w:lvlJc w:val="left"/>
      <w:pPr>
        <w:ind w:left="720" w:hanging="360"/>
      </w:pPr>
      <w:rPr>
        <w:rFonts w:cs="Times New Roman"/>
      </w:rPr>
    </w:lvl>
    <w:lvl w:ilvl="1" w:tplc="94A4C81E">
      <w:start w:val="1"/>
      <w:numFmt w:val="lowerLetter"/>
      <w:lvlText w:val="%2."/>
      <w:lvlJc w:val="left"/>
      <w:pPr>
        <w:ind w:left="1440" w:hanging="360"/>
      </w:pPr>
    </w:lvl>
    <w:lvl w:ilvl="2" w:tplc="D89EBC50">
      <w:start w:val="1"/>
      <w:numFmt w:val="lowerRoman"/>
      <w:lvlText w:val="%3."/>
      <w:lvlJc w:val="right"/>
      <w:pPr>
        <w:ind w:left="2160" w:hanging="180"/>
      </w:pPr>
    </w:lvl>
    <w:lvl w:ilvl="3" w:tplc="CCBA7B4A">
      <w:start w:val="1"/>
      <w:numFmt w:val="decimal"/>
      <w:lvlText w:val="%4."/>
      <w:lvlJc w:val="left"/>
      <w:pPr>
        <w:ind w:left="2880" w:hanging="360"/>
      </w:pPr>
    </w:lvl>
    <w:lvl w:ilvl="4" w:tplc="3776FA82">
      <w:start w:val="1"/>
      <w:numFmt w:val="lowerLetter"/>
      <w:lvlText w:val="%5."/>
      <w:lvlJc w:val="left"/>
      <w:pPr>
        <w:ind w:left="3600" w:hanging="360"/>
      </w:pPr>
    </w:lvl>
    <w:lvl w:ilvl="5" w:tplc="E440F5D8">
      <w:start w:val="1"/>
      <w:numFmt w:val="lowerRoman"/>
      <w:lvlText w:val="%6."/>
      <w:lvlJc w:val="right"/>
      <w:pPr>
        <w:ind w:left="4320" w:hanging="180"/>
      </w:pPr>
    </w:lvl>
    <w:lvl w:ilvl="6" w:tplc="E3642D9E">
      <w:start w:val="1"/>
      <w:numFmt w:val="decimal"/>
      <w:lvlText w:val="%7."/>
      <w:lvlJc w:val="left"/>
      <w:pPr>
        <w:ind w:left="5040" w:hanging="360"/>
      </w:pPr>
    </w:lvl>
    <w:lvl w:ilvl="7" w:tplc="893AD614">
      <w:start w:val="1"/>
      <w:numFmt w:val="lowerLetter"/>
      <w:lvlText w:val="%8."/>
      <w:lvlJc w:val="left"/>
      <w:pPr>
        <w:ind w:left="5760" w:hanging="360"/>
      </w:pPr>
    </w:lvl>
    <w:lvl w:ilvl="8" w:tplc="737CE7D2">
      <w:start w:val="1"/>
      <w:numFmt w:val="lowerRoman"/>
      <w:lvlText w:val="%9."/>
      <w:lvlJc w:val="right"/>
      <w:pPr>
        <w:ind w:left="6480" w:hanging="180"/>
      </w:pPr>
    </w:lvl>
  </w:abstractNum>
  <w:abstractNum w:abstractNumId="12" w15:restartNumberingAfterBreak="0">
    <w:nsid w:val="4DF45BD1"/>
    <w:multiLevelType w:val="hybridMultilevel"/>
    <w:tmpl w:val="8EA84E00"/>
    <w:lvl w:ilvl="0" w:tplc="5972D948">
      <w:start w:val="1"/>
      <w:numFmt w:val="decimal"/>
      <w:pStyle w:val="Style1"/>
      <w:lvlText w:val="%1."/>
      <w:lvlJc w:val="left"/>
      <w:pPr>
        <w:ind w:left="1140" w:hanging="360"/>
      </w:pPr>
    </w:lvl>
    <w:lvl w:ilvl="1" w:tplc="2FAE6F3E">
      <w:start w:val="1"/>
      <w:numFmt w:val="lowerLetter"/>
      <w:lvlText w:val="%2."/>
      <w:lvlJc w:val="left"/>
      <w:pPr>
        <w:ind w:left="1860" w:hanging="360"/>
      </w:pPr>
    </w:lvl>
    <w:lvl w:ilvl="2" w:tplc="1812C5F4">
      <w:start w:val="1"/>
      <w:numFmt w:val="lowerRoman"/>
      <w:lvlText w:val="%3."/>
      <w:lvlJc w:val="right"/>
      <w:pPr>
        <w:ind w:left="2580" w:hanging="180"/>
      </w:pPr>
    </w:lvl>
    <w:lvl w:ilvl="3" w:tplc="C73E186A">
      <w:start w:val="1"/>
      <w:numFmt w:val="decimal"/>
      <w:lvlText w:val="%4."/>
      <w:lvlJc w:val="left"/>
      <w:pPr>
        <w:ind w:left="3300" w:hanging="360"/>
      </w:pPr>
    </w:lvl>
    <w:lvl w:ilvl="4" w:tplc="EBDCE874">
      <w:start w:val="1"/>
      <w:numFmt w:val="lowerLetter"/>
      <w:lvlText w:val="%5."/>
      <w:lvlJc w:val="left"/>
      <w:pPr>
        <w:ind w:left="4020" w:hanging="360"/>
      </w:pPr>
    </w:lvl>
    <w:lvl w:ilvl="5" w:tplc="260274EC">
      <w:start w:val="1"/>
      <w:numFmt w:val="lowerRoman"/>
      <w:lvlText w:val="%6."/>
      <w:lvlJc w:val="right"/>
      <w:pPr>
        <w:ind w:left="4740" w:hanging="180"/>
      </w:pPr>
    </w:lvl>
    <w:lvl w:ilvl="6" w:tplc="FDDEE552">
      <w:start w:val="1"/>
      <w:numFmt w:val="decimal"/>
      <w:lvlText w:val="%7."/>
      <w:lvlJc w:val="left"/>
      <w:pPr>
        <w:ind w:left="5460" w:hanging="360"/>
      </w:pPr>
    </w:lvl>
    <w:lvl w:ilvl="7" w:tplc="10DE636E">
      <w:start w:val="1"/>
      <w:numFmt w:val="lowerLetter"/>
      <w:lvlText w:val="%8."/>
      <w:lvlJc w:val="left"/>
      <w:pPr>
        <w:ind w:left="6180" w:hanging="360"/>
      </w:pPr>
    </w:lvl>
    <w:lvl w:ilvl="8" w:tplc="058AE448">
      <w:start w:val="1"/>
      <w:numFmt w:val="lowerRoman"/>
      <w:lvlText w:val="%9."/>
      <w:lvlJc w:val="right"/>
      <w:pPr>
        <w:ind w:left="6900" w:hanging="180"/>
      </w:pPr>
    </w:lvl>
  </w:abstractNum>
  <w:abstractNum w:abstractNumId="13" w15:restartNumberingAfterBreak="0">
    <w:nsid w:val="5CF60E0F"/>
    <w:multiLevelType w:val="multilevel"/>
    <w:tmpl w:val="043AA4D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ED2087"/>
    <w:multiLevelType w:val="hybridMultilevel"/>
    <w:tmpl w:val="3EF83F1A"/>
    <w:lvl w:ilvl="0" w:tplc="97D4166A">
      <w:start w:val="1"/>
      <w:numFmt w:val="decimal"/>
      <w:lvlText w:val="%1."/>
      <w:lvlJc w:val="left"/>
      <w:pPr>
        <w:ind w:left="720" w:hanging="360"/>
      </w:pPr>
      <w:rPr>
        <w:rFonts w:ascii="Times New Roman" w:hAnsi="Times New Roman" w:cs="Times New Roman" w:hint="default"/>
        <w:b w:val="0"/>
        <w:bCs/>
        <w:i w:val="0"/>
        <w:iCs/>
        <w:color w:val="auto"/>
        <w:sz w:val="24"/>
        <w:szCs w:val="22"/>
      </w:rPr>
    </w:lvl>
    <w:lvl w:ilvl="1" w:tplc="4C502C3E">
      <w:start w:val="1"/>
      <w:numFmt w:val="lowerLetter"/>
      <w:lvlText w:val="%2."/>
      <w:lvlJc w:val="left"/>
      <w:pPr>
        <w:ind w:left="1440" w:hanging="360"/>
      </w:pPr>
    </w:lvl>
    <w:lvl w:ilvl="2" w:tplc="9B7A1348">
      <w:start w:val="1"/>
      <w:numFmt w:val="lowerRoman"/>
      <w:lvlText w:val="%3."/>
      <w:lvlJc w:val="right"/>
      <w:pPr>
        <w:ind w:left="2160" w:hanging="180"/>
      </w:pPr>
    </w:lvl>
    <w:lvl w:ilvl="3" w:tplc="F76C9ED6">
      <w:start w:val="1"/>
      <w:numFmt w:val="decimal"/>
      <w:lvlText w:val="%4."/>
      <w:lvlJc w:val="left"/>
      <w:pPr>
        <w:ind w:left="2880" w:hanging="360"/>
      </w:pPr>
    </w:lvl>
    <w:lvl w:ilvl="4" w:tplc="255A527C">
      <w:start w:val="1"/>
      <w:numFmt w:val="lowerLetter"/>
      <w:lvlText w:val="%5."/>
      <w:lvlJc w:val="left"/>
      <w:pPr>
        <w:ind w:left="3600" w:hanging="360"/>
      </w:pPr>
    </w:lvl>
    <w:lvl w:ilvl="5" w:tplc="BC70AEF8">
      <w:start w:val="1"/>
      <w:numFmt w:val="lowerRoman"/>
      <w:lvlText w:val="%6."/>
      <w:lvlJc w:val="right"/>
      <w:pPr>
        <w:ind w:left="4320" w:hanging="180"/>
      </w:pPr>
    </w:lvl>
    <w:lvl w:ilvl="6" w:tplc="0F50BF1E">
      <w:start w:val="1"/>
      <w:numFmt w:val="decimal"/>
      <w:lvlText w:val="%7."/>
      <w:lvlJc w:val="left"/>
      <w:pPr>
        <w:ind w:left="5040" w:hanging="360"/>
      </w:pPr>
    </w:lvl>
    <w:lvl w:ilvl="7" w:tplc="60947F68">
      <w:start w:val="1"/>
      <w:numFmt w:val="lowerLetter"/>
      <w:lvlText w:val="%8."/>
      <w:lvlJc w:val="left"/>
      <w:pPr>
        <w:ind w:left="5760" w:hanging="360"/>
      </w:pPr>
    </w:lvl>
    <w:lvl w:ilvl="8" w:tplc="1750A2B8">
      <w:start w:val="1"/>
      <w:numFmt w:val="lowerRoman"/>
      <w:lvlText w:val="%9."/>
      <w:lvlJc w:val="right"/>
      <w:pPr>
        <w:ind w:left="6480" w:hanging="180"/>
      </w:pPr>
    </w:lvl>
  </w:abstractNum>
  <w:abstractNum w:abstractNumId="15" w15:restartNumberingAfterBreak="0">
    <w:nsid w:val="69C278E4"/>
    <w:multiLevelType w:val="multilevel"/>
    <w:tmpl w:val="27FA161C"/>
    <w:lvl w:ilvl="0">
      <w:start w:val="1"/>
      <w:numFmt w:val="upperRoman"/>
      <w:lvlText w:val="מאמר %1."/>
      <w:lvlJc w:val="left"/>
      <w:pPr>
        <w:tabs>
          <w:tab w:val="num" w:pos="1440"/>
        </w:tabs>
        <w:ind w:left="0" w:firstLine="0"/>
      </w:pPr>
    </w:lvl>
    <w:lvl w:ilvl="1">
      <w:start w:val="1"/>
      <w:numFmt w:val="decimalZero"/>
      <w:isLgl/>
      <w:lvlText w:val="סעיף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53"/>
        </w:tabs>
        <w:ind w:left="853" w:hanging="144"/>
      </w:pPr>
    </w:lvl>
    <w:lvl w:ilvl="4">
      <w:start w:val="1"/>
      <w:numFmt w:val="bullet"/>
      <w:lvlText w:val=""/>
      <w:lvlJc w:val="left"/>
      <w:pPr>
        <w:tabs>
          <w:tab w:val="num" w:pos="1008"/>
        </w:tabs>
        <w:ind w:left="1008" w:hanging="432"/>
      </w:pPr>
      <w:rPr>
        <w:rFonts w:ascii="Symbol" w:hAnsi="Symbol" w:hint="default"/>
      </w:r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rPr>
        <w:sz w:val="28"/>
        <w:szCs w:val="28"/>
      </w:rPr>
    </w:lvl>
  </w:abstractNum>
  <w:abstractNum w:abstractNumId="16" w15:restartNumberingAfterBreak="0">
    <w:nsid w:val="6B112956"/>
    <w:multiLevelType w:val="hybridMultilevel"/>
    <w:tmpl w:val="F9FC05E6"/>
    <w:lvl w:ilvl="0" w:tplc="AA6EB0E6">
      <w:start w:val="1"/>
      <w:numFmt w:val="decimal"/>
      <w:lvlText w:val="%1."/>
      <w:lvlJc w:val="left"/>
      <w:pPr>
        <w:ind w:left="142" w:hanging="360"/>
      </w:pPr>
      <w:rPr>
        <w:rFonts w:eastAsia="Times New Roman" w:hint="default"/>
        <w:b w:val="0"/>
      </w:rPr>
    </w:lvl>
    <w:lvl w:ilvl="1" w:tplc="A73674E8">
      <w:start w:val="1"/>
      <w:numFmt w:val="lowerLetter"/>
      <w:lvlText w:val="%2."/>
      <w:lvlJc w:val="left"/>
      <w:pPr>
        <w:ind w:left="862" w:hanging="360"/>
      </w:pPr>
      <w:rPr>
        <w:b w:val="0"/>
        <w:bCs w:val="0"/>
      </w:rPr>
    </w:lvl>
    <w:lvl w:ilvl="2" w:tplc="0409001B" w:tentative="1">
      <w:start w:val="1"/>
      <w:numFmt w:val="lowerRoman"/>
      <w:lvlText w:val="%3."/>
      <w:lvlJc w:val="right"/>
      <w:pPr>
        <w:ind w:left="1582" w:hanging="180"/>
      </w:pPr>
    </w:lvl>
    <w:lvl w:ilvl="3" w:tplc="0409000F" w:tentative="1">
      <w:start w:val="1"/>
      <w:numFmt w:val="decimal"/>
      <w:lvlText w:val="%4."/>
      <w:lvlJc w:val="left"/>
      <w:pPr>
        <w:ind w:left="2302" w:hanging="360"/>
      </w:pPr>
    </w:lvl>
    <w:lvl w:ilvl="4" w:tplc="04090019" w:tentative="1">
      <w:start w:val="1"/>
      <w:numFmt w:val="lowerLetter"/>
      <w:lvlText w:val="%5."/>
      <w:lvlJc w:val="left"/>
      <w:pPr>
        <w:ind w:left="3022" w:hanging="360"/>
      </w:pPr>
    </w:lvl>
    <w:lvl w:ilvl="5" w:tplc="0409001B" w:tentative="1">
      <w:start w:val="1"/>
      <w:numFmt w:val="lowerRoman"/>
      <w:lvlText w:val="%6."/>
      <w:lvlJc w:val="right"/>
      <w:pPr>
        <w:ind w:left="3742" w:hanging="180"/>
      </w:pPr>
    </w:lvl>
    <w:lvl w:ilvl="6" w:tplc="0409000F" w:tentative="1">
      <w:start w:val="1"/>
      <w:numFmt w:val="decimal"/>
      <w:lvlText w:val="%7."/>
      <w:lvlJc w:val="left"/>
      <w:pPr>
        <w:ind w:left="4462" w:hanging="360"/>
      </w:pPr>
    </w:lvl>
    <w:lvl w:ilvl="7" w:tplc="04090019" w:tentative="1">
      <w:start w:val="1"/>
      <w:numFmt w:val="lowerLetter"/>
      <w:lvlText w:val="%8."/>
      <w:lvlJc w:val="left"/>
      <w:pPr>
        <w:ind w:left="5182" w:hanging="360"/>
      </w:pPr>
    </w:lvl>
    <w:lvl w:ilvl="8" w:tplc="0409001B" w:tentative="1">
      <w:start w:val="1"/>
      <w:numFmt w:val="lowerRoman"/>
      <w:lvlText w:val="%9."/>
      <w:lvlJc w:val="right"/>
      <w:pPr>
        <w:ind w:left="5902" w:hanging="180"/>
      </w:pPr>
    </w:lvl>
  </w:abstractNum>
  <w:abstractNum w:abstractNumId="17" w15:restartNumberingAfterBreak="0">
    <w:nsid w:val="6D9B31F1"/>
    <w:multiLevelType w:val="hybridMultilevel"/>
    <w:tmpl w:val="B3B6F79E"/>
    <w:lvl w:ilvl="0" w:tplc="723CC1C4">
      <w:start w:val="1"/>
      <w:numFmt w:val="decimal"/>
      <w:lvlText w:val="%1)"/>
      <w:lvlJc w:val="left"/>
      <w:pPr>
        <w:ind w:left="720" w:hanging="360"/>
      </w:pPr>
    </w:lvl>
    <w:lvl w:ilvl="1" w:tplc="F3CA29AE">
      <w:start w:val="1"/>
      <w:numFmt w:val="lowerLetter"/>
      <w:lvlText w:val="%2."/>
      <w:lvlJc w:val="left"/>
      <w:pPr>
        <w:ind w:left="1440" w:hanging="360"/>
      </w:pPr>
    </w:lvl>
    <w:lvl w:ilvl="2" w:tplc="71544794">
      <w:start w:val="1"/>
      <w:numFmt w:val="lowerRoman"/>
      <w:lvlText w:val="%3."/>
      <w:lvlJc w:val="right"/>
      <w:pPr>
        <w:ind w:left="2160" w:hanging="180"/>
      </w:pPr>
    </w:lvl>
    <w:lvl w:ilvl="3" w:tplc="7F869728">
      <w:start w:val="1"/>
      <w:numFmt w:val="decimal"/>
      <w:lvlText w:val="%4."/>
      <w:lvlJc w:val="left"/>
      <w:pPr>
        <w:ind w:left="2880" w:hanging="360"/>
      </w:pPr>
    </w:lvl>
    <w:lvl w:ilvl="4" w:tplc="49AA4CBC">
      <w:start w:val="1"/>
      <w:numFmt w:val="lowerLetter"/>
      <w:lvlText w:val="%5."/>
      <w:lvlJc w:val="left"/>
      <w:pPr>
        <w:ind w:left="3600" w:hanging="360"/>
      </w:pPr>
    </w:lvl>
    <w:lvl w:ilvl="5" w:tplc="1BBEC5EE">
      <w:start w:val="1"/>
      <w:numFmt w:val="lowerRoman"/>
      <w:lvlText w:val="%6."/>
      <w:lvlJc w:val="right"/>
      <w:pPr>
        <w:ind w:left="4320" w:hanging="180"/>
      </w:pPr>
    </w:lvl>
    <w:lvl w:ilvl="6" w:tplc="B74E9E80">
      <w:start w:val="1"/>
      <w:numFmt w:val="decimal"/>
      <w:lvlText w:val="%7."/>
      <w:lvlJc w:val="left"/>
      <w:pPr>
        <w:ind w:left="5040" w:hanging="360"/>
      </w:pPr>
    </w:lvl>
    <w:lvl w:ilvl="7" w:tplc="065C7B52">
      <w:start w:val="1"/>
      <w:numFmt w:val="lowerLetter"/>
      <w:lvlText w:val="%8."/>
      <w:lvlJc w:val="left"/>
      <w:pPr>
        <w:ind w:left="5760" w:hanging="360"/>
      </w:pPr>
    </w:lvl>
    <w:lvl w:ilvl="8" w:tplc="79A67290">
      <w:start w:val="1"/>
      <w:numFmt w:val="lowerRoman"/>
      <w:lvlText w:val="%9."/>
      <w:lvlJc w:val="right"/>
      <w:pPr>
        <w:ind w:left="6480" w:hanging="180"/>
      </w:pPr>
    </w:lvl>
  </w:abstractNum>
  <w:abstractNum w:abstractNumId="18" w15:restartNumberingAfterBreak="0">
    <w:nsid w:val="6F4572C4"/>
    <w:multiLevelType w:val="hybridMultilevel"/>
    <w:tmpl w:val="2524557C"/>
    <w:lvl w:ilvl="0" w:tplc="B22CAEC4">
      <w:start w:val="1"/>
      <w:numFmt w:val="decimal"/>
      <w:lvlText w:val="%1."/>
      <w:lvlJc w:val="left"/>
      <w:pPr>
        <w:ind w:left="720" w:hanging="360"/>
      </w:pPr>
      <w:rPr>
        <w:rFonts w:ascii="Times New Roman" w:hAnsi="Times New Roman" w:cs="Narkisim" w:hint="default"/>
        <w:b w:val="0"/>
        <w:bCs/>
        <w:i w:val="0"/>
        <w:iCs/>
        <w:color w:val="auto"/>
        <w:sz w:val="24"/>
        <w:szCs w:val="22"/>
      </w:rPr>
    </w:lvl>
    <w:lvl w:ilvl="1" w:tplc="047ECBF0">
      <w:start w:val="1"/>
      <w:numFmt w:val="lowerLetter"/>
      <w:lvlText w:val="%2."/>
      <w:lvlJc w:val="left"/>
      <w:pPr>
        <w:ind w:left="1440" w:hanging="360"/>
      </w:pPr>
    </w:lvl>
    <w:lvl w:ilvl="2" w:tplc="4D0650BE">
      <w:start w:val="1"/>
      <w:numFmt w:val="lowerRoman"/>
      <w:lvlText w:val="%3."/>
      <w:lvlJc w:val="right"/>
      <w:pPr>
        <w:ind w:left="2160" w:hanging="180"/>
      </w:pPr>
    </w:lvl>
    <w:lvl w:ilvl="3" w:tplc="1C6A84F6">
      <w:start w:val="1"/>
      <w:numFmt w:val="decimal"/>
      <w:lvlText w:val="%4."/>
      <w:lvlJc w:val="left"/>
      <w:pPr>
        <w:ind w:left="2880" w:hanging="360"/>
      </w:pPr>
    </w:lvl>
    <w:lvl w:ilvl="4" w:tplc="586A2ECC">
      <w:start w:val="1"/>
      <w:numFmt w:val="lowerLetter"/>
      <w:lvlText w:val="%5."/>
      <w:lvlJc w:val="left"/>
      <w:pPr>
        <w:ind w:left="3600" w:hanging="360"/>
      </w:pPr>
    </w:lvl>
    <w:lvl w:ilvl="5" w:tplc="AFC83E8E">
      <w:start w:val="1"/>
      <w:numFmt w:val="lowerRoman"/>
      <w:lvlText w:val="%6."/>
      <w:lvlJc w:val="right"/>
      <w:pPr>
        <w:ind w:left="4320" w:hanging="180"/>
      </w:pPr>
    </w:lvl>
    <w:lvl w:ilvl="6" w:tplc="460E18EA">
      <w:start w:val="1"/>
      <w:numFmt w:val="decimal"/>
      <w:lvlText w:val="%7."/>
      <w:lvlJc w:val="left"/>
      <w:pPr>
        <w:ind w:left="5040" w:hanging="360"/>
      </w:pPr>
    </w:lvl>
    <w:lvl w:ilvl="7" w:tplc="231A0D66">
      <w:start w:val="1"/>
      <w:numFmt w:val="lowerLetter"/>
      <w:lvlText w:val="%8."/>
      <w:lvlJc w:val="left"/>
      <w:pPr>
        <w:ind w:left="5760" w:hanging="360"/>
      </w:pPr>
    </w:lvl>
    <w:lvl w:ilvl="8" w:tplc="685E72A6">
      <w:start w:val="1"/>
      <w:numFmt w:val="lowerRoman"/>
      <w:lvlText w:val="%9."/>
      <w:lvlJc w:val="right"/>
      <w:pPr>
        <w:ind w:left="6480" w:hanging="180"/>
      </w:pPr>
    </w:lvl>
  </w:abstractNum>
  <w:abstractNum w:abstractNumId="19" w15:restartNumberingAfterBreak="0">
    <w:nsid w:val="6F833D4C"/>
    <w:multiLevelType w:val="hybridMultilevel"/>
    <w:tmpl w:val="83061E06"/>
    <w:lvl w:ilvl="0" w:tplc="88FA4E48">
      <w:start w:val="5"/>
      <w:numFmt w:val="lowerLetter"/>
      <w:lvlText w:val="%1."/>
      <w:lvlJc w:val="left"/>
      <w:pPr>
        <w:ind w:left="720" w:hanging="360"/>
      </w:pPr>
      <w:rPr>
        <w:rFonts w:ascii="Times New Roman" w:hAnsi="Times New Roman" w:cs="Times New Roman" w:hint="default"/>
        <w:b/>
        <w:sz w:val="24"/>
        <w:u w:val="single"/>
      </w:rPr>
    </w:lvl>
    <w:lvl w:ilvl="1" w:tplc="ABB83916" w:tentative="1">
      <w:start w:val="1"/>
      <w:numFmt w:val="lowerLetter"/>
      <w:lvlText w:val="%2."/>
      <w:lvlJc w:val="left"/>
      <w:pPr>
        <w:ind w:left="1440" w:hanging="360"/>
      </w:pPr>
    </w:lvl>
    <w:lvl w:ilvl="2" w:tplc="7A32694C" w:tentative="1">
      <w:start w:val="1"/>
      <w:numFmt w:val="lowerRoman"/>
      <w:lvlText w:val="%3."/>
      <w:lvlJc w:val="right"/>
      <w:pPr>
        <w:ind w:left="2160" w:hanging="180"/>
      </w:pPr>
    </w:lvl>
    <w:lvl w:ilvl="3" w:tplc="234ED79A" w:tentative="1">
      <w:start w:val="1"/>
      <w:numFmt w:val="decimal"/>
      <w:lvlText w:val="%4."/>
      <w:lvlJc w:val="left"/>
      <w:pPr>
        <w:ind w:left="2880" w:hanging="360"/>
      </w:pPr>
    </w:lvl>
    <w:lvl w:ilvl="4" w:tplc="E2C09280" w:tentative="1">
      <w:start w:val="1"/>
      <w:numFmt w:val="lowerLetter"/>
      <w:lvlText w:val="%5."/>
      <w:lvlJc w:val="left"/>
      <w:pPr>
        <w:ind w:left="3600" w:hanging="360"/>
      </w:pPr>
    </w:lvl>
    <w:lvl w:ilvl="5" w:tplc="E514C1DC" w:tentative="1">
      <w:start w:val="1"/>
      <w:numFmt w:val="lowerRoman"/>
      <w:lvlText w:val="%6."/>
      <w:lvlJc w:val="right"/>
      <w:pPr>
        <w:ind w:left="4320" w:hanging="180"/>
      </w:pPr>
    </w:lvl>
    <w:lvl w:ilvl="6" w:tplc="8B22007A" w:tentative="1">
      <w:start w:val="1"/>
      <w:numFmt w:val="decimal"/>
      <w:lvlText w:val="%7."/>
      <w:lvlJc w:val="left"/>
      <w:pPr>
        <w:ind w:left="5040" w:hanging="360"/>
      </w:pPr>
    </w:lvl>
    <w:lvl w:ilvl="7" w:tplc="A0BE4174" w:tentative="1">
      <w:start w:val="1"/>
      <w:numFmt w:val="lowerLetter"/>
      <w:lvlText w:val="%8."/>
      <w:lvlJc w:val="left"/>
      <w:pPr>
        <w:ind w:left="5760" w:hanging="360"/>
      </w:pPr>
    </w:lvl>
    <w:lvl w:ilvl="8" w:tplc="8176F110" w:tentative="1">
      <w:start w:val="1"/>
      <w:numFmt w:val="lowerRoman"/>
      <w:lvlText w:val="%9."/>
      <w:lvlJc w:val="right"/>
      <w:pPr>
        <w:ind w:left="6480" w:hanging="180"/>
      </w:pPr>
    </w:lvl>
  </w:abstractNum>
  <w:abstractNum w:abstractNumId="20" w15:restartNumberingAfterBreak="0">
    <w:nsid w:val="70861C1F"/>
    <w:multiLevelType w:val="hybridMultilevel"/>
    <w:tmpl w:val="53D45F6E"/>
    <w:lvl w:ilvl="0" w:tplc="9B7433EE">
      <w:start w:val="1"/>
      <w:numFmt w:val="decimal"/>
      <w:lvlText w:val="%1."/>
      <w:lvlJc w:val="left"/>
      <w:pPr>
        <w:ind w:left="720" w:hanging="360"/>
      </w:pPr>
      <w:rPr>
        <w:rFonts w:ascii="Times New Roman" w:hAnsi="Times New Roman" w:cs="Times New Roman" w:hint="default"/>
      </w:rPr>
    </w:lvl>
    <w:lvl w:ilvl="1" w:tplc="7750B252" w:tentative="1">
      <w:start w:val="1"/>
      <w:numFmt w:val="lowerLetter"/>
      <w:lvlText w:val="%2."/>
      <w:lvlJc w:val="left"/>
      <w:pPr>
        <w:ind w:left="1440" w:hanging="360"/>
      </w:pPr>
    </w:lvl>
    <w:lvl w:ilvl="2" w:tplc="7E200B9A" w:tentative="1">
      <w:start w:val="1"/>
      <w:numFmt w:val="lowerRoman"/>
      <w:lvlText w:val="%3."/>
      <w:lvlJc w:val="right"/>
      <w:pPr>
        <w:ind w:left="2160" w:hanging="180"/>
      </w:pPr>
    </w:lvl>
    <w:lvl w:ilvl="3" w:tplc="84D6A124" w:tentative="1">
      <w:start w:val="1"/>
      <w:numFmt w:val="decimal"/>
      <w:lvlText w:val="%4."/>
      <w:lvlJc w:val="left"/>
      <w:pPr>
        <w:ind w:left="2880" w:hanging="360"/>
      </w:pPr>
    </w:lvl>
    <w:lvl w:ilvl="4" w:tplc="84E014A6" w:tentative="1">
      <w:start w:val="1"/>
      <w:numFmt w:val="lowerLetter"/>
      <w:lvlText w:val="%5."/>
      <w:lvlJc w:val="left"/>
      <w:pPr>
        <w:ind w:left="3600" w:hanging="360"/>
      </w:pPr>
    </w:lvl>
    <w:lvl w:ilvl="5" w:tplc="90CC5B9E" w:tentative="1">
      <w:start w:val="1"/>
      <w:numFmt w:val="lowerRoman"/>
      <w:lvlText w:val="%6."/>
      <w:lvlJc w:val="right"/>
      <w:pPr>
        <w:ind w:left="4320" w:hanging="180"/>
      </w:pPr>
    </w:lvl>
    <w:lvl w:ilvl="6" w:tplc="5974462C" w:tentative="1">
      <w:start w:val="1"/>
      <w:numFmt w:val="decimal"/>
      <w:lvlText w:val="%7."/>
      <w:lvlJc w:val="left"/>
      <w:pPr>
        <w:ind w:left="5040" w:hanging="360"/>
      </w:pPr>
    </w:lvl>
    <w:lvl w:ilvl="7" w:tplc="7B12CCAA" w:tentative="1">
      <w:start w:val="1"/>
      <w:numFmt w:val="lowerLetter"/>
      <w:lvlText w:val="%8."/>
      <w:lvlJc w:val="left"/>
      <w:pPr>
        <w:ind w:left="5760" w:hanging="360"/>
      </w:pPr>
    </w:lvl>
    <w:lvl w:ilvl="8" w:tplc="445CF292" w:tentative="1">
      <w:start w:val="1"/>
      <w:numFmt w:val="lowerRoman"/>
      <w:lvlText w:val="%9."/>
      <w:lvlJc w:val="right"/>
      <w:pPr>
        <w:ind w:left="6480" w:hanging="180"/>
      </w:pPr>
    </w:lvl>
  </w:abstractNum>
  <w:abstractNum w:abstractNumId="21" w15:restartNumberingAfterBreak="0">
    <w:nsid w:val="734316EC"/>
    <w:multiLevelType w:val="hybridMultilevel"/>
    <w:tmpl w:val="C3F8A088"/>
    <w:lvl w:ilvl="0" w:tplc="318AE8BA">
      <w:start w:val="1"/>
      <w:numFmt w:val="decimal"/>
      <w:lvlText w:val="%1."/>
      <w:lvlJc w:val="left"/>
      <w:pPr>
        <w:ind w:left="644" w:hanging="360"/>
      </w:pPr>
      <w:rPr>
        <w:rFonts w:ascii="Times New Roman" w:hAnsi="Times New Roman" w:cs="Times New Roman" w:hint="default"/>
        <w:b w:val="0"/>
        <w:bCs w:val="0"/>
        <w:i w:val="0"/>
        <w:iCs w:val="0"/>
        <w:color w:val="auto"/>
      </w:rPr>
    </w:lvl>
    <w:lvl w:ilvl="1" w:tplc="D6F055EE">
      <w:start w:val="1"/>
      <w:numFmt w:val="lowerLetter"/>
      <w:lvlText w:val="%2."/>
      <w:lvlJc w:val="left"/>
      <w:pPr>
        <w:ind w:left="1080" w:hanging="360"/>
      </w:pPr>
    </w:lvl>
    <w:lvl w:ilvl="2" w:tplc="1CD211F2">
      <w:start w:val="1"/>
      <w:numFmt w:val="lowerRoman"/>
      <w:lvlText w:val="%3."/>
      <w:lvlJc w:val="right"/>
      <w:pPr>
        <w:ind w:left="1800" w:hanging="180"/>
      </w:pPr>
    </w:lvl>
    <w:lvl w:ilvl="3" w:tplc="CE46ED68">
      <w:start w:val="1"/>
      <w:numFmt w:val="decimal"/>
      <w:lvlText w:val="%4."/>
      <w:lvlJc w:val="left"/>
      <w:pPr>
        <w:ind w:left="2520" w:hanging="360"/>
      </w:pPr>
    </w:lvl>
    <w:lvl w:ilvl="4" w:tplc="57280C7A">
      <w:start w:val="1"/>
      <w:numFmt w:val="lowerLetter"/>
      <w:lvlText w:val="%5."/>
      <w:lvlJc w:val="left"/>
      <w:pPr>
        <w:ind w:left="3240" w:hanging="360"/>
      </w:pPr>
    </w:lvl>
    <w:lvl w:ilvl="5" w:tplc="E2EC3D4C">
      <w:start w:val="1"/>
      <w:numFmt w:val="lowerRoman"/>
      <w:lvlText w:val="%6."/>
      <w:lvlJc w:val="right"/>
      <w:pPr>
        <w:ind w:left="3960" w:hanging="180"/>
      </w:pPr>
    </w:lvl>
    <w:lvl w:ilvl="6" w:tplc="F2DC7DE6">
      <w:start w:val="1"/>
      <w:numFmt w:val="decimal"/>
      <w:lvlText w:val="%7."/>
      <w:lvlJc w:val="left"/>
      <w:pPr>
        <w:ind w:left="4680" w:hanging="360"/>
      </w:pPr>
    </w:lvl>
    <w:lvl w:ilvl="7" w:tplc="511C0A82">
      <w:start w:val="1"/>
      <w:numFmt w:val="lowerLetter"/>
      <w:lvlText w:val="%8."/>
      <w:lvlJc w:val="left"/>
      <w:pPr>
        <w:ind w:left="5400" w:hanging="360"/>
      </w:pPr>
    </w:lvl>
    <w:lvl w:ilvl="8" w:tplc="A17218F2">
      <w:start w:val="1"/>
      <w:numFmt w:val="lowerRoman"/>
      <w:lvlText w:val="%9."/>
      <w:lvlJc w:val="right"/>
      <w:pPr>
        <w:ind w:left="6120" w:hanging="180"/>
      </w:pPr>
    </w:lvl>
  </w:abstractNum>
  <w:abstractNum w:abstractNumId="22" w15:restartNumberingAfterBreak="0">
    <w:nsid w:val="73DE620E"/>
    <w:multiLevelType w:val="hybridMultilevel"/>
    <w:tmpl w:val="29228272"/>
    <w:lvl w:ilvl="0" w:tplc="4764533E">
      <w:start w:val="1"/>
      <w:numFmt w:val="decimal"/>
      <w:lvlText w:val="%1."/>
      <w:lvlJc w:val="left"/>
      <w:pPr>
        <w:ind w:left="360" w:hanging="360"/>
      </w:pPr>
      <w:rPr>
        <w:rFonts w:ascii="Times New Roman" w:hAnsi="Times New Roman" w:cs="Times New Roman" w:hint="default"/>
        <w:b w:val="0"/>
        <w:bCs w:val="0"/>
        <w:i w:val="0"/>
        <w:iCs w:val="0"/>
        <w:color w:val="auto"/>
      </w:rPr>
    </w:lvl>
    <w:lvl w:ilvl="1" w:tplc="F6108AF6" w:tentative="1">
      <w:start w:val="1"/>
      <w:numFmt w:val="lowerLetter"/>
      <w:lvlText w:val="%2."/>
      <w:lvlJc w:val="left"/>
      <w:pPr>
        <w:ind w:left="1080" w:hanging="360"/>
      </w:pPr>
    </w:lvl>
    <w:lvl w:ilvl="2" w:tplc="7734A9BC" w:tentative="1">
      <w:start w:val="1"/>
      <w:numFmt w:val="lowerRoman"/>
      <w:lvlText w:val="%3."/>
      <w:lvlJc w:val="right"/>
      <w:pPr>
        <w:ind w:left="1800" w:hanging="180"/>
      </w:pPr>
    </w:lvl>
    <w:lvl w:ilvl="3" w:tplc="43A43E58" w:tentative="1">
      <w:start w:val="1"/>
      <w:numFmt w:val="decimal"/>
      <w:lvlText w:val="%4."/>
      <w:lvlJc w:val="left"/>
      <w:pPr>
        <w:ind w:left="2520" w:hanging="360"/>
      </w:pPr>
    </w:lvl>
    <w:lvl w:ilvl="4" w:tplc="4784E218" w:tentative="1">
      <w:start w:val="1"/>
      <w:numFmt w:val="lowerLetter"/>
      <w:lvlText w:val="%5."/>
      <w:lvlJc w:val="left"/>
      <w:pPr>
        <w:ind w:left="3240" w:hanging="360"/>
      </w:pPr>
    </w:lvl>
    <w:lvl w:ilvl="5" w:tplc="70F01F54" w:tentative="1">
      <w:start w:val="1"/>
      <w:numFmt w:val="lowerRoman"/>
      <w:lvlText w:val="%6."/>
      <w:lvlJc w:val="right"/>
      <w:pPr>
        <w:ind w:left="3960" w:hanging="180"/>
      </w:pPr>
    </w:lvl>
    <w:lvl w:ilvl="6" w:tplc="2B526406" w:tentative="1">
      <w:start w:val="1"/>
      <w:numFmt w:val="decimal"/>
      <w:lvlText w:val="%7."/>
      <w:lvlJc w:val="left"/>
      <w:pPr>
        <w:ind w:left="4680" w:hanging="360"/>
      </w:pPr>
    </w:lvl>
    <w:lvl w:ilvl="7" w:tplc="C1149C38" w:tentative="1">
      <w:start w:val="1"/>
      <w:numFmt w:val="lowerLetter"/>
      <w:lvlText w:val="%8."/>
      <w:lvlJc w:val="left"/>
      <w:pPr>
        <w:ind w:left="5400" w:hanging="360"/>
      </w:pPr>
    </w:lvl>
    <w:lvl w:ilvl="8" w:tplc="86584176" w:tentative="1">
      <w:start w:val="1"/>
      <w:numFmt w:val="lowerRoman"/>
      <w:lvlText w:val="%9."/>
      <w:lvlJc w:val="right"/>
      <w:pPr>
        <w:ind w:left="6120" w:hanging="180"/>
      </w:pPr>
    </w:lvl>
  </w:abstractNum>
  <w:num w:numId="1">
    <w:abstractNumId w:val="8"/>
    <w:lvlOverride w:ilvl="0">
      <w:startOverride w:val="1"/>
    </w:lvlOverride>
  </w:num>
  <w:num w:numId="2">
    <w:abstractNumId w:val="22"/>
  </w:num>
  <w:num w:numId="3">
    <w:abstractNumId w:val="20"/>
  </w:num>
  <w:num w:numId="4">
    <w:abstractNumId w:val="17"/>
  </w:num>
  <w:num w:numId="5">
    <w:abstractNumId w:val="6"/>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8"/>
  </w:num>
  <w:num w:numId="9">
    <w:abstractNumId w:val="6"/>
  </w:num>
  <w:num w:numId="10">
    <w:abstractNumId w:val="0"/>
  </w:num>
  <w:num w:numId="11">
    <w:abstractNumId w:val="10"/>
  </w:num>
  <w:num w:numId="12">
    <w:abstractNumId w:val="19"/>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6"/>
  </w:num>
  <w:num w:numId="30">
    <w:abstractNumId w:val="12"/>
  </w:num>
  <w:num w:numId="31">
    <w:abstractNumId w:val="7"/>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A2NTMyM7SwNDOxNDJX0lEKTi0uzszPAykwqgUA/GyY1CwAAAA="/>
  </w:docVars>
  <w:rsids>
    <w:rsidRoot w:val="006567A6"/>
    <w:rsid w:val="00001040"/>
    <w:rsid w:val="000011F5"/>
    <w:rsid w:val="000029FB"/>
    <w:rsid w:val="000033FA"/>
    <w:rsid w:val="000042BC"/>
    <w:rsid w:val="000043DF"/>
    <w:rsid w:val="0000518C"/>
    <w:rsid w:val="00005C41"/>
    <w:rsid w:val="000060ED"/>
    <w:rsid w:val="00006823"/>
    <w:rsid w:val="000070DE"/>
    <w:rsid w:val="000078E4"/>
    <w:rsid w:val="00010479"/>
    <w:rsid w:val="000108BF"/>
    <w:rsid w:val="00011882"/>
    <w:rsid w:val="00011A63"/>
    <w:rsid w:val="00013721"/>
    <w:rsid w:val="00013BC4"/>
    <w:rsid w:val="0001589A"/>
    <w:rsid w:val="0001699B"/>
    <w:rsid w:val="000173CA"/>
    <w:rsid w:val="000174A4"/>
    <w:rsid w:val="00020492"/>
    <w:rsid w:val="00021394"/>
    <w:rsid w:val="0002264C"/>
    <w:rsid w:val="00022AAB"/>
    <w:rsid w:val="000230AC"/>
    <w:rsid w:val="00023779"/>
    <w:rsid w:val="00023AF8"/>
    <w:rsid w:val="00024991"/>
    <w:rsid w:val="00025F63"/>
    <w:rsid w:val="00026356"/>
    <w:rsid w:val="00027EAF"/>
    <w:rsid w:val="00027F08"/>
    <w:rsid w:val="00030643"/>
    <w:rsid w:val="00030C67"/>
    <w:rsid w:val="00030E4A"/>
    <w:rsid w:val="00031278"/>
    <w:rsid w:val="0003238F"/>
    <w:rsid w:val="0003278F"/>
    <w:rsid w:val="000327A1"/>
    <w:rsid w:val="00032A85"/>
    <w:rsid w:val="0003392C"/>
    <w:rsid w:val="00033A0E"/>
    <w:rsid w:val="00034004"/>
    <w:rsid w:val="00035B1E"/>
    <w:rsid w:val="00035C11"/>
    <w:rsid w:val="00035EB2"/>
    <w:rsid w:val="00036FEC"/>
    <w:rsid w:val="00040670"/>
    <w:rsid w:val="0004465B"/>
    <w:rsid w:val="00044AC0"/>
    <w:rsid w:val="00044B19"/>
    <w:rsid w:val="00044E6D"/>
    <w:rsid w:val="000451F2"/>
    <w:rsid w:val="00045752"/>
    <w:rsid w:val="00045E21"/>
    <w:rsid w:val="000500B2"/>
    <w:rsid w:val="000504FB"/>
    <w:rsid w:val="00051B5A"/>
    <w:rsid w:val="000527A9"/>
    <w:rsid w:val="000548C8"/>
    <w:rsid w:val="00054BC3"/>
    <w:rsid w:val="00054DEC"/>
    <w:rsid w:val="000565D7"/>
    <w:rsid w:val="00056821"/>
    <w:rsid w:val="0005691C"/>
    <w:rsid w:val="00056B22"/>
    <w:rsid w:val="000576C7"/>
    <w:rsid w:val="00062124"/>
    <w:rsid w:val="00062D02"/>
    <w:rsid w:val="00063870"/>
    <w:rsid w:val="000678CA"/>
    <w:rsid w:val="000701F2"/>
    <w:rsid w:val="00070CCE"/>
    <w:rsid w:val="000746ED"/>
    <w:rsid w:val="00074746"/>
    <w:rsid w:val="00075A5E"/>
    <w:rsid w:val="00075BA3"/>
    <w:rsid w:val="00077940"/>
    <w:rsid w:val="0008420D"/>
    <w:rsid w:val="00086148"/>
    <w:rsid w:val="00086A91"/>
    <w:rsid w:val="00096A8A"/>
    <w:rsid w:val="00096D4B"/>
    <w:rsid w:val="000A1336"/>
    <w:rsid w:val="000A147D"/>
    <w:rsid w:val="000A225A"/>
    <w:rsid w:val="000A2547"/>
    <w:rsid w:val="000A367D"/>
    <w:rsid w:val="000A429A"/>
    <w:rsid w:val="000A4579"/>
    <w:rsid w:val="000A4842"/>
    <w:rsid w:val="000A644B"/>
    <w:rsid w:val="000A674F"/>
    <w:rsid w:val="000A7210"/>
    <w:rsid w:val="000A73BA"/>
    <w:rsid w:val="000A7B1A"/>
    <w:rsid w:val="000B03EA"/>
    <w:rsid w:val="000B05FB"/>
    <w:rsid w:val="000B0BD8"/>
    <w:rsid w:val="000B3E2F"/>
    <w:rsid w:val="000B5FC4"/>
    <w:rsid w:val="000C0D1B"/>
    <w:rsid w:val="000C1D9E"/>
    <w:rsid w:val="000C2128"/>
    <w:rsid w:val="000C238D"/>
    <w:rsid w:val="000C2A40"/>
    <w:rsid w:val="000C2CED"/>
    <w:rsid w:val="000C3D2C"/>
    <w:rsid w:val="000C5372"/>
    <w:rsid w:val="000D076D"/>
    <w:rsid w:val="000D130F"/>
    <w:rsid w:val="000D1C1B"/>
    <w:rsid w:val="000D3522"/>
    <w:rsid w:val="000D40CC"/>
    <w:rsid w:val="000D5084"/>
    <w:rsid w:val="000D53D5"/>
    <w:rsid w:val="000D6347"/>
    <w:rsid w:val="000D6880"/>
    <w:rsid w:val="000D697B"/>
    <w:rsid w:val="000D7223"/>
    <w:rsid w:val="000D763D"/>
    <w:rsid w:val="000E01FC"/>
    <w:rsid w:val="000E27FC"/>
    <w:rsid w:val="000E34B5"/>
    <w:rsid w:val="000E6AE3"/>
    <w:rsid w:val="000E6B82"/>
    <w:rsid w:val="000F3A1F"/>
    <w:rsid w:val="000F3E4B"/>
    <w:rsid w:val="000F46DC"/>
    <w:rsid w:val="000F496E"/>
    <w:rsid w:val="000F53A5"/>
    <w:rsid w:val="000F53C2"/>
    <w:rsid w:val="000F7289"/>
    <w:rsid w:val="00100A43"/>
    <w:rsid w:val="00101384"/>
    <w:rsid w:val="00101BCF"/>
    <w:rsid w:val="00102EA5"/>
    <w:rsid w:val="00106941"/>
    <w:rsid w:val="00110DB6"/>
    <w:rsid w:val="00111722"/>
    <w:rsid w:val="0011215E"/>
    <w:rsid w:val="00113BC1"/>
    <w:rsid w:val="001141C1"/>
    <w:rsid w:val="00115367"/>
    <w:rsid w:val="001162BC"/>
    <w:rsid w:val="0012003D"/>
    <w:rsid w:val="00120701"/>
    <w:rsid w:val="00120D25"/>
    <w:rsid w:val="00121D08"/>
    <w:rsid w:val="00122145"/>
    <w:rsid w:val="00122A26"/>
    <w:rsid w:val="001230AB"/>
    <w:rsid w:val="001238FC"/>
    <w:rsid w:val="001246D9"/>
    <w:rsid w:val="00130B90"/>
    <w:rsid w:val="00130FFF"/>
    <w:rsid w:val="00131272"/>
    <w:rsid w:val="0013391C"/>
    <w:rsid w:val="00134585"/>
    <w:rsid w:val="00135F08"/>
    <w:rsid w:val="00136606"/>
    <w:rsid w:val="001401B1"/>
    <w:rsid w:val="00141A71"/>
    <w:rsid w:val="00147A1B"/>
    <w:rsid w:val="00147C2D"/>
    <w:rsid w:val="0015014D"/>
    <w:rsid w:val="00150322"/>
    <w:rsid w:val="00150382"/>
    <w:rsid w:val="001504DC"/>
    <w:rsid w:val="001512F0"/>
    <w:rsid w:val="00152B3B"/>
    <w:rsid w:val="001531B2"/>
    <w:rsid w:val="00153BB3"/>
    <w:rsid w:val="001545A0"/>
    <w:rsid w:val="00155CBD"/>
    <w:rsid w:val="00155D3D"/>
    <w:rsid w:val="0015781A"/>
    <w:rsid w:val="001610B7"/>
    <w:rsid w:val="001612B6"/>
    <w:rsid w:val="00161625"/>
    <w:rsid w:val="0016200F"/>
    <w:rsid w:val="00162118"/>
    <w:rsid w:val="001649E9"/>
    <w:rsid w:val="001667D1"/>
    <w:rsid w:val="0016700D"/>
    <w:rsid w:val="00171969"/>
    <w:rsid w:val="001723E3"/>
    <w:rsid w:val="001734F5"/>
    <w:rsid w:val="001744DC"/>
    <w:rsid w:val="001751E9"/>
    <w:rsid w:val="001757FC"/>
    <w:rsid w:val="00177938"/>
    <w:rsid w:val="001804E0"/>
    <w:rsid w:val="001810EF"/>
    <w:rsid w:val="00181B2B"/>
    <w:rsid w:val="00181E97"/>
    <w:rsid w:val="00181F1C"/>
    <w:rsid w:val="001821AF"/>
    <w:rsid w:val="001829E8"/>
    <w:rsid w:val="00182E74"/>
    <w:rsid w:val="00182F02"/>
    <w:rsid w:val="0018489F"/>
    <w:rsid w:val="00186304"/>
    <w:rsid w:val="001871BE"/>
    <w:rsid w:val="00187674"/>
    <w:rsid w:val="0019068A"/>
    <w:rsid w:val="001918FA"/>
    <w:rsid w:val="00191D74"/>
    <w:rsid w:val="00192F15"/>
    <w:rsid w:val="00192F95"/>
    <w:rsid w:val="0019375A"/>
    <w:rsid w:val="001946B4"/>
    <w:rsid w:val="00195916"/>
    <w:rsid w:val="0019747B"/>
    <w:rsid w:val="001976A6"/>
    <w:rsid w:val="001A00AC"/>
    <w:rsid w:val="001A0718"/>
    <w:rsid w:val="001A2584"/>
    <w:rsid w:val="001A3A03"/>
    <w:rsid w:val="001A4407"/>
    <w:rsid w:val="001A5283"/>
    <w:rsid w:val="001A5678"/>
    <w:rsid w:val="001A7CDF"/>
    <w:rsid w:val="001A7E2D"/>
    <w:rsid w:val="001B140B"/>
    <w:rsid w:val="001B1496"/>
    <w:rsid w:val="001B15AD"/>
    <w:rsid w:val="001B4CE4"/>
    <w:rsid w:val="001B5099"/>
    <w:rsid w:val="001B6158"/>
    <w:rsid w:val="001B6268"/>
    <w:rsid w:val="001B6E3F"/>
    <w:rsid w:val="001B70AB"/>
    <w:rsid w:val="001C0D67"/>
    <w:rsid w:val="001C1A2D"/>
    <w:rsid w:val="001C2CD8"/>
    <w:rsid w:val="001C2F65"/>
    <w:rsid w:val="001C5091"/>
    <w:rsid w:val="001C6A7A"/>
    <w:rsid w:val="001D0FDF"/>
    <w:rsid w:val="001D167B"/>
    <w:rsid w:val="001D4285"/>
    <w:rsid w:val="001D462B"/>
    <w:rsid w:val="001D4EB6"/>
    <w:rsid w:val="001D5103"/>
    <w:rsid w:val="001D5B3A"/>
    <w:rsid w:val="001E0A96"/>
    <w:rsid w:val="001E17D3"/>
    <w:rsid w:val="001E1BB3"/>
    <w:rsid w:val="001E29C1"/>
    <w:rsid w:val="001E4B84"/>
    <w:rsid w:val="001E5E3B"/>
    <w:rsid w:val="001E6DA5"/>
    <w:rsid w:val="001E6E32"/>
    <w:rsid w:val="001F05DA"/>
    <w:rsid w:val="001F09E9"/>
    <w:rsid w:val="001F18D7"/>
    <w:rsid w:val="001F23DC"/>
    <w:rsid w:val="001F3CAE"/>
    <w:rsid w:val="001F52F8"/>
    <w:rsid w:val="001F6B03"/>
    <w:rsid w:val="002000A9"/>
    <w:rsid w:val="002004A5"/>
    <w:rsid w:val="00202DC4"/>
    <w:rsid w:val="00204504"/>
    <w:rsid w:val="002048FF"/>
    <w:rsid w:val="00204A80"/>
    <w:rsid w:val="002054E1"/>
    <w:rsid w:val="00205C95"/>
    <w:rsid w:val="002112B6"/>
    <w:rsid w:val="00213712"/>
    <w:rsid w:val="00213C6A"/>
    <w:rsid w:val="002144AA"/>
    <w:rsid w:val="00215222"/>
    <w:rsid w:val="002154FF"/>
    <w:rsid w:val="00215646"/>
    <w:rsid w:val="00216B13"/>
    <w:rsid w:val="002205BC"/>
    <w:rsid w:val="00221244"/>
    <w:rsid w:val="0022295F"/>
    <w:rsid w:val="0022346A"/>
    <w:rsid w:val="00223A7B"/>
    <w:rsid w:val="00225EF5"/>
    <w:rsid w:val="00226680"/>
    <w:rsid w:val="002277D2"/>
    <w:rsid w:val="00230061"/>
    <w:rsid w:val="00231627"/>
    <w:rsid w:val="00233AD2"/>
    <w:rsid w:val="002356D6"/>
    <w:rsid w:val="0023571C"/>
    <w:rsid w:val="00240733"/>
    <w:rsid w:val="002409ED"/>
    <w:rsid w:val="002416EF"/>
    <w:rsid w:val="00241F10"/>
    <w:rsid w:val="00242C2C"/>
    <w:rsid w:val="002438C1"/>
    <w:rsid w:val="0024563E"/>
    <w:rsid w:val="00245AA2"/>
    <w:rsid w:val="00245DEB"/>
    <w:rsid w:val="002467B9"/>
    <w:rsid w:val="00250C49"/>
    <w:rsid w:val="002515AA"/>
    <w:rsid w:val="002561AC"/>
    <w:rsid w:val="002565ED"/>
    <w:rsid w:val="00257B87"/>
    <w:rsid w:val="00257EC2"/>
    <w:rsid w:val="0026153B"/>
    <w:rsid w:val="00262418"/>
    <w:rsid w:val="002642C5"/>
    <w:rsid w:val="002667C8"/>
    <w:rsid w:val="00266BE5"/>
    <w:rsid w:val="0027339B"/>
    <w:rsid w:val="00274AE9"/>
    <w:rsid w:val="002755CB"/>
    <w:rsid w:val="00276001"/>
    <w:rsid w:val="00276972"/>
    <w:rsid w:val="00276EE4"/>
    <w:rsid w:val="002773F1"/>
    <w:rsid w:val="00280308"/>
    <w:rsid w:val="00280B2E"/>
    <w:rsid w:val="00280C29"/>
    <w:rsid w:val="00280C6E"/>
    <w:rsid w:val="0028120A"/>
    <w:rsid w:val="00281EFE"/>
    <w:rsid w:val="0028354E"/>
    <w:rsid w:val="002855BE"/>
    <w:rsid w:val="00285975"/>
    <w:rsid w:val="00285A05"/>
    <w:rsid w:val="002869A6"/>
    <w:rsid w:val="00286CC4"/>
    <w:rsid w:val="00292A23"/>
    <w:rsid w:val="00292CC2"/>
    <w:rsid w:val="0029315A"/>
    <w:rsid w:val="002942EE"/>
    <w:rsid w:val="0029495C"/>
    <w:rsid w:val="0029557B"/>
    <w:rsid w:val="00295F0B"/>
    <w:rsid w:val="00296902"/>
    <w:rsid w:val="00296C92"/>
    <w:rsid w:val="002A01DA"/>
    <w:rsid w:val="002A08AA"/>
    <w:rsid w:val="002A0BD5"/>
    <w:rsid w:val="002A22B4"/>
    <w:rsid w:val="002A358F"/>
    <w:rsid w:val="002A569F"/>
    <w:rsid w:val="002A5881"/>
    <w:rsid w:val="002A5B0C"/>
    <w:rsid w:val="002B0F0E"/>
    <w:rsid w:val="002B2633"/>
    <w:rsid w:val="002B47F6"/>
    <w:rsid w:val="002B71AF"/>
    <w:rsid w:val="002C0B4F"/>
    <w:rsid w:val="002C265F"/>
    <w:rsid w:val="002C2A20"/>
    <w:rsid w:val="002C2DEB"/>
    <w:rsid w:val="002C4933"/>
    <w:rsid w:val="002C6769"/>
    <w:rsid w:val="002C67AA"/>
    <w:rsid w:val="002D014E"/>
    <w:rsid w:val="002D05CB"/>
    <w:rsid w:val="002D0976"/>
    <w:rsid w:val="002D0FDD"/>
    <w:rsid w:val="002D287B"/>
    <w:rsid w:val="002D423F"/>
    <w:rsid w:val="002D4390"/>
    <w:rsid w:val="002D69EF"/>
    <w:rsid w:val="002D6D9D"/>
    <w:rsid w:val="002D7857"/>
    <w:rsid w:val="002E1080"/>
    <w:rsid w:val="002E2AA6"/>
    <w:rsid w:val="002E369E"/>
    <w:rsid w:val="002E458C"/>
    <w:rsid w:val="002E4868"/>
    <w:rsid w:val="002E5230"/>
    <w:rsid w:val="002E6BD8"/>
    <w:rsid w:val="002E729B"/>
    <w:rsid w:val="002E7394"/>
    <w:rsid w:val="002E7E55"/>
    <w:rsid w:val="002F4475"/>
    <w:rsid w:val="002F658A"/>
    <w:rsid w:val="002F66E7"/>
    <w:rsid w:val="002F7CAE"/>
    <w:rsid w:val="00300188"/>
    <w:rsid w:val="00301F2E"/>
    <w:rsid w:val="003039CA"/>
    <w:rsid w:val="00304351"/>
    <w:rsid w:val="00304A4A"/>
    <w:rsid w:val="00304E1E"/>
    <w:rsid w:val="003055E7"/>
    <w:rsid w:val="00306444"/>
    <w:rsid w:val="00307383"/>
    <w:rsid w:val="0030749A"/>
    <w:rsid w:val="00307550"/>
    <w:rsid w:val="00307708"/>
    <w:rsid w:val="00307A0C"/>
    <w:rsid w:val="00307C5B"/>
    <w:rsid w:val="003109EA"/>
    <w:rsid w:val="0031122B"/>
    <w:rsid w:val="00311D82"/>
    <w:rsid w:val="00311F80"/>
    <w:rsid w:val="00312CDD"/>
    <w:rsid w:val="00313EF2"/>
    <w:rsid w:val="00314257"/>
    <w:rsid w:val="003144EF"/>
    <w:rsid w:val="003155CE"/>
    <w:rsid w:val="00315933"/>
    <w:rsid w:val="003165AA"/>
    <w:rsid w:val="00316F94"/>
    <w:rsid w:val="00317F47"/>
    <w:rsid w:val="00322EDB"/>
    <w:rsid w:val="003233C5"/>
    <w:rsid w:val="00323417"/>
    <w:rsid w:val="003235F8"/>
    <w:rsid w:val="003242C3"/>
    <w:rsid w:val="00325073"/>
    <w:rsid w:val="00325D4C"/>
    <w:rsid w:val="00326A4A"/>
    <w:rsid w:val="00330412"/>
    <w:rsid w:val="0033049F"/>
    <w:rsid w:val="003305F1"/>
    <w:rsid w:val="0033098A"/>
    <w:rsid w:val="0033170E"/>
    <w:rsid w:val="00331820"/>
    <w:rsid w:val="00333FF1"/>
    <w:rsid w:val="00334A88"/>
    <w:rsid w:val="00336106"/>
    <w:rsid w:val="00336173"/>
    <w:rsid w:val="00337400"/>
    <w:rsid w:val="0034038F"/>
    <w:rsid w:val="00340979"/>
    <w:rsid w:val="00343232"/>
    <w:rsid w:val="003434F3"/>
    <w:rsid w:val="00344C1B"/>
    <w:rsid w:val="00346DC4"/>
    <w:rsid w:val="00352DBD"/>
    <w:rsid w:val="00355350"/>
    <w:rsid w:val="0035541E"/>
    <w:rsid w:val="00355752"/>
    <w:rsid w:val="003566E3"/>
    <w:rsid w:val="00360299"/>
    <w:rsid w:val="003602EB"/>
    <w:rsid w:val="00362157"/>
    <w:rsid w:val="00363E5D"/>
    <w:rsid w:val="00363FBD"/>
    <w:rsid w:val="0036437F"/>
    <w:rsid w:val="003669FA"/>
    <w:rsid w:val="003676E4"/>
    <w:rsid w:val="003713F3"/>
    <w:rsid w:val="00373281"/>
    <w:rsid w:val="00374083"/>
    <w:rsid w:val="003754D1"/>
    <w:rsid w:val="003765A2"/>
    <w:rsid w:val="0037696E"/>
    <w:rsid w:val="00376FD9"/>
    <w:rsid w:val="00381D1D"/>
    <w:rsid w:val="003822B9"/>
    <w:rsid w:val="003829FB"/>
    <w:rsid w:val="0038386A"/>
    <w:rsid w:val="003849EC"/>
    <w:rsid w:val="00384C0B"/>
    <w:rsid w:val="003875AE"/>
    <w:rsid w:val="0038771B"/>
    <w:rsid w:val="003917AF"/>
    <w:rsid w:val="003919D0"/>
    <w:rsid w:val="00392FCC"/>
    <w:rsid w:val="0039331C"/>
    <w:rsid w:val="00394D04"/>
    <w:rsid w:val="0039575D"/>
    <w:rsid w:val="003968D8"/>
    <w:rsid w:val="00397783"/>
    <w:rsid w:val="003A1D8F"/>
    <w:rsid w:val="003A24CA"/>
    <w:rsid w:val="003A38E5"/>
    <w:rsid w:val="003A3FD2"/>
    <w:rsid w:val="003A424F"/>
    <w:rsid w:val="003A63B7"/>
    <w:rsid w:val="003A716F"/>
    <w:rsid w:val="003B0749"/>
    <w:rsid w:val="003B2829"/>
    <w:rsid w:val="003B5A4C"/>
    <w:rsid w:val="003B6945"/>
    <w:rsid w:val="003C173A"/>
    <w:rsid w:val="003C1E4B"/>
    <w:rsid w:val="003C29FB"/>
    <w:rsid w:val="003C3032"/>
    <w:rsid w:val="003C34D9"/>
    <w:rsid w:val="003C63CC"/>
    <w:rsid w:val="003C76BB"/>
    <w:rsid w:val="003C7E42"/>
    <w:rsid w:val="003D0E17"/>
    <w:rsid w:val="003D1121"/>
    <w:rsid w:val="003D1272"/>
    <w:rsid w:val="003D1FF5"/>
    <w:rsid w:val="003D25D6"/>
    <w:rsid w:val="003D2E27"/>
    <w:rsid w:val="003D40D8"/>
    <w:rsid w:val="003D54EE"/>
    <w:rsid w:val="003D5CD7"/>
    <w:rsid w:val="003D693D"/>
    <w:rsid w:val="003E1681"/>
    <w:rsid w:val="003E3079"/>
    <w:rsid w:val="003E4132"/>
    <w:rsid w:val="003E4FB1"/>
    <w:rsid w:val="003E51C8"/>
    <w:rsid w:val="003E5F8B"/>
    <w:rsid w:val="003E7A53"/>
    <w:rsid w:val="003F1AE8"/>
    <w:rsid w:val="003F1E0E"/>
    <w:rsid w:val="003F3107"/>
    <w:rsid w:val="003F3890"/>
    <w:rsid w:val="003F3B48"/>
    <w:rsid w:val="003F4401"/>
    <w:rsid w:val="003F538C"/>
    <w:rsid w:val="003F5C00"/>
    <w:rsid w:val="003F610E"/>
    <w:rsid w:val="003F6468"/>
    <w:rsid w:val="003F73A9"/>
    <w:rsid w:val="003F7DA2"/>
    <w:rsid w:val="00400183"/>
    <w:rsid w:val="00402FFB"/>
    <w:rsid w:val="0040579D"/>
    <w:rsid w:val="00406972"/>
    <w:rsid w:val="004112AB"/>
    <w:rsid w:val="00411BAA"/>
    <w:rsid w:val="00411C47"/>
    <w:rsid w:val="00412F67"/>
    <w:rsid w:val="00413951"/>
    <w:rsid w:val="00414823"/>
    <w:rsid w:val="00414BBE"/>
    <w:rsid w:val="00414E3D"/>
    <w:rsid w:val="0041541C"/>
    <w:rsid w:val="00415AF1"/>
    <w:rsid w:val="00416361"/>
    <w:rsid w:val="00416F68"/>
    <w:rsid w:val="00417F30"/>
    <w:rsid w:val="004212B4"/>
    <w:rsid w:val="00421E53"/>
    <w:rsid w:val="0042228A"/>
    <w:rsid w:val="00422C87"/>
    <w:rsid w:val="00422F3C"/>
    <w:rsid w:val="00423B66"/>
    <w:rsid w:val="004262EE"/>
    <w:rsid w:val="0042648F"/>
    <w:rsid w:val="004278FF"/>
    <w:rsid w:val="00427EEE"/>
    <w:rsid w:val="00431329"/>
    <w:rsid w:val="00431664"/>
    <w:rsid w:val="00432F97"/>
    <w:rsid w:val="00433163"/>
    <w:rsid w:val="00434D1F"/>
    <w:rsid w:val="0043625F"/>
    <w:rsid w:val="0043716B"/>
    <w:rsid w:val="004371F9"/>
    <w:rsid w:val="0043764C"/>
    <w:rsid w:val="0044036D"/>
    <w:rsid w:val="00440C83"/>
    <w:rsid w:val="00441C9B"/>
    <w:rsid w:val="00442C53"/>
    <w:rsid w:val="00442DBC"/>
    <w:rsid w:val="00444F68"/>
    <w:rsid w:val="004459B4"/>
    <w:rsid w:val="00445C5F"/>
    <w:rsid w:val="0044661A"/>
    <w:rsid w:val="0044681E"/>
    <w:rsid w:val="00446EA0"/>
    <w:rsid w:val="004474D9"/>
    <w:rsid w:val="00451F76"/>
    <w:rsid w:val="00452481"/>
    <w:rsid w:val="0045251E"/>
    <w:rsid w:val="00453467"/>
    <w:rsid w:val="00453F58"/>
    <w:rsid w:val="004543E8"/>
    <w:rsid w:val="00454CB0"/>
    <w:rsid w:val="004604EA"/>
    <w:rsid w:val="00460B87"/>
    <w:rsid w:val="00461AAD"/>
    <w:rsid w:val="00461F9F"/>
    <w:rsid w:val="00462D6A"/>
    <w:rsid w:val="00463203"/>
    <w:rsid w:val="00463CD0"/>
    <w:rsid w:val="004644AB"/>
    <w:rsid w:val="00466C77"/>
    <w:rsid w:val="004672AD"/>
    <w:rsid w:val="00473161"/>
    <w:rsid w:val="00475E78"/>
    <w:rsid w:val="0048289B"/>
    <w:rsid w:val="004831E9"/>
    <w:rsid w:val="00483494"/>
    <w:rsid w:val="00483BC7"/>
    <w:rsid w:val="00484794"/>
    <w:rsid w:val="00484E62"/>
    <w:rsid w:val="004857B0"/>
    <w:rsid w:val="00485F68"/>
    <w:rsid w:val="004877A0"/>
    <w:rsid w:val="004877A1"/>
    <w:rsid w:val="00487CA7"/>
    <w:rsid w:val="00490D25"/>
    <w:rsid w:val="0049161D"/>
    <w:rsid w:val="00492855"/>
    <w:rsid w:val="00493017"/>
    <w:rsid w:val="004951B5"/>
    <w:rsid w:val="0049598D"/>
    <w:rsid w:val="00496098"/>
    <w:rsid w:val="004964A4"/>
    <w:rsid w:val="00497B63"/>
    <w:rsid w:val="004A085D"/>
    <w:rsid w:val="004A1013"/>
    <w:rsid w:val="004A3620"/>
    <w:rsid w:val="004A3F04"/>
    <w:rsid w:val="004A3F63"/>
    <w:rsid w:val="004A4B09"/>
    <w:rsid w:val="004A63BA"/>
    <w:rsid w:val="004A6AF4"/>
    <w:rsid w:val="004A6DA6"/>
    <w:rsid w:val="004A715D"/>
    <w:rsid w:val="004B08BE"/>
    <w:rsid w:val="004B0CF7"/>
    <w:rsid w:val="004B3E7E"/>
    <w:rsid w:val="004B7E27"/>
    <w:rsid w:val="004B7FBA"/>
    <w:rsid w:val="004C0256"/>
    <w:rsid w:val="004C07DD"/>
    <w:rsid w:val="004C0EF8"/>
    <w:rsid w:val="004C12B1"/>
    <w:rsid w:val="004C1BEC"/>
    <w:rsid w:val="004C2253"/>
    <w:rsid w:val="004C2B2A"/>
    <w:rsid w:val="004C4B35"/>
    <w:rsid w:val="004C677D"/>
    <w:rsid w:val="004C7059"/>
    <w:rsid w:val="004C745A"/>
    <w:rsid w:val="004C77D9"/>
    <w:rsid w:val="004D0493"/>
    <w:rsid w:val="004D0736"/>
    <w:rsid w:val="004D3267"/>
    <w:rsid w:val="004D6073"/>
    <w:rsid w:val="004D6D8E"/>
    <w:rsid w:val="004E02F7"/>
    <w:rsid w:val="004E03F2"/>
    <w:rsid w:val="004E1E3D"/>
    <w:rsid w:val="004E20AF"/>
    <w:rsid w:val="004E2F79"/>
    <w:rsid w:val="004E4C0E"/>
    <w:rsid w:val="004F1D85"/>
    <w:rsid w:val="004F628B"/>
    <w:rsid w:val="004F7053"/>
    <w:rsid w:val="004F761F"/>
    <w:rsid w:val="004F7DA7"/>
    <w:rsid w:val="00500C44"/>
    <w:rsid w:val="00505027"/>
    <w:rsid w:val="00507B90"/>
    <w:rsid w:val="00512307"/>
    <w:rsid w:val="005130C8"/>
    <w:rsid w:val="00513CD9"/>
    <w:rsid w:val="00514D19"/>
    <w:rsid w:val="00515150"/>
    <w:rsid w:val="005155FE"/>
    <w:rsid w:val="0051638D"/>
    <w:rsid w:val="005164AA"/>
    <w:rsid w:val="0051662E"/>
    <w:rsid w:val="005168A2"/>
    <w:rsid w:val="005214B1"/>
    <w:rsid w:val="00521A2B"/>
    <w:rsid w:val="005223C0"/>
    <w:rsid w:val="005235CF"/>
    <w:rsid w:val="00523631"/>
    <w:rsid w:val="005246C4"/>
    <w:rsid w:val="005252EB"/>
    <w:rsid w:val="005256A3"/>
    <w:rsid w:val="005259CD"/>
    <w:rsid w:val="005267FA"/>
    <w:rsid w:val="00526F7C"/>
    <w:rsid w:val="00533922"/>
    <w:rsid w:val="00535297"/>
    <w:rsid w:val="00535AE8"/>
    <w:rsid w:val="00536D4E"/>
    <w:rsid w:val="00536DB1"/>
    <w:rsid w:val="00537176"/>
    <w:rsid w:val="005371E9"/>
    <w:rsid w:val="00540F13"/>
    <w:rsid w:val="00542038"/>
    <w:rsid w:val="005421BD"/>
    <w:rsid w:val="00542490"/>
    <w:rsid w:val="00544687"/>
    <w:rsid w:val="00550A26"/>
    <w:rsid w:val="00550D28"/>
    <w:rsid w:val="00550D6A"/>
    <w:rsid w:val="005512CE"/>
    <w:rsid w:val="005514C1"/>
    <w:rsid w:val="0055150E"/>
    <w:rsid w:val="0055168A"/>
    <w:rsid w:val="0055292C"/>
    <w:rsid w:val="00553EA3"/>
    <w:rsid w:val="0055427B"/>
    <w:rsid w:val="0055457C"/>
    <w:rsid w:val="0055591D"/>
    <w:rsid w:val="0055631B"/>
    <w:rsid w:val="00556414"/>
    <w:rsid w:val="00557E8E"/>
    <w:rsid w:val="005602BF"/>
    <w:rsid w:val="00561FF5"/>
    <w:rsid w:val="00563175"/>
    <w:rsid w:val="0056428F"/>
    <w:rsid w:val="0056450F"/>
    <w:rsid w:val="00565946"/>
    <w:rsid w:val="00566D2C"/>
    <w:rsid w:val="00572550"/>
    <w:rsid w:val="00572D9B"/>
    <w:rsid w:val="00572F9B"/>
    <w:rsid w:val="00574E64"/>
    <w:rsid w:val="005811B2"/>
    <w:rsid w:val="0058208A"/>
    <w:rsid w:val="00584124"/>
    <w:rsid w:val="00585769"/>
    <w:rsid w:val="00585B8F"/>
    <w:rsid w:val="005863E8"/>
    <w:rsid w:val="00587B01"/>
    <w:rsid w:val="00587C60"/>
    <w:rsid w:val="005906EC"/>
    <w:rsid w:val="00591954"/>
    <w:rsid w:val="00591CB9"/>
    <w:rsid w:val="00592CD4"/>
    <w:rsid w:val="00594152"/>
    <w:rsid w:val="00595BC8"/>
    <w:rsid w:val="00596E3B"/>
    <w:rsid w:val="005972FB"/>
    <w:rsid w:val="005A0CF5"/>
    <w:rsid w:val="005A19C0"/>
    <w:rsid w:val="005A19E8"/>
    <w:rsid w:val="005A1BB1"/>
    <w:rsid w:val="005A24E5"/>
    <w:rsid w:val="005A2A83"/>
    <w:rsid w:val="005A32D0"/>
    <w:rsid w:val="005A3A6E"/>
    <w:rsid w:val="005A66A2"/>
    <w:rsid w:val="005A71F0"/>
    <w:rsid w:val="005B131F"/>
    <w:rsid w:val="005B2649"/>
    <w:rsid w:val="005B282F"/>
    <w:rsid w:val="005B4E49"/>
    <w:rsid w:val="005B778B"/>
    <w:rsid w:val="005C0AB5"/>
    <w:rsid w:val="005D1BDC"/>
    <w:rsid w:val="005D1EB0"/>
    <w:rsid w:val="005D22A6"/>
    <w:rsid w:val="005D3B73"/>
    <w:rsid w:val="005D5292"/>
    <w:rsid w:val="005D5D7B"/>
    <w:rsid w:val="005D6416"/>
    <w:rsid w:val="005D649D"/>
    <w:rsid w:val="005D74DA"/>
    <w:rsid w:val="005D7745"/>
    <w:rsid w:val="005E1F9D"/>
    <w:rsid w:val="005E291B"/>
    <w:rsid w:val="005E2DD6"/>
    <w:rsid w:val="005E37D3"/>
    <w:rsid w:val="005E46C6"/>
    <w:rsid w:val="005E515B"/>
    <w:rsid w:val="005E649B"/>
    <w:rsid w:val="005E65BA"/>
    <w:rsid w:val="005E78BF"/>
    <w:rsid w:val="005F46CA"/>
    <w:rsid w:val="005F4C2C"/>
    <w:rsid w:val="005F4CFE"/>
    <w:rsid w:val="005F55BD"/>
    <w:rsid w:val="005F7334"/>
    <w:rsid w:val="00600C23"/>
    <w:rsid w:val="006034EB"/>
    <w:rsid w:val="00603E96"/>
    <w:rsid w:val="00604A8A"/>
    <w:rsid w:val="00606B7E"/>
    <w:rsid w:val="00607428"/>
    <w:rsid w:val="00607830"/>
    <w:rsid w:val="00610085"/>
    <w:rsid w:val="00610363"/>
    <w:rsid w:val="00610DCA"/>
    <w:rsid w:val="00610F67"/>
    <w:rsid w:val="0061120B"/>
    <w:rsid w:val="0061137D"/>
    <w:rsid w:val="00611A68"/>
    <w:rsid w:val="00611C4A"/>
    <w:rsid w:val="00612583"/>
    <w:rsid w:val="00613509"/>
    <w:rsid w:val="00614621"/>
    <w:rsid w:val="0061565F"/>
    <w:rsid w:val="00615800"/>
    <w:rsid w:val="00615991"/>
    <w:rsid w:val="00615D3A"/>
    <w:rsid w:val="0061641B"/>
    <w:rsid w:val="00616E58"/>
    <w:rsid w:val="006178B8"/>
    <w:rsid w:val="00617E67"/>
    <w:rsid w:val="00617EBC"/>
    <w:rsid w:val="006249FF"/>
    <w:rsid w:val="00626C65"/>
    <w:rsid w:val="0062730B"/>
    <w:rsid w:val="00627AFC"/>
    <w:rsid w:val="00630327"/>
    <w:rsid w:val="00631EA6"/>
    <w:rsid w:val="0063207C"/>
    <w:rsid w:val="006329AA"/>
    <w:rsid w:val="0063342E"/>
    <w:rsid w:val="006344CC"/>
    <w:rsid w:val="00635413"/>
    <w:rsid w:val="00636475"/>
    <w:rsid w:val="00636B4D"/>
    <w:rsid w:val="00640896"/>
    <w:rsid w:val="006423FB"/>
    <w:rsid w:val="00642650"/>
    <w:rsid w:val="00642920"/>
    <w:rsid w:val="00643146"/>
    <w:rsid w:val="00643BC1"/>
    <w:rsid w:val="0064500C"/>
    <w:rsid w:val="00646733"/>
    <w:rsid w:val="00647789"/>
    <w:rsid w:val="00650AAA"/>
    <w:rsid w:val="00651BCA"/>
    <w:rsid w:val="006536D6"/>
    <w:rsid w:val="00654123"/>
    <w:rsid w:val="006567A6"/>
    <w:rsid w:val="0066058A"/>
    <w:rsid w:val="006605E0"/>
    <w:rsid w:val="0066069B"/>
    <w:rsid w:val="006607BD"/>
    <w:rsid w:val="00664739"/>
    <w:rsid w:val="006654F4"/>
    <w:rsid w:val="006658ED"/>
    <w:rsid w:val="00665CF6"/>
    <w:rsid w:val="006675FB"/>
    <w:rsid w:val="0067050B"/>
    <w:rsid w:val="00670E26"/>
    <w:rsid w:val="00671B77"/>
    <w:rsid w:val="006726A2"/>
    <w:rsid w:val="006726E5"/>
    <w:rsid w:val="00674282"/>
    <w:rsid w:val="00674A1F"/>
    <w:rsid w:val="0067536B"/>
    <w:rsid w:val="00676ADE"/>
    <w:rsid w:val="00676F44"/>
    <w:rsid w:val="00680190"/>
    <w:rsid w:val="00680460"/>
    <w:rsid w:val="00682D04"/>
    <w:rsid w:val="0068514D"/>
    <w:rsid w:val="00686870"/>
    <w:rsid w:val="00686F69"/>
    <w:rsid w:val="00687099"/>
    <w:rsid w:val="00692137"/>
    <w:rsid w:val="006938E5"/>
    <w:rsid w:val="00693BB9"/>
    <w:rsid w:val="00693C58"/>
    <w:rsid w:val="00695484"/>
    <w:rsid w:val="00697756"/>
    <w:rsid w:val="006A034F"/>
    <w:rsid w:val="006A0565"/>
    <w:rsid w:val="006A236A"/>
    <w:rsid w:val="006A2D62"/>
    <w:rsid w:val="006A569B"/>
    <w:rsid w:val="006A6D07"/>
    <w:rsid w:val="006A73F8"/>
    <w:rsid w:val="006A7FD7"/>
    <w:rsid w:val="006B3EED"/>
    <w:rsid w:val="006B5BB9"/>
    <w:rsid w:val="006B79F7"/>
    <w:rsid w:val="006C019C"/>
    <w:rsid w:val="006C023A"/>
    <w:rsid w:val="006C0994"/>
    <w:rsid w:val="006C1470"/>
    <w:rsid w:val="006C1AA5"/>
    <w:rsid w:val="006C3924"/>
    <w:rsid w:val="006C3C60"/>
    <w:rsid w:val="006C49FC"/>
    <w:rsid w:val="006C5A7F"/>
    <w:rsid w:val="006C7A69"/>
    <w:rsid w:val="006C7B8C"/>
    <w:rsid w:val="006C7BF3"/>
    <w:rsid w:val="006D037D"/>
    <w:rsid w:val="006D1CB7"/>
    <w:rsid w:val="006D1D5D"/>
    <w:rsid w:val="006D3D5F"/>
    <w:rsid w:val="006D3FD4"/>
    <w:rsid w:val="006D4A28"/>
    <w:rsid w:val="006D55DD"/>
    <w:rsid w:val="006D5915"/>
    <w:rsid w:val="006D5976"/>
    <w:rsid w:val="006D7BC7"/>
    <w:rsid w:val="006E02FE"/>
    <w:rsid w:val="006E0403"/>
    <w:rsid w:val="006E07C0"/>
    <w:rsid w:val="006E0854"/>
    <w:rsid w:val="006E172A"/>
    <w:rsid w:val="006E2436"/>
    <w:rsid w:val="006E28C1"/>
    <w:rsid w:val="006E3E20"/>
    <w:rsid w:val="006E6265"/>
    <w:rsid w:val="006E7920"/>
    <w:rsid w:val="006E7F2C"/>
    <w:rsid w:val="006F0066"/>
    <w:rsid w:val="006F0EA4"/>
    <w:rsid w:val="006F1D44"/>
    <w:rsid w:val="006F23C3"/>
    <w:rsid w:val="006F2884"/>
    <w:rsid w:val="006F299A"/>
    <w:rsid w:val="006F2C66"/>
    <w:rsid w:val="006F41ED"/>
    <w:rsid w:val="006F43FD"/>
    <w:rsid w:val="006F4D34"/>
    <w:rsid w:val="006F53CC"/>
    <w:rsid w:val="006F572F"/>
    <w:rsid w:val="006F585F"/>
    <w:rsid w:val="006F5CEF"/>
    <w:rsid w:val="006F5D6D"/>
    <w:rsid w:val="006F6793"/>
    <w:rsid w:val="006F6854"/>
    <w:rsid w:val="00702989"/>
    <w:rsid w:val="00702ED4"/>
    <w:rsid w:val="00704516"/>
    <w:rsid w:val="00704C66"/>
    <w:rsid w:val="00705A8D"/>
    <w:rsid w:val="00706458"/>
    <w:rsid w:val="00706783"/>
    <w:rsid w:val="00706CE4"/>
    <w:rsid w:val="0071145F"/>
    <w:rsid w:val="00712969"/>
    <w:rsid w:val="00715C7F"/>
    <w:rsid w:val="0071738E"/>
    <w:rsid w:val="00720E32"/>
    <w:rsid w:val="00720FFD"/>
    <w:rsid w:val="007213D0"/>
    <w:rsid w:val="007214AD"/>
    <w:rsid w:val="007215BE"/>
    <w:rsid w:val="00723AF0"/>
    <w:rsid w:val="007240A2"/>
    <w:rsid w:val="007243DC"/>
    <w:rsid w:val="007258E1"/>
    <w:rsid w:val="00726076"/>
    <w:rsid w:val="00727922"/>
    <w:rsid w:val="00730302"/>
    <w:rsid w:val="0073072C"/>
    <w:rsid w:val="00731AC2"/>
    <w:rsid w:val="00732485"/>
    <w:rsid w:val="007330A0"/>
    <w:rsid w:val="007333EE"/>
    <w:rsid w:val="00733D92"/>
    <w:rsid w:val="00734658"/>
    <w:rsid w:val="00734AF7"/>
    <w:rsid w:val="0073648B"/>
    <w:rsid w:val="007373CD"/>
    <w:rsid w:val="0073752C"/>
    <w:rsid w:val="0073792A"/>
    <w:rsid w:val="00737EDC"/>
    <w:rsid w:val="0074401D"/>
    <w:rsid w:val="007445A3"/>
    <w:rsid w:val="007453D9"/>
    <w:rsid w:val="00746A8C"/>
    <w:rsid w:val="00746D67"/>
    <w:rsid w:val="00750087"/>
    <w:rsid w:val="007525CE"/>
    <w:rsid w:val="00752F4F"/>
    <w:rsid w:val="00753319"/>
    <w:rsid w:val="007534A7"/>
    <w:rsid w:val="00753977"/>
    <w:rsid w:val="007544CA"/>
    <w:rsid w:val="00754694"/>
    <w:rsid w:val="00754EE6"/>
    <w:rsid w:val="007572AD"/>
    <w:rsid w:val="00757528"/>
    <w:rsid w:val="0076146F"/>
    <w:rsid w:val="00762F3B"/>
    <w:rsid w:val="00763DAF"/>
    <w:rsid w:val="0076425A"/>
    <w:rsid w:val="00764F7B"/>
    <w:rsid w:val="007707D3"/>
    <w:rsid w:val="007728FF"/>
    <w:rsid w:val="00773A57"/>
    <w:rsid w:val="00773A97"/>
    <w:rsid w:val="00774548"/>
    <w:rsid w:val="007750C5"/>
    <w:rsid w:val="007750D6"/>
    <w:rsid w:val="00775448"/>
    <w:rsid w:val="0077561F"/>
    <w:rsid w:val="00776664"/>
    <w:rsid w:val="00777B70"/>
    <w:rsid w:val="0078017F"/>
    <w:rsid w:val="00780911"/>
    <w:rsid w:val="00782248"/>
    <w:rsid w:val="00783BCD"/>
    <w:rsid w:val="0078522C"/>
    <w:rsid w:val="007853F2"/>
    <w:rsid w:val="0078555A"/>
    <w:rsid w:val="00785D77"/>
    <w:rsid w:val="007863E0"/>
    <w:rsid w:val="0078646F"/>
    <w:rsid w:val="007912F0"/>
    <w:rsid w:val="00792F5E"/>
    <w:rsid w:val="0079543A"/>
    <w:rsid w:val="00795648"/>
    <w:rsid w:val="007A17DD"/>
    <w:rsid w:val="007A2611"/>
    <w:rsid w:val="007A2D22"/>
    <w:rsid w:val="007A3CB3"/>
    <w:rsid w:val="007A440F"/>
    <w:rsid w:val="007A4542"/>
    <w:rsid w:val="007A50C1"/>
    <w:rsid w:val="007A5201"/>
    <w:rsid w:val="007A66D1"/>
    <w:rsid w:val="007A6C0C"/>
    <w:rsid w:val="007A7348"/>
    <w:rsid w:val="007B0565"/>
    <w:rsid w:val="007B0BA0"/>
    <w:rsid w:val="007B2CB6"/>
    <w:rsid w:val="007B3B5A"/>
    <w:rsid w:val="007B4967"/>
    <w:rsid w:val="007B5A22"/>
    <w:rsid w:val="007B7BE7"/>
    <w:rsid w:val="007B7D18"/>
    <w:rsid w:val="007C175C"/>
    <w:rsid w:val="007C326B"/>
    <w:rsid w:val="007C4411"/>
    <w:rsid w:val="007C4CA9"/>
    <w:rsid w:val="007C5B5C"/>
    <w:rsid w:val="007C7583"/>
    <w:rsid w:val="007D03E2"/>
    <w:rsid w:val="007D07D9"/>
    <w:rsid w:val="007D3729"/>
    <w:rsid w:val="007D537A"/>
    <w:rsid w:val="007D60E9"/>
    <w:rsid w:val="007E00A1"/>
    <w:rsid w:val="007E1B31"/>
    <w:rsid w:val="007E214B"/>
    <w:rsid w:val="007E2201"/>
    <w:rsid w:val="007E3CFE"/>
    <w:rsid w:val="007E656A"/>
    <w:rsid w:val="007E6E7B"/>
    <w:rsid w:val="007F0863"/>
    <w:rsid w:val="007F0D82"/>
    <w:rsid w:val="007F1E2C"/>
    <w:rsid w:val="007F2A09"/>
    <w:rsid w:val="007F439D"/>
    <w:rsid w:val="007F58C8"/>
    <w:rsid w:val="007F6602"/>
    <w:rsid w:val="007F6EE2"/>
    <w:rsid w:val="00800B03"/>
    <w:rsid w:val="00802AF9"/>
    <w:rsid w:val="00803C7C"/>
    <w:rsid w:val="00804789"/>
    <w:rsid w:val="00805E2D"/>
    <w:rsid w:val="00807420"/>
    <w:rsid w:val="00807573"/>
    <w:rsid w:val="0081022F"/>
    <w:rsid w:val="00811EF3"/>
    <w:rsid w:val="0081262F"/>
    <w:rsid w:val="00814637"/>
    <w:rsid w:val="00814CE5"/>
    <w:rsid w:val="00815267"/>
    <w:rsid w:val="00815CE9"/>
    <w:rsid w:val="0081634F"/>
    <w:rsid w:val="008164C6"/>
    <w:rsid w:val="00816C31"/>
    <w:rsid w:val="00820DC3"/>
    <w:rsid w:val="00822C4B"/>
    <w:rsid w:val="00823DB1"/>
    <w:rsid w:val="008248E2"/>
    <w:rsid w:val="008248FD"/>
    <w:rsid w:val="00826058"/>
    <w:rsid w:val="00827656"/>
    <w:rsid w:val="00827DD6"/>
    <w:rsid w:val="00831734"/>
    <w:rsid w:val="0083223A"/>
    <w:rsid w:val="00832D64"/>
    <w:rsid w:val="00834351"/>
    <w:rsid w:val="00835963"/>
    <w:rsid w:val="00840BE8"/>
    <w:rsid w:val="00840D92"/>
    <w:rsid w:val="00841839"/>
    <w:rsid w:val="0084498D"/>
    <w:rsid w:val="00845B50"/>
    <w:rsid w:val="00845BB0"/>
    <w:rsid w:val="00845F89"/>
    <w:rsid w:val="00846508"/>
    <w:rsid w:val="0084785D"/>
    <w:rsid w:val="00847991"/>
    <w:rsid w:val="00851806"/>
    <w:rsid w:val="0085389D"/>
    <w:rsid w:val="00853CC9"/>
    <w:rsid w:val="00854EB3"/>
    <w:rsid w:val="0085532E"/>
    <w:rsid w:val="00855937"/>
    <w:rsid w:val="00856152"/>
    <w:rsid w:val="0085678C"/>
    <w:rsid w:val="00856C49"/>
    <w:rsid w:val="0085754E"/>
    <w:rsid w:val="008628D9"/>
    <w:rsid w:val="00863A81"/>
    <w:rsid w:val="00865409"/>
    <w:rsid w:val="00865C19"/>
    <w:rsid w:val="00865C44"/>
    <w:rsid w:val="00866942"/>
    <w:rsid w:val="00870153"/>
    <w:rsid w:val="00870A19"/>
    <w:rsid w:val="00871F30"/>
    <w:rsid w:val="00872896"/>
    <w:rsid w:val="00872D5E"/>
    <w:rsid w:val="00874817"/>
    <w:rsid w:val="00874A71"/>
    <w:rsid w:val="0087516F"/>
    <w:rsid w:val="00877C09"/>
    <w:rsid w:val="0088050F"/>
    <w:rsid w:val="00881108"/>
    <w:rsid w:val="008831C5"/>
    <w:rsid w:val="008831F3"/>
    <w:rsid w:val="00884832"/>
    <w:rsid w:val="00884961"/>
    <w:rsid w:val="00885F49"/>
    <w:rsid w:val="008860D0"/>
    <w:rsid w:val="00886F77"/>
    <w:rsid w:val="00887300"/>
    <w:rsid w:val="0089054F"/>
    <w:rsid w:val="0089092C"/>
    <w:rsid w:val="00891100"/>
    <w:rsid w:val="008926B9"/>
    <w:rsid w:val="00892B53"/>
    <w:rsid w:val="00893D50"/>
    <w:rsid w:val="00893EEC"/>
    <w:rsid w:val="008951C6"/>
    <w:rsid w:val="00895FBA"/>
    <w:rsid w:val="0089749B"/>
    <w:rsid w:val="0089775C"/>
    <w:rsid w:val="008A149D"/>
    <w:rsid w:val="008A2D5D"/>
    <w:rsid w:val="008A3D12"/>
    <w:rsid w:val="008A75DB"/>
    <w:rsid w:val="008A7F09"/>
    <w:rsid w:val="008B0FDC"/>
    <w:rsid w:val="008B2BE3"/>
    <w:rsid w:val="008B2E86"/>
    <w:rsid w:val="008B77C7"/>
    <w:rsid w:val="008C1204"/>
    <w:rsid w:val="008C1C5C"/>
    <w:rsid w:val="008C2605"/>
    <w:rsid w:val="008C43CE"/>
    <w:rsid w:val="008C6317"/>
    <w:rsid w:val="008C6B62"/>
    <w:rsid w:val="008C6E1A"/>
    <w:rsid w:val="008D0632"/>
    <w:rsid w:val="008D0AFF"/>
    <w:rsid w:val="008D0E21"/>
    <w:rsid w:val="008D1738"/>
    <w:rsid w:val="008D39AC"/>
    <w:rsid w:val="008D7E32"/>
    <w:rsid w:val="008E1D1C"/>
    <w:rsid w:val="008E25D4"/>
    <w:rsid w:val="008E298D"/>
    <w:rsid w:val="008E5A4A"/>
    <w:rsid w:val="008E669A"/>
    <w:rsid w:val="008F12C3"/>
    <w:rsid w:val="008F1454"/>
    <w:rsid w:val="008F1D71"/>
    <w:rsid w:val="008F239A"/>
    <w:rsid w:val="008F3586"/>
    <w:rsid w:val="008F3E91"/>
    <w:rsid w:val="008F4295"/>
    <w:rsid w:val="008F4A7D"/>
    <w:rsid w:val="008F4EF6"/>
    <w:rsid w:val="008F6EDA"/>
    <w:rsid w:val="008F721F"/>
    <w:rsid w:val="00901309"/>
    <w:rsid w:val="00903B6A"/>
    <w:rsid w:val="00904356"/>
    <w:rsid w:val="0090472E"/>
    <w:rsid w:val="0090569A"/>
    <w:rsid w:val="00906248"/>
    <w:rsid w:val="009065A4"/>
    <w:rsid w:val="009072CB"/>
    <w:rsid w:val="009102B3"/>
    <w:rsid w:val="00912BCF"/>
    <w:rsid w:val="009136B9"/>
    <w:rsid w:val="00913DC3"/>
    <w:rsid w:val="009149FE"/>
    <w:rsid w:val="00914A29"/>
    <w:rsid w:val="0091597E"/>
    <w:rsid w:val="00916F1F"/>
    <w:rsid w:val="00917F43"/>
    <w:rsid w:val="00920967"/>
    <w:rsid w:val="00921E7F"/>
    <w:rsid w:val="0092226D"/>
    <w:rsid w:val="009223BC"/>
    <w:rsid w:val="00923C1D"/>
    <w:rsid w:val="00924E84"/>
    <w:rsid w:val="009325EE"/>
    <w:rsid w:val="00932B58"/>
    <w:rsid w:val="00933172"/>
    <w:rsid w:val="009349CA"/>
    <w:rsid w:val="00935F4B"/>
    <w:rsid w:val="00936669"/>
    <w:rsid w:val="009368D1"/>
    <w:rsid w:val="00936939"/>
    <w:rsid w:val="00937E11"/>
    <w:rsid w:val="0094073B"/>
    <w:rsid w:val="00942810"/>
    <w:rsid w:val="00942A0B"/>
    <w:rsid w:val="00942BB2"/>
    <w:rsid w:val="00944257"/>
    <w:rsid w:val="0094434F"/>
    <w:rsid w:val="00944B60"/>
    <w:rsid w:val="00944F66"/>
    <w:rsid w:val="00944FE5"/>
    <w:rsid w:val="00953012"/>
    <w:rsid w:val="009534F5"/>
    <w:rsid w:val="00953969"/>
    <w:rsid w:val="00953D7F"/>
    <w:rsid w:val="00954BEC"/>
    <w:rsid w:val="00954D5F"/>
    <w:rsid w:val="00955D9D"/>
    <w:rsid w:val="00956A51"/>
    <w:rsid w:val="00957113"/>
    <w:rsid w:val="009572BB"/>
    <w:rsid w:val="00957D4C"/>
    <w:rsid w:val="00960241"/>
    <w:rsid w:val="00960CEA"/>
    <w:rsid w:val="00961BF6"/>
    <w:rsid w:val="0096243B"/>
    <w:rsid w:val="00962A1A"/>
    <w:rsid w:val="00963301"/>
    <w:rsid w:val="00963405"/>
    <w:rsid w:val="009636B4"/>
    <w:rsid w:val="00963D73"/>
    <w:rsid w:val="00965006"/>
    <w:rsid w:val="0096599D"/>
    <w:rsid w:val="00965F9C"/>
    <w:rsid w:val="00967619"/>
    <w:rsid w:val="00967C2E"/>
    <w:rsid w:val="00970567"/>
    <w:rsid w:val="00970F6C"/>
    <w:rsid w:val="00971167"/>
    <w:rsid w:val="0097198E"/>
    <w:rsid w:val="00971DE5"/>
    <w:rsid w:val="009721C3"/>
    <w:rsid w:val="00973082"/>
    <w:rsid w:val="00973C13"/>
    <w:rsid w:val="009746A3"/>
    <w:rsid w:val="00975005"/>
    <w:rsid w:val="009754E9"/>
    <w:rsid w:val="0097722F"/>
    <w:rsid w:val="00980783"/>
    <w:rsid w:val="009817B1"/>
    <w:rsid w:val="00981CB7"/>
    <w:rsid w:val="00982222"/>
    <w:rsid w:val="0098223D"/>
    <w:rsid w:val="00983655"/>
    <w:rsid w:val="00983D86"/>
    <w:rsid w:val="009841AC"/>
    <w:rsid w:val="00984B13"/>
    <w:rsid w:val="00984EFF"/>
    <w:rsid w:val="00986D90"/>
    <w:rsid w:val="00987654"/>
    <w:rsid w:val="00987694"/>
    <w:rsid w:val="009878E1"/>
    <w:rsid w:val="00990DBB"/>
    <w:rsid w:val="0099177B"/>
    <w:rsid w:val="00991E86"/>
    <w:rsid w:val="00992EA4"/>
    <w:rsid w:val="009942D2"/>
    <w:rsid w:val="009A02A8"/>
    <w:rsid w:val="009A248C"/>
    <w:rsid w:val="009A2CB2"/>
    <w:rsid w:val="009A2F08"/>
    <w:rsid w:val="009A3565"/>
    <w:rsid w:val="009A41F2"/>
    <w:rsid w:val="009A5E14"/>
    <w:rsid w:val="009B05EC"/>
    <w:rsid w:val="009B0742"/>
    <w:rsid w:val="009B0E5E"/>
    <w:rsid w:val="009B14F8"/>
    <w:rsid w:val="009B14F9"/>
    <w:rsid w:val="009B2951"/>
    <w:rsid w:val="009B5160"/>
    <w:rsid w:val="009B63F2"/>
    <w:rsid w:val="009B6E3D"/>
    <w:rsid w:val="009B7707"/>
    <w:rsid w:val="009B7A44"/>
    <w:rsid w:val="009B7EFB"/>
    <w:rsid w:val="009C100F"/>
    <w:rsid w:val="009C2A28"/>
    <w:rsid w:val="009C2BDA"/>
    <w:rsid w:val="009C490F"/>
    <w:rsid w:val="009C5749"/>
    <w:rsid w:val="009C7196"/>
    <w:rsid w:val="009D31A7"/>
    <w:rsid w:val="009D34EB"/>
    <w:rsid w:val="009D3DE1"/>
    <w:rsid w:val="009D4414"/>
    <w:rsid w:val="009D4E36"/>
    <w:rsid w:val="009D56F6"/>
    <w:rsid w:val="009D5725"/>
    <w:rsid w:val="009D6957"/>
    <w:rsid w:val="009D6E95"/>
    <w:rsid w:val="009D73D0"/>
    <w:rsid w:val="009E0030"/>
    <w:rsid w:val="009E00E5"/>
    <w:rsid w:val="009E0753"/>
    <w:rsid w:val="009E22DA"/>
    <w:rsid w:val="009E3243"/>
    <w:rsid w:val="009E33BA"/>
    <w:rsid w:val="009E7416"/>
    <w:rsid w:val="009F0051"/>
    <w:rsid w:val="009F0114"/>
    <w:rsid w:val="009F0699"/>
    <w:rsid w:val="009F3E52"/>
    <w:rsid w:val="009F7D39"/>
    <w:rsid w:val="00A006A3"/>
    <w:rsid w:val="00A01293"/>
    <w:rsid w:val="00A01963"/>
    <w:rsid w:val="00A0407D"/>
    <w:rsid w:val="00A04266"/>
    <w:rsid w:val="00A04C4C"/>
    <w:rsid w:val="00A05F55"/>
    <w:rsid w:val="00A101D5"/>
    <w:rsid w:val="00A107AA"/>
    <w:rsid w:val="00A111C5"/>
    <w:rsid w:val="00A11A27"/>
    <w:rsid w:val="00A11DEC"/>
    <w:rsid w:val="00A13C97"/>
    <w:rsid w:val="00A14F49"/>
    <w:rsid w:val="00A1628B"/>
    <w:rsid w:val="00A20FD9"/>
    <w:rsid w:val="00A21BF6"/>
    <w:rsid w:val="00A23561"/>
    <w:rsid w:val="00A240A0"/>
    <w:rsid w:val="00A24D61"/>
    <w:rsid w:val="00A24F9F"/>
    <w:rsid w:val="00A2632A"/>
    <w:rsid w:val="00A26402"/>
    <w:rsid w:val="00A27671"/>
    <w:rsid w:val="00A30193"/>
    <w:rsid w:val="00A301A7"/>
    <w:rsid w:val="00A30CC4"/>
    <w:rsid w:val="00A358D2"/>
    <w:rsid w:val="00A3643E"/>
    <w:rsid w:val="00A367A9"/>
    <w:rsid w:val="00A3708F"/>
    <w:rsid w:val="00A42583"/>
    <w:rsid w:val="00A44E81"/>
    <w:rsid w:val="00A450D1"/>
    <w:rsid w:val="00A45189"/>
    <w:rsid w:val="00A45496"/>
    <w:rsid w:val="00A46B3B"/>
    <w:rsid w:val="00A47290"/>
    <w:rsid w:val="00A50326"/>
    <w:rsid w:val="00A5106B"/>
    <w:rsid w:val="00A517BE"/>
    <w:rsid w:val="00A53C46"/>
    <w:rsid w:val="00A55F89"/>
    <w:rsid w:val="00A55FD8"/>
    <w:rsid w:val="00A56D52"/>
    <w:rsid w:val="00A57618"/>
    <w:rsid w:val="00A60EC2"/>
    <w:rsid w:val="00A63324"/>
    <w:rsid w:val="00A6348E"/>
    <w:rsid w:val="00A637EF"/>
    <w:rsid w:val="00A638D9"/>
    <w:rsid w:val="00A63FB5"/>
    <w:rsid w:val="00A64170"/>
    <w:rsid w:val="00A65AD7"/>
    <w:rsid w:val="00A66A18"/>
    <w:rsid w:val="00A7087D"/>
    <w:rsid w:val="00A73152"/>
    <w:rsid w:val="00A74CB7"/>
    <w:rsid w:val="00A75992"/>
    <w:rsid w:val="00A77287"/>
    <w:rsid w:val="00A8013A"/>
    <w:rsid w:val="00A81345"/>
    <w:rsid w:val="00A841F5"/>
    <w:rsid w:val="00A90194"/>
    <w:rsid w:val="00A9039B"/>
    <w:rsid w:val="00A90F9D"/>
    <w:rsid w:val="00A914EB"/>
    <w:rsid w:val="00A91E3C"/>
    <w:rsid w:val="00A91F49"/>
    <w:rsid w:val="00A925E6"/>
    <w:rsid w:val="00A935E3"/>
    <w:rsid w:val="00A9535F"/>
    <w:rsid w:val="00A9685F"/>
    <w:rsid w:val="00A969AA"/>
    <w:rsid w:val="00A97C04"/>
    <w:rsid w:val="00AA294D"/>
    <w:rsid w:val="00AA2E30"/>
    <w:rsid w:val="00AA44CD"/>
    <w:rsid w:val="00AA5F52"/>
    <w:rsid w:val="00AA66BA"/>
    <w:rsid w:val="00AA6B48"/>
    <w:rsid w:val="00AA7284"/>
    <w:rsid w:val="00AA786A"/>
    <w:rsid w:val="00AA7992"/>
    <w:rsid w:val="00AA7D61"/>
    <w:rsid w:val="00AB0143"/>
    <w:rsid w:val="00AB0ED8"/>
    <w:rsid w:val="00AB0F5F"/>
    <w:rsid w:val="00AB1806"/>
    <w:rsid w:val="00AB29EA"/>
    <w:rsid w:val="00AB3269"/>
    <w:rsid w:val="00AB3E37"/>
    <w:rsid w:val="00AB55D2"/>
    <w:rsid w:val="00AB5732"/>
    <w:rsid w:val="00AC10BF"/>
    <w:rsid w:val="00AC1B7A"/>
    <w:rsid w:val="00AC2FD8"/>
    <w:rsid w:val="00AC3779"/>
    <w:rsid w:val="00AC39F4"/>
    <w:rsid w:val="00AC3B7F"/>
    <w:rsid w:val="00AC4319"/>
    <w:rsid w:val="00AC4472"/>
    <w:rsid w:val="00AC5E52"/>
    <w:rsid w:val="00AC6B16"/>
    <w:rsid w:val="00AC746D"/>
    <w:rsid w:val="00AC7A3B"/>
    <w:rsid w:val="00AC7C86"/>
    <w:rsid w:val="00AC7CAD"/>
    <w:rsid w:val="00AD046A"/>
    <w:rsid w:val="00AD1AE0"/>
    <w:rsid w:val="00AD2B5C"/>
    <w:rsid w:val="00AD326B"/>
    <w:rsid w:val="00AD366D"/>
    <w:rsid w:val="00AD49CC"/>
    <w:rsid w:val="00AD4DB1"/>
    <w:rsid w:val="00AD51BD"/>
    <w:rsid w:val="00AD5C89"/>
    <w:rsid w:val="00AD610B"/>
    <w:rsid w:val="00AD6295"/>
    <w:rsid w:val="00AD718F"/>
    <w:rsid w:val="00AE113D"/>
    <w:rsid w:val="00AE1A7D"/>
    <w:rsid w:val="00AE235F"/>
    <w:rsid w:val="00AE36F5"/>
    <w:rsid w:val="00AE4F41"/>
    <w:rsid w:val="00AE632F"/>
    <w:rsid w:val="00AE7515"/>
    <w:rsid w:val="00AE7965"/>
    <w:rsid w:val="00AF1306"/>
    <w:rsid w:val="00AF22F0"/>
    <w:rsid w:val="00AF2615"/>
    <w:rsid w:val="00AF44FC"/>
    <w:rsid w:val="00AF4E40"/>
    <w:rsid w:val="00AF5020"/>
    <w:rsid w:val="00AF636C"/>
    <w:rsid w:val="00AF6FDB"/>
    <w:rsid w:val="00B00A08"/>
    <w:rsid w:val="00B00D21"/>
    <w:rsid w:val="00B01616"/>
    <w:rsid w:val="00B0197F"/>
    <w:rsid w:val="00B03787"/>
    <w:rsid w:val="00B10863"/>
    <w:rsid w:val="00B136F1"/>
    <w:rsid w:val="00B13F06"/>
    <w:rsid w:val="00B145D9"/>
    <w:rsid w:val="00B14992"/>
    <w:rsid w:val="00B15F7B"/>
    <w:rsid w:val="00B21445"/>
    <w:rsid w:val="00B22799"/>
    <w:rsid w:val="00B23CCA"/>
    <w:rsid w:val="00B27AE5"/>
    <w:rsid w:val="00B32840"/>
    <w:rsid w:val="00B32BF0"/>
    <w:rsid w:val="00B33F00"/>
    <w:rsid w:val="00B3466C"/>
    <w:rsid w:val="00B3477A"/>
    <w:rsid w:val="00B36037"/>
    <w:rsid w:val="00B3640B"/>
    <w:rsid w:val="00B364AC"/>
    <w:rsid w:val="00B37500"/>
    <w:rsid w:val="00B3799B"/>
    <w:rsid w:val="00B37C01"/>
    <w:rsid w:val="00B40571"/>
    <w:rsid w:val="00B40C79"/>
    <w:rsid w:val="00B45382"/>
    <w:rsid w:val="00B457F4"/>
    <w:rsid w:val="00B50A7D"/>
    <w:rsid w:val="00B519A6"/>
    <w:rsid w:val="00B529CC"/>
    <w:rsid w:val="00B52A25"/>
    <w:rsid w:val="00B537AC"/>
    <w:rsid w:val="00B53F0D"/>
    <w:rsid w:val="00B54111"/>
    <w:rsid w:val="00B55659"/>
    <w:rsid w:val="00B5606A"/>
    <w:rsid w:val="00B60AC2"/>
    <w:rsid w:val="00B61A73"/>
    <w:rsid w:val="00B61BAC"/>
    <w:rsid w:val="00B6247A"/>
    <w:rsid w:val="00B628B0"/>
    <w:rsid w:val="00B63742"/>
    <w:rsid w:val="00B63F44"/>
    <w:rsid w:val="00B659E9"/>
    <w:rsid w:val="00B666A3"/>
    <w:rsid w:val="00B66719"/>
    <w:rsid w:val="00B66956"/>
    <w:rsid w:val="00B705D7"/>
    <w:rsid w:val="00B70701"/>
    <w:rsid w:val="00B73C74"/>
    <w:rsid w:val="00B7472D"/>
    <w:rsid w:val="00B7485F"/>
    <w:rsid w:val="00B761DD"/>
    <w:rsid w:val="00B76A54"/>
    <w:rsid w:val="00B76CE3"/>
    <w:rsid w:val="00B817C6"/>
    <w:rsid w:val="00B81B8D"/>
    <w:rsid w:val="00B82106"/>
    <w:rsid w:val="00B840D5"/>
    <w:rsid w:val="00B85CD8"/>
    <w:rsid w:val="00B86904"/>
    <w:rsid w:val="00B87A38"/>
    <w:rsid w:val="00B90831"/>
    <w:rsid w:val="00B936C4"/>
    <w:rsid w:val="00B9414E"/>
    <w:rsid w:val="00B9515A"/>
    <w:rsid w:val="00B953D1"/>
    <w:rsid w:val="00B954AB"/>
    <w:rsid w:val="00B97995"/>
    <w:rsid w:val="00BA0A89"/>
    <w:rsid w:val="00BA14E6"/>
    <w:rsid w:val="00BA16AF"/>
    <w:rsid w:val="00BA3EEB"/>
    <w:rsid w:val="00BA4D66"/>
    <w:rsid w:val="00BA52DA"/>
    <w:rsid w:val="00BA5734"/>
    <w:rsid w:val="00BA7B00"/>
    <w:rsid w:val="00BB0B83"/>
    <w:rsid w:val="00BB1A8E"/>
    <w:rsid w:val="00BB231E"/>
    <w:rsid w:val="00BB339C"/>
    <w:rsid w:val="00BB4645"/>
    <w:rsid w:val="00BB46CD"/>
    <w:rsid w:val="00BB4BAD"/>
    <w:rsid w:val="00BB4E1E"/>
    <w:rsid w:val="00BB4F8F"/>
    <w:rsid w:val="00BB761E"/>
    <w:rsid w:val="00BC0F3A"/>
    <w:rsid w:val="00BC1AA3"/>
    <w:rsid w:val="00BC1D1D"/>
    <w:rsid w:val="00BC503F"/>
    <w:rsid w:val="00BD2CD6"/>
    <w:rsid w:val="00BD4F85"/>
    <w:rsid w:val="00BD513B"/>
    <w:rsid w:val="00BD57A4"/>
    <w:rsid w:val="00BD5CDA"/>
    <w:rsid w:val="00BD60E2"/>
    <w:rsid w:val="00BD7222"/>
    <w:rsid w:val="00BD7886"/>
    <w:rsid w:val="00BE17D6"/>
    <w:rsid w:val="00BE418A"/>
    <w:rsid w:val="00BE4920"/>
    <w:rsid w:val="00BE687B"/>
    <w:rsid w:val="00BF01E2"/>
    <w:rsid w:val="00BF1E6E"/>
    <w:rsid w:val="00BF2EFC"/>
    <w:rsid w:val="00BF3A72"/>
    <w:rsid w:val="00BF528F"/>
    <w:rsid w:val="00C005F8"/>
    <w:rsid w:val="00C0082F"/>
    <w:rsid w:val="00C00C7E"/>
    <w:rsid w:val="00C011E9"/>
    <w:rsid w:val="00C01CB2"/>
    <w:rsid w:val="00C035BC"/>
    <w:rsid w:val="00C039D3"/>
    <w:rsid w:val="00C03C5E"/>
    <w:rsid w:val="00C06C8A"/>
    <w:rsid w:val="00C1008F"/>
    <w:rsid w:val="00C10F25"/>
    <w:rsid w:val="00C14467"/>
    <w:rsid w:val="00C15065"/>
    <w:rsid w:val="00C15EFB"/>
    <w:rsid w:val="00C17E47"/>
    <w:rsid w:val="00C17E92"/>
    <w:rsid w:val="00C20307"/>
    <w:rsid w:val="00C2039A"/>
    <w:rsid w:val="00C22578"/>
    <w:rsid w:val="00C26A26"/>
    <w:rsid w:val="00C26DA3"/>
    <w:rsid w:val="00C27494"/>
    <w:rsid w:val="00C279B1"/>
    <w:rsid w:val="00C27CC5"/>
    <w:rsid w:val="00C30AFD"/>
    <w:rsid w:val="00C313A5"/>
    <w:rsid w:val="00C31C7F"/>
    <w:rsid w:val="00C32008"/>
    <w:rsid w:val="00C35B01"/>
    <w:rsid w:val="00C37A06"/>
    <w:rsid w:val="00C4051F"/>
    <w:rsid w:val="00C40717"/>
    <w:rsid w:val="00C417FE"/>
    <w:rsid w:val="00C418BA"/>
    <w:rsid w:val="00C424F5"/>
    <w:rsid w:val="00C46614"/>
    <w:rsid w:val="00C46BF9"/>
    <w:rsid w:val="00C50563"/>
    <w:rsid w:val="00C5063F"/>
    <w:rsid w:val="00C50F5A"/>
    <w:rsid w:val="00C51C76"/>
    <w:rsid w:val="00C52EBD"/>
    <w:rsid w:val="00C548AE"/>
    <w:rsid w:val="00C55DF3"/>
    <w:rsid w:val="00C60515"/>
    <w:rsid w:val="00C60CAE"/>
    <w:rsid w:val="00C6239F"/>
    <w:rsid w:val="00C65729"/>
    <w:rsid w:val="00C660C6"/>
    <w:rsid w:val="00C66DD4"/>
    <w:rsid w:val="00C70767"/>
    <w:rsid w:val="00C7095F"/>
    <w:rsid w:val="00C74165"/>
    <w:rsid w:val="00C752D8"/>
    <w:rsid w:val="00C76B69"/>
    <w:rsid w:val="00C76CBB"/>
    <w:rsid w:val="00C76CCC"/>
    <w:rsid w:val="00C76F75"/>
    <w:rsid w:val="00C8197F"/>
    <w:rsid w:val="00C82842"/>
    <w:rsid w:val="00C8296B"/>
    <w:rsid w:val="00C830DC"/>
    <w:rsid w:val="00C83225"/>
    <w:rsid w:val="00C8338A"/>
    <w:rsid w:val="00C869A0"/>
    <w:rsid w:val="00C870B3"/>
    <w:rsid w:val="00C87A8D"/>
    <w:rsid w:val="00C87FEF"/>
    <w:rsid w:val="00C91081"/>
    <w:rsid w:val="00C9283F"/>
    <w:rsid w:val="00C93C43"/>
    <w:rsid w:val="00C9450A"/>
    <w:rsid w:val="00C94C47"/>
    <w:rsid w:val="00C95E39"/>
    <w:rsid w:val="00C96146"/>
    <w:rsid w:val="00C96441"/>
    <w:rsid w:val="00C967D0"/>
    <w:rsid w:val="00C967F3"/>
    <w:rsid w:val="00CA0419"/>
    <w:rsid w:val="00CA141A"/>
    <w:rsid w:val="00CA203C"/>
    <w:rsid w:val="00CA20E0"/>
    <w:rsid w:val="00CA27E7"/>
    <w:rsid w:val="00CA2D75"/>
    <w:rsid w:val="00CA3311"/>
    <w:rsid w:val="00CA3F3E"/>
    <w:rsid w:val="00CA642D"/>
    <w:rsid w:val="00CA6F1D"/>
    <w:rsid w:val="00CA723F"/>
    <w:rsid w:val="00CB070B"/>
    <w:rsid w:val="00CB183B"/>
    <w:rsid w:val="00CB1BC3"/>
    <w:rsid w:val="00CB1DDF"/>
    <w:rsid w:val="00CB21EF"/>
    <w:rsid w:val="00CB2519"/>
    <w:rsid w:val="00CB30EE"/>
    <w:rsid w:val="00CB382A"/>
    <w:rsid w:val="00CB404B"/>
    <w:rsid w:val="00CB500E"/>
    <w:rsid w:val="00CB6688"/>
    <w:rsid w:val="00CB7EF6"/>
    <w:rsid w:val="00CC0268"/>
    <w:rsid w:val="00CC159C"/>
    <w:rsid w:val="00CC1783"/>
    <w:rsid w:val="00CC1F88"/>
    <w:rsid w:val="00CC2625"/>
    <w:rsid w:val="00CC4463"/>
    <w:rsid w:val="00CC51E2"/>
    <w:rsid w:val="00CC65B8"/>
    <w:rsid w:val="00CC7BFE"/>
    <w:rsid w:val="00CD2A47"/>
    <w:rsid w:val="00CD2B6E"/>
    <w:rsid w:val="00CD356D"/>
    <w:rsid w:val="00CD50C9"/>
    <w:rsid w:val="00CD51B9"/>
    <w:rsid w:val="00CD557E"/>
    <w:rsid w:val="00CD7AED"/>
    <w:rsid w:val="00CE0029"/>
    <w:rsid w:val="00CE0F9E"/>
    <w:rsid w:val="00CE11A2"/>
    <w:rsid w:val="00CE1DEE"/>
    <w:rsid w:val="00CE21BA"/>
    <w:rsid w:val="00CE2978"/>
    <w:rsid w:val="00CE2C7F"/>
    <w:rsid w:val="00CE32B5"/>
    <w:rsid w:val="00CE40EC"/>
    <w:rsid w:val="00CE58B3"/>
    <w:rsid w:val="00CE5F50"/>
    <w:rsid w:val="00CE646A"/>
    <w:rsid w:val="00CE6B81"/>
    <w:rsid w:val="00CE712B"/>
    <w:rsid w:val="00CE714D"/>
    <w:rsid w:val="00CE7A5D"/>
    <w:rsid w:val="00CF04F3"/>
    <w:rsid w:val="00CF17FC"/>
    <w:rsid w:val="00CF1AC6"/>
    <w:rsid w:val="00CF1E8F"/>
    <w:rsid w:val="00CF1F23"/>
    <w:rsid w:val="00CF2B77"/>
    <w:rsid w:val="00CF3744"/>
    <w:rsid w:val="00CF3C77"/>
    <w:rsid w:val="00CF5BBA"/>
    <w:rsid w:val="00CF7D55"/>
    <w:rsid w:val="00D00937"/>
    <w:rsid w:val="00D022CB"/>
    <w:rsid w:val="00D0268D"/>
    <w:rsid w:val="00D03124"/>
    <w:rsid w:val="00D04F98"/>
    <w:rsid w:val="00D06FA1"/>
    <w:rsid w:val="00D0714D"/>
    <w:rsid w:val="00D1118E"/>
    <w:rsid w:val="00D11F6B"/>
    <w:rsid w:val="00D11FFE"/>
    <w:rsid w:val="00D12244"/>
    <w:rsid w:val="00D12D0B"/>
    <w:rsid w:val="00D13759"/>
    <w:rsid w:val="00D13A0E"/>
    <w:rsid w:val="00D159AC"/>
    <w:rsid w:val="00D160BF"/>
    <w:rsid w:val="00D17A38"/>
    <w:rsid w:val="00D251B7"/>
    <w:rsid w:val="00D329F6"/>
    <w:rsid w:val="00D32C8B"/>
    <w:rsid w:val="00D331FB"/>
    <w:rsid w:val="00D34240"/>
    <w:rsid w:val="00D34924"/>
    <w:rsid w:val="00D3543B"/>
    <w:rsid w:val="00D36464"/>
    <w:rsid w:val="00D37EEF"/>
    <w:rsid w:val="00D4136C"/>
    <w:rsid w:val="00D4160C"/>
    <w:rsid w:val="00D41984"/>
    <w:rsid w:val="00D447F2"/>
    <w:rsid w:val="00D46020"/>
    <w:rsid w:val="00D46846"/>
    <w:rsid w:val="00D4695A"/>
    <w:rsid w:val="00D475A0"/>
    <w:rsid w:val="00D47B7D"/>
    <w:rsid w:val="00D47F79"/>
    <w:rsid w:val="00D50CCF"/>
    <w:rsid w:val="00D51A75"/>
    <w:rsid w:val="00D51DC0"/>
    <w:rsid w:val="00D51E1D"/>
    <w:rsid w:val="00D53C99"/>
    <w:rsid w:val="00D53F3E"/>
    <w:rsid w:val="00D548D2"/>
    <w:rsid w:val="00D5558F"/>
    <w:rsid w:val="00D562B9"/>
    <w:rsid w:val="00D56881"/>
    <w:rsid w:val="00D60823"/>
    <w:rsid w:val="00D60909"/>
    <w:rsid w:val="00D619FE"/>
    <w:rsid w:val="00D65D8D"/>
    <w:rsid w:val="00D670E9"/>
    <w:rsid w:val="00D6775E"/>
    <w:rsid w:val="00D67EB0"/>
    <w:rsid w:val="00D71782"/>
    <w:rsid w:val="00D73752"/>
    <w:rsid w:val="00D73B0A"/>
    <w:rsid w:val="00D73B2F"/>
    <w:rsid w:val="00D73C9F"/>
    <w:rsid w:val="00D7481D"/>
    <w:rsid w:val="00D754A7"/>
    <w:rsid w:val="00D76B2F"/>
    <w:rsid w:val="00D806E6"/>
    <w:rsid w:val="00D808DC"/>
    <w:rsid w:val="00D82DE9"/>
    <w:rsid w:val="00D85675"/>
    <w:rsid w:val="00D85D95"/>
    <w:rsid w:val="00D870B7"/>
    <w:rsid w:val="00D9157A"/>
    <w:rsid w:val="00D917AC"/>
    <w:rsid w:val="00D91B13"/>
    <w:rsid w:val="00D91EA8"/>
    <w:rsid w:val="00D9229B"/>
    <w:rsid w:val="00D9254F"/>
    <w:rsid w:val="00D933A2"/>
    <w:rsid w:val="00D957EB"/>
    <w:rsid w:val="00D95B81"/>
    <w:rsid w:val="00D9601F"/>
    <w:rsid w:val="00D9720A"/>
    <w:rsid w:val="00DA0C4A"/>
    <w:rsid w:val="00DA0F49"/>
    <w:rsid w:val="00DA4528"/>
    <w:rsid w:val="00DA4AA4"/>
    <w:rsid w:val="00DA591F"/>
    <w:rsid w:val="00DA5F54"/>
    <w:rsid w:val="00DA603C"/>
    <w:rsid w:val="00DA739D"/>
    <w:rsid w:val="00DB016C"/>
    <w:rsid w:val="00DB0C57"/>
    <w:rsid w:val="00DB287A"/>
    <w:rsid w:val="00DB594F"/>
    <w:rsid w:val="00DB5BF6"/>
    <w:rsid w:val="00DB71A9"/>
    <w:rsid w:val="00DC0341"/>
    <w:rsid w:val="00DC2A14"/>
    <w:rsid w:val="00DC2CC2"/>
    <w:rsid w:val="00DC3F7C"/>
    <w:rsid w:val="00DD05C7"/>
    <w:rsid w:val="00DD1027"/>
    <w:rsid w:val="00DD1400"/>
    <w:rsid w:val="00DD207D"/>
    <w:rsid w:val="00DD2CFD"/>
    <w:rsid w:val="00DD4A82"/>
    <w:rsid w:val="00DD571A"/>
    <w:rsid w:val="00DD5A57"/>
    <w:rsid w:val="00DE0799"/>
    <w:rsid w:val="00DE09EC"/>
    <w:rsid w:val="00DE0A2A"/>
    <w:rsid w:val="00DE0EDC"/>
    <w:rsid w:val="00DE12BE"/>
    <w:rsid w:val="00DE4718"/>
    <w:rsid w:val="00DE4A74"/>
    <w:rsid w:val="00DE618D"/>
    <w:rsid w:val="00DF0569"/>
    <w:rsid w:val="00DF1159"/>
    <w:rsid w:val="00DF2C76"/>
    <w:rsid w:val="00DF37A7"/>
    <w:rsid w:val="00DF3EBC"/>
    <w:rsid w:val="00DF6BB2"/>
    <w:rsid w:val="00E02349"/>
    <w:rsid w:val="00E02991"/>
    <w:rsid w:val="00E03436"/>
    <w:rsid w:val="00E03E63"/>
    <w:rsid w:val="00E05081"/>
    <w:rsid w:val="00E060E7"/>
    <w:rsid w:val="00E1003A"/>
    <w:rsid w:val="00E10B1D"/>
    <w:rsid w:val="00E10D4D"/>
    <w:rsid w:val="00E13C0E"/>
    <w:rsid w:val="00E145F4"/>
    <w:rsid w:val="00E163B5"/>
    <w:rsid w:val="00E17500"/>
    <w:rsid w:val="00E20605"/>
    <w:rsid w:val="00E21F49"/>
    <w:rsid w:val="00E23573"/>
    <w:rsid w:val="00E2451E"/>
    <w:rsid w:val="00E25E11"/>
    <w:rsid w:val="00E27BAA"/>
    <w:rsid w:val="00E313A0"/>
    <w:rsid w:val="00E313A7"/>
    <w:rsid w:val="00E316C7"/>
    <w:rsid w:val="00E3289F"/>
    <w:rsid w:val="00E331FC"/>
    <w:rsid w:val="00E339C2"/>
    <w:rsid w:val="00E37941"/>
    <w:rsid w:val="00E4279E"/>
    <w:rsid w:val="00E43171"/>
    <w:rsid w:val="00E43715"/>
    <w:rsid w:val="00E466AC"/>
    <w:rsid w:val="00E46E78"/>
    <w:rsid w:val="00E504FB"/>
    <w:rsid w:val="00E50F34"/>
    <w:rsid w:val="00E51150"/>
    <w:rsid w:val="00E52762"/>
    <w:rsid w:val="00E5391D"/>
    <w:rsid w:val="00E549B7"/>
    <w:rsid w:val="00E56815"/>
    <w:rsid w:val="00E5772A"/>
    <w:rsid w:val="00E61A5F"/>
    <w:rsid w:val="00E62E6B"/>
    <w:rsid w:val="00E6331B"/>
    <w:rsid w:val="00E638D4"/>
    <w:rsid w:val="00E63913"/>
    <w:rsid w:val="00E63A77"/>
    <w:rsid w:val="00E653D7"/>
    <w:rsid w:val="00E65A95"/>
    <w:rsid w:val="00E66527"/>
    <w:rsid w:val="00E66FC9"/>
    <w:rsid w:val="00E716C5"/>
    <w:rsid w:val="00E71C62"/>
    <w:rsid w:val="00E7201E"/>
    <w:rsid w:val="00E743C7"/>
    <w:rsid w:val="00E750CE"/>
    <w:rsid w:val="00E778A8"/>
    <w:rsid w:val="00E80131"/>
    <w:rsid w:val="00E81689"/>
    <w:rsid w:val="00E81E7C"/>
    <w:rsid w:val="00E8455D"/>
    <w:rsid w:val="00E873A3"/>
    <w:rsid w:val="00E90CF3"/>
    <w:rsid w:val="00E914CA"/>
    <w:rsid w:val="00E9162F"/>
    <w:rsid w:val="00E91DAC"/>
    <w:rsid w:val="00E91E1B"/>
    <w:rsid w:val="00E94C15"/>
    <w:rsid w:val="00E950B1"/>
    <w:rsid w:val="00E96257"/>
    <w:rsid w:val="00E97CCA"/>
    <w:rsid w:val="00EA0636"/>
    <w:rsid w:val="00EA0657"/>
    <w:rsid w:val="00EA0F70"/>
    <w:rsid w:val="00EA178F"/>
    <w:rsid w:val="00EA7032"/>
    <w:rsid w:val="00EB0960"/>
    <w:rsid w:val="00EB2BCB"/>
    <w:rsid w:val="00EB2C4A"/>
    <w:rsid w:val="00EB41BB"/>
    <w:rsid w:val="00EB4829"/>
    <w:rsid w:val="00EB4D75"/>
    <w:rsid w:val="00EB6698"/>
    <w:rsid w:val="00EC02CA"/>
    <w:rsid w:val="00EC111D"/>
    <w:rsid w:val="00EC177F"/>
    <w:rsid w:val="00EC1C43"/>
    <w:rsid w:val="00EC1E04"/>
    <w:rsid w:val="00EC23EA"/>
    <w:rsid w:val="00EC3618"/>
    <w:rsid w:val="00EC3A7D"/>
    <w:rsid w:val="00EC3F97"/>
    <w:rsid w:val="00EC63B1"/>
    <w:rsid w:val="00EC6A32"/>
    <w:rsid w:val="00EC7234"/>
    <w:rsid w:val="00EC75BB"/>
    <w:rsid w:val="00ED0FB2"/>
    <w:rsid w:val="00ED2510"/>
    <w:rsid w:val="00ED3B57"/>
    <w:rsid w:val="00ED3C60"/>
    <w:rsid w:val="00ED51E4"/>
    <w:rsid w:val="00ED5D2B"/>
    <w:rsid w:val="00EE0C09"/>
    <w:rsid w:val="00EE1B4E"/>
    <w:rsid w:val="00EE22EC"/>
    <w:rsid w:val="00EE4164"/>
    <w:rsid w:val="00EE492F"/>
    <w:rsid w:val="00EE5737"/>
    <w:rsid w:val="00EF0DAF"/>
    <w:rsid w:val="00EF3D77"/>
    <w:rsid w:val="00EF4C34"/>
    <w:rsid w:val="00EF4DD6"/>
    <w:rsid w:val="00EF54DF"/>
    <w:rsid w:val="00EF680F"/>
    <w:rsid w:val="00EF6939"/>
    <w:rsid w:val="00EF6C5E"/>
    <w:rsid w:val="00EF6E1B"/>
    <w:rsid w:val="00EF70BF"/>
    <w:rsid w:val="00EF770E"/>
    <w:rsid w:val="00F01B3B"/>
    <w:rsid w:val="00F01B73"/>
    <w:rsid w:val="00F01D94"/>
    <w:rsid w:val="00F06E18"/>
    <w:rsid w:val="00F0724C"/>
    <w:rsid w:val="00F128B1"/>
    <w:rsid w:val="00F129C4"/>
    <w:rsid w:val="00F13B26"/>
    <w:rsid w:val="00F15218"/>
    <w:rsid w:val="00F16777"/>
    <w:rsid w:val="00F17289"/>
    <w:rsid w:val="00F1755D"/>
    <w:rsid w:val="00F20FEA"/>
    <w:rsid w:val="00F2276B"/>
    <w:rsid w:val="00F2734D"/>
    <w:rsid w:val="00F30675"/>
    <w:rsid w:val="00F335BA"/>
    <w:rsid w:val="00F3567C"/>
    <w:rsid w:val="00F357B7"/>
    <w:rsid w:val="00F37E6B"/>
    <w:rsid w:val="00F40477"/>
    <w:rsid w:val="00F4163D"/>
    <w:rsid w:val="00F41EE2"/>
    <w:rsid w:val="00F4233C"/>
    <w:rsid w:val="00F434C4"/>
    <w:rsid w:val="00F43B00"/>
    <w:rsid w:val="00F450D9"/>
    <w:rsid w:val="00F5178F"/>
    <w:rsid w:val="00F51AAE"/>
    <w:rsid w:val="00F556B7"/>
    <w:rsid w:val="00F55CD8"/>
    <w:rsid w:val="00F57311"/>
    <w:rsid w:val="00F60C53"/>
    <w:rsid w:val="00F61329"/>
    <w:rsid w:val="00F61A81"/>
    <w:rsid w:val="00F61ECD"/>
    <w:rsid w:val="00F62945"/>
    <w:rsid w:val="00F6366E"/>
    <w:rsid w:val="00F63917"/>
    <w:rsid w:val="00F64368"/>
    <w:rsid w:val="00F64E40"/>
    <w:rsid w:val="00F65CAE"/>
    <w:rsid w:val="00F667DF"/>
    <w:rsid w:val="00F66EDA"/>
    <w:rsid w:val="00F71FB7"/>
    <w:rsid w:val="00F75239"/>
    <w:rsid w:val="00F758BA"/>
    <w:rsid w:val="00F75CF5"/>
    <w:rsid w:val="00F76F35"/>
    <w:rsid w:val="00F7704A"/>
    <w:rsid w:val="00F7728C"/>
    <w:rsid w:val="00F77A90"/>
    <w:rsid w:val="00F77AD9"/>
    <w:rsid w:val="00F77CF6"/>
    <w:rsid w:val="00F80E42"/>
    <w:rsid w:val="00F82773"/>
    <w:rsid w:val="00F82AD7"/>
    <w:rsid w:val="00F8491C"/>
    <w:rsid w:val="00F84D41"/>
    <w:rsid w:val="00F86544"/>
    <w:rsid w:val="00F867FC"/>
    <w:rsid w:val="00F9195D"/>
    <w:rsid w:val="00F932BF"/>
    <w:rsid w:val="00F93C69"/>
    <w:rsid w:val="00F94536"/>
    <w:rsid w:val="00F95E92"/>
    <w:rsid w:val="00F9621C"/>
    <w:rsid w:val="00F96FC1"/>
    <w:rsid w:val="00F97AE9"/>
    <w:rsid w:val="00FA1A95"/>
    <w:rsid w:val="00FA3272"/>
    <w:rsid w:val="00FA347A"/>
    <w:rsid w:val="00FA3AA2"/>
    <w:rsid w:val="00FA4276"/>
    <w:rsid w:val="00FA465F"/>
    <w:rsid w:val="00FA4CC8"/>
    <w:rsid w:val="00FA6115"/>
    <w:rsid w:val="00FA6E45"/>
    <w:rsid w:val="00FA748F"/>
    <w:rsid w:val="00FA79D9"/>
    <w:rsid w:val="00FB001A"/>
    <w:rsid w:val="00FB0CA1"/>
    <w:rsid w:val="00FB23A8"/>
    <w:rsid w:val="00FB2F74"/>
    <w:rsid w:val="00FB44C4"/>
    <w:rsid w:val="00FB4E85"/>
    <w:rsid w:val="00FB5515"/>
    <w:rsid w:val="00FB5597"/>
    <w:rsid w:val="00FB577E"/>
    <w:rsid w:val="00FB5D22"/>
    <w:rsid w:val="00FB6DC9"/>
    <w:rsid w:val="00FC15FD"/>
    <w:rsid w:val="00FC1C21"/>
    <w:rsid w:val="00FC1CEC"/>
    <w:rsid w:val="00FC4886"/>
    <w:rsid w:val="00FC5164"/>
    <w:rsid w:val="00FC58E6"/>
    <w:rsid w:val="00FC6BB1"/>
    <w:rsid w:val="00FC6EB8"/>
    <w:rsid w:val="00FD2129"/>
    <w:rsid w:val="00FD265E"/>
    <w:rsid w:val="00FD3B10"/>
    <w:rsid w:val="00FD3F7A"/>
    <w:rsid w:val="00FD45B9"/>
    <w:rsid w:val="00FD63B8"/>
    <w:rsid w:val="00FD6963"/>
    <w:rsid w:val="00FE00C3"/>
    <w:rsid w:val="00FE1E7F"/>
    <w:rsid w:val="00FE28EB"/>
    <w:rsid w:val="00FE2B56"/>
    <w:rsid w:val="00FE3E5C"/>
    <w:rsid w:val="00FE76B3"/>
    <w:rsid w:val="00FE7CA8"/>
    <w:rsid w:val="00FE7D90"/>
    <w:rsid w:val="00FF01F2"/>
    <w:rsid w:val="00FF0A5E"/>
    <w:rsid w:val="00FF1B57"/>
    <w:rsid w:val="00FF1C71"/>
    <w:rsid w:val="00FF69B3"/>
    <w:rsid w:val="00FF786E"/>
    <w:rsid w:val="00FF78D4"/>
  </w:rsids>
  <m:mathPr>
    <m:mathFont m:val="Cambria Math"/>
    <m:brkBin m:val="before"/>
    <m:brkBinSub m:val="--"/>
    <m:smallFrac m:val="0"/>
    <m:dispDef/>
    <m:lMargin m:val="0"/>
    <m:rMargin m:val="0"/>
    <m:defJc m:val="centerGroup"/>
    <m:wrapRight/>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38EC23F"/>
  <w15:docId w15:val="{4A08FB63-DD06-4266-BC3B-15858D9D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43B"/>
    <w:pPr>
      <w:spacing w:before="240" w:after="240" w:line="360" w:lineRule="auto"/>
      <w:ind w:left="567" w:hanging="567"/>
      <w:jc w:val="both"/>
    </w:pPr>
    <w:rPr>
      <w:rFonts w:ascii="Times New Roman" w:hAnsi="Times New Roman" w:cs="Times New Roman"/>
      <w:sz w:val="24"/>
      <w:szCs w:val="24"/>
    </w:rPr>
  </w:style>
  <w:style w:type="paragraph" w:styleId="1">
    <w:name w:val="heading 1"/>
    <w:basedOn w:val="a"/>
    <w:next w:val="a"/>
    <w:link w:val="10"/>
    <w:uiPriority w:val="9"/>
    <w:qFormat/>
    <w:rsid w:val="006567A6"/>
    <w:pPr>
      <w:keepNext/>
      <w:keepLines/>
      <w:spacing w:after="0"/>
      <w:outlineLvl w:val="0"/>
    </w:pPr>
    <w:rPr>
      <w:rFonts w:ascii="Calibri Light" w:eastAsia="Times New Roman" w:hAnsi="Calibri Light"/>
      <w:color w:val="2E74B5"/>
      <w:sz w:val="32"/>
      <w:szCs w:val="32"/>
    </w:rPr>
  </w:style>
  <w:style w:type="paragraph" w:styleId="2">
    <w:name w:val="heading 2"/>
    <w:basedOn w:val="a"/>
    <w:next w:val="a"/>
    <w:link w:val="20"/>
    <w:uiPriority w:val="9"/>
    <w:semiHidden/>
    <w:unhideWhenUsed/>
    <w:qFormat/>
    <w:rsid w:val="006605E0"/>
    <w:pPr>
      <w:keepNext/>
      <w:keepLines/>
      <w:spacing w:before="40" w:after="0"/>
      <w:outlineLvl w:val="1"/>
    </w:pPr>
    <w:rPr>
      <w:rFonts w:ascii="Calibri Light" w:eastAsia="Times New Roman" w:hAnsi="Calibri Light"/>
      <w:color w:val="2E74B5"/>
      <w:sz w:val="26"/>
      <w:szCs w:val="26"/>
    </w:rPr>
  </w:style>
  <w:style w:type="paragraph" w:styleId="4">
    <w:name w:val="heading 4"/>
    <w:basedOn w:val="a"/>
    <w:next w:val="a"/>
    <w:link w:val="40"/>
    <w:uiPriority w:val="9"/>
    <w:semiHidden/>
    <w:unhideWhenUsed/>
    <w:qFormat/>
    <w:rsid w:val="006605E0"/>
    <w:pPr>
      <w:keepNext/>
      <w:keepLines/>
      <w:spacing w:before="40" w:after="0"/>
      <w:outlineLvl w:val="3"/>
    </w:pPr>
    <w:rPr>
      <w:rFonts w:ascii="Calibri Light" w:eastAsia="Times New Roman" w:hAnsi="Calibri Light"/>
      <w:i/>
      <w:iCs/>
      <w:color w:val="2E74B5"/>
    </w:rPr>
  </w:style>
  <w:style w:type="paragraph" w:styleId="7">
    <w:name w:val="heading 7"/>
    <w:basedOn w:val="a"/>
    <w:next w:val="a"/>
    <w:link w:val="70"/>
    <w:semiHidden/>
    <w:unhideWhenUsed/>
    <w:qFormat/>
    <w:rsid w:val="006567A6"/>
    <w:pPr>
      <w:spacing w:after="60" w:line="240" w:lineRule="auto"/>
      <w:outlineLvl w:val="6"/>
    </w:pPr>
    <w:rPr>
      <w:rFonts w:eastAsia="Times New Roman"/>
      <w:lang w:eastAsia="he-IL"/>
    </w:rPr>
  </w:style>
  <w:style w:type="paragraph" w:styleId="8">
    <w:name w:val="heading 8"/>
    <w:basedOn w:val="a"/>
    <w:next w:val="a"/>
    <w:link w:val="80"/>
    <w:semiHidden/>
    <w:unhideWhenUsed/>
    <w:qFormat/>
    <w:rsid w:val="006567A6"/>
    <w:pPr>
      <w:spacing w:after="60" w:line="240" w:lineRule="auto"/>
      <w:outlineLvl w:val="7"/>
    </w:pPr>
    <w:rPr>
      <w:rFonts w:eastAsia="Times New Roman"/>
      <w:i/>
      <w:iCs/>
      <w:lang w:eastAsia="he-IL"/>
    </w:rPr>
  </w:style>
  <w:style w:type="paragraph" w:styleId="9">
    <w:name w:val="heading 9"/>
    <w:basedOn w:val="a"/>
    <w:next w:val="a"/>
    <w:link w:val="90"/>
    <w:semiHidden/>
    <w:unhideWhenUsed/>
    <w:qFormat/>
    <w:rsid w:val="006567A6"/>
    <w:pPr>
      <w:spacing w:after="60" w:line="240" w:lineRule="auto"/>
      <w:ind w:left="4248" w:right="4248" w:hanging="708"/>
      <w:outlineLvl w:val="8"/>
    </w:pPr>
    <w:rPr>
      <w:rFonts w:ascii="Arial" w:eastAsia="Times New Roman" w:cs="Arial"/>
      <w:i/>
      <w:iCs/>
      <w:sz w:val="18"/>
      <w:szCs w:val="18"/>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כותרת 7 תו"/>
    <w:link w:val="7"/>
    <w:semiHidden/>
    <w:rsid w:val="006567A6"/>
    <w:rPr>
      <w:rFonts w:ascii="Times New Roman" w:eastAsia="Times New Roman" w:hAnsi="Times New Roman" w:cs="Times New Roman"/>
      <w:sz w:val="24"/>
      <w:szCs w:val="24"/>
      <w:lang w:eastAsia="he-IL"/>
    </w:rPr>
  </w:style>
  <w:style w:type="character" w:customStyle="1" w:styleId="80">
    <w:name w:val="כותרת 8 תו"/>
    <w:link w:val="8"/>
    <w:semiHidden/>
    <w:rsid w:val="006567A6"/>
    <w:rPr>
      <w:rFonts w:ascii="Times New Roman" w:eastAsia="Times New Roman" w:hAnsi="Times New Roman" w:cs="Times New Roman"/>
      <w:i/>
      <w:iCs/>
      <w:sz w:val="24"/>
      <w:szCs w:val="24"/>
      <w:lang w:eastAsia="he-IL"/>
    </w:rPr>
  </w:style>
  <w:style w:type="character" w:customStyle="1" w:styleId="90">
    <w:name w:val="כותרת 9 תו"/>
    <w:link w:val="9"/>
    <w:semiHidden/>
    <w:rsid w:val="006567A6"/>
    <w:rPr>
      <w:rFonts w:ascii="Arial" w:eastAsia="Times New Roman" w:hAnsi="Times New Roman" w:cs="Arial"/>
      <w:i/>
      <w:iCs/>
      <w:sz w:val="18"/>
      <w:szCs w:val="18"/>
      <w:lang w:eastAsia="he-IL"/>
    </w:rPr>
  </w:style>
  <w:style w:type="paragraph" w:styleId="a3">
    <w:name w:val="header"/>
    <w:basedOn w:val="a"/>
    <w:link w:val="a4"/>
    <w:unhideWhenUsed/>
    <w:rsid w:val="006567A6"/>
    <w:pPr>
      <w:tabs>
        <w:tab w:val="center" w:pos="4153"/>
        <w:tab w:val="right" w:pos="8306"/>
      </w:tabs>
      <w:spacing w:after="0" w:line="240" w:lineRule="auto"/>
    </w:pPr>
    <w:rPr>
      <w:rFonts w:eastAsia="Times New Roman" w:cs="Miriam"/>
      <w:sz w:val="20"/>
      <w:szCs w:val="20"/>
      <w:lang w:eastAsia="he-IL"/>
    </w:rPr>
  </w:style>
  <w:style w:type="character" w:customStyle="1" w:styleId="a4">
    <w:name w:val="כותרת עליונה תו"/>
    <w:link w:val="a3"/>
    <w:rsid w:val="006567A6"/>
    <w:rPr>
      <w:rFonts w:ascii="Times New Roman" w:eastAsia="Times New Roman" w:hAnsi="Times New Roman" w:cs="Miriam"/>
      <w:sz w:val="20"/>
      <w:szCs w:val="20"/>
      <w:lang w:eastAsia="he-IL"/>
    </w:rPr>
  </w:style>
  <w:style w:type="character" w:customStyle="1" w:styleId="10">
    <w:name w:val="כותרת 1 תו"/>
    <w:link w:val="1"/>
    <w:uiPriority w:val="99"/>
    <w:rsid w:val="006567A6"/>
    <w:rPr>
      <w:rFonts w:ascii="Calibri Light" w:eastAsia="Times New Roman" w:hAnsi="Calibri Light" w:cs="Times New Roman"/>
      <w:color w:val="2E74B5"/>
      <w:sz w:val="32"/>
      <w:szCs w:val="32"/>
    </w:rPr>
  </w:style>
  <w:style w:type="paragraph" w:styleId="a5">
    <w:name w:val="Balloon Text"/>
    <w:basedOn w:val="a"/>
    <w:link w:val="a6"/>
    <w:uiPriority w:val="99"/>
    <w:semiHidden/>
    <w:unhideWhenUsed/>
    <w:rsid w:val="00221244"/>
    <w:pPr>
      <w:spacing w:after="0" w:line="240" w:lineRule="auto"/>
    </w:pPr>
    <w:rPr>
      <w:rFonts w:ascii="Tahoma" w:hAnsi="Tahoma" w:cs="Tahoma"/>
      <w:sz w:val="16"/>
      <w:szCs w:val="16"/>
    </w:rPr>
  </w:style>
  <w:style w:type="character" w:customStyle="1" w:styleId="a6">
    <w:name w:val="טקסט בלונים תו"/>
    <w:link w:val="a5"/>
    <w:uiPriority w:val="99"/>
    <w:semiHidden/>
    <w:rsid w:val="00221244"/>
    <w:rPr>
      <w:rFonts w:ascii="Tahoma" w:hAnsi="Tahoma" w:cs="Tahoma"/>
      <w:sz w:val="16"/>
      <w:szCs w:val="16"/>
    </w:rPr>
  </w:style>
  <w:style w:type="paragraph" w:styleId="a7">
    <w:name w:val="annotation text"/>
    <w:basedOn w:val="a"/>
    <w:link w:val="a8"/>
    <w:uiPriority w:val="99"/>
    <w:unhideWhenUsed/>
    <w:rsid w:val="00221244"/>
    <w:pPr>
      <w:spacing w:line="240" w:lineRule="auto"/>
    </w:pPr>
    <w:rPr>
      <w:sz w:val="20"/>
      <w:szCs w:val="20"/>
    </w:rPr>
  </w:style>
  <w:style w:type="character" w:customStyle="1" w:styleId="a8">
    <w:name w:val="טקסט הערה תו"/>
    <w:link w:val="a7"/>
    <w:uiPriority w:val="99"/>
    <w:rsid w:val="00221244"/>
    <w:rPr>
      <w:rFonts w:ascii="Times New Roman" w:hAnsi="Times New Roman" w:cs="Times New Roman"/>
      <w:sz w:val="20"/>
      <w:szCs w:val="20"/>
    </w:rPr>
  </w:style>
  <w:style w:type="character" w:styleId="a9">
    <w:name w:val="annotation reference"/>
    <w:uiPriority w:val="99"/>
    <w:rsid w:val="00221244"/>
    <w:rPr>
      <w:sz w:val="16"/>
      <w:szCs w:val="16"/>
    </w:rPr>
  </w:style>
  <w:style w:type="paragraph" w:styleId="aa">
    <w:name w:val="List Paragraph"/>
    <w:aliases w:val="Bullet List,FooterText,LP1,List Paragraph_0,List Paragraph_1,Paragraphe de liste1,lp1,numbered,פיסקת bullets,פיסקת רשימה1"/>
    <w:basedOn w:val="a"/>
    <w:link w:val="ab"/>
    <w:uiPriority w:val="34"/>
    <w:qFormat/>
    <w:rsid w:val="00431329"/>
    <w:pPr>
      <w:ind w:left="720"/>
      <w:contextualSpacing/>
    </w:pPr>
  </w:style>
  <w:style w:type="character" w:customStyle="1" w:styleId="ab">
    <w:name w:val="פיסקת רשימה תו"/>
    <w:aliases w:val="Bullet List תו,FooterText תו,LP1 תו,List Paragraph_0 תו,List Paragraph_1 תו,Paragraphe de liste1 תו,lp1 תו,numbered תו,פיסקת bullets תו,פיסקת רשימה1 תו"/>
    <w:link w:val="aa"/>
    <w:uiPriority w:val="34"/>
    <w:rsid w:val="00431329"/>
    <w:rPr>
      <w:rFonts w:ascii="Times New Roman" w:hAnsi="Times New Roman" w:cs="Times New Roman"/>
      <w:sz w:val="24"/>
      <w:szCs w:val="24"/>
    </w:rPr>
  </w:style>
  <w:style w:type="paragraph" w:customStyle="1" w:styleId="Default">
    <w:name w:val="Default"/>
    <w:link w:val="Default0"/>
    <w:rsid w:val="00431329"/>
    <w:pPr>
      <w:widowControl w:val="0"/>
      <w:autoSpaceDE w:val="0"/>
      <w:autoSpaceDN w:val="0"/>
      <w:adjustRightInd w:val="0"/>
      <w:spacing w:before="240" w:after="240" w:line="360" w:lineRule="atLeast"/>
      <w:ind w:left="567" w:hanging="567"/>
      <w:jc w:val="both"/>
      <w:textAlignment w:val="baseline"/>
    </w:pPr>
    <w:rPr>
      <w:rFonts w:ascii="Times New Roman" w:eastAsia="Times New Roman" w:hAnsi="Times New Roman" w:cs="Times New Roman"/>
      <w:color w:val="000000"/>
      <w:sz w:val="24"/>
      <w:szCs w:val="24"/>
    </w:rPr>
  </w:style>
  <w:style w:type="character" w:customStyle="1" w:styleId="Default0">
    <w:name w:val="Default תו"/>
    <w:link w:val="Default"/>
    <w:locked/>
    <w:rsid w:val="00431329"/>
    <w:rPr>
      <w:rFonts w:ascii="Times New Roman" w:eastAsia="Times New Roman" w:hAnsi="Times New Roman" w:cs="Times New Roman"/>
      <w:color w:val="000000"/>
      <w:sz w:val="24"/>
      <w:szCs w:val="24"/>
    </w:rPr>
  </w:style>
  <w:style w:type="character" w:customStyle="1" w:styleId="20">
    <w:name w:val="כותרת 2 תו"/>
    <w:link w:val="2"/>
    <w:rsid w:val="006605E0"/>
    <w:rPr>
      <w:rFonts w:ascii="Calibri Light" w:eastAsia="Times New Roman" w:hAnsi="Calibri Light" w:cs="Times New Roman"/>
      <w:color w:val="2E74B5"/>
      <w:sz w:val="26"/>
      <w:szCs w:val="26"/>
    </w:rPr>
  </w:style>
  <w:style w:type="character" w:customStyle="1" w:styleId="40">
    <w:name w:val="כותרת 4 תו"/>
    <w:link w:val="4"/>
    <w:uiPriority w:val="9"/>
    <w:semiHidden/>
    <w:rsid w:val="006605E0"/>
    <w:rPr>
      <w:rFonts w:ascii="Calibri Light" w:eastAsia="Times New Roman" w:hAnsi="Calibri Light" w:cs="Times New Roman"/>
      <w:i/>
      <w:iCs/>
      <w:color w:val="2E74B5"/>
      <w:sz w:val="24"/>
      <w:szCs w:val="24"/>
    </w:rPr>
  </w:style>
  <w:style w:type="character" w:styleId="ac">
    <w:name w:val="Strong"/>
    <w:uiPriority w:val="22"/>
    <w:qFormat/>
    <w:rsid w:val="006605E0"/>
    <w:rPr>
      <w:b/>
      <w:bCs/>
    </w:rPr>
  </w:style>
  <w:style w:type="paragraph" w:styleId="HTML">
    <w:name w:val="HTML Preformatted"/>
    <w:basedOn w:val="a"/>
    <w:link w:val="HTML0"/>
    <w:uiPriority w:val="99"/>
    <w:unhideWhenUsed/>
    <w:rsid w:val="0068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HTML מעוצב מראש תו"/>
    <w:link w:val="HTML"/>
    <w:uiPriority w:val="99"/>
    <w:rsid w:val="00686870"/>
    <w:rPr>
      <w:rFonts w:ascii="Courier New" w:eastAsia="Times New Roman" w:hAnsi="Courier New" w:cs="Courier New"/>
      <w:sz w:val="20"/>
      <w:szCs w:val="20"/>
    </w:rPr>
  </w:style>
  <w:style w:type="paragraph" w:styleId="21">
    <w:name w:val="List 2"/>
    <w:basedOn w:val="a"/>
    <w:rsid w:val="00686870"/>
    <w:pPr>
      <w:bidi/>
      <w:spacing w:after="0" w:line="240" w:lineRule="auto"/>
      <w:ind w:left="566" w:hanging="283"/>
    </w:pPr>
    <w:rPr>
      <w:rFonts w:eastAsia="Times New Roman" w:cs="Narkisim"/>
      <w:lang w:eastAsia="he-IL"/>
    </w:rPr>
  </w:style>
  <w:style w:type="paragraph" w:customStyle="1" w:styleId="xdefault">
    <w:name w:val="x_default"/>
    <w:basedOn w:val="a"/>
    <w:rsid w:val="00BD5CDA"/>
    <w:pPr>
      <w:spacing w:before="100" w:beforeAutospacing="1" w:after="100" w:afterAutospacing="1" w:line="240" w:lineRule="auto"/>
    </w:pPr>
    <w:rPr>
      <w:rFonts w:eastAsia="Times New Roman"/>
    </w:rPr>
  </w:style>
  <w:style w:type="paragraph" w:styleId="ad">
    <w:name w:val="annotation subject"/>
    <w:basedOn w:val="a7"/>
    <w:next w:val="a7"/>
    <w:link w:val="ae"/>
    <w:uiPriority w:val="99"/>
    <w:semiHidden/>
    <w:unhideWhenUsed/>
    <w:rsid w:val="00BD5CDA"/>
    <w:rPr>
      <w:b/>
      <w:bCs/>
    </w:rPr>
  </w:style>
  <w:style w:type="character" w:customStyle="1" w:styleId="ae">
    <w:name w:val="נושא הערה תו"/>
    <w:link w:val="ad"/>
    <w:uiPriority w:val="99"/>
    <w:semiHidden/>
    <w:rsid w:val="00BD5CDA"/>
    <w:rPr>
      <w:rFonts w:ascii="Times New Roman" w:hAnsi="Times New Roman" w:cs="Times New Roman"/>
      <w:b/>
      <w:bCs/>
      <w:sz w:val="20"/>
      <w:szCs w:val="20"/>
    </w:rPr>
  </w:style>
  <w:style w:type="character" w:styleId="Hyperlink">
    <w:name w:val="Hyperlink"/>
    <w:uiPriority w:val="99"/>
    <w:rsid w:val="00E950B1"/>
    <w:rPr>
      <w:rFonts w:ascii="Times New Roman" w:hAnsi="Times New Roman" w:cs="Times New Roman"/>
      <w:color w:val="0000FF"/>
      <w:u w:val="single"/>
    </w:rPr>
  </w:style>
  <w:style w:type="paragraph" w:customStyle="1" w:styleId="Body">
    <w:name w:val="Body"/>
    <w:rsid w:val="0012003D"/>
    <w:pPr>
      <w:pBdr>
        <w:top w:val="nil"/>
        <w:left w:val="nil"/>
        <w:bottom w:val="nil"/>
        <w:right w:val="nil"/>
        <w:between w:val="nil"/>
        <w:bar w:val="nil"/>
      </w:pBdr>
      <w:bidi/>
      <w:spacing w:before="240" w:after="240" w:line="360" w:lineRule="auto"/>
      <w:ind w:left="567" w:hanging="567"/>
      <w:jc w:val="both"/>
    </w:pPr>
    <w:rPr>
      <w:rFonts w:ascii="Helvetica" w:eastAsia="Arial Unicode MS" w:hAnsi="Arial Unicode MS" w:cs="Arial Unicode MS"/>
      <w:color w:val="000000"/>
      <w:sz w:val="22"/>
      <w:szCs w:val="22"/>
      <w:bdr w:val="nil"/>
    </w:rPr>
  </w:style>
  <w:style w:type="paragraph" w:styleId="af">
    <w:name w:val="Body Text"/>
    <w:basedOn w:val="a"/>
    <w:next w:val="a"/>
    <w:link w:val="af0"/>
    <w:rsid w:val="00C7095F"/>
    <w:pPr>
      <w:spacing w:after="0" w:line="240" w:lineRule="auto"/>
    </w:pPr>
    <w:rPr>
      <w:rFonts w:eastAsia="Times New Roman"/>
      <w:szCs w:val="20"/>
      <w:lang w:val="en-GB" w:bidi="ar-SA"/>
    </w:rPr>
  </w:style>
  <w:style w:type="character" w:customStyle="1" w:styleId="af0">
    <w:name w:val="גוף טקסט תו"/>
    <w:link w:val="af"/>
    <w:rsid w:val="00C7095F"/>
    <w:rPr>
      <w:rFonts w:ascii="Times New Roman" w:eastAsia="Times New Roman" w:hAnsi="Times New Roman" w:cs="Times New Roman"/>
      <w:sz w:val="24"/>
      <w:szCs w:val="20"/>
      <w:lang w:val="en-GB" w:bidi="ar-SA"/>
    </w:rPr>
  </w:style>
  <w:style w:type="paragraph" w:styleId="22">
    <w:name w:val="Body Text Indent 2"/>
    <w:basedOn w:val="a"/>
    <w:link w:val="23"/>
    <w:uiPriority w:val="99"/>
    <w:semiHidden/>
    <w:unhideWhenUsed/>
    <w:rsid w:val="00C7095F"/>
    <w:pPr>
      <w:spacing w:after="120" w:line="480" w:lineRule="auto"/>
      <w:ind w:left="283"/>
    </w:pPr>
  </w:style>
  <w:style w:type="character" w:customStyle="1" w:styleId="23">
    <w:name w:val="כניסה בגוף טקסט 2 תו"/>
    <w:link w:val="22"/>
    <w:uiPriority w:val="99"/>
    <w:semiHidden/>
    <w:rsid w:val="00C7095F"/>
    <w:rPr>
      <w:rFonts w:ascii="Times New Roman" w:hAnsi="Times New Roman" w:cs="Times New Roman"/>
      <w:sz w:val="24"/>
      <w:szCs w:val="24"/>
    </w:rPr>
  </w:style>
  <w:style w:type="table" w:styleId="af1">
    <w:name w:val="Table Grid"/>
    <w:basedOn w:val="a1"/>
    <w:uiPriority w:val="59"/>
    <w:rsid w:val="00912BCF"/>
    <w:pPr>
      <w:jc w:val="center"/>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otnote reference"/>
    <w:aliases w:val="16 Point,4_G,Appel note de bas de page,BVI fnr,Footnote Reference Char3,Footnote Reference/,Footnote Refernece,Footnote number,Footnotes refss,Superscript 6 Point,Texto de nota al pie,Texto nota al pie,f,ftref,referencia nota al pie"/>
    <w:link w:val="4GCharChar"/>
    <w:uiPriority w:val="99"/>
    <w:qFormat/>
    <w:rsid w:val="00422F3C"/>
    <w:rPr>
      <w:rFonts w:ascii="Times New Roman" w:hAnsi="Times New Roman"/>
      <w:sz w:val="18"/>
      <w:vertAlign w:val="superscript"/>
      <w:lang w:val="en-GB"/>
    </w:rPr>
  </w:style>
  <w:style w:type="paragraph" w:customStyle="1" w:styleId="4GCharChar">
    <w:name w:val="4_G Char Char"/>
    <w:aliases w:val="BVI fnr Car Car Car Car Char Char1,BVI fnr Car Car Char Char,BVI fnr Car Char Char,BVI fnr Char Car Car Car Char Char,BVI fnr Char Char,Footnote Reference1 Char Char,Footnotes refss Char Char,ftref Char Char"/>
    <w:basedOn w:val="a"/>
    <w:link w:val="af2"/>
    <w:uiPriority w:val="99"/>
    <w:rsid w:val="00422F3C"/>
    <w:pPr>
      <w:spacing w:after="160" w:line="240" w:lineRule="exact"/>
    </w:pPr>
    <w:rPr>
      <w:rFonts w:cs="Arial"/>
      <w:sz w:val="18"/>
      <w:szCs w:val="22"/>
      <w:vertAlign w:val="superscript"/>
      <w:lang w:val="en-GB"/>
    </w:rPr>
  </w:style>
  <w:style w:type="table" w:customStyle="1" w:styleId="31">
    <w:name w:val="טבלה רגילה 31"/>
    <w:basedOn w:val="a1"/>
    <w:uiPriority w:val="43"/>
    <w:rsid w:val="002A08AA"/>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
    <w:name w:val="טבלת רשת1"/>
    <w:basedOn w:val="a1"/>
    <w:next w:val="af1"/>
    <w:uiPriority w:val="59"/>
    <w:rsid w:val="003165AA"/>
    <w:pPr>
      <w:jc w:val="center"/>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aliases w:val="5_G,Footnote Text Char Char Char2,Footnote Text Char1 Char,Footnote Text Char1 Char1 Char Char Char Char,Footnote Text Char1 Char1 Char Char1,Footnote Text Char2,Footnote Text Char2 Char Char Char Char,Footnote Text Char2 Char Char1"/>
    <w:basedOn w:val="a"/>
    <w:link w:val="af4"/>
    <w:uiPriority w:val="99"/>
    <w:unhideWhenUsed/>
    <w:qFormat/>
    <w:rsid w:val="00971167"/>
    <w:pPr>
      <w:spacing w:after="0" w:line="240" w:lineRule="auto"/>
    </w:pPr>
    <w:rPr>
      <w:sz w:val="20"/>
      <w:szCs w:val="20"/>
    </w:rPr>
  </w:style>
  <w:style w:type="character" w:customStyle="1" w:styleId="af4">
    <w:name w:val="טקסט הערת שוליים תו"/>
    <w:aliases w:val="5_G תו,Footnote Text Char Char Char2 תו,Footnote Text Char1 Char תו,Footnote Text Char1 Char1 Char Char Char Char תו,Footnote Text Char1 Char1 Char Char1 תו,Footnote Text Char2 תו,Footnote Text Char2 Char Char Char Char תו"/>
    <w:link w:val="af3"/>
    <w:uiPriority w:val="99"/>
    <w:rsid w:val="00971167"/>
    <w:rPr>
      <w:rFonts w:ascii="Times New Roman" w:hAnsi="Times New Roman" w:cs="Times New Roman"/>
      <w:sz w:val="20"/>
      <w:szCs w:val="20"/>
    </w:rPr>
  </w:style>
  <w:style w:type="table" w:customStyle="1" w:styleId="110">
    <w:name w:val="טבלת רשת11"/>
    <w:basedOn w:val="a1"/>
    <w:next w:val="af1"/>
    <w:uiPriority w:val="59"/>
    <w:rsid w:val="001C5091"/>
    <w:pPr>
      <w:jc w:val="center"/>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No">
    <w:name w:val="ParaNo."/>
    <w:basedOn w:val="a"/>
    <w:rsid w:val="0055591D"/>
    <w:pPr>
      <w:numPr>
        <w:numId w:val="1"/>
      </w:numPr>
      <w:spacing w:after="0" w:line="240" w:lineRule="auto"/>
      <w:ind w:right="-1"/>
    </w:pPr>
  </w:style>
  <w:style w:type="paragraph" w:styleId="af5">
    <w:name w:val="footer"/>
    <w:basedOn w:val="a"/>
    <w:link w:val="af6"/>
    <w:uiPriority w:val="99"/>
    <w:unhideWhenUsed/>
    <w:rsid w:val="00CA20E0"/>
    <w:pPr>
      <w:tabs>
        <w:tab w:val="center" w:pos="4153"/>
        <w:tab w:val="right" w:pos="8306"/>
      </w:tabs>
      <w:spacing w:after="0" w:line="240" w:lineRule="auto"/>
    </w:pPr>
  </w:style>
  <w:style w:type="character" w:customStyle="1" w:styleId="af6">
    <w:name w:val="כותרת תחתונה תו"/>
    <w:link w:val="af5"/>
    <w:uiPriority w:val="99"/>
    <w:rsid w:val="00CA20E0"/>
    <w:rPr>
      <w:rFonts w:ascii="Times New Roman" w:hAnsi="Times New Roman" w:cs="Times New Roman"/>
      <w:sz w:val="24"/>
      <w:szCs w:val="24"/>
    </w:rPr>
  </w:style>
  <w:style w:type="character" w:styleId="af7">
    <w:name w:val="Emphasis"/>
    <w:uiPriority w:val="20"/>
    <w:qFormat/>
    <w:rsid w:val="00816C31"/>
    <w:rPr>
      <w:i/>
      <w:iCs/>
    </w:rPr>
  </w:style>
  <w:style w:type="character" w:styleId="FollowedHyperlink">
    <w:name w:val="FollowedHyperlink"/>
    <w:uiPriority w:val="99"/>
    <w:semiHidden/>
    <w:unhideWhenUsed/>
    <w:rsid w:val="003F1AE8"/>
    <w:rPr>
      <w:color w:val="954F72"/>
      <w:u w:val="single"/>
    </w:rPr>
  </w:style>
  <w:style w:type="paragraph" w:styleId="af8">
    <w:name w:val="Revision"/>
    <w:hidden/>
    <w:uiPriority w:val="99"/>
    <w:semiHidden/>
    <w:rsid w:val="000042BC"/>
    <w:pPr>
      <w:spacing w:before="240" w:after="240" w:line="360" w:lineRule="auto"/>
      <w:ind w:left="567" w:hanging="567"/>
      <w:jc w:val="both"/>
    </w:pPr>
    <w:rPr>
      <w:rFonts w:ascii="Times New Roman" w:hAnsi="Times New Roman" w:cs="Times New Roman"/>
      <w:sz w:val="24"/>
      <w:szCs w:val="24"/>
    </w:rPr>
  </w:style>
  <w:style w:type="table" w:customStyle="1" w:styleId="24">
    <w:name w:val="טבלת רשת2"/>
    <w:basedOn w:val="a1"/>
    <w:next w:val="af1"/>
    <w:uiPriority w:val="59"/>
    <w:rsid w:val="0009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TOC Heading"/>
    <w:basedOn w:val="1"/>
    <w:next w:val="a"/>
    <w:uiPriority w:val="39"/>
    <w:unhideWhenUsed/>
    <w:qFormat/>
    <w:rsid w:val="009223BC"/>
    <w:pPr>
      <w:bidi/>
      <w:spacing w:line="259" w:lineRule="auto"/>
      <w:outlineLvl w:val="9"/>
    </w:pPr>
    <w:rPr>
      <w:rtl/>
      <w:cs/>
    </w:rPr>
  </w:style>
  <w:style w:type="paragraph" w:styleId="TOC1">
    <w:name w:val="toc 1"/>
    <w:basedOn w:val="a"/>
    <w:next w:val="a"/>
    <w:autoRedefine/>
    <w:uiPriority w:val="39"/>
    <w:unhideWhenUsed/>
    <w:rsid w:val="009223BC"/>
    <w:pPr>
      <w:spacing w:after="100"/>
    </w:pPr>
  </w:style>
  <w:style w:type="character" w:customStyle="1" w:styleId="Bodytext">
    <w:name w:val="Body text_"/>
    <w:link w:val="BodyText4"/>
    <w:rsid w:val="000A225A"/>
    <w:rPr>
      <w:rFonts w:ascii="David" w:eastAsia="David" w:hAnsi="David" w:cs="David"/>
      <w:shd w:val="clear" w:color="auto" w:fill="FFFFFF"/>
    </w:rPr>
  </w:style>
  <w:style w:type="paragraph" w:customStyle="1" w:styleId="BodyText4">
    <w:name w:val="Body Text4"/>
    <w:basedOn w:val="a"/>
    <w:link w:val="Bodytext"/>
    <w:rsid w:val="000A225A"/>
    <w:pPr>
      <w:widowControl w:val="0"/>
      <w:shd w:val="clear" w:color="auto" w:fill="FFFFFF"/>
      <w:spacing w:after="0" w:line="0" w:lineRule="atLeast"/>
      <w:ind w:hanging="360"/>
      <w:jc w:val="center"/>
    </w:pPr>
    <w:rPr>
      <w:rFonts w:ascii="David" w:eastAsia="David" w:hAnsi="David" w:cs="David"/>
      <w:sz w:val="22"/>
      <w:szCs w:val="22"/>
    </w:rPr>
  </w:style>
  <w:style w:type="paragraph" w:customStyle="1" w:styleId="4GChar">
    <w:name w:val="4_G Char"/>
    <w:aliases w:val="BVI fnr Car Car Car Car Char,BVI fnr Car Car Car Car Char Char Char,BVI fnr Car Car Char,BVI fnr Car Char,BVI fnr Char,BVI fnr Char Car Car Car Char,Footnote Reference1 Char,Footnotes refss Char,ftref Char"/>
    <w:basedOn w:val="a"/>
    <w:uiPriority w:val="99"/>
    <w:rsid w:val="000A225A"/>
    <w:pPr>
      <w:spacing w:after="160" w:line="240" w:lineRule="exact"/>
    </w:pPr>
    <w:rPr>
      <w:rFonts w:ascii="Calibri" w:hAnsi="Calibri" w:cs="Arial"/>
      <w:sz w:val="22"/>
      <w:szCs w:val="22"/>
      <w:vertAlign w:val="superscript"/>
    </w:rPr>
  </w:style>
  <w:style w:type="character" w:customStyle="1" w:styleId="Style1Char">
    <w:name w:val="Style1 Char"/>
    <w:link w:val="Style1"/>
    <w:locked/>
    <w:rsid w:val="007A66D1"/>
    <w:rPr>
      <w:rFonts w:cs="Times New Roman"/>
      <w:i/>
      <w:iCs/>
      <w:sz w:val="24"/>
      <w:szCs w:val="24"/>
      <w:u w:val="single"/>
      <w:lang w:val="x-none" w:eastAsia="x-none"/>
    </w:rPr>
  </w:style>
  <w:style w:type="paragraph" w:customStyle="1" w:styleId="Style1">
    <w:name w:val="Style1"/>
    <w:basedOn w:val="a"/>
    <w:link w:val="Style1Char"/>
    <w:qFormat/>
    <w:rsid w:val="007A66D1"/>
    <w:pPr>
      <w:numPr>
        <w:numId w:val="15"/>
      </w:numPr>
      <w:autoSpaceDE w:val="0"/>
      <w:autoSpaceDN w:val="0"/>
      <w:adjustRightInd w:val="0"/>
      <w:spacing w:after="120"/>
    </w:pPr>
    <w:rPr>
      <w:rFonts w:ascii="Calibri" w:hAnsi="Calibri"/>
      <w:i/>
      <w:iCs/>
      <w:u w:val="single"/>
      <w:lang w:val="x-none" w:eastAsia="x-none"/>
    </w:rPr>
  </w:style>
  <w:style w:type="character" w:customStyle="1" w:styleId="afa">
    <w:name w:val="תשובה תו"/>
    <w:link w:val="afb"/>
    <w:locked/>
    <w:rsid w:val="000D40CC"/>
    <w:rPr>
      <w:rFonts w:ascii="Times New Roman" w:eastAsia="Times New Roman" w:hAnsi="Times New Roman" w:cs="Times New Roman"/>
      <w:sz w:val="24"/>
      <w:szCs w:val="24"/>
      <w:lang w:val="x-none" w:eastAsia="he-IL"/>
    </w:rPr>
  </w:style>
  <w:style w:type="paragraph" w:customStyle="1" w:styleId="afb">
    <w:name w:val="תשובה"/>
    <w:basedOn w:val="a"/>
    <w:link w:val="afa"/>
    <w:qFormat/>
    <w:rsid w:val="000D40CC"/>
    <w:pPr>
      <w:tabs>
        <w:tab w:val="left" w:pos="284"/>
        <w:tab w:val="right" w:pos="9214"/>
      </w:tabs>
      <w:spacing w:after="0"/>
      <w:ind w:left="360"/>
    </w:pPr>
    <w:rPr>
      <w:rFonts w:eastAsia="Times New Roman"/>
      <w:lang w:val="x-none" w:eastAsia="he-IL"/>
    </w:rPr>
  </w:style>
  <w:style w:type="character" w:customStyle="1" w:styleId="apple-converted-space">
    <w:name w:val="apple-converted-space"/>
    <w:rsid w:val="00130B90"/>
  </w:style>
  <w:style w:type="paragraph" w:styleId="NormalWeb">
    <w:name w:val="Normal (Web)"/>
    <w:basedOn w:val="a"/>
    <w:semiHidden/>
    <w:unhideWhenUsed/>
    <w:rsid w:val="00866942"/>
    <w:pPr>
      <w:spacing w:before="100" w:after="0" w:line="240" w:lineRule="auto"/>
    </w:pPr>
    <w:rPr>
      <w:rFonts w:eastAsia="Times New Roman"/>
      <w:lang w:eastAsia="he-IL"/>
    </w:rPr>
  </w:style>
  <w:style w:type="paragraph" w:styleId="TOC2">
    <w:name w:val="toc 2"/>
    <w:basedOn w:val="a"/>
    <w:next w:val="a"/>
    <w:autoRedefine/>
    <w:uiPriority w:val="39"/>
    <w:unhideWhenUsed/>
    <w:rsid w:val="006E3E20"/>
    <w:pPr>
      <w:spacing w:after="100"/>
      <w:ind w:left="240"/>
    </w:pPr>
  </w:style>
  <w:style w:type="paragraph" w:styleId="TOC3">
    <w:name w:val="toc 3"/>
    <w:basedOn w:val="a"/>
    <w:next w:val="a"/>
    <w:autoRedefine/>
    <w:uiPriority w:val="39"/>
    <w:unhideWhenUsed/>
    <w:rsid w:val="006E3E20"/>
    <w:pPr>
      <w:spacing w:after="100"/>
      <w:ind w:left="480"/>
    </w:pPr>
  </w:style>
  <w:style w:type="paragraph" w:customStyle="1" w:styleId="Ruller4">
    <w:name w:val="Ruller4"/>
    <w:basedOn w:val="a"/>
    <w:rsid w:val="00BD513B"/>
    <w:pPr>
      <w:tabs>
        <w:tab w:val="left" w:pos="800"/>
      </w:tabs>
      <w:overflowPunct w:val="0"/>
      <w:autoSpaceDE w:val="0"/>
      <w:autoSpaceDN w:val="0"/>
      <w:bidi/>
      <w:adjustRightInd w:val="0"/>
      <w:spacing w:before="0" w:after="0"/>
      <w:ind w:left="0" w:firstLine="0"/>
    </w:pPr>
    <w:rPr>
      <w:rFonts w:ascii="Arial TUR" w:eastAsia="Times New Roman" w:hAnsi="Arial TUR" w:cs="FrankRuehl"/>
      <w:spacing w:val="10"/>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il/he/departments/policies/nohal_hepatitisc"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index.justice.gov.il/Units/InternationalAgreements/InternationalRelations/Faq/Criminal%20Proceedings%20in%20the%20Murder%20Case%20of%20Mohammad%20Abu-Khdeir.pdf"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2609F2-61FF-40D4-A506-B56074358B27}">
  <ds:schemaRefs>
    <ds:schemaRef ds:uri="http://schemas.openxmlformats.org/officeDocument/2006/bibliography"/>
  </ds:schemaRefs>
</ds:datastoreItem>
</file>

<file path=customXml/itemProps2.xml><?xml version="1.0" encoding="utf-8"?>
<ds:datastoreItem xmlns:ds="http://schemas.openxmlformats.org/officeDocument/2006/customXml" ds:itemID="{AE121BCD-A2E4-4DD9-A337-8E2DDFD39BA4}"/>
</file>

<file path=customXml/itemProps3.xml><?xml version="1.0" encoding="utf-8"?>
<ds:datastoreItem xmlns:ds="http://schemas.openxmlformats.org/officeDocument/2006/customXml" ds:itemID="{19DE911C-3F36-49D5-9077-5BAB224D885F}"/>
</file>

<file path=customXml/itemProps4.xml><?xml version="1.0" encoding="utf-8"?>
<ds:datastoreItem xmlns:ds="http://schemas.openxmlformats.org/officeDocument/2006/customXml" ds:itemID="{8765CC0A-CED9-4B5F-A52D-B77A9ABE8014}"/>
</file>

<file path=docProps/app.xml><?xml version="1.0" encoding="utf-8"?>
<Properties xmlns="http://schemas.openxmlformats.org/officeDocument/2006/extended-properties" xmlns:vt="http://schemas.openxmlformats.org/officeDocument/2006/docPropsVTypes">
  <Template>Normal</Template>
  <TotalTime>23</TotalTime>
  <Pages>68</Pages>
  <Words>21577</Words>
  <Characters>107886</Characters>
  <Application>Microsoft Office Word</Application>
  <DocSecurity>0</DocSecurity>
  <Lines>899</Lines>
  <Paragraphs>258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Noa Schreuer</dc:creator>
  <cp:lastModifiedBy>Noa Schreuer</cp:lastModifiedBy>
  <cp:revision>4</cp:revision>
  <dcterms:created xsi:type="dcterms:W3CDTF">2020-12-29T11:44:00Z</dcterms:created>
  <dcterms:modified xsi:type="dcterms:W3CDTF">2020-12-29T13:24:00Z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