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Override6.xml" ContentType="application/vnd.openxmlformats-officedocument.themeOverride+xml"/>
  <Override PartName="/word/theme/theme1.xml" ContentType="application/vnd.openxmlformats-officedocument.theme+xml"/>
  <Override PartName="/word/charts/chart6.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5.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word/charts/style4.xml" ContentType="application/vnd.ms-office.chartstyle+xml"/>
  <Override PartName="/word/charts/style1.xml" ContentType="application/vnd.ms-office.chartstyle+xml"/>
  <Override PartName="/word/charts/colors1.xml" ContentType="application/vnd.ms-office.chartcolorstyle+xml"/>
  <Override PartName="/word/charts/colors2.xml" ContentType="application/vnd.ms-office.chartcolorstyle+xml"/>
  <Override PartName="/word/charts/style2.xml" ContentType="application/vnd.ms-office.chartstyle+xml"/>
  <Override PartName="/word/charts/colors5.xml" ContentType="application/vnd.ms-office.chartcolorstyle+xml"/>
  <Override PartName="/word/charts/style5.xml" ContentType="application/vnd.ms-office.chartstyle+xml"/>
  <Override PartName="/word/charts/colors6.xml" ContentType="application/vnd.ms-office.chartcolorstyle+xml"/>
  <Override PartName="/word/charts/style6.xml" ContentType="application/vnd.ms-office.chartstyle+xml"/>
  <Override PartName="/word/charts/style3.xml" ContentType="application/vnd.ms-office.chartstyle+xml"/>
  <Override PartName="/word/charts/colors3.xml" ContentType="application/vnd.ms-office.chartcolorstyle+xml"/>
  <Override PartName="/word/charts/colors4.xml" ContentType="application/vnd.ms-office.chartcolorsty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F03" w:rsidRPr="000619F2" w:rsidRDefault="00DE7F03" w:rsidP="005D33C2">
      <w:pPr>
        <w:spacing w:after="0"/>
        <w:jc w:val="both"/>
        <w:rPr>
          <w:sz w:val="22"/>
        </w:rPr>
      </w:pPr>
      <w:bookmarkStart w:id="0" w:name="_GoBack"/>
      <w:bookmarkEnd w:id="0"/>
    </w:p>
    <w:p w:rsidR="00002794" w:rsidRPr="00866A67" w:rsidRDefault="008B11E8" w:rsidP="008B11E8">
      <w:pPr>
        <w:spacing w:after="0"/>
        <w:jc w:val="center"/>
        <w:rPr>
          <w:b/>
          <w:sz w:val="22"/>
        </w:rPr>
      </w:pPr>
      <w:r w:rsidRPr="00866A67">
        <w:rPr>
          <w:b/>
          <w:sz w:val="22"/>
        </w:rPr>
        <w:t>OBSERVACIONES DE LA DEFENSORÍA DEL PUEBLO RESPECTO DEL QUINTO INFORME PERIÓDICO DE COLOMBIA AL COMITÉ CONTRA LA TORTURA –CAT/C/COL/5-. SESIONES 1306 Y 1309.</w:t>
      </w:r>
    </w:p>
    <w:p w:rsidR="00002794" w:rsidRDefault="00002794" w:rsidP="005D33C2">
      <w:pPr>
        <w:spacing w:after="0"/>
        <w:jc w:val="both"/>
        <w:rPr>
          <w:sz w:val="22"/>
        </w:rPr>
      </w:pPr>
    </w:p>
    <w:p w:rsidR="00C8371D" w:rsidRDefault="007E4AF6" w:rsidP="007F0403">
      <w:pPr>
        <w:spacing w:after="0" w:line="240" w:lineRule="auto"/>
        <w:jc w:val="both"/>
        <w:rPr>
          <w:rFonts w:eastAsia="MS Mincho"/>
          <w:sz w:val="22"/>
          <w:szCs w:val="20"/>
          <w:lang w:eastAsia="es-ES"/>
        </w:rPr>
      </w:pPr>
      <w:r w:rsidRPr="005122E7">
        <w:rPr>
          <w:rFonts w:eastAsia="MS Mincho"/>
          <w:sz w:val="22"/>
          <w:szCs w:val="20"/>
          <w:lang w:eastAsia="es-ES"/>
        </w:rPr>
        <w:t>L</w:t>
      </w:r>
      <w:r w:rsidR="007F0403" w:rsidRPr="005122E7">
        <w:rPr>
          <w:rFonts w:eastAsia="MS Mincho"/>
          <w:sz w:val="22"/>
          <w:szCs w:val="20"/>
          <w:lang w:eastAsia="es-ES"/>
        </w:rPr>
        <w:t>a Defensoría del Pueblo se permite hacerle llegar a los miembros del Comité, algunas observaciones sobre</w:t>
      </w:r>
      <w:r w:rsidR="00A71B88" w:rsidRPr="005122E7">
        <w:rPr>
          <w:rFonts w:eastAsia="MS Mincho"/>
          <w:sz w:val="22"/>
          <w:szCs w:val="20"/>
          <w:lang w:eastAsia="es-ES"/>
        </w:rPr>
        <w:t xml:space="preserve"> las </w:t>
      </w:r>
      <w:r w:rsidR="007F0403" w:rsidRPr="005122E7">
        <w:rPr>
          <w:rFonts w:eastAsia="MS Mincho"/>
          <w:sz w:val="22"/>
          <w:szCs w:val="20"/>
          <w:lang w:eastAsia="es-ES"/>
        </w:rPr>
        <w:t>temáticas</w:t>
      </w:r>
      <w:r w:rsidRPr="005122E7">
        <w:rPr>
          <w:rFonts w:eastAsia="MS Mincho"/>
          <w:sz w:val="22"/>
          <w:szCs w:val="20"/>
          <w:lang w:eastAsia="es-ES"/>
        </w:rPr>
        <w:t xml:space="preserve"> relevantes acerca de </w:t>
      </w:r>
      <w:r w:rsidR="004C197F" w:rsidRPr="005122E7">
        <w:rPr>
          <w:rFonts w:eastAsia="MS Mincho"/>
          <w:sz w:val="22"/>
          <w:szCs w:val="20"/>
          <w:lang w:eastAsia="es-ES"/>
        </w:rPr>
        <w:t>las condiciones</w:t>
      </w:r>
      <w:r w:rsidR="00CA5D1F">
        <w:rPr>
          <w:rFonts w:eastAsia="MS Mincho"/>
          <w:sz w:val="22"/>
          <w:szCs w:val="20"/>
          <w:lang w:eastAsia="es-ES"/>
        </w:rPr>
        <w:t xml:space="preserve"> actuales</w:t>
      </w:r>
      <w:r w:rsidR="00556F15">
        <w:rPr>
          <w:rFonts w:eastAsia="MS Mincho"/>
          <w:sz w:val="22"/>
          <w:szCs w:val="20"/>
          <w:lang w:eastAsia="es-ES"/>
        </w:rPr>
        <w:t xml:space="preserve"> </w:t>
      </w:r>
      <w:r w:rsidR="004C197F" w:rsidRPr="005122E7">
        <w:rPr>
          <w:rFonts w:eastAsia="MS Mincho"/>
          <w:sz w:val="22"/>
          <w:szCs w:val="20"/>
          <w:lang w:eastAsia="es-ES"/>
        </w:rPr>
        <w:t>de reclusión</w:t>
      </w:r>
      <w:r w:rsidR="008C31EA">
        <w:rPr>
          <w:rFonts w:eastAsia="MS Mincho"/>
          <w:sz w:val="22"/>
          <w:szCs w:val="20"/>
          <w:lang w:eastAsia="es-ES"/>
        </w:rPr>
        <w:t xml:space="preserve"> </w:t>
      </w:r>
      <w:r w:rsidR="00703103">
        <w:rPr>
          <w:rFonts w:eastAsia="MS Mincho"/>
          <w:sz w:val="22"/>
          <w:szCs w:val="20"/>
          <w:lang w:eastAsia="es-ES"/>
        </w:rPr>
        <w:t>-diciembre 2016-</w:t>
      </w:r>
      <w:r w:rsidR="008C31EA" w:rsidRPr="005122E7">
        <w:rPr>
          <w:rFonts w:eastAsia="MS Mincho"/>
          <w:sz w:val="22"/>
          <w:szCs w:val="20"/>
          <w:lang w:eastAsia="es-ES"/>
        </w:rPr>
        <w:t xml:space="preserve"> </w:t>
      </w:r>
      <w:r w:rsidR="004C197F" w:rsidRPr="005122E7">
        <w:rPr>
          <w:rFonts w:eastAsia="MS Mincho"/>
          <w:sz w:val="22"/>
          <w:szCs w:val="20"/>
          <w:lang w:eastAsia="es-ES"/>
        </w:rPr>
        <w:t>de las personas</w:t>
      </w:r>
      <w:r w:rsidR="00635423" w:rsidRPr="005122E7">
        <w:rPr>
          <w:rFonts w:eastAsia="MS Mincho"/>
          <w:sz w:val="22"/>
          <w:szCs w:val="20"/>
          <w:lang w:eastAsia="es-ES"/>
        </w:rPr>
        <w:t xml:space="preserve"> pri</w:t>
      </w:r>
      <w:r w:rsidRPr="005122E7">
        <w:rPr>
          <w:rFonts w:eastAsia="MS Mincho"/>
          <w:sz w:val="22"/>
          <w:szCs w:val="20"/>
          <w:lang w:eastAsia="es-ES"/>
        </w:rPr>
        <w:t xml:space="preserve">vadas de la libertad </w:t>
      </w:r>
      <w:r w:rsidR="00670401" w:rsidRPr="005122E7">
        <w:rPr>
          <w:rFonts w:eastAsia="MS Mincho"/>
          <w:sz w:val="22"/>
          <w:szCs w:val="20"/>
          <w:lang w:eastAsia="es-ES"/>
        </w:rPr>
        <w:t>en el país</w:t>
      </w:r>
      <w:r w:rsidR="006F25B7" w:rsidRPr="005122E7">
        <w:rPr>
          <w:rFonts w:eastAsia="MS Mincho"/>
          <w:sz w:val="22"/>
          <w:szCs w:val="20"/>
          <w:lang w:eastAsia="es-ES"/>
        </w:rPr>
        <w:t>,</w:t>
      </w:r>
      <w:r w:rsidR="00670401" w:rsidRPr="005122E7">
        <w:rPr>
          <w:rFonts w:eastAsia="MS Mincho"/>
          <w:sz w:val="22"/>
          <w:szCs w:val="20"/>
          <w:lang w:eastAsia="es-ES"/>
        </w:rPr>
        <w:t xml:space="preserve"> en</w:t>
      </w:r>
      <w:r w:rsidR="006F25B7" w:rsidRPr="005122E7">
        <w:rPr>
          <w:rFonts w:eastAsia="MS Mincho"/>
          <w:sz w:val="22"/>
          <w:szCs w:val="20"/>
          <w:lang w:eastAsia="es-ES"/>
        </w:rPr>
        <w:t xml:space="preserve"> el marco de los compromisos internacionales asumidos por Colombia al ratificar la Convención contra la Tortura y otros Tratos o Penas Crueles, Inhumanos o Degradantes.</w:t>
      </w:r>
      <w:r w:rsidR="00FD5589">
        <w:rPr>
          <w:rFonts w:eastAsia="MS Mincho"/>
          <w:sz w:val="22"/>
          <w:szCs w:val="20"/>
          <w:lang w:eastAsia="es-ES"/>
        </w:rPr>
        <w:t xml:space="preserve"> </w:t>
      </w:r>
    </w:p>
    <w:p w:rsidR="00C8371D" w:rsidRDefault="00C8371D" w:rsidP="007F0403">
      <w:pPr>
        <w:spacing w:after="0" w:line="240" w:lineRule="auto"/>
        <w:jc w:val="both"/>
        <w:rPr>
          <w:rFonts w:eastAsia="MS Mincho"/>
          <w:sz w:val="22"/>
          <w:szCs w:val="20"/>
          <w:lang w:eastAsia="es-ES"/>
        </w:rPr>
      </w:pPr>
    </w:p>
    <w:p w:rsidR="007F0403" w:rsidRPr="006074FA" w:rsidRDefault="007F0403" w:rsidP="007F0403">
      <w:pPr>
        <w:spacing w:after="0" w:line="240" w:lineRule="auto"/>
        <w:jc w:val="both"/>
        <w:rPr>
          <w:rFonts w:eastAsia="MS Mincho"/>
          <w:b/>
          <w:sz w:val="22"/>
          <w:szCs w:val="20"/>
          <w:u w:val="single"/>
          <w:lang w:eastAsia="es-ES"/>
        </w:rPr>
      </w:pPr>
      <w:r w:rsidRPr="005122E7">
        <w:rPr>
          <w:rFonts w:eastAsia="MS Mincho"/>
          <w:sz w:val="22"/>
          <w:szCs w:val="20"/>
          <w:lang w:eastAsia="es-ES"/>
        </w:rPr>
        <w:t xml:space="preserve">El presente </w:t>
      </w:r>
      <w:r w:rsidR="003738E6">
        <w:rPr>
          <w:rFonts w:eastAsia="MS Mincho"/>
          <w:sz w:val="22"/>
          <w:szCs w:val="20"/>
          <w:lang w:eastAsia="es-ES"/>
        </w:rPr>
        <w:t>documento</w:t>
      </w:r>
      <w:r w:rsidR="00DA66BC">
        <w:rPr>
          <w:rFonts w:eastAsia="MS Mincho"/>
          <w:sz w:val="22"/>
          <w:szCs w:val="20"/>
          <w:lang w:eastAsia="es-ES"/>
        </w:rPr>
        <w:t xml:space="preserve"> </w:t>
      </w:r>
      <w:r w:rsidR="002C4A2B" w:rsidRPr="005122E7">
        <w:rPr>
          <w:rFonts w:eastAsia="MS Mincho"/>
          <w:sz w:val="22"/>
          <w:szCs w:val="20"/>
          <w:lang w:eastAsia="es-ES"/>
        </w:rPr>
        <w:t xml:space="preserve">dará cuenta </w:t>
      </w:r>
      <w:r w:rsidRPr="005122E7">
        <w:rPr>
          <w:rFonts w:eastAsia="MS Mincho"/>
          <w:sz w:val="22"/>
          <w:szCs w:val="20"/>
          <w:lang w:eastAsia="es-ES"/>
        </w:rPr>
        <w:t>de los temas incluidos en la lista de cuestiones previa</w:t>
      </w:r>
      <w:r w:rsidR="002C4A2B" w:rsidRPr="005122E7">
        <w:rPr>
          <w:rFonts w:eastAsia="MS Mincho"/>
          <w:sz w:val="22"/>
          <w:szCs w:val="20"/>
          <w:lang w:eastAsia="es-ES"/>
        </w:rPr>
        <w:t>s</w:t>
      </w:r>
      <w:r w:rsidRPr="005122E7">
        <w:rPr>
          <w:rFonts w:eastAsia="MS Mincho"/>
          <w:sz w:val="22"/>
          <w:szCs w:val="20"/>
          <w:lang w:eastAsia="es-ES"/>
        </w:rPr>
        <w:t xml:space="preserve"> a la presentación</w:t>
      </w:r>
      <w:r w:rsidR="002C4A2B" w:rsidRPr="005122E7">
        <w:rPr>
          <w:rFonts w:eastAsia="MS Mincho"/>
          <w:sz w:val="22"/>
          <w:szCs w:val="20"/>
          <w:lang w:eastAsia="es-ES"/>
        </w:rPr>
        <w:t xml:space="preserve"> del citado informe</w:t>
      </w:r>
      <w:r w:rsidR="00990B53">
        <w:rPr>
          <w:rFonts w:eastAsia="MS Mincho"/>
          <w:sz w:val="22"/>
          <w:szCs w:val="20"/>
          <w:lang w:eastAsia="es-ES"/>
        </w:rPr>
        <w:t xml:space="preserve"> </w:t>
      </w:r>
      <w:r w:rsidR="00C8371D">
        <w:rPr>
          <w:rFonts w:eastAsia="MS Mincho"/>
          <w:sz w:val="22"/>
          <w:szCs w:val="20"/>
          <w:lang w:eastAsia="es-ES"/>
        </w:rPr>
        <w:t xml:space="preserve">por parte del Estado colombiano; </w:t>
      </w:r>
      <w:r w:rsidR="004F3219">
        <w:rPr>
          <w:rFonts w:eastAsia="MS Mincho"/>
          <w:sz w:val="22"/>
          <w:szCs w:val="20"/>
          <w:lang w:eastAsia="es-ES"/>
        </w:rPr>
        <w:t>arribando a la</w:t>
      </w:r>
      <w:r w:rsidR="005B2B7E">
        <w:rPr>
          <w:rFonts w:eastAsia="MS Mincho"/>
          <w:sz w:val="22"/>
          <w:szCs w:val="20"/>
          <w:lang w:eastAsia="es-ES"/>
        </w:rPr>
        <w:t xml:space="preserve"> misma </w:t>
      </w:r>
      <w:r w:rsidR="004F3219">
        <w:rPr>
          <w:rFonts w:eastAsia="MS Mincho"/>
          <w:sz w:val="22"/>
          <w:szCs w:val="20"/>
          <w:lang w:eastAsia="es-ES"/>
        </w:rPr>
        <w:t>conclusión</w:t>
      </w:r>
      <w:r w:rsidR="005B2B7E">
        <w:rPr>
          <w:rFonts w:eastAsia="MS Mincho"/>
          <w:sz w:val="22"/>
          <w:szCs w:val="20"/>
          <w:lang w:eastAsia="es-ES"/>
        </w:rPr>
        <w:t xml:space="preserve"> </w:t>
      </w:r>
      <w:r w:rsidR="004F3219">
        <w:rPr>
          <w:rFonts w:eastAsia="MS Mincho"/>
          <w:sz w:val="22"/>
          <w:szCs w:val="20"/>
          <w:lang w:eastAsia="es-ES"/>
        </w:rPr>
        <w:t>que</w:t>
      </w:r>
      <w:r w:rsidR="005B2B7E">
        <w:rPr>
          <w:rFonts w:eastAsia="MS Mincho"/>
          <w:sz w:val="22"/>
          <w:szCs w:val="20"/>
          <w:lang w:eastAsia="es-ES"/>
        </w:rPr>
        <w:t xml:space="preserve"> se presentó en el informe pasado: </w:t>
      </w:r>
      <w:r w:rsidR="004F3219" w:rsidRPr="006074FA">
        <w:rPr>
          <w:rFonts w:eastAsia="MS Mincho"/>
          <w:b/>
          <w:sz w:val="22"/>
          <w:szCs w:val="20"/>
          <w:u w:val="single"/>
          <w:lang w:eastAsia="es-ES"/>
        </w:rPr>
        <w:t xml:space="preserve">el trato que se le otorga a las </w:t>
      </w:r>
      <w:r w:rsidR="00C8371D" w:rsidRPr="006074FA">
        <w:rPr>
          <w:rFonts w:eastAsia="MS Mincho"/>
          <w:b/>
          <w:sz w:val="22"/>
          <w:szCs w:val="20"/>
          <w:u w:val="single"/>
          <w:lang w:eastAsia="es-ES"/>
        </w:rPr>
        <w:t>personas privadas de la libertad en Colombia puede constituirse como una transgresión del Estado al artículo 16° de la Convención.</w:t>
      </w:r>
      <w:r w:rsidR="002C4A2B" w:rsidRPr="006074FA">
        <w:rPr>
          <w:rFonts w:eastAsia="MS Mincho"/>
          <w:b/>
          <w:sz w:val="22"/>
          <w:szCs w:val="20"/>
          <w:u w:val="single"/>
          <w:lang w:eastAsia="es-ES"/>
        </w:rPr>
        <w:t xml:space="preserve"> </w:t>
      </w:r>
      <w:r w:rsidRPr="006074FA">
        <w:rPr>
          <w:rFonts w:eastAsia="MS Mincho"/>
          <w:b/>
          <w:sz w:val="22"/>
          <w:szCs w:val="20"/>
          <w:u w:val="single"/>
          <w:lang w:eastAsia="es-ES"/>
        </w:rPr>
        <w:t xml:space="preserve"> </w:t>
      </w:r>
    </w:p>
    <w:p w:rsidR="00002794" w:rsidRDefault="00111741" w:rsidP="005D33C2">
      <w:pPr>
        <w:spacing w:after="0"/>
        <w:jc w:val="both"/>
        <w:rPr>
          <w:sz w:val="22"/>
        </w:rPr>
      </w:pPr>
      <w:r>
        <w:rPr>
          <w:sz w:val="22"/>
        </w:rPr>
        <w:t xml:space="preserve"> </w:t>
      </w:r>
    </w:p>
    <w:p w:rsidR="009F6519" w:rsidRDefault="009F6519" w:rsidP="009F6519">
      <w:pPr>
        <w:spacing w:after="0"/>
        <w:jc w:val="both"/>
        <w:rPr>
          <w:b/>
          <w:sz w:val="22"/>
        </w:rPr>
      </w:pPr>
    </w:p>
    <w:p w:rsidR="009F6519" w:rsidRPr="00004CC9" w:rsidRDefault="009F6519" w:rsidP="009F6519">
      <w:pPr>
        <w:spacing w:after="0"/>
        <w:jc w:val="both"/>
        <w:rPr>
          <w:sz w:val="22"/>
        </w:rPr>
      </w:pPr>
      <w:r>
        <w:rPr>
          <w:b/>
          <w:sz w:val="22"/>
        </w:rPr>
        <w:t xml:space="preserve">1. </w:t>
      </w:r>
      <w:r w:rsidRPr="009F6519">
        <w:rPr>
          <w:b/>
          <w:sz w:val="22"/>
          <w:u w:val="single"/>
        </w:rPr>
        <w:t>Recomendación No. 17</w:t>
      </w:r>
      <w:r w:rsidR="00E41CBF">
        <w:rPr>
          <w:b/>
          <w:sz w:val="22"/>
          <w:u w:val="single"/>
        </w:rPr>
        <w:t>a</w:t>
      </w:r>
      <w:r w:rsidRPr="009F6519">
        <w:rPr>
          <w:b/>
          <w:sz w:val="22"/>
          <w:u w:val="single"/>
        </w:rPr>
        <w:t>:</w:t>
      </w:r>
      <w:r w:rsidRPr="009F6519">
        <w:rPr>
          <w:b/>
          <w:sz w:val="22"/>
        </w:rPr>
        <w:t xml:space="preserve"> </w:t>
      </w:r>
      <w:r w:rsidR="00004CC9" w:rsidRPr="00F1510F">
        <w:rPr>
          <w:b/>
          <w:i/>
          <w:sz w:val="22"/>
        </w:rPr>
        <w:t>“</w:t>
      </w:r>
      <w:r w:rsidR="00004CC9" w:rsidRPr="00F1510F">
        <w:rPr>
          <w:i/>
          <w:sz w:val="22"/>
        </w:rPr>
        <w:t xml:space="preserve">Garantizar </w:t>
      </w:r>
      <w:r w:rsidR="00F1510F" w:rsidRPr="00F1510F">
        <w:rPr>
          <w:i/>
          <w:sz w:val="22"/>
        </w:rPr>
        <w:t>sin demora la asignación de recursos necesarios para la atención médica y sanitaria de los reclusos”</w:t>
      </w:r>
    </w:p>
    <w:p w:rsidR="008170ED" w:rsidRDefault="008170ED" w:rsidP="008170ED">
      <w:pPr>
        <w:jc w:val="both"/>
        <w:rPr>
          <w:sz w:val="22"/>
        </w:rPr>
      </w:pPr>
      <w:bookmarkStart w:id="1" w:name="_Toc396302110"/>
      <w:bookmarkStart w:id="2" w:name="_Toc434301095"/>
      <w:bookmarkStart w:id="3" w:name="_Toc434307365"/>
    </w:p>
    <w:p w:rsidR="00BD7B0A" w:rsidRPr="00BD7B0A" w:rsidRDefault="00BD7B0A" w:rsidP="008170ED">
      <w:pPr>
        <w:jc w:val="both"/>
        <w:rPr>
          <w:b/>
          <w:sz w:val="22"/>
        </w:rPr>
      </w:pPr>
      <w:r w:rsidRPr="00BD7B0A">
        <w:rPr>
          <w:b/>
          <w:sz w:val="22"/>
        </w:rPr>
        <w:t xml:space="preserve">Problemáticas en la prestación del servicio de salud en Colombia: </w:t>
      </w:r>
    </w:p>
    <w:p w:rsidR="008170ED" w:rsidRDefault="008170ED" w:rsidP="008170ED">
      <w:pPr>
        <w:jc w:val="both"/>
        <w:rPr>
          <w:sz w:val="22"/>
        </w:rPr>
      </w:pPr>
      <w:r w:rsidRPr="0045670E">
        <w:rPr>
          <w:sz w:val="22"/>
        </w:rPr>
        <w:t>En virtud de la Ley 1709 de 2014, que modificó el Cód</w:t>
      </w:r>
      <w:r>
        <w:rPr>
          <w:sz w:val="22"/>
        </w:rPr>
        <w:t>igo Penitenciario y Carcelario, Ley 65 de 1993</w:t>
      </w:r>
      <w:r w:rsidRPr="0045670E">
        <w:rPr>
          <w:sz w:val="22"/>
        </w:rPr>
        <w:t xml:space="preserve">, se  consagró que la prestación del servicio de salud a  la población carcelaria estará a cargo del Fondo Nacional de Atención en Salud de la Población Privada de la Libertad, cuya administración fue confiada a una entidad fiduciaria. </w:t>
      </w:r>
    </w:p>
    <w:p w:rsidR="008170ED" w:rsidRDefault="008170ED" w:rsidP="008170ED">
      <w:pPr>
        <w:jc w:val="both"/>
        <w:rPr>
          <w:sz w:val="22"/>
        </w:rPr>
      </w:pPr>
      <w:r w:rsidRPr="0045670E">
        <w:rPr>
          <w:sz w:val="22"/>
        </w:rPr>
        <w:t xml:space="preserve">Cabe destacar que la población privada de la libertad, para efectos del modelo de atención descrito, comprende: </w:t>
      </w:r>
      <w:r w:rsidRPr="0045670E">
        <w:rPr>
          <w:b/>
          <w:sz w:val="22"/>
        </w:rPr>
        <w:t>i)</w:t>
      </w:r>
      <w:r w:rsidRPr="0045670E">
        <w:rPr>
          <w:sz w:val="22"/>
        </w:rPr>
        <w:t xml:space="preserve"> a las personas internas en los establecimientos de reclusión a cargo del INPEC; </w:t>
      </w:r>
      <w:r w:rsidRPr="0045670E">
        <w:rPr>
          <w:b/>
          <w:sz w:val="22"/>
        </w:rPr>
        <w:t>ii)</w:t>
      </w:r>
      <w:r w:rsidRPr="0045670E">
        <w:rPr>
          <w:sz w:val="22"/>
        </w:rPr>
        <w:t xml:space="preserve"> a quienes estén en prisión domiciliaria, detención en lugar en residencia o bajo un sistema de vigilancia electrónica a cargo del INPEC; y </w:t>
      </w:r>
      <w:r w:rsidRPr="0045670E">
        <w:rPr>
          <w:b/>
          <w:sz w:val="22"/>
        </w:rPr>
        <w:t xml:space="preserve">iii) </w:t>
      </w:r>
      <w:r w:rsidRPr="0045670E">
        <w:rPr>
          <w:sz w:val="22"/>
        </w:rPr>
        <w:t xml:space="preserve">a los niños menores de tres años que convivan con sus madres en los establecimientos de reclusión. En </w:t>
      </w:r>
      <w:r>
        <w:rPr>
          <w:sz w:val="22"/>
        </w:rPr>
        <w:t>este</w:t>
      </w:r>
      <w:r w:rsidRPr="0045670E">
        <w:rPr>
          <w:sz w:val="22"/>
        </w:rPr>
        <w:t xml:space="preserve"> sentido, </w:t>
      </w:r>
      <w:r>
        <w:rPr>
          <w:sz w:val="22"/>
        </w:rPr>
        <w:t xml:space="preserve">se advirtió una </w:t>
      </w:r>
      <w:proofErr w:type="spellStart"/>
      <w:r>
        <w:rPr>
          <w:sz w:val="22"/>
        </w:rPr>
        <w:t>omisión</w:t>
      </w:r>
      <w:proofErr w:type="spellEnd"/>
      <w:r>
        <w:rPr>
          <w:sz w:val="22"/>
        </w:rPr>
        <w:t xml:space="preserve"> legislativa respecto de las personas privadas de la libertad en centros de detención transitoria (URIS y Estaciones de Policía), frente a la que la Defensoría del Pueblo a través de la Delegada para la Política Criminal y Penitenciaria interpuso acción de tutela, resuelta por la Sala Octava de Revisión de la Corte Constitucional en la sentencia T-151 de 2016.</w:t>
      </w:r>
    </w:p>
    <w:p w:rsidR="008170ED" w:rsidRPr="0045670E" w:rsidRDefault="008170ED" w:rsidP="008170ED">
      <w:pPr>
        <w:jc w:val="both"/>
        <w:rPr>
          <w:sz w:val="22"/>
        </w:rPr>
      </w:pPr>
      <w:r>
        <w:rPr>
          <w:sz w:val="22"/>
        </w:rPr>
        <w:t>E</w:t>
      </w:r>
      <w:r w:rsidRPr="0045670E">
        <w:rPr>
          <w:sz w:val="22"/>
        </w:rPr>
        <w:t>n el mes de enero</w:t>
      </w:r>
      <w:r>
        <w:rPr>
          <w:sz w:val="22"/>
        </w:rPr>
        <w:t xml:space="preserve"> de 2016</w:t>
      </w:r>
      <w:r w:rsidRPr="0045670E">
        <w:rPr>
          <w:sz w:val="22"/>
        </w:rPr>
        <w:t xml:space="preserve"> </w:t>
      </w:r>
      <w:r>
        <w:rPr>
          <w:sz w:val="22"/>
        </w:rPr>
        <w:t xml:space="preserve">La </w:t>
      </w:r>
      <w:r w:rsidRPr="0045670E">
        <w:rPr>
          <w:sz w:val="22"/>
        </w:rPr>
        <w:t xml:space="preserve">Defensoría </w:t>
      </w:r>
      <w:r>
        <w:rPr>
          <w:sz w:val="22"/>
        </w:rPr>
        <w:t xml:space="preserve">del Pueblo </w:t>
      </w:r>
      <w:r w:rsidRPr="0045670E">
        <w:rPr>
          <w:sz w:val="22"/>
        </w:rPr>
        <w:t xml:space="preserve">advirtió una significativa disminución, y en algunos casos la suspensión, de la atención en salud suministrada a la PPL tras el inicio del proceso de liquidación de CAPRECOM EPS; </w:t>
      </w:r>
      <w:r>
        <w:rPr>
          <w:sz w:val="22"/>
        </w:rPr>
        <w:t xml:space="preserve">ya </w:t>
      </w:r>
      <w:r w:rsidRPr="0045670E">
        <w:rPr>
          <w:sz w:val="22"/>
        </w:rPr>
        <w:t xml:space="preserve">que muy pocas </w:t>
      </w:r>
      <w:r w:rsidRPr="0045670E">
        <w:rPr>
          <w:sz w:val="22"/>
        </w:rPr>
        <w:lastRenderedPageBreak/>
        <w:t xml:space="preserve">IPS y profesionales de la salud estaban interesados en contratar con una institución en liquidación, lastrada por una larga historia de morosidad en los pagos de los servicios que contrata.  </w:t>
      </w:r>
    </w:p>
    <w:p w:rsidR="008170ED" w:rsidRPr="00D5476C" w:rsidRDefault="008170ED" w:rsidP="008170ED">
      <w:pPr>
        <w:jc w:val="both"/>
        <w:rPr>
          <w:sz w:val="22"/>
        </w:rPr>
      </w:pPr>
      <w:r w:rsidRPr="0045670E">
        <w:rPr>
          <w:sz w:val="22"/>
        </w:rPr>
        <w:t xml:space="preserve">Por tal razón, el día 1 de febrero de 2016 se suscribió el otrosí  N° 01 al contrato N° 59940-001-2015, en el cual se estableció </w:t>
      </w:r>
      <w:r>
        <w:rPr>
          <w:sz w:val="22"/>
        </w:rPr>
        <w:t>que</w:t>
      </w:r>
      <w:r>
        <w:rPr>
          <w:i/>
          <w:sz w:val="22"/>
        </w:rPr>
        <w:t xml:space="preserve"> </w:t>
      </w:r>
      <w:r w:rsidRPr="00D5476C">
        <w:rPr>
          <w:sz w:val="22"/>
        </w:rPr>
        <w:t>CAPRECOM EICE en liquidación no tendr</w:t>
      </w:r>
      <w:r>
        <w:rPr>
          <w:sz w:val="22"/>
        </w:rPr>
        <w:t>ía</w:t>
      </w:r>
      <w:r w:rsidRPr="00D5476C">
        <w:rPr>
          <w:sz w:val="22"/>
        </w:rPr>
        <w:t xml:space="preserve"> la facultad para celebrar contratos para la prestación integral de servicios de salud, y que a partir de la fecha las obligaciones de CAPRECOM EICE en liquidación queda</w:t>
      </w:r>
      <w:r>
        <w:rPr>
          <w:sz w:val="22"/>
        </w:rPr>
        <w:t>ban</w:t>
      </w:r>
      <w:r w:rsidRPr="00D5476C">
        <w:rPr>
          <w:sz w:val="22"/>
        </w:rPr>
        <w:t xml:space="preserve"> restringidas a efectuar los contratos que hubiese celebrado a la fecha de suscripción del </w:t>
      </w:r>
      <w:r>
        <w:rPr>
          <w:sz w:val="22"/>
        </w:rPr>
        <w:t>otrosí.</w:t>
      </w:r>
    </w:p>
    <w:p w:rsidR="008170ED" w:rsidRPr="0045670E" w:rsidRDefault="008170ED" w:rsidP="008170ED">
      <w:pPr>
        <w:jc w:val="both"/>
        <w:rPr>
          <w:b/>
          <w:sz w:val="22"/>
          <w:u w:val="single"/>
        </w:rPr>
      </w:pPr>
      <w:r>
        <w:rPr>
          <w:sz w:val="22"/>
        </w:rPr>
        <w:t>E</w:t>
      </w:r>
      <w:r w:rsidRPr="0045670E">
        <w:rPr>
          <w:sz w:val="22"/>
        </w:rPr>
        <w:t xml:space="preserve">n la actualidad </w:t>
      </w:r>
      <w:r w:rsidRPr="0045670E">
        <w:rPr>
          <w:b/>
          <w:sz w:val="22"/>
          <w:u w:val="single"/>
        </w:rPr>
        <w:t>el Patrimonio Autónomo PAP Consorcio Fondo de Atención en Salud PPL 2015 es el llamado a asumir la contratación con los prestadores de servicios de salud para garantizar la atención intramural y extramural, de baja, mediana y alta complejidad para la población privada de la libertad.</w:t>
      </w:r>
    </w:p>
    <w:p w:rsidR="008170ED" w:rsidRPr="00BD7B0A" w:rsidRDefault="008170ED" w:rsidP="008170ED">
      <w:pPr>
        <w:pStyle w:val="ListParagraph"/>
        <w:numPr>
          <w:ilvl w:val="0"/>
          <w:numId w:val="34"/>
        </w:numPr>
        <w:jc w:val="both"/>
        <w:rPr>
          <w:b/>
          <w:sz w:val="22"/>
        </w:rPr>
      </w:pPr>
      <w:r w:rsidRPr="00BD7B0A">
        <w:rPr>
          <w:b/>
          <w:bCs/>
          <w:iCs/>
          <w:sz w:val="22"/>
          <w:lang w:val="es-ES"/>
        </w:rPr>
        <w:t>Población privada de la libertad bajo el régimen contributivo</w:t>
      </w:r>
    </w:p>
    <w:p w:rsidR="008170ED" w:rsidRPr="0045670E" w:rsidRDefault="008170ED" w:rsidP="008170ED">
      <w:pPr>
        <w:jc w:val="both"/>
        <w:rPr>
          <w:sz w:val="22"/>
        </w:rPr>
      </w:pPr>
      <w:r>
        <w:rPr>
          <w:sz w:val="22"/>
        </w:rPr>
        <w:t xml:space="preserve">El </w:t>
      </w:r>
      <w:r w:rsidRPr="0045670E">
        <w:rPr>
          <w:sz w:val="22"/>
        </w:rPr>
        <w:t>Decreto 1142</w:t>
      </w:r>
      <w:r>
        <w:rPr>
          <w:sz w:val="22"/>
        </w:rPr>
        <w:t xml:space="preserve"> del</w:t>
      </w:r>
      <w:r w:rsidRPr="0045670E">
        <w:rPr>
          <w:sz w:val="22"/>
        </w:rPr>
        <w:t xml:space="preserve"> 15 de julio </w:t>
      </w:r>
      <w:r>
        <w:rPr>
          <w:sz w:val="22"/>
        </w:rPr>
        <w:t xml:space="preserve">de 2016 </w:t>
      </w:r>
      <w:r w:rsidRPr="0045670E">
        <w:rPr>
          <w:sz w:val="22"/>
        </w:rPr>
        <w:t>el por medio del cual se modifican algunas disposiciones conten</w:t>
      </w:r>
      <w:r>
        <w:rPr>
          <w:sz w:val="22"/>
        </w:rPr>
        <w:t xml:space="preserve">idas en el Decreto 1069 de 2015, </w:t>
      </w:r>
      <w:r w:rsidRPr="0045670E">
        <w:rPr>
          <w:sz w:val="22"/>
        </w:rPr>
        <w:t>se disp</w:t>
      </w:r>
      <w:r>
        <w:rPr>
          <w:sz w:val="22"/>
        </w:rPr>
        <w:t>uso que la población carcelaria</w:t>
      </w:r>
      <w:r w:rsidRPr="0045670E">
        <w:rPr>
          <w:sz w:val="22"/>
        </w:rPr>
        <w:t xml:space="preserve"> podrá conservar su afiliación al régimen contributivo o regímenes exceptuados o especiales. Esto es, que los privados de la libertad escogerán su vinculación a un plan voluntario de salud.</w:t>
      </w:r>
    </w:p>
    <w:p w:rsidR="008170ED" w:rsidRPr="0045670E" w:rsidRDefault="008170ED" w:rsidP="008170ED">
      <w:pPr>
        <w:jc w:val="both"/>
        <w:rPr>
          <w:sz w:val="22"/>
        </w:rPr>
      </w:pPr>
      <w:r w:rsidRPr="0045670E">
        <w:rPr>
          <w:sz w:val="22"/>
        </w:rPr>
        <w:t>Así mismo, previó esta situación para las p</w:t>
      </w:r>
      <w:r>
        <w:rPr>
          <w:sz w:val="22"/>
        </w:rPr>
        <w:t>ersonas en prisión domiciliaria</w:t>
      </w:r>
      <w:r w:rsidRPr="0045670E">
        <w:rPr>
          <w:sz w:val="22"/>
        </w:rPr>
        <w:t xml:space="preserve"> y amplió el término de transitoriedad en la implementación del esquema para la prestación de servicios de salud de las personas privadas de la libertad al 30 de noviembre de 2016, el cual había sido previsto inicialmente a julio de 2016.</w:t>
      </w:r>
    </w:p>
    <w:p w:rsidR="008170ED" w:rsidRPr="00BD7B0A" w:rsidRDefault="008170ED" w:rsidP="008170ED">
      <w:pPr>
        <w:pStyle w:val="ListParagraph"/>
        <w:numPr>
          <w:ilvl w:val="0"/>
          <w:numId w:val="34"/>
        </w:numPr>
        <w:ind w:left="426" w:hanging="426"/>
        <w:jc w:val="both"/>
        <w:rPr>
          <w:b/>
          <w:bCs/>
          <w:iCs/>
          <w:sz w:val="22"/>
          <w:lang w:val="es-ES"/>
        </w:rPr>
      </w:pPr>
      <w:r w:rsidRPr="00BD7B0A">
        <w:rPr>
          <w:b/>
          <w:bCs/>
          <w:iCs/>
          <w:sz w:val="22"/>
          <w:lang w:val="es-ES"/>
        </w:rPr>
        <w:t>Planteamiento de la problemática actual de la prestación del servicio de salud.</w:t>
      </w:r>
    </w:p>
    <w:p w:rsidR="008170ED" w:rsidRPr="0045670E" w:rsidRDefault="008170ED" w:rsidP="008170ED">
      <w:pPr>
        <w:jc w:val="both"/>
        <w:rPr>
          <w:sz w:val="22"/>
        </w:rPr>
      </w:pPr>
      <w:r w:rsidRPr="0045670E">
        <w:rPr>
          <w:sz w:val="22"/>
        </w:rPr>
        <w:t xml:space="preserve">En las distintas visitas de inspección que ha adelantado la Defensoría del Pueblo, en particular la Defensoría Delegada para la Política Criminal y Penitenciaria, se ha constatado las precarias condiciones en la prestación de los servicios de salud a la </w:t>
      </w:r>
      <w:r>
        <w:rPr>
          <w:sz w:val="22"/>
        </w:rPr>
        <w:t>PPL</w:t>
      </w:r>
      <w:r w:rsidRPr="0045670E">
        <w:rPr>
          <w:sz w:val="22"/>
        </w:rPr>
        <w:t xml:space="preserve">, lo que atenta de manera grave contra los derechos fundamentales de la población carcelaria. </w:t>
      </w:r>
    </w:p>
    <w:p w:rsidR="008170ED" w:rsidRDefault="008170ED" w:rsidP="008170ED">
      <w:pPr>
        <w:jc w:val="both"/>
        <w:rPr>
          <w:sz w:val="22"/>
        </w:rPr>
      </w:pPr>
      <w:r w:rsidRPr="0045670E">
        <w:rPr>
          <w:sz w:val="22"/>
        </w:rPr>
        <w:t>Dichas condiciones se traducen en la falta de medicamentos e insumos médicos y odontológicos para la atención básica, insuficiencia de personal médico, ausencia de contratación con la red externa de operadores en salud, insuficiencia de medicamentos para la atención de pacientes con enfermedades de alto costo, crónicos y falta de coordinación entre las entidades que integran el sistema penitenciario, deficiencias que desarrollaremos más adelante.</w:t>
      </w:r>
      <w:r w:rsidRPr="006E3480">
        <w:rPr>
          <w:sz w:val="22"/>
        </w:rPr>
        <w:t xml:space="preserve"> </w:t>
      </w:r>
    </w:p>
    <w:p w:rsidR="008170ED" w:rsidRPr="0045670E" w:rsidRDefault="008170ED" w:rsidP="008170ED">
      <w:pPr>
        <w:jc w:val="both"/>
        <w:rPr>
          <w:sz w:val="22"/>
        </w:rPr>
      </w:pPr>
      <w:r w:rsidRPr="0045670E">
        <w:rPr>
          <w:sz w:val="22"/>
        </w:rPr>
        <w:lastRenderedPageBreak/>
        <w:t>Frente a las graves deficiencias en la prestación de los servicios de salud que sobrevinieron con la entrada en funcionamiento del Fondo de Atención en Salud a la PPL, en fecha 10 de mayo de 2016 el Director General del Instituto Nacional Penitenciario y Carcelario INPEC profirió la Resolución N° 002390, por medio de la cual se declaró el Estado de Emergencia  Penitenciaria y Carcelaria en los Establecimientos de Reclusión del Orden Nacional del INPEC, con el fin de adoptar medidas tendientes a mitigar la crisis evidenciada a nivel nacional en la prestación de los servicios de salud a la población privada de la libertad.</w:t>
      </w:r>
    </w:p>
    <w:p w:rsidR="008170ED" w:rsidRPr="0045670E" w:rsidRDefault="008170ED" w:rsidP="008170ED">
      <w:pPr>
        <w:jc w:val="both"/>
        <w:rPr>
          <w:sz w:val="22"/>
        </w:rPr>
      </w:pPr>
      <w:r>
        <w:rPr>
          <w:sz w:val="22"/>
        </w:rPr>
        <w:t>Sin embargo</w:t>
      </w:r>
      <w:r w:rsidRPr="0045670E">
        <w:rPr>
          <w:sz w:val="22"/>
        </w:rPr>
        <w:t>, la Defensoría</w:t>
      </w:r>
      <w:r>
        <w:rPr>
          <w:sz w:val="22"/>
        </w:rPr>
        <w:t xml:space="preserve"> del Pueblo</w:t>
      </w:r>
      <w:r w:rsidRPr="0045670E">
        <w:rPr>
          <w:sz w:val="22"/>
        </w:rPr>
        <w:t xml:space="preserve"> ha constatado que </w:t>
      </w:r>
      <w:r w:rsidRPr="0045670E">
        <w:rPr>
          <w:b/>
          <w:sz w:val="22"/>
        </w:rPr>
        <w:t>la emergencia carcelaria no supuso la regularización del suministro de medicamentos ni de insumos médicos u odontológicos.</w:t>
      </w:r>
      <w:r w:rsidRPr="0045670E">
        <w:rPr>
          <w:sz w:val="22"/>
        </w:rPr>
        <w:t xml:space="preserve"> Al respecto los informes del Centro Estratégic</w:t>
      </w:r>
      <w:r>
        <w:rPr>
          <w:sz w:val="22"/>
        </w:rPr>
        <w:t xml:space="preserve">o de Información Penitenciaria –CEDIP- dan cuenta </w:t>
      </w:r>
      <w:r w:rsidRPr="0045670E">
        <w:rPr>
          <w:sz w:val="22"/>
        </w:rPr>
        <w:t xml:space="preserve">que para el 15 de junio de 2016 </w:t>
      </w:r>
      <w:r>
        <w:rPr>
          <w:sz w:val="22"/>
        </w:rPr>
        <w:t>-</w:t>
      </w:r>
      <w:r w:rsidRPr="0045670E">
        <w:rPr>
          <w:sz w:val="22"/>
        </w:rPr>
        <w:t xml:space="preserve"> un mes después de decretada la emergencia carcelaria</w:t>
      </w:r>
      <w:r>
        <w:rPr>
          <w:sz w:val="22"/>
        </w:rPr>
        <w:t>-</w:t>
      </w:r>
      <w:r w:rsidRPr="0045670E">
        <w:rPr>
          <w:sz w:val="22"/>
        </w:rPr>
        <w:t xml:space="preserve"> 75 establecimientos carecían de medicamentos, en tanto que al 22 de agosto esa cifra habían aumentado a 90. </w:t>
      </w:r>
      <w:r>
        <w:rPr>
          <w:sz w:val="22"/>
        </w:rPr>
        <w:t>Este mismo</w:t>
      </w:r>
      <w:r w:rsidRPr="0045670E">
        <w:rPr>
          <w:sz w:val="22"/>
        </w:rPr>
        <w:t xml:space="preserve"> análisis puede predicarse del suministro de insumos médicos y odontológicos, pues al 22 de agosto 104 establecimientos carecían de estos elementos.      </w:t>
      </w:r>
    </w:p>
    <w:p w:rsidR="008170ED" w:rsidRPr="0045670E" w:rsidRDefault="008170ED" w:rsidP="008170ED">
      <w:pPr>
        <w:jc w:val="both"/>
        <w:rPr>
          <w:sz w:val="22"/>
        </w:rPr>
      </w:pPr>
      <w:r>
        <w:rPr>
          <w:sz w:val="22"/>
        </w:rPr>
        <w:t>En este mismo sentido</w:t>
      </w:r>
      <w:r w:rsidRPr="0045670E">
        <w:rPr>
          <w:sz w:val="22"/>
        </w:rPr>
        <w:t xml:space="preserve">, la emergencia carcelaria tampoco supuso un aumento considerable del personal médico asistencial que presta sus servicios al interior de los centros de reclusión; prueba de ello es que </w:t>
      </w:r>
      <w:r>
        <w:rPr>
          <w:sz w:val="22"/>
        </w:rPr>
        <w:t>para</w:t>
      </w:r>
      <w:r w:rsidRPr="0045670E">
        <w:rPr>
          <w:sz w:val="22"/>
        </w:rPr>
        <w:t xml:space="preserve"> abril de 2016, </w:t>
      </w:r>
      <w:r>
        <w:rPr>
          <w:sz w:val="22"/>
        </w:rPr>
        <w:t>-</w:t>
      </w:r>
      <w:r w:rsidRPr="0045670E">
        <w:rPr>
          <w:sz w:val="22"/>
        </w:rPr>
        <w:t>antes del decreto de la emergencia</w:t>
      </w:r>
      <w:r>
        <w:rPr>
          <w:sz w:val="22"/>
        </w:rPr>
        <w:t>-</w:t>
      </w:r>
      <w:r w:rsidRPr="0045670E">
        <w:rPr>
          <w:sz w:val="22"/>
        </w:rPr>
        <w:t xml:space="preserve"> se reportaban 166 médicos contratados, en tanto que para el 19 de agosto esa cifra apenas llegaba a 177, es decir, un aumento de apenas 10 profesionales de medicina en más de 3 meses de emergencia carcelaria.</w:t>
      </w:r>
    </w:p>
    <w:p w:rsidR="008170ED" w:rsidRPr="0045670E" w:rsidRDefault="008170ED" w:rsidP="008170ED">
      <w:pPr>
        <w:jc w:val="both"/>
        <w:rPr>
          <w:sz w:val="22"/>
        </w:rPr>
      </w:pPr>
      <w:r w:rsidRPr="0045670E">
        <w:rPr>
          <w:sz w:val="22"/>
        </w:rPr>
        <w:t xml:space="preserve">Por otra parte, la Defensoría del Pueblo resalta que las medidas adoptadas en la emergencia carcelaria, como las brigadas en salud, no garantizan la continuidad de los tratamientos médicos. </w:t>
      </w:r>
      <w:bookmarkStart w:id="4" w:name="_Toc434301103"/>
      <w:bookmarkStart w:id="5" w:name="_Toc434307373"/>
      <w:bookmarkEnd w:id="1"/>
      <w:bookmarkEnd w:id="2"/>
      <w:bookmarkEnd w:id="3"/>
    </w:p>
    <w:p w:rsidR="008170ED" w:rsidRPr="00F7232C" w:rsidRDefault="008170ED" w:rsidP="008170ED">
      <w:pPr>
        <w:pStyle w:val="ListParagraph"/>
        <w:numPr>
          <w:ilvl w:val="0"/>
          <w:numId w:val="34"/>
        </w:numPr>
        <w:ind w:left="426" w:hanging="426"/>
        <w:jc w:val="both"/>
        <w:rPr>
          <w:b/>
          <w:bCs/>
          <w:iCs/>
          <w:sz w:val="22"/>
          <w:lang w:val="es-ES"/>
        </w:rPr>
      </w:pPr>
      <w:r w:rsidRPr="00F7232C">
        <w:rPr>
          <w:b/>
          <w:bCs/>
          <w:iCs/>
          <w:sz w:val="22"/>
          <w:lang w:val="es-ES"/>
        </w:rPr>
        <w:t xml:space="preserve">Cifras Generales de La Prestación del Servicio De Salud. </w:t>
      </w:r>
    </w:p>
    <w:p w:rsidR="008170ED" w:rsidRDefault="008170ED" w:rsidP="008170ED">
      <w:pPr>
        <w:jc w:val="both"/>
        <w:rPr>
          <w:sz w:val="22"/>
        </w:rPr>
      </w:pPr>
      <w:r w:rsidRPr="0045670E">
        <w:rPr>
          <w:sz w:val="22"/>
        </w:rPr>
        <w:t xml:space="preserve">La Directora de Atención y Tratamiento y la Subdirección de Atención en Salud del </w:t>
      </w:r>
      <w:proofErr w:type="spellStart"/>
      <w:r w:rsidRPr="0045670E">
        <w:rPr>
          <w:sz w:val="22"/>
        </w:rPr>
        <w:t>Inpec</w:t>
      </w:r>
      <w:proofErr w:type="spellEnd"/>
      <w:r w:rsidRPr="0045670E">
        <w:rPr>
          <w:sz w:val="22"/>
          <w:vertAlign w:val="superscript"/>
        </w:rPr>
        <w:footnoteReference w:id="1"/>
      </w:r>
      <w:r w:rsidRPr="0045670E">
        <w:rPr>
          <w:sz w:val="22"/>
          <w:vertAlign w:val="superscript"/>
        </w:rPr>
        <w:t>,</w:t>
      </w:r>
      <w:r w:rsidRPr="0045670E">
        <w:rPr>
          <w:sz w:val="22"/>
        </w:rPr>
        <w:t xml:space="preserve"> suministraron a la Defensoría del Pueblo cifras generales que daban cuenta del estado de la prestación de los servicios de salud a nivel general en los establecimientos carcelarios del país, antes de la declaratoria de la emergencia carcelaria y después de ésta, las cuales a continuación se describen.</w:t>
      </w:r>
    </w:p>
    <w:p w:rsidR="008170ED" w:rsidRPr="00F7232C" w:rsidRDefault="008170ED" w:rsidP="008170ED">
      <w:pPr>
        <w:pStyle w:val="ListParagraph"/>
        <w:numPr>
          <w:ilvl w:val="0"/>
          <w:numId w:val="34"/>
        </w:numPr>
        <w:ind w:left="426" w:hanging="426"/>
        <w:jc w:val="both"/>
        <w:rPr>
          <w:b/>
          <w:bCs/>
          <w:iCs/>
          <w:sz w:val="22"/>
          <w:lang w:val="es-ES"/>
        </w:rPr>
      </w:pPr>
      <w:r w:rsidRPr="00F7232C">
        <w:rPr>
          <w:b/>
          <w:bCs/>
          <w:iCs/>
          <w:sz w:val="22"/>
          <w:lang w:val="es-ES"/>
        </w:rPr>
        <w:t>Personal Médico Contratado para la Atención a la PPL.</w:t>
      </w:r>
    </w:p>
    <w:p w:rsidR="008170ED" w:rsidRPr="0045670E" w:rsidRDefault="008170ED" w:rsidP="008170ED">
      <w:pPr>
        <w:jc w:val="both"/>
        <w:rPr>
          <w:i/>
          <w:sz w:val="22"/>
        </w:rPr>
      </w:pPr>
      <w:r w:rsidRPr="0045670E">
        <w:rPr>
          <w:b/>
          <w:i/>
          <w:sz w:val="22"/>
        </w:rPr>
        <w:t>C</w:t>
      </w:r>
      <w:r w:rsidRPr="0045670E">
        <w:rPr>
          <w:i/>
          <w:sz w:val="22"/>
        </w:rPr>
        <w:t xml:space="preserve">: Personal Contratado - </w:t>
      </w:r>
      <w:r w:rsidRPr="0045670E">
        <w:rPr>
          <w:b/>
          <w:i/>
          <w:sz w:val="22"/>
        </w:rPr>
        <w:t>F</w:t>
      </w:r>
      <w:r w:rsidRPr="0045670E">
        <w:rPr>
          <w:i/>
          <w:sz w:val="22"/>
        </w:rPr>
        <w:t>: Personal Faltante</w:t>
      </w:r>
    </w:p>
    <w:tbl>
      <w:tblPr>
        <w:tblW w:w="5000" w:type="pct"/>
        <w:tblLayout w:type="fixed"/>
        <w:tblCellMar>
          <w:left w:w="70" w:type="dxa"/>
          <w:right w:w="70" w:type="dxa"/>
        </w:tblCellMar>
        <w:tblLook w:val="04A0" w:firstRow="1" w:lastRow="0" w:firstColumn="1" w:lastColumn="0" w:noHBand="0" w:noVBand="1"/>
      </w:tblPr>
      <w:tblGrid>
        <w:gridCol w:w="1071"/>
        <w:gridCol w:w="480"/>
        <w:gridCol w:w="482"/>
        <w:gridCol w:w="482"/>
        <w:gridCol w:w="369"/>
        <w:gridCol w:w="673"/>
        <w:gridCol w:w="517"/>
        <w:gridCol w:w="631"/>
        <w:gridCol w:w="483"/>
        <w:gridCol w:w="706"/>
        <w:gridCol w:w="541"/>
        <w:gridCol w:w="647"/>
        <w:gridCol w:w="647"/>
        <w:gridCol w:w="531"/>
        <w:gridCol w:w="527"/>
      </w:tblGrid>
      <w:tr w:rsidR="008170ED" w:rsidRPr="00267E20" w:rsidTr="001C0A2A">
        <w:trPr>
          <w:trHeight w:val="915"/>
        </w:trPr>
        <w:tc>
          <w:tcPr>
            <w:tcW w:w="5000" w:type="pct"/>
            <w:gridSpan w:val="15"/>
            <w:tcBorders>
              <w:top w:val="single" w:sz="8" w:space="0" w:color="auto"/>
              <w:left w:val="single" w:sz="8" w:space="0" w:color="auto"/>
              <w:bottom w:val="single" w:sz="8" w:space="0" w:color="auto"/>
              <w:right w:val="single" w:sz="8" w:space="0" w:color="000000"/>
            </w:tcBorders>
            <w:shd w:val="clear" w:color="auto" w:fill="auto"/>
            <w:hideMark/>
          </w:tcPr>
          <w:p w:rsidR="008170ED" w:rsidRPr="00267E20" w:rsidRDefault="008170ED" w:rsidP="001C0A2A">
            <w:pPr>
              <w:spacing w:after="0" w:line="240" w:lineRule="auto"/>
              <w:contextualSpacing/>
              <w:jc w:val="center"/>
              <w:rPr>
                <w:rFonts w:asciiTheme="minorHAnsi" w:hAnsiTheme="minorHAnsi" w:cstheme="minorHAnsi"/>
                <w:b/>
                <w:bCs/>
                <w:szCs w:val="20"/>
              </w:rPr>
            </w:pPr>
            <w:r w:rsidRPr="00267E20">
              <w:rPr>
                <w:rFonts w:asciiTheme="minorHAnsi" w:hAnsiTheme="minorHAnsi" w:cstheme="minorHAnsi"/>
                <w:b/>
                <w:bCs/>
                <w:szCs w:val="20"/>
              </w:rPr>
              <w:lastRenderedPageBreak/>
              <w:t>PERSONAL MÉDICO CONTRATADO ANTES DE LA DECLARACIÓN DE EMERGENCIA CARCELARIA</w:t>
            </w:r>
          </w:p>
        </w:tc>
      </w:tr>
      <w:tr w:rsidR="008170ED" w:rsidRPr="00267E20" w:rsidTr="001C0A2A">
        <w:trPr>
          <w:trHeight w:val="1095"/>
        </w:trPr>
        <w:tc>
          <w:tcPr>
            <w:tcW w:w="610" w:type="pct"/>
            <w:vMerge w:val="restart"/>
            <w:tcBorders>
              <w:top w:val="nil"/>
              <w:left w:val="single" w:sz="8" w:space="0" w:color="auto"/>
              <w:bottom w:val="single" w:sz="8" w:space="0" w:color="000000"/>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Regional</w:t>
            </w:r>
          </w:p>
        </w:tc>
        <w:tc>
          <w:tcPr>
            <w:tcW w:w="547" w:type="pct"/>
            <w:gridSpan w:val="2"/>
            <w:tcBorders>
              <w:top w:val="single" w:sz="8" w:space="0" w:color="auto"/>
              <w:left w:val="nil"/>
              <w:bottom w:val="single" w:sz="8" w:space="0" w:color="auto"/>
              <w:right w:val="single" w:sz="8" w:space="0" w:color="000000"/>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Sub Totales</w:t>
            </w:r>
          </w:p>
        </w:tc>
        <w:tc>
          <w:tcPr>
            <w:tcW w:w="483" w:type="pct"/>
            <w:gridSpan w:val="2"/>
            <w:tcBorders>
              <w:top w:val="single" w:sz="8" w:space="0" w:color="auto"/>
              <w:left w:val="nil"/>
              <w:bottom w:val="single" w:sz="8" w:space="0" w:color="auto"/>
              <w:right w:val="single" w:sz="8" w:space="0" w:color="000000"/>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Médico</w:t>
            </w:r>
          </w:p>
        </w:tc>
        <w:tc>
          <w:tcPr>
            <w:tcW w:w="676" w:type="pct"/>
            <w:gridSpan w:val="2"/>
            <w:tcBorders>
              <w:top w:val="single" w:sz="8" w:space="0" w:color="auto"/>
              <w:left w:val="nil"/>
              <w:bottom w:val="single" w:sz="8" w:space="0" w:color="auto"/>
              <w:right w:val="single" w:sz="8" w:space="0" w:color="000000"/>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Enfermera Profesional</w:t>
            </w:r>
          </w:p>
        </w:tc>
        <w:tc>
          <w:tcPr>
            <w:tcW w:w="634" w:type="pct"/>
            <w:gridSpan w:val="2"/>
            <w:tcBorders>
              <w:top w:val="single" w:sz="8" w:space="0" w:color="auto"/>
              <w:left w:val="nil"/>
              <w:bottom w:val="single" w:sz="8" w:space="0" w:color="auto"/>
              <w:right w:val="single" w:sz="8" w:space="0" w:color="000000"/>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Enfermera Auxiliar</w:t>
            </w:r>
          </w:p>
        </w:tc>
        <w:tc>
          <w:tcPr>
            <w:tcW w:w="710" w:type="pct"/>
            <w:gridSpan w:val="2"/>
            <w:tcBorders>
              <w:top w:val="single" w:sz="8" w:space="0" w:color="auto"/>
              <w:left w:val="nil"/>
              <w:bottom w:val="single" w:sz="8" w:space="0" w:color="auto"/>
              <w:right w:val="single" w:sz="8" w:space="0" w:color="000000"/>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Odontólogo</w:t>
            </w:r>
          </w:p>
        </w:tc>
        <w:tc>
          <w:tcPr>
            <w:tcW w:w="736" w:type="pct"/>
            <w:gridSpan w:val="2"/>
            <w:tcBorders>
              <w:top w:val="single" w:sz="8" w:space="0" w:color="auto"/>
              <w:left w:val="nil"/>
              <w:bottom w:val="single" w:sz="8" w:space="0" w:color="auto"/>
              <w:right w:val="single" w:sz="8" w:space="0" w:color="000000"/>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Auxiliar de Odontología</w:t>
            </w:r>
          </w:p>
        </w:tc>
        <w:tc>
          <w:tcPr>
            <w:tcW w:w="604" w:type="pct"/>
            <w:gridSpan w:val="2"/>
            <w:tcBorders>
              <w:top w:val="single" w:sz="8" w:space="0" w:color="auto"/>
              <w:left w:val="nil"/>
              <w:bottom w:val="single" w:sz="8" w:space="0" w:color="auto"/>
              <w:right w:val="single" w:sz="8" w:space="0" w:color="000000"/>
            </w:tcBorders>
            <w:shd w:val="clear" w:color="000000" w:fill="D9D9D9"/>
            <w:vAlign w:val="center"/>
            <w:hideMark/>
          </w:tcPr>
          <w:p w:rsidR="008170ED" w:rsidRPr="00267E20" w:rsidRDefault="008170ED" w:rsidP="001C0A2A">
            <w:pPr>
              <w:spacing w:after="0" w:line="240" w:lineRule="auto"/>
              <w:contextualSpacing/>
              <w:jc w:val="both"/>
              <w:rPr>
                <w:rFonts w:asciiTheme="minorHAnsi" w:hAnsiTheme="minorHAnsi" w:cstheme="minorHAnsi"/>
                <w:b/>
                <w:bCs/>
                <w:szCs w:val="20"/>
              </w:rPr>
            </w:pPr>
            <w:r w:rsidRPr="00267E20">
              <w:rPr>
                <w:rFonts w:asciiTheme="minorHAnsi" w:hAnsiTheme="minorHAnsi" w:cstheme="minorHAnsi"/>
                <w:b/>
                <w:bCs/>
                <w:szCs w:val="20"/>
              </w:rPr>
              <w:t>Higienista Oral</w:t>
            </w:r>
          </w:p>
        </w:tc>
      </w:tr>
      <w:tr w:rsidR="008170ED" w:rsidRPr="00267E20" w:rsidTr="001C0A2A">
        <w:trPr>
          <w:trHeight w:val="375"/>
        </w:trPr>
        <w:tc>
          <w:tcPr>
            <w:tcW w:w="610" w:type="pct"/>
            <w:vMerge/>
            <w:tcBorders>
              <w:top w:val="nil"/>
              <w:left w:val="single" w:sz="8" w:space="0" w:color="auto"/>
              <w:bottom w:val="single" w:sz="8" w:space="0" w:color="000000"/>
              <w:right w:val="single" w:sz="8" w:space="0" w:color="auto"/>
            </w:tcBorders>
            <w:vAlign w:val="center"/>
            <w:hideMark/>
          </w:tcPr>
          <w:p w:rsidR="008170ED" w:rsidRPr="00267E20" w:rsidRDefault="008170ED" w:rsidP="001C0A2A">
            <w:pPr>
              <w:spacing w:after="0" w:line="240" w:lineRule="auto"/>
              <w:jc w:val="both"/>
              <w:rPr>
                <w:rFonts w:asciiTheme="minorHAnsi" w:hAnsiTheme="minorHAnsi" w:cstheme="minorHAnsi"/>
                <w:b/>
                <w:bCs/>
                <w:szCs w:val="20"/>
              </w:rPr>
            </w:pPr>
          </w:p>
        </w:tc>
        <w:tc>
          <w:tcPr>
            <w:tcW w:w="273"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C</w:t>
            </w:r>
          </w:p>
        </w:tc>
        <w:tc>
          <w:tcPr>
            <w:tcW w:w="274"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F</w:t>
            </w:r>
          </w:p>
        </w:tc>
        <w:tc>
          <w:tcPr>
            <w:tcW w:w="274"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C</w:t>
            </w:r>
          </w:p>
        </w:tc>
        <w:tc>
          <w:tcPr>
            <w:tcW w:w="210"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F</w:t>
            </w:r>
          </w:p>
        </w:tc>
        <w:tc>
          <w:tcPr>
            <w:tcW w:w="383"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C</w:t>
            </w:r>
          </w:p>
        </w:tc>
        <w:tc>
          <w:tcPr>
            <w:tcW w:w="294"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F</w:t>
            </w:r>
          </w:p>
        </w:tc>
        <w:tc>
          <w:tcPr>
            <w:tcW w:w="359"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C</w:t>
            </w:r>
          </w:p>
        </w:tc>
        <w:tc>
          <w:tcPr>
            <w:tcW w:w="275"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F</w:t>
            </w:r>
          </w:p>
        </w:tc>
        <w:tc>
          <w:tcPr>
            <w:tcW w:w="402"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C</w:t>
            </w:r>
          </w:p>
        </w:tc>
        <w:tc>
          <w:tcPr>
            <w:tcW w:w="308"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F</w:t>
            </w:r>
          </w:p>
        </w:tc>
        <w:tc>
          <w:tcPr>
            <w:tcW w:w="368"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C</w:t>
            </w:r>
          </w:p>
        </w:tc>
        <w:tc>
          <w:tcPr>
            <w:tcW w:w="368"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F</w:t>
            </w:r>
          </w:p>
        </w:tc>
        <w:tc>
          <w:tcPr>
            <w:tcW w:w="302"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C</w:t>
            </w:r>
          </w:p>
        </w:tc>
        <w:tc>
          <w:tcPr>
            <w:tcW w:w="302"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F</w:t>
            </w:r>
          </w:p>
        </w:tc>
      </w:tr>
      <w:tr w:rsidR="008170ED" w:rsidRPr="00267E20" w:rsidTr="001C0A2A">
        <w:trPr>
          <w:trHeight w:val="495"/>
        </w:trPr>
        <w:tc>
          <w:tcPr>
            <w:tcW w:w="610" w:type="pct"/>
            <w:tcBorders>
              <w:top w:val="nil"/>
              <w:left w:val="single" w:sz="8" w:space="0" w:color="auto"/>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Regional Central</w:t>
            </w:r>
          </w:p>
        </w:tc>
        <w:tc>
          <w:tcPr>
            <w:tcW w:w="273"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292</w:t>
            </w:r>
          </w:p>
        </w:tc>
        <w:tc>
          <w:tcPr>
            <w:tcW w:w="274"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68</w:t>
            </w:r>
          </w:p>
        </w:tc>
        <w:tc>
          <w:tcPr>
            <w:tcW w:w="274"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55</w:t>
            </w:r>
          </w:p>
        </w:tc>
        <w:tc>
          <w:tcPr>
            <w:tcW w:w="210"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23</w:t>
            </w:r>
          </w:p>
        </w:tc>
        <w:tc>
          <w:tcPr>
            <w:tcW w:w="383"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35</w:t>
            </w:r>
          </w:p>
        </w:tc>
        <w:tc>
          <w:tcPr>
            <w:tcW w:w="294"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14</w:t>
            </w:r>
          </w:p>
        </w:tc>
        <w:tc>
          <w:tcPr>
            <w:tcW w:w="359"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112</w:t>
            </w:r>
          </w:p>
        </w:tc>
        <w:tc>
          <w:tcPr>
            <w:tcW w:w="275"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9</w:t>
            </w:r>
          </w:p>
        </w:tc>
        <w:tc>
          <w:tcPr>
            <w:tcW w:w="402"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51</w:t>
            </w:r>
          </w:p>
        </w:tc>
        <w:tc>
          <w:tcPr>
            <w:tcW w:w="308"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3</w:t>
            </w:r>
          </w:p>
        </w:tc>
        <w:tc>
          <w:tcPr>
            <w:tcW w:w="368"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25</w:t>
            </w:r>
          </w:p>
        </w:tc>
        <w:tc>
          <w:tcPr>
            <w:tcW w:w="368"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7</w:t>
            </w:r>
          </w:p>
        </w:tc>
        <w:tc>
          <w:tcPr>
            <w:tcW w:w="302"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14</w:t>
            </w:r>
          </w:p>
        </w:tc>
        <w:tc>
          <w:tcPr>
            <w:tcW w:w="302"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12</w:t>
            </w:r>
          </w:p>
        </w:tc>
      </w:tr>
      <w:tr w:rsidR="008170ED" w:rsidRPr="00267E20" w:rsidTr="001C0A2A">
        <w:trPr>
          <w:trHeight w:val="480"/>
        </w:trPr>
        <w:tc>
          <w:tcPr>
            <w:tcW w:w="610" w:type="pct"/>
            <w:tcBorders>
              <w:top w:val="nil"/>
              <w:left w:val="single" w:sz="8" w:space="0" w:color="auto"/>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Regional Occidente</w:t>
            </w:r>
          </w:p>
        </w:tc>
        <w:tc>
          <w:tcPr>
            <w:tcW w:w="273"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132</w:t>
            </w:r>
          </w:p>
        </w:tc>
        <w:tc>
          <w:tcPr>
            <w:tcW w:w="274"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67</w:t>
            </w:r>
          </w:p>
        </w:tc>
        <w:tc>
          <w:tcPr>
            <w:tcW w:w="274"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26</w:t>
            </w:r>
          </w:p>
        </w:tc>
        <w:tc>
          <w:tcPr>
            <w:tcW w:w="210"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18</w:t>
            </w:r>
          </w:p>
        </w:tc>
        <w:tc>
          <w:tcPr>
            <w:tcW w:w="383"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9</w:t>
            </w:r>
          </w:p>
        </w:tc>
        <w:tc>
          <w:tcPr>
            <w:tcW w:w="294"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15</w:t>
            </w:r>
          </w:p>
        </w:tc>
        <w:tc>
          <w:tcPr>
            <w:tcW w:w="359"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53</w:t>
            </w:r>
          </w:p>
        </w:tc>
        <w:tc>
          <w:tcPr>
            <w:tcW w:w="275"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17</w:t>
            </w:r>
          </w:p>
        </w:tc>
        <w:tc>
          <w:tcPr>
            <w:tcW w:w="402"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24</w:t>
            </w:r>
          </w:p>
        </w:tc>
        <w:tc>
          <w:tcPr>
            <w:tcW w:w="308"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3</w:t>
            </w:r>
          </w:p>
        </w:tc>
        <w:tc>
          <w:tcPr>
            <w:tcW w:w="368"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12</w:t>
            </w:r>
          </w:p>
        </w:tc>
        <w:tc>
          <w:tcPr>
            <w:tcW w:w="368"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7</w:t>
            </w:r>
          </w:p>
        </w:tc>
        <w:tc>
          <w:tcPr>
            <w:tcW w:w="302"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8</w:t>
            </w:r>
          </w:p>
        </w:tc>
        <w:tc>
          <w:tcPr>
            <w:tcW w:w="302"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7</w:t>
            </w:r>
          </w:p>
        </w:tc>
      </w:tr>
      <w:tr w:rsidR="008170ED" w:rsidRPr="00267E20" w:rsidTr="001C0A2A">
        <w:trPr>
          <w:trHeight w:val="495"/>
        </w:trPr>
        <w:tc>
          <w:tcPr>
            <w:tcW w:w="610" w:type="pct"/>
            <w:tcBorders>
              <w:top w:val="nil"/>
              <w:left w:val="single" w:sz="8" w:space="0" w:color="auto"/>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Regional Norte</w:t>
            </w:r>
          </w:p>
        </w:tc>
        <w:tc>
          <w:tcPr>
            <w:tcW w:w="273"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129</w:t>
            </w:r>
          </w:p>
        </w:tc>
        <w:tc>
          <w:tcPr>
            <w:tcW w:w="274"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25</w:t>
            </w:r>
          </w:p>
        </w:tc>
        <w:tc>
          <w:tcPr>
            <w:tcW w:w="274"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29</w:t>
            </w:r>
          </w:p>
        </w:tc>
        <w:tc>
          <w:tcPr>
            <w:tcW w:w="210"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6</w:t>
            </w:r>
          </w:p>
        </w:tc>
        <w:tc>
          <w:tcPr>
            <w:tcW w:w="383"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19</w:t>
            </w:r>
          </w:p>
        </w:tc>
        <w:tc>
          <w:tcPr>
            <w:tcW w:w="294"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4</w:t>
            </w:r>
          </w:p>
        </w:tc>
        <w:tc>
          <w:tcPr>
            <w:tcW w:w="359"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52</w:t>
            </w:r>
          </w:p>
        </w:tc>
        <w:tc>
          <w:tcPr>
            <w:tcW w:w="275"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3</w:t>
            </w:r>
          </w:p>
        </w:tc>
        <w:tc>
          <w:tcPr>
            <w:tcW w:w="402"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15</w:t>
            </w:r>
          </w:p>
        </w:tc>
        <w:tc>
          <w:tcPr>
            <w:tcW w:w="308"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3</w:t>
            </w:r>
          </w:p>
        </w:tc>
        <w:tc>
          <w:tcPr>
            <w:tcW w:w="368"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7</w:t>
            </w:r>
          </w:p>
        </w:tc>
        <w:tc>
          <w:tcPr>
            <w:tcW w:w="368"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6</w:t>
            </w:r>
          </w:p>
        </w:tc>
        <w:tc>
          <w:tcPr>
            <w:tcW w:w="302"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7</w:t>
            </w:r>
          </w:p>
        </w:tc>
        <w:tc>
          <w:tcPr>
            <w:tcW w:w="302"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3</w:t>
            </w:r>
          </w:p>
        </w:tc>
      </w:tr>
      <w:tr w:rsidR="008170ED" w:rsidRPr="00267E20" w:rsidTr="001C0A2A">
        <w:trPr>
          <w:trHeight w:val="495"/>
        </w:trPr>
        <w:tc>
          <w:tcPr>
            <w:tcW w:w="610" w:type="pct"/>
            <w:tcBorders>
              <w:top w:val="nil"/>
              <w:left w:val="single" w:sz="8" w:space="0" w:color="auto"/>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Regional Oriente</w:t>
            </w:r>
          </w:p>
        </w:tc>
        <w:tc>
          <w:tcPr>
            <w:tcW w:w="273"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81</w:t>
            </w:r>
          </w:p>
        </w:tc>
        <w:tc>
          <w:tcPr>
            <w:tcW w:w="274"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14</w:t>
            </w:r>
          </w:p>
        </w:tc>
        <w:tc>
          <w:tcPr>
            <w:tcW w:w="274"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16</w:t>
            </w:r>
          </w:p>
        </w:tc>
        <w:tc>
          <w:tcPr>
            <w:tcW w:w="210"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7</w:t>
            </w:r>
          </w:p>
        </w:tc>
        <w:tc>
          <w:tcPr>
            <w:tcW w:w="383"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12</w:t>
            </w:r>
          </w:p>
        </w:tc>
        <w:tc>
          <w:tcPr>
            <w:tcW w:w="294"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3</w:t>
            </w:r>
          </w:p>
        </w:tc>
        <w:tc>
          <w:tcPr>
            <w:tcW w:w="359"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27</w:t>
            </w:r>
          </w:p>
        </w:tc>
        <w:tc>
          <w:tcPr>
            <w:tcW w:w="275"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 0</w:t>
            </w:r>
          </w:p>
        </w:tc>
        <w:tc>
          <w:tcPr>
            <w:tcW w:w="402"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11</w:t>
            </w:r>
          </w:p>
        </w:tc>
        <w:tc>
          <w:tcPr>
            <w:tcW w:w="308"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3</w:t>
            </w:r>
          </w:p>
        </w:tc>
        <w:tc>
          <w:tcPr>
            <w:tcW w:w="368"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11</w:t>
            </w:r>
          </w:p>
        </w:tc>
        <w:tc>
          <w:tcPr>
            <w:tcW w:w="368"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0 </w:t>
            </w:r>
          </w:p>
        </w:tc>
        <w:tc>
          <w:tcPr>
            <w:tcW w:w="302"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4</w:t>
            </w:r>
          </w:p>
        </w:tc>
        <w:tc>
          <w:tcPr>
            <w:tcW w:w="302"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w:t>
            </w:r>
          </w:p>
        </w:tc>
      </w:tr>
      <w:tr w:rsidR="008170ED" w:rsidRPr="00267E20" w:rsidTr="001C0A2A">
        <w:trPr>
          <w:trHeight w:val="495"/>
        </w:trPr>
        <w:tc>
          <w:tcPr>
            <w:tcW w:w="610" w:type="pct"/>
            <w:tcBorders>
              <w:top w:val="nil"/>
              <w:left w:val="single" w:sz="8" w:space="0" w:color="auto"/>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Regional Noroeste</w:t>
            </w:r>
          </w:p>
        </w:tc>
        <w:tc>
          <w:tcPr>
            <w:tcW w:w="273"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100</w:t>
            </w:r>
          </w:p>
        </w:tc>
        <w:tc>
          <w:tcPr>
            <w:tcW w:w="274"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56</w:t>
            </w:r>
          </w:p>
        </w:tc>
        <w:tc>
          <w:tcPr>
            <w:tcW w:w="274"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20</w:t>
            </w:r>
          </w:p>
        </w:tc>
        <w:tc>
          <w:tcPr>
            <w:tcW w:w="210"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15</w:t>
            </w:r>
          </w:p>
        </w:tc>
        <w:tc>
          <w:tcPr>
            <w:tcW w:w="383"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10</w:t>
            </w:r>
          </w:p>
        </w:tc>
        <w:tc>
          <w:tcPr>
            <w:tcW w:w="294"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12</w:t>
            </w:r>
          </w:p>
        </w:tc>
        <w:tc>
          <w:tcPr>
            <w:tcW w:w="359"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46</w:t>
            </w:r>
          </w:p>
        </w:tc>
        <w:tc>
          <w:tcPr>
            <w:tcW w:w="275"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7</w:t>
            </w:r>
          </w:p>
        </w:tc>
        <w:tc>
          <w:tcPr>
            <w:tcW w:w="402"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12</w:t>
            </w:r>
          </w:p>
        </w:tc>
        <w:tc>
          <w:tcPr>
            <w:tcW w:w="308"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7</w:t>
            </w:r>
          </w:p>
        </w:tc>
        <w:tc>
          <w:tcPr>
            <w:tcW w:w="368"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5</w:t>
            </w:r>
          </w:p>
        </w:tc>
        <w:tc>
          <w:tcPr>
            <w:tcW w:w="368"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8</w:t>
            </w:r>
          </w:p>
        </w:tc>
        <w:tc>
          <w:tcPr>
            <w:tcW w:w="302"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7</w:t>
            </w:r>
          </w:p>
        </w:tc>
        <w:tc>
          <w:tcPr>
            <w:tcW w:w="302"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7</w:t>
            </w:r>
          </w:p>
        </w:tc>
      </w:tr>
      <w:tr w:rsidR="008170ED" w:rsidRPr="00267E20" w:rsidTr="001C0A2A">
        <w:trPr>
          <w:trHeight w:val="495"/>
        </w:trPr>
        <w:tc>
          <w:tcPr>
            <w:tcW w:w="610" w:type="pct"/>
            <w:tcBorders>
              <w:top w:val="nil"/>
              <w:left w:val="single" w:sz="8" w:space="0" w:color="auto"/>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Regional Viejo Caldas</w:t>
            </w:r>
          </w:p>
        </w:tc>
        <w:tc>
          <w:tcPr>
            <w:tcW w:w="273"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109</w:t>
            </w:r>
          </w:p>
        </w:tc>
        <w:tc>
          <w:tcPr>
            <w:tcW w:w="274"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42</w:t>
            </w:r>
          </w:p>
        </w:tc>
        <w:tc>
          <w:tcPr>
            <w:tcW w:w="274"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20</w:t>
            </w:r>
          </w:p>
        </w:tc>
        <w:tc>
          <w:tcPr>
            <w:tcW w:w="210"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11</w:t>
            </w:r>
          </w:p>
        </w:tc>
        <w:tc>
          <w:tcPr>
            <w:tcW w:w="383"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17</w:t>
            </w:r>
          </w:p>
        </w:tc>
        <w:tc>
          <w:tcPr>
            <w:tcW w:w="294"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10</w:t>
            </w:r>
          </w:p>
        </w:tc>
        <w:tc>
          <w:tcPr>
            <w:tcW w:w="359"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45</w:t>
            </w:r>
          </w:p>
        </w:tc>
        <w:tc>
          <w:tcPr>
            <w:tcW w:w="275"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2</w:t>
            </w:r>
          </w:p>
        </w:tc>
        <w:tc>
          <w:tcPr>
            <w:tcW w:w="402"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14</w:t>
            </w:r>
          </w:p>
        </w:tc>
        <w:tc>
          <w:tcPr>
            <w:tcW w:w="308"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3</w:t>
            </w:r>
          </w:p>
        </w:tc>
        <w:tc>
          <w:tcPr>
            <w:tcW w:w="368"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10</w:t>
            </w:r>
          </w:p>
        </w:tc>
        <w:tc>
          <w:tcPr>
            <w:tcW w:w="368"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6</w:t>
            </w:r>
          </w:p>
        </w:tc>
        <w:tc>
          <w:tcPr>
            <w:tcW w:w="302"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3</w:t>
            </w:r>
          </w:p>
        </w:tc>
        <w:tc>
          <w:tcPr>
            <w:tcW w:w="302" w:type="pct"/>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10</w:t>
            </w:r>
          </w:p>
        </w:tc>
      </w:tr>
      <w:tr w:rsidR="008170ED" w:rsidRPr="00267E20" w:rsidTr="001C0A2A">
        <w:trPr>
          <w:trHeight w:val="375"/>
        </w:trPr>
        <w:tc>
          <w:tcPr>
            <w:tcW w:w="610" w:type="pct"/>
            <w:tcBorders>
              <w:top w:val="nil"/>
              <w:left w:val="single" w:sz="8" w:space="0" w:color="auto"/>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Totales</w:t>
            </w:r>
          </w:p>
        </w:tc>
        <w:tc>
          <w:tcPr>
            <w:tcW w:w="273"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843</w:t>
            </w:r>
          </w:p>
        </w:tc>
        <w:tc>
          <w:tcPr>
            <w:tcW w:w="274"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272</w:t>
            </w:r>
          </w:p>
        </w:tc>
        <w:tc>
          <w:tcPr>
            <w:tcW w:w="274"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166</w:t>
            </w:r>
          </w:p>
        </w:tc>
        <w:tc>
          <w:tcPr>
            <w:tcW w:w="210"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80</w:t>
            </w:r>
          </w:p>
        </w:tc>
        <w:tc>
          <w:tcPr>
            <w:tcW w:w="383"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102</w:t>
            </w:r>
          </w:p>
        </w:tc>
        <w:tc>
          <w:tcPr>
            <w:tcW w:w="294"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58</w:t>
            </w:r>
          </w:p>
        </w:tc>
        <w:tc>
          <w:tcPr>
            <w:tcW w:w="359"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335</w:t>
            </w:r>
          </w:p>
        </w:tc>
        <w:tc>
          <w:tcPr>
            <w:tcW w:w="275"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38</w:t>
            </w:r>
          </w:p>
        </w:tc>
        <w:tc>
          <w:tcPr>
            <w:tcW w:w="402"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127</w:t>
            </w:r>
          </w:p>
        </w:tc>
        <w:tc>
          <w:tcPr>
            <w:tcW w:w="308"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22</w:t>
            </w:r>
          </w:p>
        </w:tc>
        <w:tc>
          <w:tcPr>
            <w:tcW w:w="368"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70</w:t>
            </w:r>
          </w:p>
        </w:tc>
        <w:tc>
          <w:tcPr>
            <w:tcW w:w="368"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34</w:t>
            </w:r>
          </w:p>
        </w:tc>
        <w:tc>
          <w:tcPr>
            <w:tcW w:w="302"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43</w:t>
            </w:r>
          </w:p>
        </w:tc>
        <w:tc>
          <w:tcPr>
            <w:tcW w:w="302" w:type="pct"/>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40</w:t>
            </w:r>
          </w:p>
        </w:tc>
      </w:tr>
    </w:tbl>
    <w:p w:rsidR="008170ED" w:rsidRDefault="008170ED" w:rsidP="008170ED">
      <w:pPr>
        <w:spacing w:line="360" w:lineRule="auto"/>
        <w:jc w:val="both"/>
        <w:rPr>
          <w:sz w:val="22"/>
        </w:rPr>
      </w:pPr>
      <w:r w:rsidRPr="000007CA">
        <w:rPr>
          <w:sz w:val="22"/>
        </w:rPr>
        <w:t>Fuente: Subdirección de Atención en Salud del INPEC. 03/05/2016.</w:t>
      </w:r>
    </w:p>
    <w:p w:rsidR="008170ED" w:rsidRPr="000007CA" w:rsidRDefault="008170ED" w:rsidP="008170ED">
      <w:pPr>
        <w:spacing w:line="360" w:lineRule="auto"/>
        <w:jc w:val="both"/>
        <w:rPr>
          <w:sz w:val="22"/>
        </w:rPr>
      </w:pPr>
      <w:r w:rsidRPr="000007CA">
        <w:rPr>
          <w:b/>
          <w:sz w:val="22"/>
        </w:rPr>
        <w:t>C</w:t>
      </w:r>
      <w:r w:rsidRPr="000007CA">
        <w:rPr>
          <w:sz w:val="22"/>
        </w:rPr>
        <w:t xml:space="preserve">: Personal Contratado - </w:t>
      </w:r>
      <w:r w:rsidRPr="000007CA">
        <w:rPr>
          <w:b/>
          <w:sz w:val="22"/>
        </w:rPr>
        <w:t>F</w:t>
      </w:r>
      <w:r w:rsidRPr="000007CA">
        <w:rPr>
          <w:sz w:val="22"/>
        </w:rPr>
        <w:t>: Personal Faltante</w:t>
      </w:r>
    </w:p>
    <w:tbl>
      <w:tblPr>
        <w:tblW w:w="8929" w:type="dxa"/>
        <w:tblLayout w:type="fixed"/>
        <w:tblCellMar>
          <w:left w:w="70" w:type="dxa"/>
          <w:right w:w="70" w:type="dxa"/>
        </w:tblCellMar>
        <w:tblLook w:val="04A0" w:firstRow="1" w:lastRow="0" w:firstColumn="1" w:lastColumn="0" w:noHBand="0" w:noVBand="1"/>
      </w:tblPr>
      <w:tblGrid>
        <w:gridCol w:w="1102"/>
        <w:gridCol w:w="669"/>
        <w:gridCol w:w="567"/>
        <w:gridCol w:w="567"/>
        <w:gridCol w:w="426"/>
        <w:gridCol w:w="567"/>
        <w:gridCol w:w="425"/>
        <w:gridCol w:w="567"/>
        <w:gridCol w:w="439"/>
        <w:gridCol w:w="678"/>
        <w:gridCol w:w="552"/>
        <w:gridCol w:w="643"/>
        <w:gridCol w:w="643"/>
        <w:gridCol w:w="542"/>
        <w:gridCol w:w="542"/>
      </w:tblGrid>
      <w:tr w:rsidR="008170ED" w:rsidRPr="00267E20" w:rsidTr="001C0A2A">
        <w:trPr>
          <w:trHeight w:val="795"/>
        </w:trPr>
        <w:tc>
          <w:tcPr>
            <w:tcW w:w="8929" w:type="dxa"/>
            <w:gridSpan w:val="15"/>
            <w:tcBorders>
              <w:top w:val="single" w:sz="8" w:space="0" w:color="auto"/>
              <w:left w:val="single" w:sz="8" w:space="0" w:color="auto"/>
              <w:bottom w:val="single" w:sz="8" w:space="0" w:color="auto"/>
              <w:right w:val="single" w:sz="8" w:space="0" w:color="000000"/>
            </w:tcBorders>
            <w:shd w:val="clear" w:color="auto" w:fill="auto"/>
            <w:vAlign w:val="bottom"/>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 xml:space="preserve">PERSONAL MÉDICO CONTRATADO DESPUES DE LA DECLARACIÓN DE EMERGENCIA CARCELARIA. </w:t>
            </w:r>
          </w:p>
        </w:tc>
      </w:tr>
      <w:tr w:rsidR="008170ED" w:rsidRPr="00267E20" w:rsidTr="001C0A2A">
        <w:trPr>
          <w:trHeight w:val="630"/>
        </w:trPr>
        <w:tc>
          <w:tcPr>
            <w:tcW w:w="1102" w:type="dxa"/>
            <w:vMerge w:val="restart"/>
            <w:tcBorders>
              <w:top w:val="nil"/>
              <w:left w:val="single" w:sz="8" w:space="0" w:color="auto"/>
              <w:bottom w:val="single" w:sz="8" w:space="0" w:color="000000"/>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Regional</w:t>
            </w:r>
          </w:p>
        </w:tc>
        <w:tc>
          <w:tcPr>
            <w:tcW w:w="1236" w:type="dxa"/>
            <w:gridSpan w:val="2"/>
            <w:tcBorders>
              <w:top w:val="single" w:sz="8" w:space="0" w:color="auto"/>
              <w:left w:val="nil"/>
              <w:bottom w:val="single" w:sz="8" w:space="0" w:color="auto"/>
              <w:right w:val="single" w:sz="8" w:space="0" w:color="000000"/>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Sub Totales</w:t>
            </w:r>
          </w:p>
        </w:tc>
        <w:tc>
          <w:tcPr>
            <w:tcW w:w="993" w:type="dxa"/>
            <w:gridSpan w:val="2"/>
            <w:tcBorders>
              <w:top w:val="single" w:sz="8" w:space="0" w:color="auto"/>
              <w:left w:val="nil"/>
              <w:bottom w:val="single" w:sz="8" w:space="0" w:color="auto"/>
              <w:right w:val="single" w:sz="8" w:space="0" w:color="000000"/>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Médico</w:t>
            </w:r>
          </w:p>
        </w:tc>
        <w:tc>
          <w:tcPr>
            <w:tcW w:w="992" w:type="dxa"/>
            <w:gridSpan w:val="2"/>
            <w:tcBorders>
              <w:top w:val="single" w:sz="8" w:space="0" w:color="auto"/>
              <w:left w:val="nil"/>
              <w:bottom w:val="single" w:sz="8" w:space="0" w:color="auto"/>
              <w:right w:val="single" w:sz="8" w:space="0" w:color="000000"/>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Enfermera Profesional</w:t>
            </w:r>
          </w:p>
        </w:tc>
        <w:tc>
          <w:tcPr>
            <w:tcW w:w="1006" w:type="dxa"/>
            <w:gridSpan w:val="2"/>
            <w:tcBorders>
              <w:top w:val="single" w:sz="8" w:space="0" w:color="auto"/>
              <w:left w:val="nil"/>
              <w:bottom w:val="single" w:sz="8" w:space="0" w:color="auto"/>
              <w:right w:val="single" w:sz="8" w:space="0" w:color="000000"/>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Enfermera Auxiliar</w:t>
            </w:r>
          </w:p>
        </w:tc>
        <w:tc>
          <w:tcPr>
            <w:tcW w:w="1230" w:type="dxa"/>
            <w:gridSpan w:val="2"/>
            <w:tcBorders>
              <w:top w:val="single" w:sz="8" w:space="0" w:color="auto"/>
              <w:left w:val="nil"/>
              <w:bottom w:val="single" w:sz="8" w:space="0" w:color="auto"/>
              <w:right w:val="single" w:sz="8" w:space="0" w:color="000000"/>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Odontólogo</w:t>
            </w:r>
          </w:p>
        </w:tc>
        <w:tc>
          <w:tcPr>
            <w:tcW w:w="1286" w:type="dxa"/>
            <w:gridSpan w:val="2"/>
            <w:tcBorders>
              <w:top w:val="single" w:sz="8" w:space="0" w:color="auto"/>
              <w:left w:val="nil"/>
              <w:bottom w:val="single" w:sz="8" w:space="0" w:color="auto"/>
              <w:right w:val="single" w:sz="8" w:space="0" w:color="000000"/>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Auxiliar de Odontología</w:t>
            </w:r>
          </w:p>
        </w:tc>
        <w:tc>
          <w:tcPr>
            <w:tcW w:w="1084" w:type="dxa"/>
            <w:gridSpan w:val="2"/>
            <w:tcBorders>
              <w:top w:val="single" w:sz="8" w:space="0" w:color="auto"/>
              <w:left w:val="nil"/>
              <w:bottom w:val="single" w:sz="8" w:space="0" w:color="auto"/>
              <w:right w:val="single" w:sz="8" w:space="0" w:color="000000"/>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Higienista Oral</w:t>
            </w:r>
          </w:p>
        </w:tc>
      </w:tr>
      <w:tr w:rsidR="008170ED" w:rsidRPr="00267E20" w:rsidTr="001C0A2A">
        <w:trPr>
          <w:trHeight w:val="375"/>
        </w:trPr>
        <w:tc>
          <w:tcPr>
            <w:tcW w:w="1102" w:type="dxa"/>
            <w:vMerge/>
            <w:tcBorders>
              <w:top w:val="nil"/>
              <w:left w:val="single" w:sz="8" w:space="0" w:color="auto"/>
              <w:bottom w:val="single" w:sz="8" w:space="0" w:color="000000"/>
              <w:right w:val="single" w:sz="8" w:space="0" w:color="auto"/>
            </w:tcBorders>
            <w:vAlign w:val="center"/>
            <w:hideMark/>
          </w:tcPr>
          <w:p w:rsidR="008170ED" w:rsidRPr="00267E20" w:rsidRDefault="008170ED" w:rsidP="001C0A2A">
            <w:pPr>
              <w:spacing w:after="0" w:line="240" w:lineRule="auto"/>
              <w:jc w:val="both"/>
              <w:rPr>
                <w:rFonts w:asciiTheme="minorHAnsi" w:hAnsiTheme="minorHAnsi" w:cstheme="minorHAnsi"/>
                <w:b/>
                <w:bCs/>
                <w:szCs w:val="20"/>
              </w:rPr>
            </w:pPr>
          </w:p>
        </w:tc>
        <w:tc>
          <w:tcPr>
            <w:tcW w:w="669"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C</w:t>
            </w:r>
          </w:p>
        </w:tc>
        <w:tc>
          <w:tcPr>
            <w:tcW w:w="567"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F</w:t>
            </w:r>
          </w:p>
        </w:tc>
        <w:tc>
          <w:tcPr>
            <w:tcW w:w="567"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C</w:t>
            </w:r>
          </w:p>
        </w:tc>
        <w:tc>
          <w:tcPr>
            <w:tcW w:w="426"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F</w:t>
            </w:r>
          </w:p>
        </w:tc>
        <w:tc>
          <w:tcPr>
            <w:tcW w:w="567"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C</w:t>
            </w:r>
          </w:p>
        </w:tc>
        <w:tc>
          <w:tcPr>
            <w:tcW w:w="425"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F</w:t>
            </w:r>
          </w:p>
        </w:tc>
        <w:tc>
          <w:tcPr>
            <w:tcW w:w="567"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C</w:t>
            </w:r>
          </w:p>
        </w:tc>
        <w:tc>
          <w:tcPr>
            <w:tcW w:w="439"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F</w:t>
            </w:r>
          </w:p>
        </w:tc>
        <w:tc>
          <w:tcPr>
            <w:tcW w:w="678"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C</w:t>
            </w:r>
          </w:p>
        </w:tc>
        <w:tc>
          <w:tcPr>
            <w:tcW w:w="552"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F</w:t>
            </w:r>
          </w:p>
        </w:tc>
        <w:tc>
          <w:tcPr>
            <w:tcW w:w="643"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C</w:t>
            </w:r>
          </w:p>
        </w:tc>
        <w:tc>
          <w:tcPr>
            <w:tcW w:w="643"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F</w:t>
            </w:r>
          </w:p>
        </w:tc>
        <w:tc>
          <w:tcPr>
            <w:tcW w:w="542"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C</w:t>
            </w:r>
          </w:p>
        </w:tc>
        <w:tc>
          <w:tcPr>
            <w:tcW w:w="542"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F</w:t>
            </w:r>
          </w:p>
        </w:tc>
      </w:tr>
      <w:tr w:rsidR="008170ED" w:rsidRPr="00267E20" w:rsidTr="001C0A2A">
        <w:trPr>
          <w:trHeight w:val="510"/>
        </w:trPr>
        <w:tc>
          <w:tcPr>
            <w:tcW w:w="1102" w:type="dxa"/>
            <w:tcBorders>
              <w:top w:val="nil"/>
              <w:left w:val="single" w:sz="8" w:space="0" w:color="auto"/>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Regional Central</w:t>
            </w:r>
          </w:p>
        </w:tc>
        <w:tc>
          <w:tcPr>
            <w:tcW w:w="669"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294</w:t>
            </w:r>
          </w:p>
        </w:tc>
        <w:tc>
          <w:tcPr>
            <w:tcW w:w="567"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64</w:t>
            </w:r>
          </w:p>
        </w:tc>
        <w:tc>
          <w:tcPr>
            <w:tcW w:w="567"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60</w:t>
            </w:r>
          </w:p>
        </w:tc>
        <w:tc>
          <w:tcPr>
            <w:tcW w:w="426"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23</w:t>
            </w:r>
          </w:p>
        </w:tc>
        <w:tc>
          <w:tcPr>
            <w:tcW w:w="567"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40</w:t>
            </w:r>
          </w:p>
        </w:tc>
        <w:tc>
          <w:tcPr>
            <w:tcW w:w="425"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8</w:t>
            </w:r>
          </w:p>
        </w:tc>
        <w:tc>
          <w:tcPr>
            <w:tcW w:w="567"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110</w:t>
            </w:r>
          </w:p>
        </w:tc>
        <w:tc>
          <w:tcPr>
            <w:tcW w:w="439"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13</w:t>
            </w:r>
          </w:p>
        </w:tc>
        <w:tc>
          <w:tcPr>
            <w:tcW w:w="678"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46</w:t>
            </w:r>
          </w:p>
        </w:tc>
        <w:tc>
          <w:tcPr>
            <w:tcW w:w="552"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3</w:t>
            </w:r>
          </w:p>
        </w:tc>
        <w:tc>
          <w:tcPr>
            <w:tcW w:w="643"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24</w:t>
            </w:r>
          </w:p>
        </w:tc>
        <w:tc>
          <w:tcPr>
            <w:tcW w:w="643"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7</w:t>
            </w:r>
          </w:p>
        </w:tc>
        <w:tc>
          <w:tcPr>
            <w:tcW w:w="542"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14</w:t>
            </w:r>
          </w:p>
        </w:tc>
        <w:tc>
          <w:tcPr>
            <w:tcW w:w="542"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10</w:t>
            </w:r>
          </w:p>
        </w:tc>
      </w:tr>
      <w:tr w:rsidR="008170ED" w:rsidRPr="00267E20" w:rsidTr="001C0A2A">
        <w:trPr>
          <w:trHeight w:val="495"/>
        </w:trPr>
        <w:tc>
          <w:tcPr>
            <w:tcW w:w="1102" w:type="dxa"/>
            <w:tcBorders>
              <w:top w:val="nil"/>
              <w:left w:val="single" w:sz="8" w:space="0" w:color="auto"/>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Regional Occidente</w:t>
            </w:r>
          </w:p>
        </w:tc>
        <w:tc>
          <w:tcPr>
            <w:tcW w:w="669"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142</w:t>
            </w:r>
          </w:p>
        </w:tc>
        <w:tc>
          <w:tcPr>
            <w:tcW w:w="567"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59</w:t>
            </w:r>
          </w:p>
        </w:tc>
        <w:tc>
          <w:tcPr>
            <w:tcW w:w="567"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30</w:t>
            </w:r>
          </w:p>
        </w:tc>
        <w:tc>
          <w:tcPr>
            <w:tcW w:w="426"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18</w:t>
            </w:r>
          </w:p>
        </w:tc>
        <w:tc>
          <w:tcPr>
            <w:tcW w:w="567"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12</w:t>
            </w:r>
          </w:p>
        </w:tc>
        <w:tc>
          <w:tcPr>
            <w:tcW w:w="425"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16</w:t>
            </w:r>
          </w:p>
        </w:tc>
        <w:tc>
          <w:tcPr>
            <w:tcW w:w="567"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58</w:t>
            </w:r>
          </w:p>
        </w:tc>
        <w:tc>
          <w:tcPr>
            <w:tcW w:w="439"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8</w:t>
            </w:r>
          </w:p>
        </w:tc>
        <w:tc>
          <w:tcPr>
            <w:tcW w:w="678"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24</w:t>
            </w:r>
          </w:p>
        </w:tc>
        <w:tc>
          <w:tcPr>
            <w:tcW w:w="552"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4</w:t>
            </w:r>
          </w:p>
        </w:tc>
        <w:tc>
          <w:tcPr>
            <w:tcW w:w="643"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11</w:t>
            </w:r>
          </w:p>
        </w:tc>
        <w:tc>
          <w:tcPr>
            <w:tcW w:w="643"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8</w:t>
            </w:r>
          </w:p>
        </w:tc>
        <w:tc>
          <w:tcPr>
            <w:tcW w:w="542"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7</w:t>
            </w:r>
          </w:p>
        </w:tc>
        <w:tc>
          <w:tcPr>
            <w:tcW w:w="542"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5</w:t>
            </w:r>
          </w:p>
        </w:tc>
      </w:tr>
      <w:tr w:rsidR="008170ED" w:rsidRPr="00267E20" w:rsidTr="001C0A2A">
        <w:trPr>
          <w:trHeight w:val="495"/>
        </w:trPr>
        <w:tc>
          <w:tcPr>
            <w:tcW w:w="1102" w:type="dxa"/>
            <w:tcBorders>
              <w:top w:val="nil"/>
              <w:left w:val="single" w:sz="8" w:space="0" w:color="auto"/>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Regional Norte</w:t>
            </w:r>
          </w:p>
        </w:tc>
        <w:tc>
          <w:tcPr>
            <w:tcW w:w="669"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125</w:t>
            </w:r>
          </w:p>
        </w:tc>
        <w:tc>
          <w:tcPr>
            <w:tcW w:w="567"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32</w:t>
            </w:r>
          </w:p>
        </w:tc>
        <w:tc>
          <w:tcPr>
            <w:tcW w:w="567"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27</w:t>
            </w:r>
          </w:p>
        </w:tc>
        <w:tc>
          <w:tcPr>
            <w:tcW w:w="426"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9</w:t>
            </w:r>
          </w:p>
        </w:tc>
        <w:tc>
          <w:tcPr>
            <w:tcW w:w="567"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20</w:t>
            </w:r>
          </w:p>
        </w:tc>
        <w:tc>
          <w:tcPr>
            <w:tcW w:w="425"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3</w:t>
            </w:r>
          </w:p>
        </w:tc>
        <w:tc>
          <w:tcPr>
            <w:tcW w:w="567"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53</w:t>
            </w:r>
          </w:p>
        </w:tc>
        <w:tc>
          <w:tcPr>
            <w:tcW w:w="439"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3</w:t>
            </w:r>
          </w:p>
        </w:tc>
        <w:tc>
          <w:tcPr>
            <w:tcW w:w="678"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13</w:t>
            </w:r>
          </w:p>
        </w:tc>
        <w:tc>
          <w:tcPr>
            <w:tcW w:w="552"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5</w:t>
            </w:r>
          </w:p>
        </w:tc>
        <w:tc>
          <w:tcPr>
            <w:tcW w:w="643"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6</w:t>
            </w:r>
          </w:p>
        </w:tc>
        <w:tc>
          <w:tcPr>
            <w:tcW w:w="643"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8</w:t>
            </w:r>
          </w:p>
        </w:tc>
        <w:tc>
          <w:tcPr>
            <w:tcW w:w="542"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6</w:t>
            </w:r>
          </w:p>
        </w:tc>
        <w:tc>
          <w:tcPr>
            <w:tcW w:w="542"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4</w:t>
            </w:r>
          </w:p>
        </w:tc>
      </w:tr>
      <w:tr w:rsidR="008170ED" w:rsidRPr="00267E20" w:rsidTr="001C0A2A">
        <w:trPr>
          <w:trHeight w:val="495"/>
        </w:trPr>
        <w:tc>
          <w:tcPr>
            <w:tcW w:w="1102" w:type="dxa"/>
            <w:tcBorders>
              <w:top w:val="nil"/>
              <w:left w:val="single" w:sz="8" w:space="0" w:color="auto"/>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Regional Oriente</w:t>
            </w:r>
          </w:p>
        </w:tc>
        <w:tc>
          <w:tcPr>
            <w:tcW w:w="669"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105</w:t>
            </w:r>
          </w:p>
        </w:tc>
        <w:tc>
          <w:tcPr>
            <w:tcW w:w="567"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11</w:t>
            </w:r>
          </w:p>
        </w:tc>
        <w:tc>
          <w:tcPr>
            <w:tcW w:w="567"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26</w:t>
            </w:r>
          </w:p>
        </w:tc>
        <w:tc>
          <w:tcPr>
            <w:tcW w:w="426"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2</w:t>
            </w:r>
          </w:p>
        </w:tc>
        <w:tc>
          <w:tcPr>
            <w:tcW w:w="567"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14</w:t>
            </w:r>
          </w:p>
        </w:tc>
        <w:tc>
          <w:tcPr>
            <w:tcW w:w="425"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3</w:t>
            </w:r>
          </w:p>
        </w:tc>
        <w:tc>
          <w:tcPr>
            <w:tcW w:w="567"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32</w:t>
            </w:r>
          </w:p>
        </w:tc>
        <w:tc>
          <w:tcPr>
            <w:tcW w:w="439"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w:t>
            </w:r>
          </w:p>
        </w:tc>
        <w:tc>
          <w:tcPr>
            <w:tcW w:w="678"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16</w:t>
            </w:r>
          </w:p>
        </w:tc>
        <w:tc>
          <w:tcPr>
            <w:tcW w:w="552"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w:t>
            </w:r>
          </w:p>
        </w:tc>
        <w:tc>
          <w:tcPr>
            <w:tcW w:w="643"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13</w:t>
            </w:r>
          </w:p>
        </w:tc>
        <w:tc>
          <w:tcPr>
            <w:tcW w:w="643"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 </w:t>
            </w:r>
          </w:p>
        </w:tc>
        <w:tc>
          <w:tcPr>
            <w:tcW w:w="542"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4</w:t>
            </w:r>
          </w:p>
        </w:tc>
        <w:tc>
          <w:tcPr>
            <w:tcW w:w="542"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4</w:t>
            </w:r>
          </w:p>
        </w:tc>
      </w:tr>
      <w:tr w:rsidR="008170ED" w:rsidRPr="00267E20" w:rsidTr="001C0A2A">
        <w:trPr>
          <w:trHeight w:val="495"/>
        </w:trPr>
        <w:tc>
          <w:tcPr>
            <w:tcW w:w="1102" w:type="dxa"/>
            <w:tcBorders>
              <w:top w:val="nil"/>
              <w:left w:val="single" w:sz="8" w:space="0" w:color="auto"/>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lastRenderedPageBreak/>
              <w:t>Regional Noroeste</w:t>
            </w:r>
          </w:p>
        </w:tc>
        <w:tc>
          <w:tcPr>
            <w:tcW w:w="669"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96</w:t>
            </w:r>
          </w:p>
        </w:tc>
        <w:tc>
          <w:tcPr>
            <w:tcW w:w="567"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64</w:t>
            </w:r>
          </w:p>
        </w:tc>
        <w:tc>
          <w:tcPr>
            <w:tcW w:w="567"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22</w:t>
            </w:r>
          </w:p>
        </w:tc>
        <w:tc>
          <w:tcPr>
            <w:tcW w:w="426"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16</w:t>
            </w:r>
          </w:p>
        </w:tc>
        <w:tc>
          <w:tcPr>
            <w:tcW w:w="567"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7</w:t>
            </w:r>
          </w:p>
        </w:tc>
        <w:tc>
          <w:tcPr>
            <w:tcW w:w="425"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16</w:t>
            </w:r>
          </w:p>
        </w:tc>
        <w:tc>
          <w:tcPr>
            <w:tcW w:w="567"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44</w:t>
            </w:r>
          </w:p>
        </w:tc>
        <w:tc>
          <w:tcPr>
            <w:tcW w:w="439"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8</w:t>
            </w:r>
          </w:p>
        </w:tc>
        <w:tc>
          <w:tcPr>
            <w:tcW w:w="678"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11</w:t>
            </w:r>
          </w:p>
        </w:tc>
        <w:tc>
          <w:tcPr>
            <w:tcW w:w="552"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8</w:t>
            </w:r>
          </w:p>
        </w:tc>
        <w:tc>
          <w:tcPr>
            <w:tcW w:w="643"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6</w:t>
            </w:r>
          </w:p>
        </w:tc>
        <w:tc>
          <w:tcPr>
            <w:tcW w:w="643"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8</w:t>
            </w:r>
          </w:p>
        </w:tc>
        <w:tc>
          <w:tcPr>
            <w:tcW w:w="542"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6</w:t>
            </w:r>
          </w:p>
        </w:tc>
        <w:tc>
          <w:tcPr>
            <w:tcW w:w="542"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8</w:t>
            </w:r>
          </w:p>
        </w:tc>
      </w:tr>
      <w:tr w:rsidR="008170ED" w:rsidRPr="00267E20" w:rsidTr="001C0A2A">
        <w:trPr>
          <w:trHeight w:val="495"/>
        </w:trPr>
        <w:tc>
          <w:tcPr>
            <w:tcW w:w="1102" w:type="dxa"/>
            <w:tcBorders>
              <w:top w:val="nil"/>
              <w:left w:val="single" w:sz="8" w:space="0" w:color="auto"/>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Regional Viejo Caldas</w:t>
            </w:r>
          </w:p>
        </w:tc>
        <w:tc>
          <w:tcPr>
            <w:tcW w:w="669"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119</w:t>
            </w:r>
          </w:p>
        </w:tc>
        <w:tc>
          <w:tcPr>
            <w:tcW w:w="567"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38</w:t>
            </w:r>
          </w:p>
        </w:tc>
        <w:tc>
          <w:tcPr>
            <w:tcW w:w="567"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25</w:t>
            </w:r>
          </w:p>
        </w:tc>
        <w:tc>
          <w:tcPr>
            <w:tcW w:w="426"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9</w:t>
            </w:r>
          </w:p>
        </w:tc>
        <w:tc>
          <w:tcPr>
            <w:tcW w:w="567"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20</w:t>
            </w:r>
          </w:p>
        </w:tc>
        <w:tc>
          <w:tcPr>
            <w:tcW w:w="425"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4</w:t>
            </w:r>
          </w:p>
        </w:tc>
        <w:tc>
          <w:tcPr>
            <w:tcW w:w="567"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45</w:t>
            </w:r>
          </w:p>
        </w:tc>
        <w:tc>
          <w:tcPr>
            <w:tcW w:w="439"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2</w:t>
            </w:r>
          </w:p>
        </w:tc>
        <w:tc>
          <w:tcPr>
            <w:tcW w:w="678"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15</w:t>
            </w:r>
          </w:p>
        </w:tc>
        <w:tc>
          <w:tcPr>
            <w:tcW w:w="552"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4</w:t>
            </w:r>
          </w:p>
        </w:tc>
        <w:tc>
          <w:tcPr>
            <w:tcW w:w="643"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11</w:t>
            </w:r>
          </w:p>
        </w:tc>
        <w:tc>
          <w:tcPr>
            <w:tcW w:w="643"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6</w:t>
            </w:r>
          </w:p>
        </w:tc>
        <w:tc>
          <w:tcPr>
            <w:tcW w:w="542"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3</w:t>
            </w:r>
          </w:p>
        </w:tc>
        <w:tc>
          <w:tcPr>
            <w:tcW w:w="542" w:type="dxa"/>
            <w:tcBorders>
              <w:top w:val="nil"/>
              <w:left w:val="nil"/>
              <w:bottom w:val="single" w:sz="8" w:space="0" w:color="auto"/>
              <w:right w:val="single" w:sz="8" w:space="0" w:color="auto"/>
            </w:tcBorders>
            <w:shd w:val="clear" w:color="auto" w:fill="auto"/>
            <w:vAlign w:val="center"/>
            <w:hideMark/>
          </w:tcPr>
          <w:p w:rsidR="008170ED" w:rsidRPr="00267E20" w:rsidRDefault="008170ED" w:rsidP="001C0A2A">
            <w:pPr>
              <w:spacing w:after="0" w:line="240" w:lineRule="auto"/>
              <w:jc w:val="both"/>
              <w:rPr>
                <w:rFonts w:asciiTheme="minorHAnsi" w:hAnsiTheme="minorHAnsi" w:cstheme="minorHAnsi"/>
                <w:szCs w:val="20"/>
              </w:rPr>
            </w:pPr>
            <w:r w:rsidRPr="00267E20">
              <w:rPr>
                <w:rFonts w:asciiTheme="minorHAnsi" w:hAnsiTheme="minorHAnsi" w:cstheme="minorHAnsi"/>
                <w:szCs w:val="20"/>
              </w:rPr>
              <w:t>13</w:t>
            </w:r>
          </w:p>
        </w:tc>
      </w:tr>
      <w:tr w:rsidR="008170ED" w:rsidRPr="00267E20" w:rsidTr="001C0A2A">
        <w:trPr>
          <w:trHeight w:val="375"/>
        </w:trPr>
        <w:tc>
          <w:tcPr>
            <w:tcW w:w="1102" w:type="dxa"/>
            <w:tcBorders>
              <w:top w:val="nil"/>
              <w:left w:val="single" w:sz="8" w:space="0" w:color="auto"/>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Totales</w:t>
            </w:r>
          </w:p>
        </w:tc>
        <w:tc>
          <w:tcPr>
            <w:tcW w:w="669"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881</w:t>
            </w:r>
          </w:p>
        </w:tc>
        <w:tc>
          <w:tcPr>
            <w:tcW w:w="567"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268</w:t>
            </w:r>
          </w:p>
        </w:tc>
        <w:tc>
          <w:tcPr>
            <w:tcW w:w="567"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190</w:t>
            </w:r>
          </w:p>
        </w:tc>
        <w:tc>
          <w:tcPr>
            <w:tcW w:w="426"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77</w:t>
            </w:r>
          </w:p>
        </w:tc>
        <w:tc>
          <w:tcPr>
            <w:tcW w:w="567"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113</w:t>
            </w:r>
          </w:p>
        </w:tc>
        <w:tc>
          <w:tcPr>
            <w:tcW w:w="425"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50</w:t>
            </w:r>
          </w:p>
        </w:tc>
        <w:tc>
          <w:tcPr>
            <w:tcW w:w="567"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342</w:t>
            </w:r>
          </w:p>
        </w:tc>
        <w:tc>
          <w:tcPr>
            <w:tcW w:w="439"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35</w:t>
            </w:r>
          </w:p>
        </w:tc>
        <w:tc>
          <w:tcPr>
            <w:tcW w:w="678"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125</w:t>
            </w:r>
          </w:p>
        </w:tc>
        <w:tc>
          <w:tcPr>
            <w:tcW w:w="552"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25</w:t>
            </w:r>
          </w:p>
        </w:tc>
        <w:tc>
          <w:tcPr>
            <w:tcW w:w="643"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71</w:t>
            </w:r>
          </w:p>
        </w:tc>
        <w:tc>
          <w:tcPr>
            <w:tcW w:w="643"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37</w:t>
            </w:r>
          </w:p>
        </w:tc>
        <w:tc>
          <w:tcPr>
            <w:tcW w:w="542"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40</w:t>
            </w:r>
          </w:p>
        </w:tc>
        <w:tc>
          <w:tcPr>
            <w:tcW w:w="542" w:type="dxa"/>
            <w:tcBorders>
              <w:top w:val="nil"/>
              <w:left w:val="nil"/>
              <w:bottom w:val="single" w:sz="8" w:space="0" w:color="auto"/>
              <w:right w:val="single" w:sz="8" w:space="0" w:color="auto"/>
            </w:tcBorders>
            <w:shd w:val="clear" w:color="000000" w:fill="D9D9D9"/>
            <w:vAlign w:val="center"/>
            <w:hideMark/>
          </w:tcPr>
          <w:p w:rsidR="008170ED" w:rsidRPr="00267E20" w:rsidRDefault="008170ED" w:rsidP="001C0A2A">
            <w:pPr>
              <w:spacing w:after="0" w:line="240" w:lineRule="auto"/>
              <w:jc w:val="both"/>
              <w:rPr>
                <w:rFonts w:asciiTheme="minorHAnsi" w:hAnsiTheme="minorHAnsi" w:cstheme="minorHAnsi"/>
                <w:b/>
                <w:bCs/>
                <w:szCs w:val="20"/>
              </w:rPr>
            </w:pPr>
            <w:r w:rsidRPr="00267E20">
              <w:rPr>
                <w:rFonts w:asciiTheme="minorHAnsi" w:hAnsiTheme="minorHAnsi" w:cstheme="minorHAnsi"/>
                <w:b/>
                <w:bCs/>
                <w:szCs w:val="20"/>
              </w:rPr>
              <w:t>44</w:t>
            </w:r>
          </w:p>
        </w:tc>
      </w:tr>
    </w:tbl>
    <w:p w:rsidR="008170ED" w:rsidRDefault="008170ED" w:rsidP="008170ED">
      <w:pPr>
        <w:spacing w:line="360" w:lineRule="auto"/>
        <w:jc w:val="both"/>
        <w:rPr>
          <w:i/>
          <w:sz w:val="22"/>
        </w:rPr>
      </w:pPr>
      <w:r w:rsidRPr="0045670E">
        <w:rPr>
          <w:i/>
          <w:sz w:val="22"/>
        </w:rPr>
        <w:t>Fuente: Centro Estratégico de Información Penitenciaria “CEDIP”. 29/08/2016</w:t>
      </w:r>
    </w:p>
    <w:p w:rsidR="008170ED" w:rsidRPr="00267E20" w:rsidRDefault="008170ED" w:rsidP="008170ED">
      <w:pPr>
        <w:pStyle w:val="ListParagraph"/>
        <w:numPr>
          <w:ilvl w:val="0"/>
          <w:numId w:val="35"/>
        </w:numPr>
        <w:spacing w:line="360" w:lineRule="auto"/>
        <w:jc w:val="both"/>
        <w:rPr>
          <w:sz w:val="22"/>
        </w:rPr>
      </w:pPr>
      <w:r w:rsidRPr="00267E20">
        <w:rPr>
          <w:b/>
          <w:bCs/>
          <w:i/>
          <w:iCs/>
          <w:sz w:val="22"/>
          <w:lang w:val="es-ES"/>
        </w:rPr>
        <w:t>Autorización de Procedimientos.</w:t>
      </w:r>
      <w:r w:rsidRPr="0045670E">
        <w:rPr>
          <w:noProof/>
          <w:sz w:val="22"/>
          <w:lang w:val="en-GB" w:eastAsia="en-GB"/>
        </w:rPr>
        <mc:AlternateContent>
          <mc:Choice Requires="wps">
            <w:drawing>
              <wp:anchor distT="0" distB="0" distL="114300" distR="114300" simplePos="0" relativeHeight="251659264" behindDoc="0" locked="0" layoutInCell="1" allowOverlap="1" wp14:anchorId="5578B847" wp14:editId="134250D7">
                <wp:simplePos x="0" y="0"/>
                <wp:positionH relativeFrom="column">
                  <wp:posOffset>3634740</wp:posOffset>
                </wp:positionH>
                <wp:positionV relativeFrom="paragraph">
                  <wp:posOffset>300355</wp:posOffset>
                </wp:positionV>
                <wp:extent cx="1781175" cy="866775"/>
                <wp:effectExtent l="0" t="0" r="28575" b="28575"/>
                <wp:wrapNone/>
                <wp:docPr id="18"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866775"/>
                        </a:xfrm>
                        <a:prstGeom prst="rect">
                          <a:avLst/>
                        </a:prstGeom>
                        <a:solidFill>
                          <a:sysClr val="window" lastClr="FFFFFF"/>
                        </a:solidFill>
                        <a:ln w="6350">
                          <a:solidFill>
                            <a:srgbClr val="5B9BD5">
                              <a:lumMod val="75000"/>
                            </a:srgbClr>
                          </a:solidFill>
                        </a:ln>
                        <a:effectLst/>
                      </wps:spPr>
                      <wps:txbx>
                        <w:txbxContent>
                          <w:p w:rsidR="001C0A2A" w:rsidRDefault="001C0A2A" w:rsidP="008170ED">
                            <w:pPr>
                              <w:jc w:val="center"/>
                            </w:pPr>
                            <w:r w:rsidRPr="008B1288">
                              <w:t xml:space="preserve">De los </w:t>
                            </w:r>
                            <w:r>
                              <w:t xml:space="preserve">34.894 </w:t>
                            </w:r>
                            <w:r w:rsidRPr="008B1288">
                              <w:t xml:space="preserve">procedimientos solicitados, </w:t>
                            </w:r>
                            <w:r>
                              <w:t xml:space="preserve">quedan pendientes por autorizar </w:t>
                            </w:r>
                            <w:r w:rsidRPr="008B1288">
                              <w:t xml:space="preserve">el </w:t>
                            </w:r>
                            <w:r>
                              <w:t>45</w:t>
                            </w:r>
                            <w:r w:rsidRPr="008B1288">
                              <w:t>%</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578B847" id="_x0000_t202" coordsize="21600,21600" o:spt="202" path="m,l,21600r21600,l21600,xe">
                <v:stroke joinstyle="miter"/>
                <v:path gradientshapeok="t" o:connecttype="rect"/>
              </v:shapetype>
              <v:shape id="Cuadro de texto 18" o:spid="_x0000_s1026" type="#_x0000_t202" style="position:absolute;left:0;text-align:left;margin-left:286.2pt;margin-top:23.65pt;width:140.25pt;height:6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" fillcolor="window" strokecolor="#2e75b6" strokeweight=".5pt">
                <v:path arrowok="t"/>
                <v:textbox>
                  <w:txbxContent>
                    <w:p w:rsidR="001C0A2A" w:rsidRDefault="001C0A2A" w:rsidP="008170ED">
                      <w:pPr>
                        <w:jc w:val="center"/>
                      </w:pPr>
                      <w:r w:rsidRPr="008B1288">
                        <w:t xml:space="preserve">De los </w:t>
                      </w:r>
                      <w:r>
                        <w:t xml:space="preserve">34.894 </w:t>
                      </w:r>
                      <w:r w:rsidRPr="008B1288">
                        <w:t xml:space="preserve">procedimientos solicitados, </w:t>
                      </w:r>
                      <w:r>
                        <w:t xml:space="preserve">quedan pendientes por autorizar </w:t>
                      </w:r>
                      <w:r w:rsidRPr="008B1288">
                        <w:t xml:space="preserve">el </w:t>
                      </w:r>
                      <w:r>
                        <w:t>45</w:t>
                      </w:r>
                      <w:r w:rsidRPr="008B1288">
                        <w:t>%</w:t>
                      </w:r>
                      <w:r>
                        <w:t>.</w:t>
                      </w:r>
                    </w:p>
                  </w:txbxContent>
                </v:textbox>
              </v:shape>
            </w:pict>
          </mc:Fallback>
        </mc:AlternateContent>
      </w:r>
      <w:r w:rsidRPr="00267E20">
        <w:rPr>
          <w:sz w:val="22"/>
        </w:rPr>
        <w:t xml:space="preserve"> </w:t>
      </w:r>
      <w:r w:rsidRPr="0045670E">
        <w:rPr>
          <w:noProof/>
          <w:sz w:val="22"/>
          <w:lang w:val="en-GB" w:eastAsia="en-GB"/>
        </w:rPr>
        <w:drawing>
          <wp:inline distT="0" distB="0" distL="0" distR="0" wp14:anchorId="722401CC" wp14:editId="6A65EA10">
            <wp:extent cx="3116580" cy="2044700"/>
            <wp:effectExtent l="0" t="0" r="7620" b="12700"/>
            <wp:docPr id="10" name="Gráfico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170ED" w:rsidRDefault="008170ED" w:rsidP="008170ED">
      <w:pPr>
        <w:spacing w:line="360" w:lineRule="auto"/>
        <w:jc w:val="both"/>
        <w:rPr>
          <w:i/>
          <w:sz w:val="22"/>
        </w:rPr>
      </w:pPr>
      <w:r w:rsidRPr="0045670E">
        <w:rPr>
          <w:i/>
          <w:sz w:val="22"/>
        </w:rPr>
        <w:t>Fuente: Centro Estratégico de Información Penitenciaria “CEDIP”. 29/08/2016</w:t>
      </w:r>
    </w:p>
    <w:p w:rsidR="008170ED" w:rsidRPr="0045670E" w:rsidRDefault="008170ED" w:rsidP="008170ED">
      <w:pPr>
        <w:spacing w:line="360" w:lineRule="auto"/>
        <w:jc w:val="both"/>
        <w:rPr>
          <w:i/>
          <w:sz w:val="22"/>
        </w:rPr>
      </w:pPr>
    </w:p>
    <w:p w:rsidR="008170ED" w:rsidRPr="000007CA" w:rsidRDefault="008170ED" w:rsidP="008170ED">
      <w:pPr>
        <w:pStyle w:val="ListParagraph"/>
        <w:numPr>
          <w:ilvl w:val="0"/>
          <w:numId w:val="35"/>
        </w:numPr>
        <w:spacing w:line="360" w:lineRule="auto"/>
        <w:jc w:val="both"/>
        <w:rPr>
          <w:b/>
          <w:bCs/>
          <w:i/>
          <w:iCs/>
          <w:sz w:val="22"/>
          <w:lang w:val="es-ES"/>
        </w:rPr>
      </w:pPr>
      <w:r w:rsidRPr="000007CA">
        <w:rPr>
          <w:b/>
          <w:bCs/>
          <w:i/>
          <w:iCs/>
          <w:sz w:val="22"/>
          <w:lang w:val="es-ES"/>
        </w:rPr>
        <w:t>Suministro de Medicamentos.</w:t>
      </w:r>
    </w:p>
    <w:p w:rsidR="008170ED" w:rsidRDefault="008170ED" w:rsidP="008170ED">
      <w:pPr>
        <w:spacing w:line="360" w:lineRule="auto"/>
        <w:jc w:val="both"/>
        <w:rPr>
          <w:sz w:val="22"/>
        </w:rPr>
      </w:pPr>
      <w:r w:rsidRPr="0045670E">
        <w:rPr>
          <w:noProof/>
          <w:sz w:val="22"/>
          <w:lang w:val="en-GB" w:eastAsia="en-GB"/>
        </w:rPr>
        <mc:AlternateContent>
          <mc:Choice Requires="wps">
            <w:drawing>
              <wp:anchor distT="0" distB="0" distL="114300" distR="114300" simplePos="0" relativeHeight="251660288" behindDoc="0" locked="0" layoutInCell="1" allowOverlap="1" wp14:anchorId="62D16ADC" wp14:editId="16FD6E37">
                <wp:simplePos x="0" y="0"/>
                <wp:positionH relativeFrom="column">
                  <wp:posOffset>3691890</wp:posOffset>
                </wp:positionH>
                <wp:positionV relativeFrom="paragraph">
                  <wp:posOffset>471805</wp:posOffset>
                </wp:positionV>
                <wp:extent cx="1781175" cy="866775"/>
                <wp:effectExtent l="0" t="0" r="28575" b="2857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866775"/>
                        </a:xfrm>
                        <a:prstGeom prst="rect">
                          <a:avLst/>
                        </a:prstGeom>
                        <a:solidFill>
                          <a:sysClr val="window" lastClr="FFFFFF"/>
                        </a:solidFill>
                        <a:ln w="6350">
                          <a:solidFill>
                            <a:srgbClr val="5B9BD5">
                              <a:lumMod val="75000"/>
                            </a:srgbClr>
                          </a:solidFill>
                        </a:ln>
                        <a:effectLst/>
                      </wps:spPr>
                      <wps:txbx>
                        <w:txbxContent>
                          <w:p w:rsidR="001C0A2A" w:rsidRDefault="001C0A2A" w:rsidP="008170ED">
                            <w:pPr>
                              <w:jc w:val="center"/>
                            </w:pPr>
                            <w:r w:rsidRPr="008B1288">
                              <w:t>De 13</w:t>
                            </w:r>
                            <w:r>
                              <w:t>4</w:t>
                            </w:r>
                            <w:r w:rsidRPr="008B1288">
                              <w:t xml:space="preserve"> establecimientos reportados</w:t>
                            </w:r>
                            <w:r>
                              <w:t>, en el 54</w:t>
                            </w:r>
                            <w:r w:rsidRPr="008B1288">
                              <w:t xml:space="preserve">% </w:t>
                            </w:r>
                            <w:r w:rsidRPr="007B4F3E">
                              <w:rPr>
                                <w:u w:val="single"/>
                              </w:rPr>
                              <w:t>N</w:t>
                            </w:r>
                            <w:r w:rsidRPr="007B4F3E">
                              <w:rPr>
                                <w:b/>
                                <w:u w:val="single"/>
                              </w:rPr>
                              <w:t>o</w:t>
                            </w:r>
                            <w:r w:rsidRPr="00C56A7E">
                              <w:rPr>
                                <w:b/>
                                <w:u w:val="single"/>
                              </w:rPr>
                              <w:t xml:space="preserve"> </w:t>
                            </w:r>
                            <w:r w:rsidRPr="008B1288">
                              <w:t>se cumple con</w:t>
                            </w:r>
                            <w:r>
                              <w:t xml:space="preserve"> el suministro de</w:t>
                            </w:r>
                            <w:r w:rsidRPr="008B1288">
                              <w:t xml:space="preserve"> medicamentos.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2D16ADC" id="Cuadro de texto 17" o:spid="_x0000_s1027" type="#_x0000_t202" style="position:absolute;left:0;text-align:left;margin-left:290.7pt;margin-top:37.15pt;width:140.25pt;height:6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" fillcolor="window" strokecolor="#2e75b6" strokeweight=".5pt">
                <v:path arrowok="t"/>
                <v:textbox>
                  <w:txbxContent>
                    <w:p w:rsidR="001C0A2A" w:rsidRDefault="001C0A2A" w:rsidP="008170ED">
                      <w:pPr>
                        <w:jc w:val="center"/>
                      </w:pPr>
                      <w:r w:rsidRPr="008B1288">
                        <w:t>De 13</w:t>
                      </w:r>
                      <w:r>
                        <w:t>4</w:t>
                      </w:r>
                      <w:r w:rsidRPr="008B1288">
                        <w:t xml:space="preserve"> establecimientos reportados</w:t>
                      </w:r>
                      <w:r>
                        <w:t>, en el 54</w:t>
                      </w:r>
                      <w:r w:rsidRPr="008B1288">
                        <w:t xml:space="preserve">% </w:t>
                      </w:r>
                      <w:r w:rsidRPr="007B4F3E">
                        <w:rPr>
                          <w:u w:val="single"/>
                        </w:rPr>
                        <w:t>N</w:t>
                      </w:r>
                      <w:r w:rsidRPr="007B4F3E">
                        <w:rPr>
                          <w:b/>
                          <w:u w:val="single"/>
                        </w:rPr>
                        <w:t>o</w:t>
                      </w:r>
                      <w:r w:rsidRPr="00C56A7E">
                        <w:rPr>
                          <w:b/>
                          <w:u w:val="single"/>
                        </w:rPr>
                        <w:t xml:space="preserve"> </w:t>
                      </w:r>
                      <w:r w:rsidRPr="008B1288">
                        <w:t>se cumple con</w:t>
                      </w:r>
                      <w:r>
                        <w:t xml:space="preserve"> el suministro de</w:t>
                      </w:r>
                      <w:r w:rsidRPr="008B1288">
                        <w:t xml:space="preserve"> medicamentos.</w:t>
                      </w:r>
                    </w:p>
                  </w:txbxContent>
                </v:textbox>
              </v:shape>
            </w:pict>
          </mc:Fallback>
        </mc:AlternateContent>
      </w:r>
      <w:r w:rsidRPr="0045670E">
        <w:rPr>
          <w:sz w:val="22"/>
        </w:rPr>
        <w:t xml:space="preserve"> </w:t>
      </w:r>
      <w:r w:rsidRPr="0045670E">
        <w:rPr>
          <w:noProof/>
          <w:sz w:val="22"/>
          <w:lang w:val="en-GB" w:eastAsia="en-GB"/>
        </w:rPr>
        <w:drawing>
          <wp:inline distT="0" distB="0" distL="0" distR="0" wp14:anchorId="1379E3DD" wp14:editId="46274B62">
            <wp:extent cx="3042920" cy="2127885"/>
            <wp:effectExtent l="0" t="0" r="5080" b="5715"/>
            <wp:docPr id="9"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170ED" w:rsidRDefault="008170ED" w:rsidP="008170ED">
      <w:pPr>
        <w:spacing w:line="360" w:lineRule="auto"/>
        <w:jc w:val="both"/>
        <w:rPr>
          <w:i/>
          <w:sz w:val="22"/>
        </w:rPr>
      </w:pPr>
      <w:r w:rsidRPr="0045670E">
        <w:rPr>
          <w:i/>
          <w:sz w:val="22"/>
        </w:rPr>
        <w:t>Fuente: Centro Estratégico de Información Penitenciaria “CEDIP”. 29/08/2016</w:t>
      </w:r>
    </w:p>
    <w:p w:rsidR="008170ED" w:rsidRPr="0045670E" w:rsidRDefault="008170ED" w:rsidP="008170ED">
      <w:pPr>
        <w:numPr>
          <w:ilvl w:val="0"/>
          <w:numId w:val="35"/>
        </w:numPr>
        <w:spacing w:line="360" w:lineRule="auto"/>
        <w:jc w:val="both"/>
        <w:rPr>
          <w:b/>
          <w:bCs/>
          <w:i/>
          <w:iCs/>
          <w:sz w:val="22"/>
          <w:lang w:val="es-ES"/>
        </w:rPr>
      </w:pPr>
      <w:r w:rsidRPr="0045670E">
        <w:rPr>
          <w:b/>
          <w:bCs/>
          <w:i/>
          <w:iCs/>
          <w:sz w:val="22"/>
          <w:lang w:val="es-ES"/>
        </w:rPr>
        <w:lastRenderedPageBreak/>
        <w:t>Insumos médicos y odontológicos.</w:t>
      </w:r>
    </w:p>
    <w:p w:rsidR="008170ED" w:rsidRPr="0045670E" w:rsidRDefault="008170ED" w:rsidP="008170ED">
      <w:pPr>
        <w:spacing w:line="360" w:lineRule="auto"/>
        <w:jc w:val="both"/>
        <w:rPr>
          <w:sz w:val="22"/>
        </w:rPr>
      </w:pPr>
      <w:r w:rsidRPr="0045670E">
        <w:rPr>
          <w:noProof/>
          <w:sz w:val="22"/>
          <w:lang w:val="en-GB" w:eastAsia="en-GB"/>
        </w:rPr>
        <mc:AlternateContent>
          <mc:Choice Requires="wps">
            <w:drawing>
              <wp:anchor distT="0" distB="0" distL="114300" distR="114300" simplePos="0" relativeHeight="251661312" behindDoc="0" locked="0" layoutInCell="1" allowOverlap="1" wp14:anchorId="6C83CDFC" wp14:editId="17821F28">
                <wp:simplePos x="0" y="0"/>
                <wp:positionH relativeFrom="column">
                  <wp:posOffset>3681730</wp:posOffset>
                </wp:positionH>
                <wp:positionV relativeFrom="paragraph">
                  <wp:posOffset>432435</wp:posOffset>
                </wp:positionV>
                <wp:extent cx="1781175" cy="1135380"/>
                <wp:effectExtent l="0" t="0" r="28575" b="26670"/>
                <wp:wrapNone/>
                <wp:docPr id="16" name="Cuadro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135380"/>
                        </a:xfrm>
                        <a:prstGeom prst="rect">
                          <a:avLst/>
                        </a:prstGeom>
                        <a:solidFill>
                          <a:sysClr val="window" lastClr="FFFFFF"/>
                        </a:solidFill>
                        <a:ln w="6350">
                          <a:solidFill>
                            <a:srgbClr val="5B9BD5">
                              <a:lumMod val="75000"/>
                            </a:srgbClr>
                          </a:solidFill>
                        </a:ln>
                        <a:effectLst/>
                      </wps:spPr>
                      <wps:txbx>
                        <w:txbxContent>
                          <w:p w:rsidR="001C0A2A" w:rsidRDefault="001C0A2A" w:rsidP="008170ED">
                            <w:pPr>
                              <w:jc w:val="center"/>
                            </w:pPr>
                            <w:r w:rsidRPr="008B1288">
                              <w:t>De 1</w:t>
                            </w:r>
                            <w:r>
                              <w:t>35 establecimientos reportados, en el 74</w:t>
                            </w:r>
                            <w:r w:rsidRPr="008B1288">
                              <w:t>%</w:t>
                            </w:r>
                            <w:r>
                              <w:rPr>
                                <w:b/>
                                <w:u w:val="single"/>
                              </w:rPr>
                              <w:t xml:space="preserve"> N</w:t>
                            </w:r>
                            <w:r w:rsidRPr="009A1CD8">
                              <w:rPr>
                                <w:b/>
                                <w:u w:val="single"/>
                              </w:rPr>
                              <w:t>o</w:t>
                            </w:r>
                            <w:r w:rsidRPr="008B1288">
                              <w:t xml:space="preserve"> se cumple con </w:t>
                            </w:r>
                            <w:r>
                              <w:t xml:space="preserve">el suministro de insumos médicos. </w:t>
                            </w:r>
                            <w:proofErr w:type="gramStart"/>
                            <w:r>
                              <w:t>hospitalarios</w:t>
                            </w:r>
                            <w:proofErr w:type="gramEnd"/>
                            <w:r>
                              <w:t xml:space="preserve">. </w:t>
                            </w:r>
                            <w:proofErr w:type="gramStart"/>
                            <w:r w:rsidRPr="008B1288">
                              <w:t>odontológicos</w:t>
                            </w:r>
                            <w:proofErr w:type="gramEnd"/>
                            <w:r w:rsidRPr="008B1288">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C83CDFC" id="Cuadro de texto 16" o:spid="_x0000_s1028" type="#_x0000_t202" style="position:absolute;left:0;text-align:left;margin-left:289.9pt;margin-top:34.05pt;width:140.25pt;height:8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" fillcolor="window" strokecolor="#2e75b6" strokeweight=".5pt">
                <v:path arrowok="t"/>
                <v:textbox>
                  <w:txbxContent>
                    <w:p w:rsidR="001C0A2A" w:rsidRDefault="001C0A2A" w:rsidP="008170ED">
                      <w:pPr>
                        <w:jc w:val="center"/>
                      </w:pPr>
                      <w:r w:rsidRPr="008B1288">
                        <w:t>De 1</w:t>
                      </w:r>
                      <w:r>
                        <w:t>35 establecimientos reportados, en el 74</w:t>
                      </w:r>
                      <w:r w:rsidRPr="008B1288">
                        <w:t>%</w:t>
                      </w:r>
                      <w:r>
                        <w:rPr>
                          <w:b/>
                          <w:u w:val="single"/>
                        </w:rPr>
                        <w:t xml:space="preserve"> N</w:t>
                      </w:r>
                      <w:r w:rsidRPr="009A1CD8">
                        <w:rPr>
                          <w:b/>
                          <w:u w:val="single"/>
                        </w:rPr>
                        <w:t>o</w:t>
                      </w:r>
                      <w:r w:rsidRPr="008B1288">
                        <w:t xml:space="preserve"> se cumple con </w:t>
                      </w:r>
                      <w:r>
                        <w:t xml:space="preserve">el suministro de insumos médicos. </w:t>
                      </w:r>
                      <w:proofErr w:type="gramStart"/>
                      <w:r>
                        <w:t>hospitalarios</w:t>
                      </w:r>
                      <w:proofErr w:type="gramEnd"/>
                      <w:r>
                        <w:t xml:space="preserve">. </w:t>
                      </w:r>
                      <w:proofErr w:type="gramStart"/>
                      <w:r w:rsidRPr="008B1288">
                        <w:t>odontológicos</w:t>
                      </w:r>
                      <w:proofErr w:type="gramEnd"/>
                      <w:r w:rsidRPr="008B1288">
                        <w:t>.</w:t>
                      </w:r>
                    </w:p>
                  </w:txbxContent>
                </v:textbox>
              </v:shape>
            </w:pict>
          </mc:Fallback>
        </mc:AlternateContent>
      </w:r>
      <w:r w:rsidRPr="0045670E">
        <w:rPr>
          <w:sz w:val="22"/>
        </w:rPr>
        <w:t xml:space="preserve"> </w:t>
      </w:r>
      <w:r w:rsidRPr="0045670E">
        <w:rPr>
          <w:noProof/>
          <w:sz w:val="22"/>
          <w:lang w:val="en-GB" w:eastAsia="en-GB"/>
        </w:rPr>
        <w:drawing>
          <wp:inline distT="0" distB="0" distL="0" distR="0" wp14:anchorId="75F1F681" wp14:editId="5E8A9CCF">
            <wp:extent cx="3105150" cy="2425065"/>
            <wp:effectExtent l="0" t="0" r="0" b="13335"/>
            <wp:docPr id="8" name="Gráfico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170ED" w:rsidRDefault="008170ED" w:rsidP="008170ED">
      <w:pPr>
        <w:spacing w:line="360" w:lineRule="auto"/>
        <w:jc w:val="both"/>
        <w:rPr>
          <w:i/>
          <w:sz w:val="22"/>
        </w:rPr>
      </w:pPr>
      <w:r w:rsidRPr="0045670E">
        <w:rPr>
          <w:i/>
          <w:sz w:val="22"/>
        </w:rPr>
        <w:t>Fuente: Centro Estratégico de Información Penitenciaria “CEDIP”. 29/08/2016</w:t>
      </w:r>
    </w:p>
    <w:p w:rsidR="008170ED" w:rsidRDefault="008170ED" w:rsidP="008170ED">
      <w:pPr>
        <w:spacing w:line="360" w:lineRule="auto"/>
        <w:jc w:val="both"/>
        <w:rPr>
          <w:i/>
          <w:sz w:val="22"/>
        </w:rPr>
      </w:pPr>
    </w:p>
    <w:p w:rsidR="008170ED" w:rsidRDefault="008170ED" w:rsidP="008170ED">
      <w:pPr>
        <w:spacing w:line="360" w:lineRule="auto"/>
        <w:jc w:val="both"/>
        <w:rPr>
          <w:i/>
          <w:sz w:val="22"/>
        </w:rPr>
      </w:pPr>
    </w:p>
    <w:p w:rsidR="008170ED" w:rsidRDefault="008170ED" w:rsidP="008170ED">
      <w:pPr>
        <w:spacing w:line="360" w:lineRule="auto"/>
        <w:jc w:val="both"/>
        <w:rPr>
          <w:i/>
          <w:sz w:val="22"/>
        </w:rPr>
      </w:pPr>
    </w:p>
    <w:p w:rsidR="008170ED" w:rsidRPr="0045670E" w:rsidRDefault="008170ED" w:rsidP="008170ED">
      <w:pPr>
        <w:numPr>
          <w:ilvl w:val="0"/>
          <w:numId w:val="35"/>
        </w:numPr>
        <w:spacing w:line="360" w:lineRule="auto"/>
        <w:jc w:val="both"/>
        <w:rPr>
          <w:b/>
          <w:sz w:val="22"/>
        </w:rPr>
      </w:pPr>
      <w:r w:rsidRPr="0045670E">
        <w:rPr>
          <w:b/>
          <w:bCs/>
          <w:i/>
          <w:iCs/>
          <w:sz w:val="22"/>
          <w:lang w:val="es-ES"/>
        </w:rPr>
        <w:t>Recolección de Residuos Hospitalarios.</w:t>
      </w:r>
    </w:p>
    <w:p w:rsidR="008170ED" w:rsidRPr="0045670E" w:rsidRDefault="008170ED" w:rsidP="008170ED">
      <w:pPr>
        <w:spacing w:line="360" w:lineRule="auto"/>
        <w:jc w:val="both"/>
        <w:rPr>
          <w:sz w:val="22"/>
        </w:rPr>
      </w:pPr>
      <w:r w:rsidRPr="0045670E">
        <w:rPr>
          <w:noProof/>
          <w:sz w:val="22"/>
          <w:lang w:val="en-GB" w:eastAsia="en-GB"/>
        </w:rPr>
        <mc:AlternateContent>
          <mc:Choice Requires="wps">
            <w:drawing>
              <wp:anchor distT="0" distB="0" distL="114300" distR="114300" simplePos="0" relativeHeight="251662336" behindDoc="0" locked="0" layoutInCell="1" allowOverlap="1" wp14:anchorId="06AEAB69" wp14:editId="75F2986F">
                <wp:simplePos x="0" y="0"/>
                <wp:positionH relativeFrom="column">
                  <wp:posOffset>3672840</wp:posOffset>
                </wp:positionH>
                <wp:positionV relativeFrom="paragraph">
                  <wp:posOffset>376555</wp:posOffset>
                </wp:positionV>
                <wp:extent cx="1781175" cy="866775"/>
                <wp:effectExtent l="0" t="0" r="28575" b="28575"/>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866775"/>
                        </a:xfrm>
                        <a:prstGeom prst="rect">
                          <a:avLst/>
                        </a:prstGeom>
                        <a:solidFill>
                          <a:sysClr val="window" lastClr="FFFFFF"/>
                        </a:solidFill>
                        <a:ln w="6350">
                          <a:solidFill>
                            <a:prstClr val="black"/>
                          </a:solidFill>
                        </a:ln>
                        <a:effectLst/>
                      </wps:spPr>
                      <wps:txbx>
                        <w:txbxContent>
                          <w:p w:rsidR="001C0A2A" w:rsidRDefault="001C0A2A" w:rsidP="008170ED">
                            <w:r w:rsidRPr="008B1288">
                              <w:t>De 13</w:t>
                            </w:r>
                            <w:r>
                              <w:t>4 e</w:t>
                            </w:r>
                            <w:r w:rsidRPr="008B1288">
                              <w:t>stablecimientos Reportados</w:t>
                            </w:r>
                            <w:r>
                              <w:t>, el 8</w:t>
                            </w:r>
                            <w:r w:rsidRPr="008B1288">
                              <w:t xml:space="preserve">% </w:t>
                            </w:r>
                            <w:r w:rsidRPr="007B4F3E">
                              <w:rPr>
                                <w:b/>
                                <w:u w:val="single"/>
                              </w:rPr>
                              <w:t>No</w:t>
                            </w:r>
                            <w:r w:rsidRPr="00B4582D">
                              <w:rPr>
                                <w:b/>
                                <w:u w:val="single"/>
                              </w:rPr>
                              <w:t xml:space="preserve"> </w:t>
                            </w:r>
                            <w:r w:rsidRPr="008B1288">
                              <w:t>cumplen con recolección de Residuos Hospitalario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6AEAB69" id="Cuadro de texto 15" o:spid="_x0000_s1029" type="#_x0000_t202" style="position:absolute;left:0;text-align:left;margin-left:289.2pt;margin-top:29.65pt;width:140.25pt;height:6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" fillcolor="window" strokeweight=".5pt">
                <v:path arrowok="t"/>
                <v:textbox>
                  <w:txbxContent>
                    <w:p w:rsidR="001C0A2A" w:rsidRDefault="001C0A2A" w:rsidP="008170ED">
                      <w:r w:rsidRPr="008B1288">
                        <w:t>De 13</w:t>
                      </w:r>
                      <w:r>
                        <w:t>4 e</w:t>
                      </w:r>
                      <w:r w:rsidRPr="008B1288">
                        <w:t>stablecimientos Reportados</w:t>
                      </w:r>
                      <w:r>
                        <w:t>, el 8</w:t>
                      </w:r>
                      <w:r w:rsidRPr="008B1288">
                        <w:t xml:space="preserve">% </w:t>
                      </w:r>
                      <w:r w:rsidRPr="007B4F3E">
                        <w:rPr>
                          <w:b/>
                          <w:u w:val="single"/>
                        </w:rPr>
                        <w:t>No</w:t>
                      </w:r>
                      <w:r w:rsidRPr="00B4582D">
                        <w:rPr>
                          <w:b/>
                          <w:u w:val="single"/>
                        </w:rPr>
                        <w:t xml:space="preserve"> </w:t>
                      </w:r>
                      <w:r w:rsidRPr="008B1288">
                        <w:t>cumplen con recolección de Residuos Hospitalario</w:t>
                      </w:r>
                    </w:p>
                  </w:txbxContent>
                </v:textbox>
              </v:shape>
            </w:pict>
          </mc:Fallback>
        </mc:AlternateContent>
      </w:r>
      <w:r w:rsidRPr="0045670E">
        <w:rPr>
          <w:sz w:val="22"/>
        </w:rPr>
        <w:t xml:space="preserve"> </w:t>
      </w:r>
      <w:r w:rsidRPr="0045670E">
        <w:rPr>
          <w:noProof/>
          <w:sz w:val="22"/>
          <w:lang w:val="en-GB" w:eastAsia="en-GB"/>
        </w:rPr>
        <w:drawing>
          <wp:inline distT="0" distB="0" distL="0" distR="0" wp14:anchorId="76CECA7D" wp14:editId="763B1A76">
            <wp:extent cx="3044190" cy="2586355"/>
            <wp:effectExtent l="0" t="0" r="3810" b="4445"/>
            <wp:docPr id="7"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170ED" w:rsidRDefault="008170ED" w:rsidP="008170ED">
      <w:pPr>
        <w:spacing w:line="360" w:lineRule="auto"/>
        <w:jc w:val="both"/>
        <w:rPr>
          <w:i/>
          <w:sz w:val="22"/>
        </w:rPr>
      </w:pPr>
      <w:r w:rsidRPr="0045670E">
        <w:rPr>
          <w:i/>
          <w:sz w:val="22"/>
        </w:rPr>
        <w:lastRenderedPageBreak/>
        <w:t>Fuente: Centro Estratégico de Información Penitenciaria “CEDIP”. 29/08/2016</w:t>
      </w:r>
    </w:p>
    <w:p w:rsidR="008170ED" w:rsidRPr="0045670E" w:rsidRDefault="008170ED" w:rsidP="008170ED">
      <w:pPr>
        <w:numPr>
          <w:ilvl w:val="0"/>
          <w:numId w:val="35"/>
        </w:numPr>
        <w:spacing w:line="360" w:lineRule="auto"/>
        <w:jc w:val="both"/>
        <w:rPr>
          <w:b/>
          <w:bCs/>
          <w:i/>
          <w:iCs/>
          <w:sz w:val="22"/>
          <w:lang w:val="es-ES"/>
        </w:rPr>
      </w:pPr>
      <w:r w:rsidRPr="0045670E">
        <w:rPr>
          <w:b/>
          <w:bCs/>
          <w:i/>
          <w:iCs/>
          <w:sz w:val="22"/>
          <w:lang w:val="es-ES"/>
        </w:rPr>
        <w:t>Patologías reportadas en la PPL</w:t>
      </w:r>
    </w:p>
    <w:tbl>
      <w:tblPr>
        <w:tblW w:w="0" w:type="auto"/>
        <w:tblLayout w:type="fixed"/>
        <w:tblCellMar>
          <w:left w:w="70" w:type="dxa"/>
          <w:right w:w="70" w:type="dxa"/>
        </w:tblCellMar>
        <w:tblLook w:val="04A0" w:firstRow="1" w:lastRow="0" w:firstColumn="1" w:lastColumn="0" w:noHBand="0" w:noVBand="1"/>
      </w:tblPr>
      <w:tblGrid>
        <w:gridCol w:w="4012"/>
        <w:gridCol w:w="1066"/>
        <w:gridCol w:w="3554"/>
      </w:tblGrid>
      <w:tr w:rsidR="008170ED" w:rsidRPr="004E3FF0" w:rsidTr="001C0A2A">
        <w:trPr>
          <w:trHeight w:val="497"/>
        </w:trPr>
        <w:tc>
          <w:tcPr>
            <w:tcW w:w="8632" w:type="dxa"/>
            <w:gridSpan w:val="3"/>
            <w:tcBorders>
              <w:top w:val="single" w:sz="8" w:space="0" w:color="auto"/>
              <w:left w:val="single" w:sz="8" w:space="0" w:color="auto"/>
              <w:bottom w:val="single" w:sz="8" w:space="0" w:color="auto"/>
              <w:right w:val="single" w:sz="8" w:space="0" w:color="000000"/>
            </w:tcBorders>
            <w:shd w:val="clear" w:color="000000" w:fill="D9D9D9"/>
            <w:hideMark/>
          </w:tcPr>
          <w:p w:rsidR="008170ED" w:rsidRPr="0014575E" w:rsidRDefault="008170ED" w:rsidP="001C0A2A">
            <w:pPr>
              <w:spacing w:after="0" w:line="240" w:lineRule="auto"/>
              <w:jc w:val="center"/>
              <w:rPr>
                <w:rFonts w:cstheme="minorHAnsi"/>
                <w:b/>
                <w:bCs/>
                <w:sz w:val="22"/>
              </w:rPr>
            </w:pPr>
            <w:r w:rsidRPr="0014575E">
              <w:rPr>
                <w:rFonts w:cstheme="minorHAnsi"/>
                <w:b/>
                <w:bCs/>
                <w:sz w:val="22"/>
              </w:rPr>
              <w:t>CIFRAS CONSOLIDADAS ANTES DE LA DECLARACIÓN DE LA EMERGENCIA CARCELARIA (ABRIL 2016)</w:t>
            </w:r>
          </w:p>
        </w:tc>
      </w:tr>
      <w:tr w:rsidR="008170ED" w:rsidRPr="004E3FF0" w:rsidTr="001C0A2A">
        <w:trPr>
          <w:trHeight w:val="735"/>
        </w:trPr>
        <w:tc>
          <w:tcPr>
            <w:tcW w:w="4012" w:type="dxa"/>
            <w:tcBorders>
              <w:top w:val="nil"/>
              <w:left w:val="single" w:sz="8" w:space="0" w:color="auto"/>
              <w:bottom w:val="nil"/>
              <w:right w:val="single" w:sz="8" w:space="0" w:color="auto"/>
            </w:tcBorders>
            <w:shd w:val="clear" w:color="auto" w:fill="auto"/>
            <w:noWrap/>
            <w:hideMark/>
          </w:tcPr>
          <w:p w:rsidR="008170ED" w:rsidRPr="0014575E" w:rsidRDefault="008170ED" w:rsidP="001C0A2A">
            <w:pPr>
              <w:spacing w:after="0" w:line="240" w:lineRule="auto"/>
              <w:jc w:val="center"/>
              <w:rPr>
                <w:rFonts w:cstheme="minorHAnsi"/>
                <w:b/>
                <w:bCs/>
                <w:sz w:val="22"/>
              </w:rPr>
            </w:pPr>
            <w:r w:rsidRPr="0014575E">
              <w:rPr>
                <w:rFonts w:cstheme="minorHAnsi"/>
                <w:b/>
                <w:bCs/>
                <w:sz w:val="22"/>
              </w:rPr>
              <w:t>Enfermedad</w:t>
            </w:r>
          </w:p>
        </w:tc>
        <w:tc>
          <w:tcPr>
            <w:tcW w:w="1066" w:type="dxa"/>
            <w:tcBorders>
              <w:top w:val="nil"/>
              <w:left w:val="nil"/>
              <w:bottom w:val="nil"/>
              <w:right w:val="single" w:sz="8" w:space="0" w:color="auto"/>
            </w:tcBorders>
            <w:shd w:val="clear" w:color="auto" w:fill="auto"/>
            <w:hideMark/>
          </w:tcPr>
          <w:p w:rsidR="008170ED" w:rsidRPr="0014575E" w:rsidRDefault="008170ED" w:rsidP="001C0A2A">
            <w:pPr>
              <w:spacing w:after="0" w:line="240" w:lineRule="auto"/>
              <w:jc w:val="center"/>
              <w:rPr>
                <w:rFonts w:cstheme="minorHAnsi"/>
                <w:b/>
                <w:bCs/>
                <w:sz w:val="22"/>
              </w:rPr>
            </w:pPr>
            <w:r w:rsidRPr="0014575E">
              <w:rPr>
                <w:rFonts w:cstheme="minorHAnsi"/>
                <w:b/>
                <w:bCs/>
                <w:sz w:val="22"/>
              </w:rPr>
              <w:t>Total Pacientes</w:t>
            </w:r>
          </w:p>
        </w:tc>
        <w:tc>
          <w:tcPr>
            <w:tcW w:w="3554" w:type="dxa"/>
            <w:tcBorders>
              <w:top w:val="nil"/>
              <w:left w:val="nil"/>
              <w:bottom w:val="nil"/>
              <w:right w:val="single" w:sz="8" w:space="0" w:color="auto"/>
            </w:tcBorders>
            <w:shd w:val="clear" w:color="auto" w:fill="auto"/>
            <w:noWrap/>
            <w:hideMark/>
          </w:tcPr>
          <w:p w:rsidR="008170ED" w:rsidRPr="0014575E" w:rsidRDefault="008170ED" w:rsidP="001C0A2A">
            <w:pPr>
              <w:spacing w:after="0" w:line="240" w:lineRule="auto"/>
              <w:jc w:val="center"/>
              <w:rPr>
                <w:rFonts w:cstheme="minorHAnsi"/>
                <w:b/>
                <w:bCs/>
                <w:sz w:val="22"/>
              </w:rPr>
            </w:pPr>
            <w:r w:rsidRPr="0014575E">
              <w:rPr>
                <w:rFonts w:cstheme="minorHAnsi"/>
                <w:b/>
                <w:bCs/>
                <w:sz w:val="22"/>
              </w:rPr>
              <w:t>Porcentaje frente al total de la PPL</w:t>
            </w:r>
          </w:p>
        </w:tc>
      </w:tr>
      <w:tr w:rsidR="008170ED" w:rsidRPr="004E3FF0" w:rsidTr="001C0A2A">
        <w:trPr>
          <w:trHeight w:val="298"/>
        </w:trPr>
        <w:tc>
          <w:tcPr>
            <w:tcW w:w="401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rFonts w:cstheme="minorHAnsi"/>
                <w:sz w:val="22"/>
              </w:rPr>
            </w:pPr>
            <w:r w:rsidRPr="0014575E">
              <w:rPr>
                <w:rFonts w:cstheme="minorHAnsi"/>
                <w:sz w:val="22"/>
              </w:rPr>
              <w:t>VIH</w:t>
            </w:r>
          </w:p>
        </w:tc>
        <w:tc>
          <w:tcPr>
            <w:tcW w:w="1066" w:type="dxa"/>
            <w:tcBorders>
              <w:top w:val="single" w:sz="8" w:space="0" w:color="auto"/>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611</w:t>
            </w:r>
          </w:p>
        </w:tc>
        <w:tc>
          <w:tcPr>
            <w:tcW w:w="3554" w:type="dxa"/>
            <w:tcBorders>
              <w:top w:val="single" w:sz="8" w:space="0" w:color="auto"/>
              <w:left w:val="nil"/>
              <w:bottom w:val="single" w:sz="4" w:space="0" w:color="auto"/>
              <w:right w:val="single" w:sz="8"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6,62</w:t>
            </w:r>
          </w:p>
        </w:tc>
      </w:tr>
      <w:tr w:rsidR="008170ED" w:rsidRPr="004E3FF0" w:rsidTr="001C0A2A">
        <w:trPr>
          <w:trHeight w:val="420"/>
        </w:trPr>
        <w:tc>
          <w:tcPr>
            <w:tcW w:w="4012" w:type="dxa"/>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rFonts w:cstheme="minorHAnsi"/>
                <w:sz w:val="22"/>
              </w:rPr>
            </w:pPr>
            <w:r w:rsidRPr="0014575E">
              <w:rPr>
                <w:rFonts w:cstheme="minorHAnsi"/>
                <w:sz w:val="22"/>
              </w:rPr>
              <w:t>Cáncer</w:t>
            </w:r>
          </w:p>
        </w:tc>
        <w:tc>
          <w:tcPr>
            <w:tcW w:w="1066" w:type="dxa"/>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89</w:t>
            </w:r>
          </w:p>
        </w:tc>
        <w:tc>
          <w:tcPr>
            <w:tcW w:w="3554" w:type="dxa"/>
            <w:tcBorders>
              <w:top w:val="nil"/>
              <w:left w:val="nil"/>
              <w:bottom w:val="single" w:sz="4" w:space="0" w:color="auto"/>
              <w:right w:val="single" w:sz="8"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0,96</w:t>
            </w:r>
          </w:p>
        </w:tc>
      </w:tr>
      <w:tr w:rsidR="008170ED" w:rsidRPr="004E3FF0" w:rsidTr="001C0A2A">
        <w:trPr>
          <w:trHeight w:val="360"/>
        </w:trPr>
        <w:tc>
          <w:tcPr>
            <w:tcW w:w="4012" w:type="dxa"/>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rFonts w:cstheme="minorHAnsi"/>
                <w:sz w:val="22"/>
              </w:rPr>
            </w:pPr>
            <w:r w:rsidRPr="0014575E">
              <w:rPr>
                <w:rFonts w:cstheme="minorHAnsi"/>
                <w:sz w:val="22"/>
              </w:rPr>
              <w:t>Insuficiencia renal Crónica</w:t>
            </w:r>
          </w:p>
        </w:tc>
        <w:tc>
          <w:tcPr>
            <w:tcW w:w="1066" w:type="dxa"/>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47</w:t>
            </w:r>
          </w:p>
        </w:tc>
        <w:tc>
          <w:tcPr>
            <w:tcW w:w="3554" w:type="dxa"/>
            <w:tcBorders>
              <w:top w:val="nil"/>
              <w:left w:val="nil"/>
              <w:bottom w:val="single" w:sz="4" w:space="0" w:color="auto"/>
              <w:right w:val="single" w:sz="8"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0,51</w:t>
            </w:r>
          </w:p>
        </w:tc>
      </w:tr>
      <w:tr w:rsidR="008170ED" w:rsidRPr="004E3FF0" w:rsidTr="001C0A2A">
        <w:trPr>
          <w:trHeight w:val="360"/>
        </w:trPr>
        <w:tc>
          <w:tcPr>
            <w:tcW w:w="4012" w:type="dxa"/>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rFonts w:cstheme="minorHAnsi"/>
                <w:sz w:val="22"/>
              </w:rPr>
            </w:pPr>
            <w:r w:rsidRPr="0014575E">
              <w:rPr>
                <w:rFonts w:cstheme="minorHAnsi"/>
                <w:sz w:val="22"/>
              </w:rPr>
              <w:t>Diabetes</w:t>
            </w:r>
          </w:p>
        </w:tc>
        <w:tc>
          <w:tcPr>
            <w:tcW w:w="1066" w:type="dxa"/>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1112</w:t>
            </w:r>
          </w:p>
        </w:tc>
        <w:tc>
          <w:tcPr>
            <w:tcW w:w="3554" w:type="dxa"/>
            <w:tcBorders>
              <w:top w:val="nil"/>
              <w:left w:val="nil"/>
              <w:bottom w:val="single" w:sz="4" w:space="0" w:color="auto"/>
              <w:right w:val="single" w:sz="8"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12,05</w:t>
            </w:r>
          </w:p>
        </w:tc>
      </w:tr>
      <w:tr w:rsidR="008170ED" w:rsidRPr="004E3FF0" w:rsidTr="001C0A2A">
        <w:trPr>
          <w:trHeight w:val="360"/>
        </w:trPr>
        <w:tc>
          <w:tcPr>
            <w:tcW w:w="4012" w:type="dxa"/>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rFonts w:cstheme="minorHAnsi"/>
                <w:sz w:val="22"/>
              </w:rPr>
            </w:pPr>
            <w:r w:rsidRPr="0014575E">
              <w:rPr>
                <w:rFonts w:cstheme="minorHAnsi"/>
                <w:sz w:val="22"/>
              </w:rPr>
              <w:t>Hipertensión Arterial</w:t>
            </w:r>
          </w:p>
        </w:tc>
        <w:tc>
          <w:tcPr>
            <w:tcW w:w="1066" w:type="dxa"/>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4215</w:t>
            </w:r>
          </w:p>
        </w:tc>
        <w:tc>
          <w:tcPr>
            <w:tcW w:w="3554" w:type="dxa"/>
            <w:tcBorders>
              <w:top w:val="nil"/>
              <w:left w:val="nil"/>
              <w:bottom w:val="single" w:sz="4" w:space="0" w:color="auto"/>
              <w:right w:val="single" w:sz="8"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45,66</w:t>
            </w:r>
          </w:p>
        </w:tc>
      </w:tr>
      <w:tr w:rsidR="008170ED" w:rsidRPr="004E3FF0" w:rsidTr="001C0A2A">
        <w:trPr>
          <w:trHeight w:val="360"/>
        </w:trPr>
        <w:tc>
          <w:tcPr>
            <w:tcW w:w="4012" w:type="dxa"/>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rFonts w:cstheme="minorHAnsi"/>
                <w:sz w:val="22"/>
              </w:rPr>
            </w:pPr>
            <w:r w:rsidRPr="0014575E">
              <w:rPr>
                <w:rFonts w:cstheme="minorHAnsi"/>
                <w:sz w:val="22"/>
              </w:rPr>
              <w:t>Enfermedad pulmonar obstructiva crónica</w:t>
            </w:r>
          </w:p>
        </w:tc>
        <w:tc>
          <w:tcPr>
            <w:tcW w:w="1066" w:type="dxa"/>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188</w:t>
            </w:r>
          </w:p>
        </w:tc>
        <w:tc>
          <w:tcPr>
            <w:tcW w:w="3554" w:type="dxa"/>
            <w:tcBorders>
              <w:top w:val="nil"/>
              <w:left w:val="nil"/>
              <w:bottom w:val="single" w:sz="4" w:space="0" w:color="auto"/>
              <w:right w:val="single" w:sz="8"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2,04</w:t>
            </w:r>
          </w:p>
        </w:tc>
      </w:tr>
      <w:tr w:rsidR="008170ED" w:rsidRPr="004E3FF0" w:rsidTr="001C0A2A">
        <w:trPr>
          <w:trHeight w:val="360"/>
        </w:trPr>
        <w:tc>
          <w:tcPr>
            <w:tcW w:w="4012" w:type="dxa"/>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rFonts w:cstheme="minorHAnsi"/>
                <w:sz w:val="22"/>
              </w:rPr>
            </w:pPr>
            <w:r w:rsidRPr="0014575E">
              <w:rPr>
                <w:rFonts w:cstheme="minorHAnsi"/>
                <w:sz w:val="22"/>
              </w:rPr>
              <w:t>Varicela</w:t>
            </w:r>
          </w:p>
        </w:tc>
        <w:tc>
          <w:tcPr>
            <w:tcW w:w="1066" w:type="dxa"/>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31</w:t>
            </w:r>
          </w:p>
        </w:tc>
        <w:tc>
          <w:tcPr>
            <w:tcW w:w="3554" w:type="dxa"/>
            <w:tcBorders>
              <w:top w:val="nil"/>
              <w:left w:val="nil"/>
              <w:bottom w:val="single" w:sz="4" w:space="0" w:color="auto"/>
              <w:right w:val="single" w:sz="8"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0,34</w:t>
            </w:r>
          </w:p>
        </w:tc>
      </w:tr>
      <w:tr w:rsidR="008170ED" w:rsidRPr="004E3FF0" w:rsidTr="001C0A2A">
        <w:trPr>
          <w:trHeight w:val="360"/>
        </w:trPr>
        <w:tc>
          <w:tcPr>
            <w:tcW w:w="4012" w:type="dxa"/>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rFonts w:cstheme="minorHAnsi"/>
                <w:sz w:val="22"/>
              </w:rPr>
            </w:pPr>
            <w:r w:rsidRPr="0014575E">
              <w:rPr>
                <w:rFonts w:cstheme="minorHAnsi"/>
                <w:sz w:val="22"/>
              </w:rPr>
              <w:t>Parotiditis</w:t>
            </w:r>
          </w:p>
        </w:tc>
        <w:tc>
          <w:tcPr>
            <w:tcW w:w="1066" w:type="dxa"/>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2</w:t>
            </w:r>
          </w:p>
        </w:tc>
        <w:tc>
          <w:tcPr>
            <w:tcW w:w="3554" w:type="dxa"/>
            <w:tcBorders>
              <w:top w:val="nil"/>
              <w:left w:val="nil"/>
              <w:bottom w:val="single" w:sz="4" w:space="0" w:color="auto"/>
              <w:right w:val="single" w:sz="8"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0,02</w:t>
            </w:r>
          </w:p>
        </w:tc>
      </w:tr>
      <w:tr w:rsidR="008170ED" w:rsidRPr="004E3FF0" w:rsidTr="001C0A2A">
        <w:trPr>
          <w:trHeight w:val="360"/>
        </w:trPr>
        <w:tc>
          <w:tcPr>
            <w:tcW w:w="4012" w:type="dxa"/>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rFonts w:cstheme="minorHAnsi"/>
                <w:sz w:val="22"/>
              </w:rPr>
            </w:pPr>
            <w:r w:rsidRPr="0014575E">
              <w:rPr>
                <w:rFonts w:cstheme="minorHAnsi"/>
                <w:sz w:val="22"/>
              </w:rPr>
              <w:t>Tuberculosis</w:t>
            </w:r>
          </w:p>
        </w:tc>
        <w:tc>
          <w:tcPr>
            <w:tcW w:w="1066" w:type="dxa"/>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251</w:t>
            </w:r>
          </w:p>
        </w:tc>
        <w:tc>
          <w:tcPr>
            <w:tcW w:w="3554" w:type="dxa"/>
            <w:tcBorders>
              <w:top w:val="nil"/>
              <w:left w:val="nil"/>
              <w:bottom w:val="single" w:sz="4" w:space="0" w:color="auto"/>
              <w:right w:val="single" w:sz="8"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2,72</w:t>
            </w:r>
          </w:p>
        </w:tc>
      </w:tr>
      <w:tr w:rsidR="008170ED" w:rsidRPr="004E3FF0" w:rsidTr="001C0A2A">
        <w:trPr>
          <w:trHeight w:val="360"/>
        </w:trPr>
        <w:tc>
          <w:tcPr>
            <w:tcW w:w="4012" w:type="dxa"/>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rFonts w:cstheme="minorHAnsi"/>
                <w:sz w:val="22"/>
              </w:rPr>
            </w:pPr>
            <w:r w:rsidRPr="0014575E">
              <w:rPr>
                <w:rFonts w:cstheme="minorHAnsi"/>
                <w:sz w:val="22"/>
              </w:rPr>
              <w:t>Psiquiátricos</w:t>
            </w:r>
          </w:p>
        </w:tc>
        <w:tc>
          <w:tcPr>
            <w:tcW w:w="1066" w:type="dxa"/>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2084</w:t>
            </w:r>
          </w:p>
        </w:tc>
        <w:tc>
          <w:tcPr>
            <w:tcW w:w="3554" w:type="dxa"/>
            <w:tcBorders>
              <w:top w:val="nil"/>
              <w:left w:val="nil"/>
              <w:bottom w:val="single" w:sz="4" w:space="0" w:color="auto"/>
              <w:right w:val="single" w:sz="8"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22,57</w:t>
            </w:r>
          </w:p>
        </w:tc>
      </w:tr>
      <w:tr w:rsidR="008170ED" w:rsidRPr="004E3FF0" w:rsidTr="001C0A2A">
        <w:trPr>
          <w:trHeight w:val="360"/>
        </w:trPr>
        <w:tc>
          <w:tcPr>
            <w:tcW w:w="4012" w:type="dxa"/>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rFonts w:cstheme="minorHAnsi"/>
                <w:sz w:val="22"/>
              </w:rPr>
            </w:pPr>
            <w:r w:rsidRPr="0014575E">
              <w:rPr>
                <w:rFonts w:cstheme="minorHAnsi"/>
                <w:sz w:val="22"/>
              </w:rPr>
              <w:t>Enfermedad Diarreica Aguda</w:t>
            </w:r>
          </w:p>
        </w:tc>
        <w:tc>
          <w:tcPr>
            <w:tcW w:w="1066" w:type="dxa"/>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94</w:t>
            </w:r>
          </w:p>
        </w:tc>
        <w:tc>
          <w:tcPr>
            <w:tcW w:w="3554" w:type="dxa"/>
            <w:tcBorders>
              <w:top w:val="nil"/>
              <w:left w:val="nil"/>
              <w:bottom w:val="single" w:sz="4" w:space="0" w:color="auto"/>
              <w:right w:val="single" w:sz="8"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1,02</w:t>
            </w:r>
          </w:p>
        </w:tc>
      </w:tr>
      <w:tr w:rsidR="008170ED" w:rsidRPr="004E3FF0" w:rsidTr="001C0A2A">
        <w:trPr>
          <w:trHeight w:val="360"/>
        </w:trPr>
        <w:tc>
          <w:tcPr>
            <w:tcW w:w="4012" w:type="dxa"/>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rFonts w:cstheme="minorHAnsi"/>
                <w:sz w:val="22"/>
              </w:rPr>
            </w:pPr>
            <w:r w:rsidRPr="0014575E">
              <w:rPr>
                <w:rFonts w:cstheme="minorHAnsi"/>
                <w:sz w:val="22"/>
              </w:rPr>
              <w:t>Cardiovasculares</w:t>
            </w:r>
          </w:p>
        </w:tc>
        <w:tc>
          <w:tcPr>
            <w:tcW w:w="1066" w:type="dxa"/>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312</w:t>
            </w:r>
          </w:p>
        </w:tc>
        <w:tc>
          <w:tcPr>
            <w:tcW w:w="3554" w:type="dxa"/>
            <w:tcBorders>
              <w:top w:val="nil"/>
              <w:left w:val="nil"/>
              <w:bottom w:val="single" w:sz="4" w:space="0" w:color="auto"/>
              <w:right w:val="single" w:sz="8"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3,38</w:t>
            </w:r>
          </w:p>
        </w:tc>
      </w:tr>
      <w:tr w:rsidR="008170ED" w:rsidRPr="004E3FF0" w:rsidTr="001C0A2A">
        <w:trPr>
          <w:trHeight w:val="375"/>
        </w:trPr>
        <w:tc>
          <w:tcPr>
            <w:tcW w:w="4012" w:type="dxa"/>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rFonts w:cstheme="minorHAnsi"/>
                <w:sz w:val="22"/>
              </w:rPr>
            </w:pPr>
            <w:r w:rsidRPr="0014575E">
              <w:rPr>
                <w:rFonts w:cstheme="minorHAnsi"/>
                <w:sz w:val="22"/>
              </w:rPr>
              <w:t>Infección Respiratoria Aguda</w:t>
            </w:r>
          </w:p>
        </w:tc>
        <w:tc>
          <w:tcPr>
            <w:tcW w:w="1066" w:type="dxa"/>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196</w:t>
            </w:r>
          </w:p>
        </w:tc>
        <w:tc>
          <w:tcPr>
            <w:tcW w:w="3554" w:type="dxa"/>
            <w:tcBorders>
              <w:top w:val="nil"/>
              <w:left w:val="nil"/>
              <w:bottom w:val="single" w:sz="4" w:space="0" w:color="auto"/>
              <w:right w:val="single" w:sz="8" w:space="0" w:color="auto"/>
            </w:tcBorders>
            <w:shd w:val="clear" w:color="auto" w:fill="auto"/>
            <w:noWrap/>
            <w:vAlign w:val="center"/>
            <w:hideMark/>
          </w:tcPr>
          <w:p w:rsidR="008170ED" w:rsidRPr="0014575E" w:rsidRDefault="008170ED" w:rsidP="001C0A2A">
            <w:pPr>
              <w:spacing w:after="0" w:line="240" w:lineRule="auto"/>
              <w:jc w:val="right"/>
              <w:rPr>
                <w:rFonts w:cstheme="minorHAnsi"/>
                <w:sz w:val="22"/>
              </w:rPr>
            </w:pPr>
            <w:r w:rsidRPr="0014575E">
              <w:rPr>
                <w:rFonts w:cstheme="minorHAnsi"/>
                <w:sz w:val="22"/>
              </w:rPr>
              <w:t>2,12</w:t>
            </w:r>
          </w:p>
        </w:tc>
      </w:tr>
      <w:tr w:rsidR="008170ED" w:rsidRPr="004E3FF0" w:rsidTr="001C0A2A">
        <w:trPr>
          <w:trHeight w:val="375"/>
        </w:trPr>
        <w:tc>
          <w:tcPr>
            <w:tcW w:w="4012" w:type="dxa"/>
            <w:tcBorders>
              <w:top w:val="nil"/>
              <w:left w:val="single" w:sz="8" w:space="0" w:color="auto"/>
              <w:bottom w:val="single" w:sz="8" w:space="0" w:color="auto"/>
              <w:right w:val="single" w:sz="4" w:space="0" w:color="auto"/>
            </w:tcBorders>
            <w:shd w:val="clear" w:color="000000" w:fill="D9D9D9"/>
            <w:noWrap/>
            <w:hideMark/>
          </w:tcPr>
          <w:p w:rsidR="008170ED" w:rsidRPr="0014575E" w:rsidRDefault="008170ED" w:rsidP="001C0A2A">
            <w:pPr>
              <w:spacing w:after="0" w:line="240" w:lineRule="auto"/>
              <w:jc w:val="center"/>
              <w:rPr>
                <w:rFonts w:cstheme="minorHAnsi"/>
                <w:b/>
                <w:bCs/>
                <w:sz w:val="22"/>
              </w:rPr>
            </w:pPr>
            <w:r w:rsidRPr="0014575E">
              <w:rPr>
                <w:rFonts w:cstheme="minorHAnsi"/>
                <w:b/>
                <w:bCs/>
                <w:sz w:val="22"/>
              </w:rPr>
              <w:t>GRAN TOTAL</w:t>
            </w:r>
          </w:p>
        </w:tc>
        <w:tc>
          <w:tcPr>
            <w:tcW w:w="1066" w:type="dxa"/>
            <w:tcBorders>
              <w:top w:val="nil"/>
              <w:left w:val="nil"/>
              <w:bottom w:val="single" w:sz="8" w:space="0" w:color="auto"/>
              <w:right w:val="single" w:sz="4" w:space="0" w:color="auto"/>
            </w:tcBorders>
            <w:shd w:val="clear" w:color="000000" w:fill="D9D9D9"/>
            <w:noWrap/>
            <w:hideMark/>
          </w:tcPr>
          <w:p w:rsidR="008170ED" w:rsidRPr="0014575E" w:rsidRDefault="008170ED" w:rsidP="001C0A2A">
            <w:pPr>
              <w:spacing w:after="0" w:line="240" w:lineRule="auto"/>
              <w:jc w:val="center"/>
              <w:rPr>
                <w:rFonts w:cstheme="minorHAnsi"/>
                <w:b/>
                <w:bCs/>
                <w:sz w:val="22"/>
              </w:rPr>
            </w:pPr>
            <w:r w:rsidRPr="0014575E">
              <w:rPr>
                <w:rFonts w:cstheme="minorHAnsi"/>
                <w:b/>
                <w:bCs/>
                <w:sz w:val="22"/>
              </w:rPr>
              <w:t>9.232</w:t>
            </w:r>
          </w:p>
        </w:tc>
        <w:tc>
          <w:tcPr>
            <w:tcW w:w="3554" w:type="dxa"/>
            <w:tcBorders>
              <w:top w:val="nil"/>
              <w:left w:val="nil"/>
              <w:bottom w:val="single" w:sz="8" w:space="0" w:color="auto"/>
              <w:right w:val="single" w:sz="4" w:space="0" w:color="auto"/>
            </w:tcBorders>
            <w:shd w:val="clear" w:color="000000" w:fill="D9D9D9"/>
            <w:noWrap/>
            <w:hideMark/>
          </w:tcPr>
          <w:p w:rsidR="008170ED" w:rsidRPr="0014575E" w:rsidRDefault="008170ED" w:rsidP="001C0A2A">
            <w:pPr>
              <w:spacing w:after="0" w:line="240" w:lineRule="auto"/>
              <w:jc w:val="center"/>
              <w:rPr>
                <w:rFonts w:cstheme="minorHAnsi"/>
                <w:b/>
                <w:bCs/>
                <w:sz w:val="22"/>
              </w:rPr>
            </w:pPr>
            <w:r w:rsidRPr="0014575E">
              <w:rPr>
                <w:rFonts w:cstheme="minorHAnsi"/>
                <w:b/>
                <w:bCs/>
                <w:sz w:val="22"/>
              </w:rPr>
              <w:t>100</w:t>
            </w:r>
          </w:p>
        </w:tc>
      </w:tr>
    </w:tbl>
    <w:p w:rsidR="008170ED" w:rsidRDefault="008170ED" w:rsidP="008170ED">
      <w:pPr>
        <w:spacing w:line="360" w:lineRule="auto"/>
        <w:jc w:val="both"/>
        <w:rPr>
          <w:i/>
          <w:sz w:val="22"/>
        </w:rPr>
      </w:pPr>
      <w:r w:rsidRPr="0045670E">
        <w:rPr>
          <w:i/>
          <w:sz w:val="22"/>
        </w:rPr>
        <w:t>Fuente: Subdirección de Atención en Salud del INPEC. 03/05/2016.</w:t>
      </w:r>
    </w:p>
    <w:tbl>
      <w:tblPr>
        <w:tblW w:w="0" w:type="auto"/>
        <w:tblCellMar>
          <w:left w:w="70" w:type="dxa"/>
          <w:right w:w="70" w:type="dxa"/>
        </w:tblCellMar>
        <w:tblLook w:val="04A0" w:firstRow="1" w:lastRow="0" w:firstColumn="1" w:lastColumn="0" w:noHBand="0" w:noVBand="1"/>
      </w:tblPr>
      <w:tblGrid>
        <w:gridCol w:w="3836"/>
        <w:gridCol w:w="1553"/>
        <w:gridCol w:w="3398"/>
      </w:tblGrid>
      <w:tr w:rsidR="008170ED" w:rsidRPr="005541B0" w:rsidTr="001C0A2A">
        <w:trPr>
          <w:trHeight w:val="1290"/>
        </w:trPr>
        <w:tc>
          <w:tcPr>
            <w:tcW w:w="0" w:type="auto"/>
            <w:gridSpan w:val="3"/>
            <w:tcBorders>
              <w:top w:val="single" w:sz="8" w:space="0" w:color="auto"/>
              <w:left w:val="single" w:sz="8" w:space="0" w:color="auto"/>
              <w:bottom w:val="single" w:sz="8" w:space="0" w:color="auto"/>
              <w:right w:val="single" w:sz="8" w:space="0" w:color="000000"/>
            </w:tcBorders>
            <w:shd w:val="clear" w:color="000000" w:fill="D9D9D9"/>
            <w:vAlign w:val="center"/>
            <w:hideMark/>
          </w:tcPr>
          <w:p w:rsidR="008170ED" w:rsidRPr="005541B0" w:rsidRDefault="008170ED" w:rsidP="001C0A2A">
            <w:pPr>
              <w:spacing w:after="0" w:line="240" w:lineRule="auto"/>
              <w:jc w:val="both"/>
              <w:rPr>
                <w:rFonts w:cstheme="minorHAnsi"/>
                <w:b/>
                <w:bCs/>
                <w:sz w:val="22"/>
              </w:rPr>
            </w:pPr>
            <w:r w:rsidRPr="005541B0">
              <w:rPr>
                <w:rFonts w:cstheme="minorHAnsi"/>
                <w:b/>
                <w:bCs/>
                <w:sz w:val="22"/>
              </w:rPr>
              <w:t>CIFRAS CONSOLIDADAS DESPUÉS DE LA DECLARACIÓN DE LA EMERGENCIA CARCELARIA (29/08/2016)</w:t>
            </w:r>
          </w:p>
        </w:tc>
      </w:tr>
      <w:tr w:rsidR="008170ED" w:rsidRPr="005541B0" w:rsidTr="001C0A2A">
        <w:trPr>
          <w:trHeight w:val="496"/>
        </w:trPr>
        <w:tc>
          <w:tcPr>
            <w:tcW w:w="0" w:type="auto"/>
            <w:tcBorders>
              <w:top w:val="nil"/>
              <w:left w:val="single" w:sz="8" w:space="0" w:color="auto"/>
              <w:bottom w:val="nil"/>
              <w:right w:val="single" w:sz="8" w:space="0" w:color="auto"/>
            </w:tcBorders>
            <w:shd w:val="clear" w:color="auto" w:fill="auto"/>
            <w:noWrap/>
            <w:vAlign w:val="center"/>
            <w:hideMark/>
          </w:tcPr>
          <w:p w:rsidR="008170ED" w:rsidRPr="0014575E" w:rsidRDefault="008170ED" w:rsidP="001C0A2A">
            <w:pPr>
              <w:spacing w:after="0" w:line="240" w:lineRule="auto"/>
              <w:rPr>
                <w:b/>
                <w:bCs/>
                <w:sz w:val="22"/>
              </w:rPr>
            </w:pPr>
            <w:r w:rsidRPr="0014575E">
              <w:rPr>
                <w:b/>
                <w:bCs/>
                <w:sz w:val="22"/>
              </w:rPr>
              <w:t>Enfermedad</w:t>
            </w:r>
          </w:p>
        </w:tc>
        <w:tc>
          <w:tcPr>
            <w:tcW w:w="0" w:type="auto"/>
            <w:tcBorders>
              <w:top w:val="nil"/>
              <w:left w:val="nil"/>
              <w:bottom w:val="nil"/>
              <w:right w:val="single" w:sz="8" w:space="0" w:color="auto"/>
            </w:tcBorders>
            <w:shd w:val="clear" w:color="auto" w:fill="auto"/>
            <w:noWrap/>
            <w:vAlign w:val="center"/>
            <w:hideMark/>
          </w:tcPr>
          <w:p w:rsidR="008170ED" w:rsidRPr="0014575E" w:rsidRDefault="008170ED" w:rsidP="001C0A2A">
            <w:pPr>
              <w:spacing w:after="0" w:line="240" w:lineRule="auto"/>
              <w:rPr>
                <w:b/>
                <w:bCs/>
                <w:sz w:val="22"/>
              </w:rPr>
            </w:pPr>
            <w:r w:rsidRPr="0014575E">
              <w:rPr>
                <w:b/>
                <w:bCs/>
                <w:sz w:val="22"/>
              </w:rPr>
              <w:t xml:space="preserve">Total Pacientes </w:t>
            </w:r>
          </w:p>
        </w:tc>
        <w:tc>
          <w:tcPr>
            <w:tcW w:w="0" w:type="auto"/>
            <w:tcBorders>
              <w:top w:val="nil"/>
              <w:left w:val="nil"/>
              <w:bottom w:val="nil"/>
              <w:right w:val="single" w:sz="8" w:space="0" w:color="auto"/>
            </w:tcBorders>
            <w:shd w:val="clear" w:color="auto" w:fill="auto"/>
            <w:noWrap/>
            <w:vAlign w:val="center"/>
            <w:hideMark/>
          </w:tcPr>
          <w:p w:rsidR="008170ED" w:rsidRPr="0014575E" w:rsidRDefault="008170ED" w:rsidP="001C0A2A">
            <w:pPr>
              <w:spacing w:after="0" w:line="240" w:lineRule="auto"/>
              <w:rPr>
                <w:b/>
                <w:bCs/>
                <w:sz w:val="22"/>
              </w:rPr>
            </w:pPr>
            <w:r w:rsidRPr="0014575E">
              <w:rPr>
                <w:b/>
                <w:bCs/>
                <w:sz w:val="22"/>
              </w:rPr>
              <w:t>Porcentaje frente al total de la PPL</w:t>
            </w:r>
          </w:p>
        </w:tc>
      </w:tr>
      <w:tr w:rsidR="008170ED" w:rsidRPr="005541B0" w:rsidTr="001C0A2A">
        <w:trPr>
          <w:trHeight w:val="360"/>
        </w:trPr>
        <w:tc>
          <w:tcPr>
            <w:tcW w:w="0" w:type="auto"/>
            <w:tcBorders>
              <w:top w:val="single" w:sz="8" w:space="0" w:color="auto"/>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VIH</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673</w:t>
            </w:r>
          </w:p>
        </w:tc>
        <w:tc>
          <w:tcPr>
            <w:tcW w:w="0" w:type="auto"/>
            <w:tcBorders>
              <w:top w:val="single" w:sz="8" w:space="0" w:color="auto"/>
              <w:left w:val="nil"/>
              <w:bottom w:val="single" w:sz="4" w:space="0" w:color="auto"/>
              <w:right w:val="single" w:sz="8" w:space="0" w:color="auto"/>
            </w:tcBorders>
            <w:shd w:val="clear" w:color="auto" w:fill="auto"/>
            <w:noWrap/>
            <w:vAlign w:val="bottom"/>
            <w:hideMark/>
          </w:tcPr>
          <w:p w:rsidR="008170ED" w:rsidRPr="0014575E" w:rsidRDefault="008170ED" w:rsidP="001C0A2A">
            <w:pPr>
              <w:spacing w:after="0" w:line="240" w:lineRule="auto"/>
              <w:rPr>
                <w:sz w:val="22"/>
              </w:rPr>
            </w:pPr>
            <w:r w:rsidRPr="0014575E">
              <w:rPr>
                <w:sz w:val="22"/>
              </w:rPr>
              <w:t>6,32</w:t>
            </w:r>
          </w:p>
        </w:tc>
      </w:tr>
      <w:tr w:rsidR="008170ED" w:rsidRPr="005541B0" w:rsidTr="001C0A2A">
        <w:trPr>
          <w:trHeight w:val="420"/>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Cáncer</w:t>
            </w:r>
          </w:p>
        </w:tc>
        <w:tc>
          <w:tcPr>
            <w:tcW w:w="0" w:type="auto"/>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121</w:t>
            </w:r>
          </w:p>
        </w:tc>
        <w:tc>
          <w:tcPr>
            <w:tcW w:w="0" w:type="auto"/>
            <w:tcBorders>
              <w:top w:val="nil"/>
              <w:left w:val="nil"/>
              <w:bottom w:val="single" w:sz="4" w:space="0" w:color="auto"/>
              <w:right w:val="single" w:sz="8" w:space="0" w:color="auto"/>
            </w:tcBorders>
            <w:shd w:val="clear" w:color="auto" w:fill="auto"/>
            <w:noWrap/>
            <w:vAlign w:val="bottom"/>
            <w:hideMark/>
          </w:tcPr>
          <w:p w:rsidR="008170ED" w:rsidRPr="0014575E" w:rsidRDefault="008170ED" w:rsidP="001C0A2A">
            <w:pPr>
              <w:spacing w:after="0" w:line="240" w:lineRule="auto"/>
              <w:rPr>
                <w:sz w:val="22"/>
              </w:rPr>
            </w:pPr>
            <w:r w:rsidRPr="0014575E">
              <w:rPr>
                <w:sz w:val="22"/>
              </w:rPr>
              <w:t>1,14</w:t>
            </w:r>
          </w:p>
        </w:tc>
      </w:tr>
      <w:tr w:rsidR="008170ED" w:rsidRPr="005541B0" w:rsidTr="001C0A2A">
        <w:trPr>
          <w:trHeight w:val="360"/>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Insuficiencia renal Crónica</w:t>
            </w:r>
          </w:p>
        </w:tc>
        <w:tc>
          <w:tcPr>
            <w:tcW w:w="0" w:type="auto"/>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63</w:t>
            </w:r>
          </w:p>
        </w:tc>
        <w:tc>
          <w:tcPr>
            <w:tcW w:w="0" w:type="auto"/>
            <w:tcBorders>
              <w:top w:val="nil"/>
              <w:left w:val="nil"/>
              <w:bottom w:val="single" w:sz="4" w:space="0" w:color="auto"/>
              <w:right w:val="single" w:sz="8" w:space="0" w:color="auto"/>
            </w:tcBorders>
            <w:shd w:val="clear" w:color="auto" w:fill="auto"/>
            <w:noWrap/>
            <w:vAlign w:val="bottom"/>
            <w:hideMark/>
          </w:tcPr>
          <w:p w:rsidR="008170ED" w:rsidRPr="0014575E" w:rsidRDefault="008170ED" w:rsidP="001C0A2A">
            <w:pPr>
              <w:spacing w:after="0" w:line="240" w:lineRule="auto"/>
              <w:rPr>
                <w:sz w:val="22"/>
              </w:rPr>
            </w:pPr>
            <w:r w:rsidRPr="0014575E">
              <w:rPr>
                <w:sz w:val="22"/>
              </w:rPr>
              <w:t>0,59</w:t>
            </w:r>
          </w:p>
        </w:tc>
      </w:tr>
      <w:tr w:rsidR="008170ED" w:rsidRPr="005541B0" w:rsidTr="001C0A2A">
        <w:trPr>
          <w:trHeight w:val="360"/>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Diabetes</w:t>
            </w:r>
          </w:p>
        </w:tc>
        <w:tc>
          <w:tcPr>
            <w:tcW w:w="0" w:type="auto"/>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1165</w:t>
            </w:r>
          </w:p>
        </w:tc>
        <w:tc>
          <w:tcPr>
            <w:tcW w:w="0" w:type="auto"/>
            <w:tcBorders>
              <w:top w:val="nil"/>
              <w:left w:val="nil"/>
              <w:bottom w:val="single" w:sz="4" w:space="0" w:color="auto"/>
              <w:right w:val="single" w:sz="8" w:space="0" w:color="auto"/>
            </w:tcBorders>
            <w:shd w:val="clear" w:color="auto" w:fill="auto"/>
            <w:noWrap/>
            <w:vAlign w:val="bottom"/>
            <w:hideMark/>
          </w:tcPr>
          <w:p w:rsidR="008170ED" w:rsidRPr="0014575E" w:rsidRDefault="008170ED" w:rsidP="001C0A2A">
            <w:pPr>
              <w:spacing w:after="0" w:line="240" w:lineRule="auto"/>
              <w:rPr>
                <w:sz w:val="22"/>
              </w:rPr>
            </w:pPr>
            <w:r w:rsidRPr="0014575E">
              <w:rPr>
                <w:sz w:val="22"/>
              </w:rPr>
              <w:t>10,95</w:t>
            </w:r>
          </w:p>
        </w:tc>
      </w:tr>
      <w:tr w:rsidR="008170ED" w:rsidRPr="005541B0" w:rsidTr="001C0A2A">
        <w:trPr>
          <w:trHeight w:val="360"/>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lastRenderedPageBreak/>
              <w:t>Hipertensión Arterial</w:t>
            </w:r>
          </w:p>
        </w:tc>
        <w:tc>
          <w:tcPr>
            <w:tcW w:w="0" w:type="auto"/>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4558</w:t>
            </w:r>
          </w:p>
        </w:tc>
        <w:tc>
          <w:tcPr>
            <w:tcW w:w="0" w:type="auto"/>
            <w:tcBorders>
              <w:top w:val="nil"/>
              <w:left w:val="nil"/>
              <w:bottom w:val="single" w:sz="4" w:space="0" w:color="auto"/>
              <w:right w:val="single" w:sz="8" w:space="0" w:color="auto"/>
            </w:tcBorders>
            <w:shd w:val="clear" w:color="auto" w:fill="auto"/>
            <w:noWrap/>
            <w:vAlign w:val="bottom"/>
            <w:hideMark/>
          </w:tcPr>
          <w:p w:rsidR="008170ED" w:rsidRPr="0014575E" w:rsidRDefault="008170ED" w:rsidP="001C0A2A">
            <w:pPr>
              <w:spacing w:after="0" w:line="240" w:lineRule="auto"/>
              <w:rPr>
                <w:sz w:val="22"/>
              </w:rPr>
            </w:pPr>
            <w:r w:rsidRPr="0014575E">
              <w:rPr>
                <w:sz w:val="22"/>
              </w:rPr>
              <w:t>42,82</w:t>
            </w:r>
          </w:p>
        </w:tc>
      </w:tr>
      <w:tr w:rsidR="008170ED" w:rsidRPr="005541B0" w:rsidTr="001C0A2A">
        <w:trPr>
          <w:trHeight w:val="360"/>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Enfermedad pulmonar obstructiva crónica</w:t>
            </w:r>
          </w:p>
        </w:tc>
        <w:tc>
          <w:tcPr>
            <w:tcW w:w="0" w:type="auto"/>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168</w:t>
            </w:r>
          </w:p>
        </w:tc>
        <w:tc>
          <w:tcPr>
            <w:tcW w:w="0" w:type="auto"/>
            <w:tcBorders>
              <w:top w:val="nil"/>
              <w:left w:val="nil"/>
              <w:bottom w:val="single" w:sz="4" w:space="0" w:color="auto"/>
              <w:right w:val="single" w:sz="8" w:space="0" w:color="auto"/>
            </w:tcBorders>
            <w:shd w:val="clear" w:color="auto" w:fill="auto"/>
            <w:noWrap/>
            <w:vAlign w:val="bottom"/>
            <w:hideMark/>
          </w:tcPr>
          <w:p w:rsidR="008170ED" w:rsidRPr="0014575E" w:rsidRDefault="008170ED" w:rsidP="001C0A2A">
            <w:pPr>
              <w:spacing w:after="0" w:line="240" w:lineRule="auto"/>
              <w:rPr>
                <w:sz w:val="22"/>
              </w:rPr>
            </w:pPr>
            <w:r w:rsidRPr="0014575E">
              <w:rPr>
                <w:sz w:val="22"/>
              </w:rPr>
              <w:t>1,58</w:t>
            </w:r>
          </w:p>
        </w:tc>
      </w:tr>
      <w:tr w:rsidR="008170ED" w:rsidRPr="005541B0" w:rsidTr="001C0A2A">
        <w:trPr>
          <w:trHeight w:val="360"/>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Varicela</w:t>
            </w:r>
          </w:p>
        </w:tc>
        <w:tc>
          <w:tcPr>
            <w:tcW w:w="0" w:type="auto"/>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39</w:t>
            </w:r>
          </w:p>
        </w:tc>
        <w:tc>
          <w:tcPr>
            <w:tcW w:w="0" w:type="auto"/>
            <w:tcBorders>
              <w:top w:val="nil"/>
              <w:left w:val="nil"/>
              <w:bottom w:val="single" w:sz="4" w:space="0" w:color="auto"/>
              <w:right w:val="single" w:sz="8" w:space="0" w:color="auto"/>
            </w:tcBorders>
            <w:shd w:val="clear" w:color="auto" w:fill="auto"/>
            <w:noWrap/>
            <w:vAlign w:val="bottom"/>
            <w:hideMark/>
          </w:tcPr>
          <w:p w:rsidR="008170ED" w:rsidRPr="0014575E" w:rsidRDefault="008170ED" w:rsidP="001C0A2A">
            <w:pPr>
              <w:spacing w:after="0" w:line="240" w:lineRule="auto"/>
              <w:rPr>
                <w:sz w:val="22"/>
              </w:rPr>
            </w:pPr>
            <w:r w:rsidRPr="0014575E">
              <w:rPr>
                <w:sz w:val="22"/>
              </w:rPr>
              <w:t>0,37</w:t>
            </w:r>
          </w:p>
        </w:tc>
      </w:tr>
      <w:tr w:rsidR="008170ED" w:rsidRPr="005541B0" w:rsidTr="001C0A2A">
        <w:trPr>
          <w:trHeight w:val="360"/>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Parotiditis</w:t>
            </w:r>
          </w:p>
        </w:tc>
        <w:tc>
          <w:tcPr>
            <w:tcW w:w="0" w:type="auto"/>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8</w:t>
            </w:r>
          </w:p>
        </w:tc>
        <w:tc>
          <w:tcPr>
            <w:tcW w:w="0" w:type="auto"/>
            <w:tcBorders>
              <w:top w:val="nil"/>
              <w:left w:val="nil"/>
              <w:bottom w:val="single" w:sz="4" w:space="0" w:color="auto"/>
              <w:right w:val="single" w:sz="8" w:space="0" w:color="auto"/>
            </w:tcBorders>
            <w:shd w:val="clear" w:color="auto" w:fill="auto"/>
            <w:noWrap/>
            <w:vAlign w:val="bottom"/>
            <w:hideMark/>
          </w:tcPr>
          <w:p w:rsidR="008170ED" w:rsidRPr="0014575E" w:rsidRDefault="008170ED" w:rsidP="001C0A2A">
            <w:pPr>
              <w:spacing w:after="0" w:line="240" w:lineRule="auto"/>
              <w:rPr>
                <w:sz w:val="22"/>
              </w:rPr>
            </w:pPr>
            <w:r w:rsidRPr="0014575E">
              <w:rPr>
                <w:sz w:val="22"/>
              </w:rPr>
              <w:t>0,08</w:t>
            </w:r>
          </w:p>
        </w:tc>
      </w:tr>
      <w:tr w:rsidR="008170ED" w:rsidRPr="005541B0" w:rsidTr="001C0A2A">
        <w:trPr>
          <w:trHeight w:val="360"/>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Tuberculosis</w:t>
            </w:r>
          </w:p>
        </w:tc>
        <w:tc>
          <w:tcPr>
            <w:tcW w:w="0" w:type="auto"/>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319</w:t>
            </w:r>
          </w:p>
        </w:tc>
        <w:tc>
          <w:tcPr>
            <w:tcW w:w="0" w:type="auto"/>
            <w:tcBorders>
              <w:top w:val="nil"/>
              <w:left w:val="nil"/>
              <w:bottom w:val="single" w:sz="4" w:space="0" w:color="auto"/>
              <w:right w:val="single" w:sz="8" w:space="0" w:color="auto"/>
            </w:tcBorders>
            <w:shd w:val="clear" w:color="auto" w:fill="auto"/>
            <w:noWrap/>
            <w:vAlign w:val="bottom"/>
            <w:hideMark/>
          </w:tcPr>
          <w:p w:rsidR="008170ED" w:rsidRPr="0014575E" w:rsidRDefault="008170ED" w:rsidP="001C0A2A">
            <w:pPr>
              <w:spacing w:after="0" w:line="240" w:lineRule="auto"/>
              <w:rPr>
                <w:sz w:val="22"/>
              </w:rPr>
            </w:pPr>
            <w:r w:rsidRPr="0014575E">
              <w:rPr>
                <w:sz w:val="22"/>
              </w:rPr>
              <w:t>3,00</w:t>
            </w:r>
          </w:p>
        </w:tc>
      </w:tr>
      <w:tr w:rsidR="008170ED" w:rsidRPr="005541B0" w:rsidTr="001C0A2A">
        <w:trPr>
          <w:trHeight w:val="360"/>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Psiquiátricos</w:t>
            </w:r>
          </w:p>
        </w:tc>
        <w:tc>
          <w:tcPr>
            <w:tcW w:w="0" w:type="auto"/>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2480</w:t>
            </w:r>
          </w:p>
        </w:tc>
        <w:tc>
          <w:tcPr>
            <w:tcW w:w="0" w:type="auto"/>
            <w:tcBorders>
              <w:top w:val="nil"/>
              <w:left w:val="nil"/>
              <w:bottom w:val="single" w:sz="4" w:space="0" w:color="auto"/>
              <w:right w:val="single" w:sz="8" w:space="0" w:color="auto"/>
            </w:tcBorders>
            <w:shd w:val="clear" w:color="auto" w:fill="auto"/>
            <w:noWrap/>
            <w:vAlign w:val="bottom"/>
            <w:hideMark/>
          </w:tcPr>
          <w:p w:rsidR="008170ED" w:rsidRPr="0014575E" w:rsidRDefault="008170ED" w:rsidP="001C0A2A">
            <w:pPr>
              <w:spacing w:after="0" w:line="240" w:lineRule="auto"/>
              <w:rPr>
                <w:sz w:val="22"/>
              </w:rPr>
            </w:pPr>
            <w:r w:rsidRPr="0014575E">
              <w:rPr>
                <w:sz w:val="22"/>
              </w:rPr>
              <w:t>23,30</w:t>
            </w:r>
          </w:p>
        </w:tc>
      </w:tr>
      <w:tr w:rsidR="008170ED" w:rsidRPr="005541B0" w:rsidTr="001C0A2A">
        <w:trPr>
          <w:trHeight w:val="360"/>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Enfermedad Diarreica Aguda</w:t>
            </w:r>
          </w:p>
        </w:tc>
        <w:tc>
          <w:tcPr>
            <w:tcW w:w="0" w:type="auto"/>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54</w:t>
            </w:r>
          </w:p>
        </w:tc>
        <w:tc>
          <w:tcPr>
            <w:tcW w:w="0" w:type="auto"/>
            <w:tcBorders>
              <w:top w:val="nil"/>
              <w:left w:val="nil"/>
              <w:bottom w:val="single" w:sz="4" w:space="0" w:color="auto"/>
              <w:right w:val="single" w:sz="8" w:space="0" w:color="auto"/>
            </w:tcBorders>
            <w:shd w:val="clear" w:color="auto" w:fill="auto"/>
            <w:noWrap/>
            <w:vAlign w:val="bottom"/>
            <w:hideMark/>
          </w:tcPr>
          <w:p w:rsidR="008170ED" w:rsidRPr="0014575E" w:rsidRDefault="008170ED" w:rsidP="001C0A2A">
            <w:pPr>
              <w:spacing w:after="0" w:line="240" w:lineRule="auto"/>
              <w:rPr>
                <w:sz w:val="22"/>
              </w:rPr>
            </w:pPr>
            <w:r w:rsidRPr="0014575E">
              <w:rPr>
                <w:sz w:val="22"/>
              </w:rPr>
              <w:t>0,51</w:t>
            </w:r>
          </w:p>
        </w:tc>
      </w:tr>
      <w:tr w:rsidR="008170ED" w:rsidRPr="005541B0" w:rsidTr="001C0A2A">
        <w:trPr>
          <w:trHeight w:val="360"/>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Cardiovasculares</w:t>
            </w:r>
          </w:p>
        </w:tc>
        <w:tc>
          <w:tcPr>
            <w:tcW w:w="0" w:type="auto"/>
            <w:tcBorders>
              <w:top w:val="nil"/>
              <w:left w:val="nil"/>
              <w:bottom w:val="single" w:sz="4"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622</w:t>
            </w:r>
          </w:p>
        </w:tc>
        <w:tc>
          <w:tcPr>
            <w:tcW w:w="0" w:type="auto"/>
            <w:tcBorders>
              <w:top w:val="nil"/>
              <w:left w:val="nil"/>
              <w:bottom w:val="single" w:sz="4" w:space="0" w:color="auto"/>
              <w:right w:val="single" w:sz="8" w:space="0" w:color="auto"/>
            </w:tcBorders>
            <w:shd w:val="clear" w:color="auto" w:fill="auto"/>
            <w:noWrap/>
            <w:vAlign w:val="bottom"/>
            <w:hideMark/>
          </w:tcPr>
          <w:p w:rsidR="008170ED" w:rsidRPr="0014575E" w:rsidRDefault="008170ED" w:rsidP="001C0A2A">
            <w:pPr>
              <w:spacing w:after="0" w:line="240" w:lineRule="auto"/>
              <w:rPr>
                <w:sz w:val="22"/>
              </w:rPr>
            </w:pPr>
            <w:r w:rsidRPr="0014575E">
              <w:rPr>
                <w:sz w:val="22"/>
              </w:rPr>
              <w:t>5,84</w:t>
            </w:r>
          </w:p>
        </w:tc>
      </w:tr>
      <w:tr w:rsidR="008170ED" w:rsidRPr="005541B0" w:rsidTr="001C0A2A">
        <w:trPr>
          <w:trHeight w:val="375"/>
        </w:trPr>
        <w:tc>
          <w:tcPr>
            <w:tcW w:w="0" w:type="auto"/>
            <w:tcBorders>
              <w:top w:val="nil"/>
              <w:left w:val="single" w:sz="8" w:space="0" w:color="auto"/>
              <w:bottom w:val="single" w:sz="8"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Infección Respiratoria Aguda</w:t>
            </w:r>
          </w:p>
        </w:tc>
        <w:tc>
          <w:tcPr>
            <w:tcW w:w="0" w:type="auto"/>
            <w:tcBorders>
              <w:top w:val="nil"/>
              <w:left w:val="nil"/>
              <w:bottom w:val="single" w:sz="8" w:space="0" w:color="auto"/>
              <w:right w:val="single" w:sz="4" w:space="0" w:color="auto"/>
            </w:tcBorders>
            <w:shd w:val="clear" w:color="auto" w:fill="auto"/>
            <w:noWrap/>
            <w:vAlign w:val="center"/>
            <w:hideMark/>
          </w:tcPr>
          <w:p w:rsidR="008170ED" w:rsidRPr="0014575E" w:rsidRDefault="008170ED" w:rsidP="001C0A2A">
            <w:pPr>
              <w:spacing w:after="0" w:line="240" w:lineRule="auto"/>
              <w:rPr>
                <w:sz w:val="22"/>
              </w:rPr>
            </w:pPr>
            <w:r w:rsidRPr="0014575E">
              <w:rPr>
                <w:sz w:val="22"/>
              </w:rPr>
              <w:t>374</w:t>
            </w:r>
          </w:p>
        </w:tc>
        <w:tc>
          <w:tcPr>
            <w:tcW w:w="0" w:type="auto"/>
            <w:tcBorders>
              <w:top w:val="nil"/>
              <w:left w:val="nil"/>
              <w:bottom w:val="single" w:sz="8" w:space="0" w:color="auto"/>
              <w:right w:val="single" w:sz="8" w:space="0" w:color="auto"/>
            </w:tcBorders>
            <w:shd w:val="clear" w:color="auto" w:fill="auto"/>
            <w:noWrap/>
            <w:vAlign w:val="bottom"/>
            <w:hideMark/>
          </w:tcPr>
          <w:p w:rsidR="008170ED" w:rsidRPr="0014575E" w:rsidRDefault="008170ED" w:rsidP="001C0A2A">
            <w:pPr>
              <w:spacing w:after="0" w:line="240" w:lineRule="auto"/>
              <w:rPr>
                <w:sz w:val="22"/>
              </w:rPr>
            </w:pPr>
            <w:r w:rsidRPr="0014575E">
              <w:rPr>
                <w:sz w:val="22"/>
              </w:rPr>
              <w:t>3,51</w:t>
            </w:r>
          </w:p>
        </w:tc>
      </w:tr>
      <w:tr w:rsidR="008170ED" w:rsidRPr="005541B0" w:rsidTr="001C0A2A">
        <w:trPr>
          <w:trHeight w:val="375"/>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8170ED" w:rsidRPr="0014575E" w:rsidRDefault="008170ED" w:rsidP="001C0A2A">
            <w:pPr>
              <w:spacing w:after="0" w:line="240" w:lineRule="auto"/>
              <w:rPr>
                <w:b/>
                <w:bCs/>
                <w:sz w:val="22"/>
              </w:rPr>
            </w:pPr>
            <w:r w:rsidRPr="0014575E">
              <w:rPr>
                <w:b/>
                <w:bCs/>
                <w:sz w:val="22"/>
              </w:rPr>
              <w:t>GRAN TOTAL</w:t>
            </w:r>
          </w:p>
        </w:tc>
        <w:tc>
          <w:tcPr>
            <w:tcW w:w="0" w:type="auto"/>
            <w:tcBorders>
              <w:top w:val="nil"/>
              <w:left w:val="nil"/>
              <w:bottom w:val="single" w:sz="8" w:space="0" w:color="auto"/>
              <w:right w:val="single" w:sz="8" w:space="0" w:color="auto"/>
            </w:tcBorders>
            <w:shd w:val="clear" w:color="000000" w:fill="D9D9D9"/>
            <w:noWrap/>
            <w:vAlign w:val="center"/>
            <w:hideMark/>
          </w:tcPr>
          <w:p w:rsidR="008170ED" w:rsidRPr="0014575E" w:rsidRDefault="008170ED" w:rsidP="001C0A2A">
            <w:pPr>
              <w:spacing w:after="0" w:line="240" w:lineRule="auto"/>
              <w:rPr>
                <w:b/>
                <w:bCs/>
                <w:sz w:val="22"/>
              </w:rPr>
            </w:pPr>
            <w:r w:rsidRPr="0014575E">
              <w:rPr>
                <w:b/>
                <w:bCs/>
                <w:sz w:val="22"/>
              </w:rPr>
              <w:t>10.644</w:t>
            </w:r>
          </w:p>
        </w:tc>
        <w:tc>
          <w:tcPr>
            <w:tcW w:w="0" w:type="auto"/>
            <w:tcBorders>
              <w:top w:val="nil"/>
              <w:left w:val="nil"/>
              <w:bottom w:val="single" w:sz="8" w:space="0" w:color="auto"/>
              <w:right w:val="single" w:sz="8" w:space="0" w:color="auto"/>
            </w:tcBorders>
            <w:shd w:val="clear" w:color="000000" w:fill="D9D9D9"/>
            <w:noWrap/>
            <w:vAlign w:val="center"/>
            <w:hideMark/>
          </w:tcPr>
          <w:p w:rsidR="008170ED" w:rsidRPr="0014575E" w:rsidRDefault="008170ED" w:rsidP="001C0A2A">
            <w:pPr>
              <w:spacing w:after="0" w:line="240" w:lineRule="auto"/>
              <w:rPr>
                <w:b/>
                <w:bCs/>
                <w:sz w:val="22"/>
              </w:rPr>
            </w:pPr>
            <w:r w:rsidRPr="0014575E">
              <w:rPr>
                <w:b/>
                <w:bCs/>
                <w:sz w:val="22"/>
              </w:rPr>
              <w:t>100</w:t>
            </w:r>
          </w:p>
        </w:tc>
      </w:tr>
    </w:tbl>
    <w:p w:rsidR="008170ED" w:rsidRDefault="008170ED" w:rsidP="008170ED">
      <w:pPr>
        <w:spacing w:after="0" w:line="240" w:lineRule="auto"/>
        <w:jc w:val="both"/>
        <w:rPr>
          <w:i/>
          <w:sz w:val="22"/>
        </w:rPr>
      </w:pPr>
      <w:r w:rsidRPr="0045670E">
        <w:rPr>
          <w:i/>
          <w:sz w:val="22"/>
        </w:rPr>
        <w:t>Fuente: Centro Estratégico de Información Penitenciaria “CEDIP”. 29/08/2016.</w:t>
      </w:r>
    </w:p>
    <w:p w:rsidR="008170ED" w:rsidRPr="0045670E" w:rsidRDefault="008170ED" w:rsidP="008170ED">
      <w:pPr>
        <w:spacing w:line="360" w:lineRule="auto"/>
        <w:jc w:val="both"/>
        <w:rPr>
          <w:b/>
          <w:sz w:val="22"/>
        </w:rPr>
      </w:pPr>
    </w:p>
    <w:bookmarkEnd w:id="4"/>
    <w:bookmarkEnd w:id="5"/>
    <w:p w:rsidR="008170ED" w:rsidRPr="00F7232C" w:rsidRDefault="008170ED" w:rsidP="008170ED">
      <w:pPr>
        <w:pStyle w:val="ListParagraph"/>
        <w:numPr>
          <w:ilvl w:val="0"/>
          <w:numId w:val="34"/>
        </w:numPr>
        <w:spacing w:line="360" w:lineRule="auto"/>
        <w:jc w:val="both"/>
        <w:rPr>
          <w:b/>
          <w:bCs/>
          <w:iCs/>
          <w:sz w:val="22"/>
          <w:lang w:val="es-ES"/>
        </w:rPr>
      </w:pPr>
      <w:r w:rsidRPr="00F7232C">
        <w:rPr>
          <w:b/>
          <w:bCs/>
          <w:iCs/>
          <w:sz w:val="22"/>
          <w:lang w:val="es-ES"/>
        </w:rPr>
        <w:t>Red Externa de Operadores en Salud.</w:t>
      </w:r>
    </w:p>
    <w:p w:rsidR="008170ED" w:rsidRPr="0045670E" w:rsidRDefault="008170ED" w:rsidP="008170ED">
      <w:pPr>
        <w:jc w:val="both"/>
        <w:rPr>
          <w:sz w:val="22"/>
        </w:rPr>
      </w:pPr>
      <w:r>
        <w:rPr>
          <w:sz w:val="22"/>
        </w:rPr>
        <w:t>La Defensoría del Pueblo</w:t>
      </w:r>
      <w:r w:rsidRPr="0045670E">
        <w:rPr>
          <w:sz w:val="22"/>
        </w:rPr>
        <w:t xml:space="preserve"> evidenció que gran parte de la red hospitalaria extramural que </w:t>
      </w:r>
      <w:r>
        <w:rPr>
          <w:sz w:val="22"/>
        </w:rPr>
        <w:t xml:space="preserve">según el Fondo Nacional de Atención en Salud a la PPL </w:t>
      </w:r>
      <w:r w:rsidRPr="0045670E">
        <w:rPr>
          <w:sz w:val="22"/>
        </w:rPr>
        <w:t xml:space="preserve">brindaba los servicios a los centros de reclusión, no contaba con contratos sino con cartas de intención, que en algunos casos se encontraban vencidas; se constató </w:t>
      </w:r>
      <w:r>
        <w:rPr>
          <w:sz w:val="22"/>
        </w:rPr>
        <w:t xml:space="preserve">también </w:t>
      </w:r>
      <w:r w:rsidRPr="0045670E">
        <w:rPr>
          <w:sz w:val="22"/>
        </w:rPr>
        <w:t xml:space="preserve">que </w:t>
      </w:r>
      <w:r>
        <w:rPr>
          <w:sz w:val="22"/>
        </w:rPr>
        <w:t>en algunos casos las</w:t>
      </w:r>
      <w:r w:rsidRPr="0045670E">
        <w:rPr>
          <w:sz w:val="22"/>
        </w:rPr>
        <w:t xml:space="preserve"> autorizaciones </w:t>
      </w:r>
      <w:r>
        <w:rPr>
          <w:sz w:val="22"/>
        </w:rPr>
        <w:t xml:space="preserve">de procedimientos y/o atenciones se expidieron </w:t>
      </w:r>
      <w:r w:rsidRPr="0045670E">
        <w:rPr>
          <w:sz w:val="22"/>
        </w:rPr>
        <w:t>para hospitales con los cuales no se había suscrito contrato, y, por ende, no s</w:t>
      </w:r>
      <w:r>
        <w:rPr>
          <w:sz w:val="22"/>
        </w:rPr>
        <w:t xml:space="preserve">e prestaba el servicio a la PPL; finalmente </w:t>
      </w:r>
      <w:r w:rsidRPr="0045670E">
        <w:rPr>
          <w:sz w:val="22"/>
        </w:rPr>
        <w:t xml:space="preserve">algunos establecimientos cuentan con contratación con la red externa de operadores en municipios muy apartados del centro carcelario, imposibilitando en muchos casos el traslado de los internos a las distintas EPS o IPS. </w:t>
      </w:r>
    </w:p>
    <w:p w:rsidR="008170ED" w:rsidRPr="00F7232C" w:rsidRDefault="008170ED" w:rsidP="008170ED">
      <w:pPr>
        <w:pStyle w:val="ListParagraph"/>
        <w:numPr>
          <w:ilvl w:val="0"/>
          <w:numId w:val="34"/>
        </w:numPr>
        <w:spacing w:line="360" w:lineRule="auto"/>
        <w:jc w:val="both"/>
        <w:rPr>
          <w:b/>
          <w:bCs/>
          <w:iCs/>
          <w:sz w:val="22"/>
          <w:lang w:val="es-ES"/>
        </w:rPr>
      </w:pPr>
      <w:r w:rsidRPr="00F7232C">
        <w:rPr>
          <w:b/>
          <w:bCs/>
          <w:iCs/>
          <w:sz w:val="22"/>
          <w:lang w:val="es-ES"/>
        </w:rPr>
        <w:t>Programas de Salud Pública.</w:t>
      </w:r>
    </w:p>
    <w:p w:rsidR="008170ED" w:rsidRPr="0045670E" w:rsidRDefault="008170ED" w:rsidP="008170ED">
      <w:pPr>
        <w:jc w:val="both"/>
        <w:rPr>
          <w:sz w:val="22"/>
        </w:rPr>
      </w:pPr>
      <w:r w:rsidRPr="0045670E">
        <w:rPr>
          <w:sz w:val="22"/>
        </w:rPr>
        <w:t>En el seguimiento continuo a la prestación de los servicios de salud que realiza la Defensoría Delegada para la Política Criminal y Penitenciaria, se ha constatado la falta de continuidad en los programas de salud pública para pacientes con patologías de VIH, tuberculosis, salud mental y en general programas de promoción y prevención, en particular para la población con características prioritarias como son las mujeres gestantes, menores de tres años y adultos mayores.</w:t>
      </w:r>
    </w:p>
    <w:p w:rsidR="008170ED" w:rsidRDefault="008170ED" w:rsidP="008170ED">
      <w:pPr>
        <w:jc w:val="both"/>
        <w:rPr>
          <w:sz w:val="22"/>
        </w:rPr>
      </w:pPr>
      <w:r w:rsidRPr="0045670E">
        <w:rPr>
          <w:sz w:val="22"/>
        </w:rPr>
        <w:t>Así mismo, se presentan deficiencias en la ejecución  de programas para controles prenatales, citologías, alteraciones de crecimiento y desarrollo, etc. Deficiencias que son el reflejo de la falta de personal médico suficiente y la ausencia de insumos para ejecutar los referidos programas.</w:t>
      </w:r>
    </w:p>
    <w:p w:rsidR="008170ED" w:rsidRPr="00F7232C" w:rsidRDefault="008170ED" w:rsidP="008170ED">
      <w:pPr>
        <w:pStyle w:val="ListParagraph"/>
        <w:numPr>
          <w:ilvl w:val="0"/>
          <w:numId w:val="34"/>
        </w:numPr>
        <w:spacing w:line="360" w:lineRule="auto"/>
        <w:jc w:val="both"/>
        <w:rPr>
          <w:b/>
          <w:bCs/>
          <w:iCs/>
          <w:sz w:val="22"/>
          <w:lang w:val="es-ES"/>
        </w:rPr>
      </w:pPr>
      <w:r w:rsidRPr="00F7232C">
        <w:rPr>
          <w:b/>
          <w:bCs/>
          <w:iCs/>
          <w:sz w:val="22"/>
          <w:lang w:val="es-ES"/>
        </w:rPr>
        <w:lastRenderedPageBreak/>
        <w:t>Población con Patología VIH.</w:t>
      </w:r>
    </w:p>
    <w:p w:rsidR="008170ED" w:rsidRPr="0045670E" w:rsidRDefault="008170ED" w:rsidP="008170ED">
      <w:pPr>
        <w:jc w:val="both"/>
        <w:rPr>
          <w:sz w:val="22"/>
        </w:rPr>
      </w:pPr>
      <w:r w:rsidRPr="0056579D">
        <w:rPr>
          <w:sz w:val="22"/>
        </w:rPr>
        <w:t>Gran parte de los establecimientos carcelarios no contaron con medicamentos para patologías de VIH durante el p</w:t>
      </w:r>
      <w:r>
        <w:rPr>
          <w:sz w:val="22"/>
        </w:rPr>
        <w:t>rimer semestre del 2016</w:t>
      </w:r>
      <w:r w:rsidRPr="0056579D">
        <w:rPr>
          <w:sz w:val="22"/>
        </w:rPr>
        <w:t>,</w:t>
      </w:r>
      <w:r>
        <w:rPr>
          <w:sz w:val="22"/>
        </w:rPr>
        <w:t xml:space="preserve"> ya que el Fondo de Atención en Salud para la PPL no había realizado contratación con ninguna entidad para garantizar la continuidad en el tratamiento de los </w:t>
      </w:r>
      <w:r w:rsidRPr="0045670E">
        <w:rPr>
          <w:sz w:val="22"/>
        </w:rPr>
        <w:t>657</w:t>
      </w:r>
      <w:r>
        <w:rPr>
          <w:sz w:val="22"/>
        </w:rPr>
        <w:t xml:space="preserve"> internos que han sido diagnosticados con esta patología, </w:t>
      </w:r>
      <w:r w:rsidRPr="0056579D">
        <w:rPr>
          <w:sz w:val="22"/>
        </w:rPr>
        <w:t>agudizando el estado de salud de esta población.</w:t>
      </w:r>
      <w:r>
        <w:rPr>
          <w:sz w:val="22"/>
        </w:rPr>
        <w:t xml:space="preserve"> </w:t>
      </w:r>
      <w:r w:rsidRPr="0045670E">
        <w:rPr>
          <w:sz w:val="22"/>
        </w:rPr>
        <w:t xml:space="preserve">Pese a que el Consorcio Fondo de Atención en salud para la PPL, estableció contratos con entidades para la prestación de este servicio, </w:t>
      </w:r>
      <w:r>
        <w:rPr>
          <w:sz w:val="22"/>
        </w:rPr>
        <w:t xml:space="preserve">en </w:t>
      </w:r>
      <w:r w:rsidRPr="0045670E">
        <w:rPr>
          <w:sz w:val="22"/>
        </w:rPr>
        <w:t xml:space="preserve">julio </w:t>
      </w:r>
      <w:r>
        <w:rPr>
          <w:sz w:val="22"/>
        </w:rPr>
        <w:t xml:space="preserve">de 2016 aún </w:t>
      </w:r>
      <w:r w:rsidRPr="0045670E">
        <w:rPr>
          <w:sz w:val="22"/>
        </w:rPr>
        <w:t xml:space="preserve">persistían dificultades en la </w:t>
      </w:r>
      <w:r>
        <w:rPr>
          <w:sz w:val="22"/>
        </w:rPr>
        <w:t>continuidad</w:t>
      </w:r>
      <w:r w:rsidRPr="0045670E">
        <w:rPr>
          <w:sz w:val="22"/>
        </w:rPr>
        <w:t xml:space="preserve"> de sus tratamientos y </w:t>
      </w:r>
      <w:r>
        <w:rPr>
          <w:sz w:val="22"/>
        </w:rPr>
        <w:t>el suministro de medicamentos.</w:t>
      </w:r>
    </w:p>
    <w:p w:rsidR="008170ED" w:rsidRDefault="008170ED" w:rsidP="008170ED">
      <w:pPr>
        <w:jc w:val="both"/>
        <w:rPr>
          <w:sz w:val="22"/>
        </w:rPr>
      </w:pPr>
      <w:r w:rsidRPr="0045670E">
        <w:rPr>
          <w:sz w:val="22"/>
        </w:rPr>
        <w:t>En particular, la situación se agrava en aquellos establecimientos como por ejemplo el Complejo El Pedregal, que según información reportada en la primera semana de agosto</w:t>
      </w:r>
      <w:r>
        <w:rPr>
          <w:sz w:val="22"/>
        </w:rPr>
        <w:t xml:space="preserve"> de 2016</w:t>
      </w:r>
      <w:r w:rsidRPr="0045670E">
        <w:rPr>
          <w:sz w:val="22"/>
        </w:rPr>
        <w:t>, los internos diagnosticados se encontraban sin tratamien</w:t>
      </w:r>
      <w:r>
        <w:rPr>
          <w:sz w:val="22"/>
        </w:rPr>
        <w:t>to desde el 23 de febrero de es</w:t>
      </w:r>
      <w:r w:rsidRPr="0045670E">
        <w:rPr>
          <w:sz w:val="22"/>
        </w:rPr>
        <w:t xml:space="preserve">e </w:t>
      </w:r>
      <w:r>
        <w:rPr>
          <w:sz w:val="22"/>
        </w:rPr>
        <w:t xml:space="preserve">mismo </w:t>
      </w:r>
      <w:r w:rsidRPr="0045670E">
        <w:rPr>
          <w:sz w:val="22"/>
        </w:rPr>
        <w:t xml:space="preserve">año. </w:t>
      </w:r>
      <w:r>
        <w:rPr>
          <w:sz w:val="22"/>
        </w:rPr>
        <w:t>Situación similar se presentó</w:t>
      </w:r>
      <w:r w:rsidRPr="0045670E">
        <w:rPr>
          <w:sz w:val="22"/>
        </w:rPr>
        <w:t xml:space="preserve"> en el establecimiento de Apartadó, que contaba con siete (7) pacientes diagnosticados con VIH-SIDA, quienes en lo corrido del </w:t>
      </w:r>
      <w:r>
        <w:rPr>
          <w:sz w:val="22"/>
        </w:rPr>
        <w:t>2016</w:t>
      </w:r>
      <w:r w:rsidRPr="0045670E">
        <w:rPr>
          <w:sz w:val="22"/>
        </w:rPr>
        <w:t xml:space="preserve"> no habían recibido suministro de medicamentos para el control respectivo, así como tampoco contaban con la atención especializada </w:t>
      </w:r>
      <w:r>
        <w:rPr>
          <w:sz w:val="22"/>
        </w:rPr>
        <w:t>necesaria para su enfermedad</w:t>
      </w:r>
      <w:r w:rsidRPr="0045670E">
        <w:rPr>
          <w:sz w:val="22"/>
        </w:rPr>
        <w:t xml:space="preserve">. </w:t>
      </w:r>
    </w:p>
    <w:p w:rsidR="008170ED" w:rsidRPr="00F7232C" w:rsidRDefault="00F7232C" w:rsidP="008170ED">
      <w:pPr>
        <w:pStyle w:val="ListParagraph"/>
        <w:numPr>
          <w:ilvl w:val="0"/>
          <w:numId w:val="34"/>
        </w:numPr>
        <w:spacing w:line="360" w:lineRule="auto"/>
        <w:jc w:val="both"/>
        <w:rPr>
          <w:b/>
          <w:bCs/>
          <w:iCs/>
          <w:sz w:val="22"/>
          <w:lang w:val="es-ES"/>
        </w:rPr>
      </w:pPr>
      <w:r>
        <w:rPr>
          <w:b/>
          <w:bCs/>
          <w:iCs/>
          <w:sz w:val="22"/>
          <w:lang w:val="es-ES"/>
        </w:rPr>
        <w:t xml:space="preserve">Atención en </w:t>
      </w:r>
      <w:r w:rsidR="008170ED" w:rsidRPr="00F7232C">
        <w:rPr>
          <w:b/>
          <w:bCs/>
          <w:iCs/>
          <w:sz w:val="22"/>
          <w:lang w:val="es-ES"/>
        </w:rPr>
        <w:t>Salud Mental.</w:t>
      </w:r>
    </w:p>
    <w:p w:rsidR="008170ED" w:rsidRPr="00F12245" w:rsidRDefault="008170ED" w:rsidP="008170ED">
      <w:pPr>
        <w:spacing w:after="0"/>
        <w:jc w:val="both"/>
        <w:rPr>
          <w:rFonts w:cs="Arial"/>
          <w:sz w:val="22"/>
        </w:rPr>
      </w:pPr>
      <w:r w:rsidRPr="00F12245">
        <w:rPr>
          <w:rFonts w:cs="Arial"/>
          <w:sz w:val="22"/>
        </w:rPr>
        <w:t>Durante el</w:t>
      </w:r>
      <w:r>
        <w:rPr>
          <w:rFonts w:cs="Arial"/>
          <w:sz w:val="22"/>
        </w:rPr>
        <w:t xml:space="preserve"> año</w:t>
      </w:r>
      <w:r w:rsidRPr="00F12245">
        <w:rPr>
          <w:rFonts w:cs="Arial"/>
          <w:sz w:val="22"/>
        </w:rPr>
        <w:t xml:space="preserve"> 2015, la Defensoría Delgada para la Política Criminal y Penitenciaria en el marco del plan operativo estratégico, adelantó visitas de inspección a 12 establecimientos de reclusión del orden nacional de los 102 en los que </w:t>
      </w:r>
      <w:r>
        <w:rPr>
          <w:rFonts w:cs="Arial"/>
          <w:sz w:val="22"/>
        </w:rPr>
        <w:t>-</w:t>
      </w:r>
      <w:r w:rsidRPr="00F12245">
        <w:rPr>
          <w:rFonts w:cs="Arial"/>
          <w:sz w:val="22"/>
        </w:rPr>
        <w:t>de acuerdo con información suministrada por el INPEC- se</w:t>
      </w:r>
      <w:r>
        <w:rPr>
          <w:rFonts w:cs="Arial"/>
          <w:sz w:val="22"/>
        </w:rPr>
        <w:t xml:space="preserve"> encontraban</w:t>
      </w:r>
      <w:r w:rsidRPr="00F12245">
        <w:rPr>
          <w:rFonts w:cs="Arial"/>
          <w:sz w:val="22"/>
        </w:rPr>
        <w:t xml:space="preserve"> personas privadas de la libertad diagnosticadas con trastorno mental, con el fin de verificar las condici</w:t>
      </w:r>
      <w:r>
        <w:rPr>
          <w:rFonts w:cs="Arial"/>
          <w:sz w:val="22"/>
        </w:rPr>
        <w:t>ones de prestación del servicio.</w:t>
      </w:r>
    </w:p>
    <w:p w:rsidR="008170ED" w:rsidRPr="00F12245" w:rsidRDefault="008170ED" w:rsidP="008170ED">
      <w:pPr>
        <w:spacing w:after="0"/>
        <w:jc w:val="both"/>
        <w:rPr>
          <w:rFonts w:cs="Arial"/>
          <w:sz w:val="22"/>
        </w:rPr>
      </w:pPr>
    </w:p>
    <w:p w:rsidR="008170ED" w:rsidRPr="00F12245" w:rsidRDefault="008170ED" w:rsidP="008170ED">
      <w:pPr>
        <w:spacing w:after="0"/>
        <w:jc w:val="both"/>
        <w:rPr>
          <w:rFonts w:cs="Arial"/>
          <w:sz w:val="22"/>
        </w:rPr>
      </w:pPr>
      <w:r w:rsidRPr="00F12245">
        <w:rPr>
          <w:rFonts w:cs="Arial"/>
          <w:sz w:val="22"/>
        </w:rPr>
        <w:t>El estudio adelantado</w:t>
      </w:r>
      <w:r>
        <w:rPr>
          <w:rFonts w:cs="Arial"/>
          <w:sz w:val="22"/>
        </w:rPr>
        <w:t xml:space="preserve"> con el apoyo de la profesional en Psicología de la Delegada para la Política Criminal y Penitenciaria,</w:t>
      </w:r>
      <w:r w:rsidRPr="00F12245">
        <w:rPr>
          <w:rFonts w:cs="Arial"/>
          <w:sz w:val="22"/>
        </w:rPr>
        <w:t xml:space="preserve"> permitió identificar entre otras cosas que</w:t>
      </w:r>
      <w:r>
        <w:rPr>
          <w:rFonts w:cs="Arial"/>
          <w:sz w:val="22"/>
        </w:rPr>
        <w:t xml:space="preserve">, </w:t>
      </w:r>
      <w:r w:rsidRPr="00F12245">
        <w:rPr>
          <w:rFonts w:cs="Arial"/>
          <w:sz w:val="22"/>
        </w:rPr>
        <w:t>comparativamente- existe una mayor incidencia de trastornos mentales en las mujeres privadas de la libertad y que, paradójicamente, es la población que menos atención recibe, ya que (i) a nivel nacional no se cuenta con unidades de salud mental para mujeres  y (ii) sólo  4 establecimientos a nivel nacional reciben el modelo tipo B de atención por la IPS GIH-Mariana</w:t>
      </w:r>
      <w:r>
        <w:rPr>
          <w:rFonts w:cs="Arial"/>
          <w:sz w:val="22"/>
        </w:rPr>
        <w:t xml:space="preserve"> en el que se garantiza atención psiquiátrica bimensual</w:t>
      </w:r>
      <w:r w:rsidRPr="00F12245">
        <w:rPr>
          <w:rFonts w:cs="Arial"/>
          <w:sz w:val="22"/>
        </w:rPr>
        <w:t>, en los 20 restantes se aplica el modelo tipo C</w:t>
      </w:r>
      <w:r>
        <w:rPr>
          <w:rFonts w:cs="Arial"/>
          <w:sz w:val="22"/>
        </w:rPr>
        <w:t xml:space="preserve"> en el que es potestad del médico especialista la frecuencia de la atención</w:t>
      </w:r>
      <w:r w:rsidRPr="00F12245">
        <w:rPr>
          <w:rFonts w:cs="Arial"/>
          <w:sz w:val="22"/>
        </w:rPr>
        <w:t>.</w:t>
      </w:r>
    </w:p>
    <w:p w:rsidR="008170ED" w:rsidRPr="00F12245" w:rsidRDefault="008170ED" w:rsidP="008170ED">
      <w:pPr>
        <w:spacing w:after="0"/>
        <w:jc w:val="both"/>
        <w:rPr>
          <w:rFonts w:cs="Arial"/>
          <w:sz w:val="22"/>
        </w:rPr>
      </w:pPr>
    </w:p>
    <w:p w:rsidR="008170ED" w:rsidRDefault="008170ED" w:rsidP="008170ED">
      <w:pPr>
        <w:spacing w:after="0"/>
        <w:jc w:val="both"/>
        <w:rPr>
          <w:rFonts w:cs="Arial"/>
          <w:sz w:val="22"/>
        </w:rPr>
      </w:pPr>
      <w:r w:rsidRPr="00F12245">
        <w:rPr>
          <w:rFonts w:cs="Arial"/>
          <w:sz w:val="22"/>
        </w:rPr>
        <w:t xml:space="preserve">De acuerdo a información suministrada por el Fondo de Atención en Salud a la Población Privada de la Libertad, hasta el </w:t>
      </w:r>
      <w:r w:rsidRPr="00F12245">
        <w:rPr>
          <w:rFonts w:cs="Arial"/>
          <w:b/>
          <w:sz w:val="22"/>
        </w:rPr>
        <w:t>30 de junio de 2.016</w:t>
      </w:r>
      <w:r w:rsidRPr="00F12245">
        <w:rPr>
          <w:rFonts w:cs="Arial"/>
          <w:sz w:val="22"/>
        </w:rPr>
        <w:t xml:space="preserve">, en el país se encontraban registradas 2.335 personas privadas de la libertad que han recibido un </w:t>
      </w:r>
      <w:r w:rsidRPr="00F12245">
        <w:rPr>
          <w:rFonts w:cs="Arial"/>
          <w:sz w:val="22"/>
        </w:rPr>
        <w:lastRenderedPageBreak/>
        <w:t>diagnóstico de trastorno mental y que se encuentran</w:t>
      </w:r>
      <w:r w:rsidRPr="00F12245">
        <w:rPr>
          <w:rFonts w:ascii="Arial" w:hAnsi="Arial" w:cs="Arial"/>
          <w:sz w:val="22"/>
        </w:rPr>
        <w:t xml:space="preserve"> </w:t>
      </w:r>
      <w:r w:rsidRPr="00F12245">
        <w:rPr>
          <w:rFonts w:cs="Arial"/>
          <w:sz w:val="22"/>
        </w:rPr>
        <w:t xml:space="preserve">recibiendo tratamiento por parte de las IPS contratadas por el Fondo de Atención en Salud para la Población Privada de la Libertad, de los cuales 2.140 son hombres y 195 son mujeres. </w:t>
      </w:r>
    </w:p>
    <w:p w:rsidR="008170ED" w:rsidRPr="00F12245" w:rsidRDefault="008170ED" w:rsidP="008170ED">
      <w:pPr>
        <w:spacing w:after="0"/>
        <w:jc w:val="both"/>
        <w:rPr>
          <w:rFonts w:cs="Arial"/>
          <w:sz w:val="22"/>
        </w:rPr>
      </w:pPr>
    </w:p>
    <w:p w:rsidR="008170ED" w:rsidRDefault="008170ED" w:rsidP="008170ED">
      <w:pPr>
        <w:spacing w:after="0"/>
        <w:jc w:val="both"/>
        <w:rPr>
          <w:rFonts w:cs="Arial"/>
          <w:sz w:val="22"/>
        </w:rPr>
      </w:pPr>
      <w:r w:rsidRPr="00F12245">
        <w:rPr>
          <w:rFonts w:cs="Arial"/>
          <w:sz w:val="22"/>
        </w:rPr>
        <w:t>Estas 195 mujeres diagnosticadas con trastorno mental corresponden al 2.34% de la población femenina privada de la libertad (8.323 para junio de 2016)</w:t>
      </w:r>
      <w:r w:rsidRPr="00F12245">
        <w:rPr>
          <w:rStyle w:val="FootnoteReference"/>
          <w:rFonts w:cs="Arial"/>
          <w:sz w:val="22"/>
        </w:rPr>
        <w:footnoteReference w:id="2"/>
      </w:r>
      <w:r w:rsidRPr="00F12245">
        <w:rPr>
          <w:rFonts w:cs="Arial"/>
          <w:sz w:val="22"/>
        </w:rPr>
        <w:t>,  que en comparación con el 1.89% de la población masculina en la que se han diagnosticado trastornos mentales, mantiene la tendencia de una mayor prevalencia de la enfermedad mental en la población femenina.</w:t>
      </w:r>
    </w:p>
    <w:p w:rsidR="008170ED" w:rsidRDefault="008170ED" w:rsidP="008170ED">
      <w:pPr>
        <w:spacing w:after="0"/>
        <w:jc w:val="both"/>
        <w:rPr>
          <w:rFonts w:cs="Arial"/>
          <w:sz w:val="22"/>
        </w:rPr>
      </w:pPr>
    </w:p>
    <w:p w:rsidR="008170ED" w:rsidRPr="00F12245" w:rsidRDefault="008170ED" w:rsidP="008170ED">
      <w:pPr>
        <w:spacing w:after="0"/>
        <w:jc w:val="both"/>
        <w:rPr>
          <w:rFonts w:cs="Arial"/>
          <w:sz w:val="22"/>
        </w:rPr>
      </w:pPr>
      <w:r>
        <w:rPr>
          <w:rFonts w:cs="Arial"/>
          <w:sz w:val="22"/>
        </w:rPr>
        <w:t>Es importante resaltar que a</w:t>
      </w:r>
      <w:r w:rsidRPr="005708E0">
        <w:rPr>
          <w:rFonts w:cs="Arial"/>
          <w:sz w:val="22"/>
        </w:rPr>
        <w:t xml:space="preserve">ctualmente </w:t>
      </w:r>
      <w:r>
        <w:rPr>
          <w:rFonts w:cs="Arial"/>
          <w:sz w:val="22"/>
        </w:rPr>
        <w:t xml:space="preserve">ni el INPEC, ni la USPEC, ni el Fondo de Atención en Salud a la PPL, </w:t>
      </w:r>
      <w:r w:rsidRPr="005708E0">
        <w:rPr>
          <w:rFonts w:cs="Arial"/>
          <w:sz w:val="22"/>
        </w:rPr>
        <w:t>cuenta</w:t>
      </w:r>
      <w:r>
        <w:rPr>
          <w:rFonts w:cs="Arial"/>
          <w:sz w:val="22"/>
        </w:rPr>
        <w:t>n</w:t>
      </w:r>
      <w:r w:rsidRPr="005708E0">
        <w:rPr>
          <w:rFonts w:cs="Arial"/>
          <w:sz w:val="22"/>
        </w:rPr>
        <w:t xml:space="preserve"> con registros del número de personas</w:t>
      </w:r>
      <w:r>
        <w:rPr>
          <w:rFonts w:cs="Arial"/>
          <w:sz w:val="22"/>
        </w:rPr>
        <w:t xml:space="preserve"> privadas de la libertad </w:t>
      </w:r>
      <w:r w:rsidRPr="005708E0">
        <w:rPr>
          <w:rFonts w:cs="Arial"/>
          <w:sz w:val="22"/>
        </w:rPr>
        <w:t>que habiendo recibido diagnóstico de enfermedad mental se han negado a recibir tratamiento, o de quienes lo reciben por parte de una EPS particular, por lo que la cifra real de personas privadas de la libertad con trastorno mental puede ser más elevado.</w:t>
      </w:r>
    </w:p>
    <w:p w:rsidR="008170ED" w:rsidRPr="003218D8" w:rsidRDefault="008170ED" w:rsidP="008170ED">
      <w:pPr>
        <w:spacing w:after="0" w:line="240" w:lineRule="auto"/>
        <w:jc w:val="both"/>
        <w:rPr>
          <w:rFonts w:ascii="Arial" w:hAnsi="Arial" w:cs="Arial"/>
        </w:rPr>
      </w:pPr>
    </w:p>
    <w:p w:rsidR="008170ED" w:rsidRPr="00F7232C" w:rsidRDefault="008170ED" w:rsidP="008170ED">
      <w:pPr>
        <w:pStyle w:val="ListParagraph"/>
        <w:numPr>
          <w:ilvl w:val="0"/>
          <w:numId w:val="30"/>
        </w:numPr>
        <w:spacing w:after="0"/>
        <w:jc w:val="both"/>
        <w:rPr>
          <w:rFonts w:cs="Arial"/>
          <w:b/>
          <w:sz w:val="22"/>
        </w:rPr>
      </w:pPr>
      <w:r w:rsidRPr="00F7232C">
        <w:rPr>
          <w:rFonts w:cs="Arial"/>
          <w:b/>
          <w:sz w:val="22"/>
        </w:rPr>
        <w:t>Modelo Atención General en Salud Mental 2016</w:t>
      </w:r>
    </w:p>
    <w:p w:rsidR="008170ED" w:rsidRPr="00DD660A" w:rsidRDefault="008170ED" w:rsidP="008170ED">
      <w:pPr>
        <w:spacing w:after="0"/>
        <w:jc w:val="both"/>
        <w:rPr>
          <w:rFonts w:cs="Arial"/>
          <w:sz w:val="22"/>
        </w:rPr>
      </w:pPr>
      <w:r w:rsidRPr="00DD660A">
        <w:rPr>
          <w:rFonts w:cs="Arial"/>
          <w:sz w:val="22"/>
        </w:rPr>
        <w:t xml:space="preserve">  </w:t>
      </w:r>
    </w:p>
    <w:p w:rsidR="008170ED" w:rsidRDefault="008170ED" w:rsidP="008170ED">
      <w:pPr>
        <w:spacing w:after="0"/>
        <w:jc w:val="both"/>
        <w:rPr>
          <w:rFonts w:cs="Arial"/>
          <w:sz w:val="22"/>
        </w:rPr>
      </w:pPr>
      <w:r>
        <w:rPr>
          <w:rFonts w:cs="Arial"/>
          <w:sz w:val="22"/>
        </w:rPr>
        <w:t xml:space="preserve">Durante el periodo comprendido entre enero y mayo de 2016 no hubo contratación con ninguna IPS por lo que la población privada de la libertad vio disminuida la ya de por si escasa atención que para enfermedad mental se venía brindando, sin embargo, la IPS </w:t>
      </w:r>
      <w:proofErr w:type="spellStart"/>
      <w:r>
        <w:rPr>
          <w:rFonts w:cs="Arial"/>
          <w:sz w:val="22"/>
        </w:rPr>
        <w:t>Union</w:t>
      </w:r>
      <w:proofErr w:type="spellEnd"/>
      <w:r>
        <w:rPr>
          <w:rFonts w:cs="Arial"/>
          <w:sz w:val="22"/>
        </w:rPr>
        <w:t xml:space="preserve"> Temporal Grandes Ideas Hospitalarias – Mariana, mantuvo la atención y el suministro de medicamentos en algunos establecimientos de reclusión a nivel nacional.</w:t>
      </w:r>
    </w:p>
    <w:p w:rsidR="008170ED" w:rsidRDefault="008170ED" w:rsidP="008170ED">
      <w:pPr>
        <w:spacing w:after="0"/>
        <w:jc w:val="both"/>
        <w:rPr>
          <w:rFonts w:cs="Arial"/>
          <w:sz w:val="22"/>
        </w:rPr>
      </w:pPr>
    </w:p>
    <w:p w:rsidR="008170ED" w:rsidRDefault="008170ED" w:rsidP="008170ED">
      <w:pPr>
        <w:spacing w:after="0"/>
        <w:jc w:val="both"/>
        <w:rPr>
          <w:rFonts w:cs="Arial"/>
          <w:sz w:val="22"/>
        </w:rPr>
      </w:pPr>
      <w:r w:rsidRPr="00DD660A">
        <w:rPr>
          <w:rFonts w:cs="Arial"/>
          <w:sz w:val="22"/>
        </w:rPr>
        <w:t>En razón a la transición al nuevo modelo de salud consagrado en la Ley 1709 de 2014, el Fondo de Atención en Salud PPL 2015</w:t>
      </w:r>
      <w:r>
        <w:rPr>
          <w:rFonts w:cs="Arial"/>
          <w:sz w:val="22"/>
        </w:rPr>
        <w:t>, en el mes de junio de 2016, contrató dos operadores para garantizar la atención de esta población; para las dos ciudades en las que se cuenta con Unidades de Salud Mental (Bogotá y Cali) se contrató a Clínica La Paz; para el resto del país se mantuvo la contratación de la IPS UT G.I.H-Mariana.</w:t>
      </w:r>
    </w:p>
    <w:p w:rsidR="008170ED" w:rsidRPr="00DD660A" w:rsidRDefault="008170ED" w:rsidP="008170ED">
      <w:pPr>
        <w:spacing w:after="0"/>
        <w:jc w:val="both"/>
        <w:rPr>
          <w:rFonts w:cs="Arial"/>
          <w:b/>
          <w:sz w:val="22"/>
        </w:rPr>
      </w:pPr>
    </w:p>
    <w:p w:rsidR="008170ED" w:rsidRPr="00F7232C" w:rsidRDefault="008170ED" w:rsidP="008170ED">
      <w:pPr>
        <w:pStyle w:val="ListParagraph"/>
        <w:numPr>
          <w:ilvl w:val="0"/>
          <w:numId w:val="30"/>
        </w:numPr>
        <w:spacing w:after="0"/>
        <w:jc w:val="both"/>
        <w:rPr>
          <w:rFonts w:cs="Arial"/>
          <w:b/>
          <w:sz w:val="22"/>
        </w:rPr>
      </w:pPr>
      <w:r w:rsidRPr="00F7232C">
        <w:rPr>
          <w:rFonts w:cs="Arial"/>
          <w:b/>
          <w:sz w:val="22"/>
        </w:rPr>
        <w:t>Hallazgos de las Visitas</w:t>
      </w:r>
    </w:p>
    <w:p w:rsidR="008170ED" w:rsidRPr="00DD660A" w:rsidRDefault="008170ED" w:rsidP="008170ED">
      <w:pPr>
        <w:spacing w:after="0"/>
        <w:jc w:val="both"/>
        <w:rPr>
          <w:rFonts w:cs="Arial"/>
          <w:b/>
          <w:sz w:val="22"/>
        </w:rPr>
      </w:pPr>
    </w:p>
    <w:p w:rsidR="008170ED" w:rsidRPr="009A0A55" w:rsidRDefault="008170ED" w:rsidP="008170ED">
      <w:pPr>
        <w:spacing w:after="0"/>
        <w:jc w:val="both"/>
        <w:rPr>
          <w:rFonts w:cs="Arial"/>
          <w:sz w:val="22"/>
        </w:rPr>
      </w:pPr>
      <w:r w:rsidRPr="009A0A55">
        <w:rPr>
          <w:rFonts w:cs="Arial"/>
          <w:sz w:val="22"/>
        </w:rPr>
        <w:t xml:space="preserve">Con el objeto de diagnosticar el verdadero panorama de la atención en salud mental a las mujeres  en el país, </w:t>
      </w:r>
      <w:r>
        <w:rPr>
          <w:rFonts w:cs="Arial"/>
          <w:sz w:val="22"/>
        </w:rPr>
        <w:t>se</w:t>
      </w:r>
      <w:r w:rsidRPr="009A0A55">
        <w:rPr>
          <w:rFonts w:cs="Arial"/>
          <w:sz w:val="22"/>
        </w:rPr>
        <w:t xml:space="preserve"> realizaron visitas de inspección a tres (3) establecimientos de reclusión en los que se encuentran el mayor número de mujeres diagnosticadas con trastorno mental; en el siguiente cuadro se relacionan los principales hallazgos:  </w:t>
      </w:r>
    </w:p>
    <w:p w:rsidR="008170ED" w:rsidRPr="00DD660A" w:rsidRDefault="008170ED" w:rsidP="008170ED">
      <w:pPr>
        <w:spacing w:after="0"/>
        <w:jc w:val="both"/>
        <w:rPr>
          <w:rFonts w:cs="Arial"/>
          <w:sz w:val="22"/>
        </w:rPr>
      </w:pPr>
    </w:p>
    <w:p w:rsidR="008170ED" w:rsidRDefault="008170ED" w:rsidP="008170ED">
      <w:pPr>
        <w:spacing w:after="0"/>
        <w:jc w:val="both"/>
        <w:rPr>
          <w:rFonts w:cs="Arial"/>
          <w:sz w:val="22"/>
        </w:rPr>
      </w:pPr>
      <w:r w:rsidRPr="00DD660A">
        <w:rPr>
          <w:rFonts w:cs="Arial"/>
          <w:sz w:val="22"/>
        </w:rPr>
        <w:lastRenderedPageBreak/>
        <w:t>Tabla N°.5 Visitas a establecimientos de reclusión para mujeres</w:t>
      </w:r>
    </w:p>
    <w:p w:rsidR="008170ED" w:rsidRPr="003218D8" w:rsidRDefault="008170ED" w:rsidP="008170ED">
      <w:pPr>
        <w:spacing w:after="0"/>
        <w:jc w:val="both"/>
        <w:rPr>
          <w:rFonts w:ascii="Arial" w:hAnsi="Arial" w:cs="Arial"/>
        </w:rPr>
      </w:pPr>
    </w:p>
    <w:tbl>
      <w:tblPr>
        <w:tblStyle w:val="LightShading"/>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2479"/>
        <w:gridCol w:w="2074"/>
        <w:gridCol w:w="2074"/>
      </w:tblGrid>
      <w:tr w:rsidR="008170ED" w:rsidRPr="00DD3489" w:rsidTr="001C0A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Borders>
              <w:top w:val="none" w:sz="0" w:space="0" w:color="auto"/>
              <w:left w:val="none" w:sz="0" w:space="0" w:color="auto"/>
              <w:bottom w:val="none" w:sz="0" w:space="0" w:color="auto"/>
              <w:right w:val="none" w:sz="0" w:space="0" w:color="auto"/>
            </w:tcBorders>
          </w:tcPr>
          <w:p w:rsidR="008170ED" w:rsidRPr="0014575E" w:rsidRDefault="008170ED" w:rsidP="001C0A2A">
            <w:pPr>
              <w:spacing w:after="0" w:line="240" w:lineRule="auto"/>
              <w:jc w:val="center"/>
              <w:rPr>
                <w:rFonts w:cstheme="minorHAnsi"/>
                <w:sz w:val="22"/>
              </w:rPr>
            </w:pPr>
            <w:r w:rsidRPr="0014575E">
              <w:rPr>
                <w:rFonts w:cstheme="minorHAnsi"/>
                <w:sz w:val="22"/>
              </w:rPr>
              <w:t>INDICADOR</w:t>
            </w:r>
          </w:p>
        </w:tc>
        <w:tc>
          <w:tcPr>
            <w:tcW w:w="2479" w:type="dxa"/>
            <w:tcBorders>
              <w:top w:val="none" w:sz="0" w:space="0" w:color="auto"/>
              <w:left w:val="none" w:sz="0" w:space="0" w:color="auto"/>
              <w:bottom w:val="none" w:sz="0" w:space="0" w:color="auto"/>
              <w:right w:val="none" w:sz="0" w:space="0" w:color="auto"/>
            </w:tcBorders>
          </w:tcPr>
          <w:p w:rsidR="008170ED" w:rsidRPr="0014575E" w:rsidRDefault="008170ED" w:rsidP="001C0A2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theme="minorHAnsi"/>
                <w:sz w:val="22"/>
              </w:rPr>
            </w:pPr>
            <w:r w:rsidRPr="0014575E">
              <w:rPr>
                <w:rFonts w:cstheme="minorHAnsi"/>
                <w:sz w:val="22"/>
              </w:rPr>
              <w:t>RM BOGOTÁ</w:t>
            </w:r>
          </w:p>
        </w:tc>
        <w:tc>
          <w:tcPr>
            <w:tcW w:w="0" w:type="auto"/>
            <w:tcBorders>
              <w:top w:val="none" w:sz="0" w:space="0" w:color="auto"/>
              <w:left w:val="none" w:sz="0" w:space="0" w:color="auto"/>
              <w:bottom w:val="none" w:sz="0" w:space="0" w:color="auto"/>
              <w:right w:val="none" w:sz="0" w:space="0" w:color="auto"/>
            </w:tcBorders>
          </w:tcPr>
          <w:p w:rsidR="008170ED" w:rsidRPr="0014575E" w:rsidRDefault="008170ED" w:rsidP="001C0A2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theme="minorHAnsi"/>
                <w:sz w:val="22"/>
              </w:rPr>
            </w:pPr>
            <w:r w:rsidRPr="0014575E">
              <w:rPr>
                <w:rFonts w:cstheme="minorHAnsi"/>
                <w:sz w:val="22"/>
              </w:rPr>
              <w:t>COJAM-RM</w:t>
            </w:r>
          </w:p>
        </w:tc>
        <w:tc>
          <w:tcPr>
            <w:tcW w:w="0" w:type="auto"/>
            <w:tcBorders>
              <w:top w:val="none" w:sz="0" w:space="0" w:color="auto"/>
              <w:left w:val="none" w:sz="0" w:space="0" w:color="auto"/>
              <w:bottom w:val="none" w:sz="0" w:space="0" w:color="auto"/>
              <w:right w:val="none" w:sz="0" w:space="0" w:color="auto"/>
            </w:tcBorders>
          </w:tcPr>
          <w:p w:rsidR="008170ED" w:rsidRPr="0014575E" w:rsidRDefault="008170ED" w:rsidP="001C0A2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theme="minorHAnsi"/>
                <w:sz w:val="22"/>
              </w:rPr>
            </w:pPr>
            <w:r w:rsidRPr="0014575E">
              <w:rPr>
                <w:rFonts w:cstheme="minorHAnsi"/>
                <w:sz w:val="22"/>
              </w:rPr>
              <w:t>COPED-RM</w:t>
            </w:r>
          </w:p>
        </w:tc>
      </w:tr>
      <w:tr w:rsidR="008170ED" w:rsidRPr="00DD3489" w:rsidTr="001C0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Borders>
              <w:left w:val="none" w:sz="0" w:space="0" w:color="auto"/>
              <w:right w:val="none" w:sz="0" w:space="0" w:color="auto"/>
            </w:tcBorders>
          </w:tcPr>
          <w:p w:rsidR="008170ED" w:rsidRPr="0014575E" w:rsidRDefault="008170ED" w:rsidP="001C0A2A">
            <w:pPr>
              <w:spacing w:after="0" w:line="240" w:lineRule="auto"/>
              <w:jc w:val="both"/>
              <w:rPr>
                <w:rFonts w:cstheme="minorHAnsi"/>
                <w:sz w:val="22"/>
              </w:rPr>
            </w:pPr>
            <w:r w:rsidRPr="0014575E">
              <w:rPr>
                <w:rFonts w:cstheme="minorHAnsi"/>
                <w:sz w:val="22"/>
              </w:rPr>
              <w:t>Fecha</w:t>
            </w:r>
          </w:p>
        </w:tc>
        <w:tc>
          <w:tcPr>
            <w:tcW w:w="2479" w:type="dxa"/>
            <w:tcBorders>
              <w:left w:val="none" w:sz="0" w:space="0" w:color="auto"/>
              <w:right w:val="none" w:sz="0" w:space="0" w:color="auto"/>
            </w:tcBorders>
            <w:vAlign w:val="center"/>
          </w:tcPr>
          <w:p w:rsidR="008170ED" w:rsidRPr="0014575E" w:rsidRDefault="008170ED" w:rsidP="001C0A2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
                <w:sz w:val="22"/>
              </w:rPr>
            </w:pPr>
            <w:r w:rsidRPr="0014575E">
              <w:rPr>
                <w:rFonts w:cstheme="minorHAnsi"/>
                <w:b/>
                <w:sz w:val="22"/>
              </w:rPr>
              <w:t>19/07/2016</w:t>
            </w:r>
          </w:p>
        </w:tc>
        <w:tc>
          <w:tcPr>
            <w:tcW w:w="0" w:type="auto"/>
            <w:tcBorders>
              <w:left w:val="none" w:sz="0" w:space="0" w:color="auto"/>
              <w:right w:val="none" w:sz="0" w:space="0" w:color="auto"/>
            </w:tcBorders>
            <w:vAlign w:val="center"/>
          </w:tcPr>
          <w:p w:rsidR="008170ED" w:rsidRPr="0014575E" w:rsidRDefault="008170ED" w:rsidP="001C0A2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
                <w:sz w:val="22"/>
              </w:rPr>
            </w:pPr>
            <w:r w:rsidRPr="0014575E">
              <w:rPr>
                <w:rFonts w:cstheme="minorHAnsi"/>
                <w:b/>
                <w:sz w:val="22"/>
              </w:rPr>
              <w:t>13/05/2016</w:t>
            </w:r>
          </w:p>
        </w:tc>
        <w:tc>
          <w:tcPr>
            <w:tcW w:w="0" w:type="auto"/>
            <w:tcBorders>
              <w:left w:val="none" w:sz="0" w:space="0" w:color="auto"/>
              <w:right w:val="none" w:sz="0" w:space="0" w:color="auto"/>
            </w:tcBorders>
            <w:vAlign w:val="center"/>
          </w:tcPr>
          <w:p w:rsidR="008170ED" w:rsidRPr="0014575E" w:rsidRDefault="008170ED" w:rsidP="001C0A2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
                <w:sz w:val="22"/>
              </w:rPr>
            </w:pPr>
            <w:r w:rsidRPr="0014575E">
              <w:rPr>
                <w:rFonts w:cstheme="minorHAnsi"/>
                <w:b/>
                <w:sz w:val="22"/>
              </w:rPr>
              <w:t>20/05/2016</w:t>
            </w:r>
          </w:p>
        </w:tc>
      </w:tr>
      <w:tr w:rsidR="008170ED" w:rsidRPr="00DD3489" w:rsidTr="001C0A2A">
        <w:tc>
          <w:tcPr>
            <w:cnfStyle w:val="001000000000" w:firstRow="0" w:lastRow="0" w:firstColumn="1" w:lastColumn="0" w:oddVBand="0" w:evenVBand="0" w:oddHBand="0" w:evenHBand="0" w:firstRowFirstColumn="0" w:firstRowLastColumn="0" w:lastRowFirstColumn="0" w:lastRowLastColumn="0"/>
            <w:tcW w:w="2235" w:type="dxa"/>
          </w:tcPr>
          <w:p w:rsidR="008170ED" w:rsidRPr="0014575E" w:rsidRDefault="008170ED" w:rsidP="001C0A2A">
            <w:pPr>
              <w:spacing w:after="0" w:line="240" w:lineRule="auto"/>
              <w:jc w:val="both"/>
              <w:rPr>
                <w:rFonts w:cstheme="minorHAnsi"/>
                <w:sz w:val="22"/>
              </w:rPr>
            </w:pPr>
            <w:r w:rsidRPr="0014575E">
              <w:rPr>
                <w:rFonts w:cstheme="minorHAnsi"/>
                <w:sz w:val="22"/>
              </w:rPr>
              <w:t>Parte del día de la visita</w:t>
            </w:r>
          </w:p>
        </w:tc>
        <w:tc>
          <w:tcPr>
            <w:tcW w:w="2479" w:type="dxa"/>
            <w:vAlign w:val="center"/>
          </w:tcPr>
          <w:p w:rsidR="008170ED" w:rsidRPr="0014575E" w:rsidRDefault="008170ED" w:rsidP="001C0A2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14575E">
              <w:rPr>
                <w:rFonts w:cstheme="minorHAnsi"/>
                <w:sz w:val="22"/>
              </w:rPr>
              <w:t>1821</w:t>
            </w:r>
          </w:p>
        </w:tc>
        <w:tc>
          <w:tcPr>
            <w:tcW w:w="0" w:type="auto"/>
            <w:vAlign w:val="center"/>
          </w:tcPr>
          <w:p w:rsidR="008170ED" w:rsidRPr="0014575E" w:rsidRDefault="008170ED" w:rsidP="001C0A2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14575E">
              <w:rPr>
                <w:rFonts w:cstheme="minorHAnsi"/>
                <w:sz w:val="22"/>
              </w:rPr>
              <w:t>1070</w:t>
            </w:r>
          </w:p>
        </w:tc>
        <w:tc>
          <w:tcPr>
            <w:tcW w:w="0" w:type="auto"/>
            <w:vAlign w:val="center"/>
          </w:tcPr>
          <w:p w:rsidR="008170ED" w:rsidRPr="0014575E" w:rsidRDefault="008170ED" w:rsidP="001C0A2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14575E">
              <w:rPr>
                <w:rFonts w:cstheme="minorHAnsi"/>
                <w:sz w:val="22"/>
              </w:rPr>
              <w:t>1237</w:t>
            </w:r>
          </w:p>
        </w:tc>
      </w:tr>
      <w:tr w:rsidR="008170ED" w:rsidRPr="00DD3489" w:rsidTr="001C0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Borders>
              <w:left w:val="none" w:sz="0" w:space="0" w:color="auto"/>
              <w:right w:val="none" w:sz="0" w:space="0" w:color="auto"/>
            </w:tcBorders>
          </w:tcPr>
          <w:p w:rsidR="008170ED" w:rsidRPr="0014575E" w:rsidRDefault="008170ED" w:rsidP="001C0A2A">
            <w:pPr>
              <w:spacing w:after="0" w:line="240" w:lineRule="auto"/>
              <w:jc w:val="both"/>
              <w:rPr>
                <w:rFonts w:cstheme="minorHAnsi"/>
                <w:sz w:val="22"/>
              </w:rPr>
            </w:pPr>
            <w:r w:rsidRPr="0014575E">
              <w:rPr>
                <w:rFonts w:cstheme="minorHAnsi"/>
                <w:sz w:val="22"/>
              </w:rPr>
              <w:t xml:space="preserve">Numero de internas  con </w:t>
            </w:r>
            <w:proofErr w:type="spellStart"/>
            <w:r w:rsidRPr="0014575E">
              <w:rPr>
                <w:rFonts w:cstheme="minorHAnsi"/>
                <w:sz w:val="22"/>
              </w:rPr>
              <w:t>Tx</w:t>
            </w:r>
            <w:proofErr w:type="spellEnd"/>
            <w:r w:rsidRPr="0014575E">
              <w:rPr>
                <w:rFonts w:cstheme="minorHAnsi"/>
                <w:sz w:val="22"/>
              </w:rPr>
              <w:t>. Mental</w:t>
            </w:r>
          </w:p>
        </w:tc>
        <w:tc>
          <w:tcPr>
            <w:tcW w:w="2479" w:type="dxa"/>
            <w:tcBorders>
              <w:left w:val="none" w:sz="0" w:space="0" w:color="auto"/>
              <w:right w:val="none" w:sz="0" w:space="0" w:color="auto"/>
            </w:tcBorders>
            <w:vAlign w:val="center"/>
          </w:tcPr>
          <w:p w:rsidR="008170ED" w:rsidRPr="0014575E" w:rsidRDefault="008170ED" w:rsidP="001C0A2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14575E">
              <w:rPr>
                <w:rFonts w:cstheme="minorHAnsi"/>
                <w:sz w:val="22"/>
              </w:rPr>
              <w:t>55</w:t>
            </w:r>
          </w:p>
        </w:tc>
        <w:tc>
          <w:tcPr>
            <w:tcW w:w="0" w:type="auto"/>
            <w:tcBorders>
              <w:left w:val="none" w:sz="0" w:space="0" w:color="auto"/>
              <w:right w:val="none" w:sz="0" w:space="0" w:color="auto"/>
            </w:tcBorders>
            <w:vAlign w:val="center"/>
          </w:tcPr>
          <w:p w:rsidR="008170ED" w:rsidRPr="0014575E" w:rsidRDefault="008170ED" w:rsidP="001C0A2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14575E">
              <w:rPr>
                <w:rFonts w:cstheme="minorHAnsi"/>
                <w:sz w:val="22"/>
              </w:rPr>
              <w:t>24</w:t>
            </w:r>
          </w:p>
        </w:tc>
        <w:tc>
          <w:tcPr>
            <w:tcW w:w="0" w:type="auto"/>
            <w:tcBorders>
              <w:left w:val="none" w:sz="0" w:space="0" w:color="auto"/>
              <w:right w:val="none" w:sz="0" w:space="0" w:color="auto"/>
            </w:tcBorders>
            <w:vAlign w:val="center"/>
          </w:tcPr>
          <w:p w:rsidR="008170ED" w:rsidRPr="0014575E" w:rsidRDefault="008170ED" w:rsidP="001C0A2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14575E">
              <w:rPr>
                <w:rFonts w:cstheme="minorHAnsi"/>
                <w:sz w:val="22"/>
              </w:rPr>
              <w:t>17</w:t>
            </w:r>
          </w:p>
        </w:tc>
      </w:tr>
      <w:tr w:rsidR="008170ED" w:rsidRPr="00DD3489" w:rsidTr="001C0A2A">
        <w:tc>
          <w:tcPr>
            <w:cnfStyle w:val="001000000000" w:firstRow="0" w:lastRow="0" w:firstColumn="1" w:lastColumn="0" w:oddVBand="0" w:evenVBand="0" w:oddHBand="0" w:evenHBand="0" w:firstRowFirstColumn="0" w:firstRowLastColumn="0" w:lastRowFirstColumn="0" w:lastRowLastColumn="0"/>
            <w:tcW w:w="2235" w:type="dxa"/>
          </w:tcPr>
          <w:p w:rsidR="008170ED" w:rsidRPr="0014575E" w:rsidRDefault="008170ED" w:rsidP="001C0A2A">
            <w:pPr>
              <w:spacing w:after="0" w:line="240" w:lineRule="auto"/>
              <w:jc w:val="both"/>
              <w:rPr>
                <w:rFonts w:cstheme="minorHAnsi"/>
                <w:sz w:val="22"/>
              </w:rPr>
            </w:pPr>
            <w:r w:rsidRPr="0014575E">
              <w:rPr>
                <w:rFonts w:cstheme="minorHAnsi"/>
                <w:sz w:val="22"/>
              </w:rPr>
              <w:t>Cuenta con Psiquiatra</w:t>
            </w:r>
          </w:p>
        </w:tc>
        <w:tc>
          <w:tcPr>
            <w:tcW w:w="2479" w:type="dxa"/>
            <w:vAlign w:val="center"/>
          </w:tcPr>
          <w:p w:rsidR="008170ED" w:rsidRPr="0014575E" w:rsidRDefault="008170ED" w:rsidP="001C0A2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14575E">
              <w:rPr>
                <w:rFonts w:cstheme="minorHAnsi"/>
                <w:sz w:val="22"/>
              </w:rPr>
              <w:t>Sí, una vez a la semana.</w:t>
            </w:r>
          </w:p>
        </w:tc>
        <w:tc>
          <w:tcPr>
            <w:tcW w:w="0" w:type="auto"/>
            <w:vAlign w:val="center"/>
          </w:tcPr>
          <w:p w:rsidR="008170ED" w:rsidRPr="0014575E" w:rsidRDefault="008170ED" w:rsidP="001C0A2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14575E">
              <w:rPr>
                <w:rFonts w:cstheme="minorHAnsi"/>
                <w:sz w:val="22"/>
              </w:rPr>
              <w:t>Sí, una vez cada dos meses.</w:t>
            </w:r>
          </w:p>
        </w:tc>
        <w:tc>
          <w:tcPr>
            <w:tcW w:w="0" w:type="auto"/>
            <w:vAlign w:val="center"/>
          </w:tcPr>
          <w:p w:rsidR="008170ED" w:rsidRPr="0014575E" w:rsidRDefault="008170ED" w:rsidP="001C0A2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14575E">
              <w:rPr>
                <w:rFonts w:cstheme="minorHAnsi"/>
                <w:sz w:val="22"/>
              </w:rPr>
              <w:t>Sí, una vez cada dos meses.</w:t>
            </w:r>
          </w:p>
        </w:tc>
      </w:tr>
      <w:tr w:rsidR="008170ED" w:rsidRPr="00DD3489" w:rsidTr="001C0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Borders>
              <w:left w:val="none" w:sz="0" w:space="0" w:color="auto"/>
              <w:right w:val="none" w:sz="0" w:space="0" w:color="auto"/>
            </w:tcBorders>
          </w:tcPr>
          <w:p w:rsidR="008170ED" w:rsidRPr="0014575E" w:rsidRDefault="008170ED" w:rsidP="001C0A2A">
            <w:pPr>
              <w:spacing w:after="0" w:line="240" w:lineRule="auto"/>
              <w:jc w:val="both"/>
              <w:rPr>
                <w:rFonts w:cstheme="minorHAnsi"/>
                <w:sz w:val="22"/>
              </w:rPr>
            </w:pPr>
            <w:r w:rsidRPr="0014575E">
              <w:rPr>
                <w:rFonts w:cstheme="minorHAnsi"/>
                <w:sz w:val="22"/>
              </w:rPr>
              <w:t>Suministro de Medicamentos</w:t>
            </w:r>
          </w:p>
        </w:tc>
        <w:tc>
          <w:tcPr>
            <w:tcW w:w="2479" w:type="dxa"/>
            <w:tcBorders>
              <w:left w:val="none" w:sz="0" w:space="0" w:color="auto"/>
              <w:right w:val="none" w:sz="0" w:space="0" w:color="auto"/>
            </w:tcBorders>
            <w:vAlign w:val="center"/>
          </w:tcPr>
          <w:p w:rsidR="008170ED" w:rsidRPr="0014575E" w:rsidRDefault="008170ED" w:rsidP="001C0A2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14575E">
              <w:rPr>
                <w:rFonts w:cstheme="minorHAnsi"/>
                <w:sz w:val="22"/>
              </w:rPr>
              <w:t>Sí, Auxiliar de enfermería del consorcio.</w:t>
            </w:r>
          </w:p>
        </w:tc>
        <w:tc>
          <w:tcPr>
            <w:tcW w:w="0" w:type="auto"/>
            <w:tcBorders>
              <w:left w:val="none" w:sz="0" w:space="0" w:color="auto"/>
              <w:right w:val="none" w:sz="0" w:space="0" w:color="auto"/>
            </w:tcBorders>
            <w:vAlign w:val="center"/>
          </w:tcPr>
          <w:p w:rsidR="008170ED" w:rsidRPr="0014575E" w:rsidRDefault="008170ED" w:rsidP="001C0A2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14575E">
              <w:rPr>
                <w:rFonts w:cstheme="minorHAnsi"/>
                <w:sz w:val="22"/>
              </w:rPr>
              <w:t>Sí, Auxiliar de enfermería GIH.</w:t>
            </w:r>
          </w:p>
        </w:tc>
        <w:tc>
          <w:tcPr>
            <w:tcW w:w="0" w:type="auto"/>
            <w:tcBorders>
              <w:left w:val="none" w:sz="0" w:space="0" w:color="auto"/>
              <w:right w:val="none" w:sz="0" w:space="0" w:color="auto"/>
            </w:tcBorders>
            <w:vAlign w:val="center"/>
          </w:tcPr>
          <w:p w:rsidR="008170ED" w:rsidRPr="0014575E" w:rsidRDefault="008170ED" w:rsidP="001C0A2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14575E">
              <w:rPr>
                <w:rFonts w:cstheme="minorHAnsi"/>
                <w:sz w:val="22"/>
              </w:rPr>
              <w:t>Sí, Auxiliar de enfermería GIH.</w:t>
            </w:r>
          </w:p>
        </w:tc>
      </w:tr>
      <w:tr w:rsidR="008170ED" w:rsidRPr="00DD3489" w:rsidTr="001C0A2A">
        <w:tc>
          <w:tcPr>
            <w:cnfStyle w:val="001000000000" w:firstRow="0" w:lastRow="0" w:firstColumn="1" w:lastColumn="0" w:oddVBand="0" w:evenVBand="0" w:oddHBand="0" w:evenHBand="0" w:firstRowFirstColumn="0" w:firstRowLastColumn="0" w:lastRowFirstColumn="0" w:lastRowLastColumn="0"/>
            <w:tcW w:w="2235" w:type="dxa"/>
          </w:tcPr>
          <w:p w:rsidR="008170ED" w:rsidRPr="0014575E" w:rsidRDefault="008170ED" w:rsidP="001C0A2A">
            <w:pPr>
              <w:spacing w:after="0" w:line="240" w:lineRule="auto"/>
              <w:jc w:val="both"/>
              <w:rPr>
                <w:rFonts w:cstheme="minorHAnsi"/>
                <w:sz w:val="22"/>
              </w:rPr>
            </w:pPr>
            <w:r w:rsidRPr="0014575E">
              <w:rPr>
                <w:rFonts w:cstheme="minorHAnsi"/>
                <w:sz w:val="22"/>
              </w:rPr>
              <w:t>Psicólogo/a</w:t>
            </w:r>
          </w:p>
        </w:tc>
        <w:tc>
          <w:tcPr>
            <w:tcW w:w="2479" w:type="dxa"/>
            <w:vAlign w:val="center"/>
          </w:tcPr>
          <w:p w:rsidR="008170ED" w:rsidRPr="0014575E" w:rsidRDefault="008170ED" w:rsidP="001C0A2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14575E">
              <w:rPr>
                <w:rFonts w:cstheme="minorHAnsi"/>
                <w:sz w:val="22"/>
              </w:rPr>
              <w:t>No</w:t>
            </w:r>
          </w:p>
        </w:tc>
        <w:tc>
          <w:tcPr>
            <w:tcW w:w="0" w:type="auto"/>
            <w:vAlign w:val="center"/>
          </w:tcPr>
          <w:p w:rsidR="008170ED" w:rsidRPr="0014575E" w:rsidRDefault="008170ED" w:rsidP="001C0A2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14575E">
              <w:rPr>
                <w:rFonts w:cstheme="minorHAnsi"/>
                <w:sz w:val="22"/>
              </w:rPr>
              <w:t>Sí, una vez al mes</w:t>
            </w:r>
          </w:p>
        </w:tc>
        <w:tc>
          <w:tcPr>
            <w:tcW w:w="0" w:type="auto"/>
            <w:vAlign w:val="center"/>
          </w:tcPr>
          <w:p w:rsidR="008170ED" w:rsidRPr="0014575E" w:rsidRDefault="008170ED" w:rsidP="001C0A2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14575E">
              <w:rPr>
                <w:rFonts w:cstheme="minorHAnsi"/>
                <w:sz w:val="22"/>
              </w:rPr>
              <w:t>No</w:t>
            </w:r>
          </w:p>
        </w:tc>
      </w:tr>
      <w:tr w:rsidR="008170ED" w:rsidRPr="00DD3489" w:rsidTr="001C0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Borders>
              <w:left w:val="none" w:sz="0" w:space="0" w:color="auto"/>
              <w:right w:val="none" w:sz="0" w:space="0" w:color="auto"/>
            </w:tcBorders>
          </w:tcPr>
          <w:p w:rsidR="008170ED" w:rsidRPr="0014575E" w:rsidRDefault="008170ED" w:rsidP="001C0A2A">
            <w:pPr>
              <w:spacing w:after="0" w:line="240" w:lineRule="auto"/>
              <w:jc w:val="both"/>
              <w:rPr>
                <w:rFonts w:cstheme="minorHAnsi"/>
                <w:sz w:val="22"/>
              </w:rPr>
            </w:pPr>
            <w:r w:rsidRPr="0014575E">
              <w:rPr>
                <w:rFonts w:cstheme="minorHAnsi"/>
                <w:sz w:val="22"/>
              </w:rPr>
              <w:t>Terapeuta ocupacional</w:t>
            </w:r>
          </w:p>
        </w:tc>
        <w:tc>
          <w:tcPr>
            <w:tcW w:w="2479" w:type="dxa"/>
            <w:tcBorders>
              <w:left w:val="none" w:sz="0" w:space="0" w:color="auto"/>
              <w:right w:val="none" w:sz="0" w:space="0" w:color="auto"/>
            </w:tcBorders>
            <w:vAlign w:val="center"/>
          </w:tcPr>
          <w:p w:rsidR="008170ED" w:rsidRPr="0014575E" w:rsidRDefault="008170ED" w:rsidP="001C0A2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14575E">
              <w:rPr>
                <w:rFonts w:cstheme="minorHAnsi"/>
                <w:sz w:val="22"/>
              </w:rPr>
              <w:t>No</w:t>
            </w:r>
          </w:p>
        </w:tc>
        <w:tc>
          <w:tcPr>
            <w:tcW w:w="0" w:type="auto"/>
            <w:tcBorders>
              <w:left w:val="none" w:sz="0" w:space="0" w:color="auto"/>
              <w:right w:val="none" w:sz="0" w:space="0" w:color="auto"/>
            </w:tcBorders>
            <w:vAlign w:val="center"/>
          </w:tcPr>
          <w:p w:rsidR="008170ED" w:rsidRPr="0014575E" w:rsidRDefault="008170ED" w:rsidP="001C0A2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14575E">
              <w:rPr>
                <w:rFonts w:cstheme="minorHAnsi"/>
                <w:sz w:val="22"/>
              </w:rPr>
              <w:t>No</w:t>
            </w:r>
          </w:p>
        </w:tc>
        <w:tc>
          <w:tcPr>
            <w:tcW w:w="0" w:type="auto"/>
            <w:tcBorders>
              <w:left w:val="none" w:sz="0" w:space="0" w:color="auto"/>
              <w:right w:val="none" w:sz="0" w:space="0" w:color="auto"/>
            </w:tcBorders>
            <w:vAlign w:val="center"/>
          </w:tcPr>
          <w:p w:rsidR="008170ED" w:rsidRPr="0014575E" w:rsidRDefault="008170ED" w:rsidP="001C0A2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14575E">
              <w:rPr>
                <w:rFonts w:cstheme="minorHAnsi"/>
                <w:sz w:val="22"/>
              </w:rPr>
              <w:t>No</w:t>
            </w:r>
          </w:p>
        </w:tc>
      </w:tr>
      <w:tr w:rsidR="008170ED" w:rsidRPr="00DD3489" w:rsidTr="001C0A2A">
        <w:tc>
          <w:tcPr>
            <w:cnfStyle w:val="001000000000" w:firstRow="0" w:lastRow="0" w:firstColumn="1" w:lastColumn="0" w:oddVBand="0" w:evenVBand="0" w:oddHBand="0" w:evenHBand="0" w:firstRowFirstColumn="0" w:firstRowLastColumn="0" w:lastRowFirstColumn="0" w:lastRowLastColumn="0"/>
            <w:tcW w:w="2235" w:type="dxa"/>
          </w:tcPr>
          <w:p w:rsidR="008170ED" w:rsidRPr="0014575E" w:rsidRDefault="008170ED" w:rsidP="001C0A2A">
            <w:pPr>
              <w:spacing w:after="0" w:line="240" w:lineRule="auto"/>
              <w:jc w:val="both"/>
              <w:rPr>
                <w:rFonts w:cstheme="minorHAnsi"/>
                <w:sz w:val="22"/>
              </w:rPr>
            </w:pPr>
            <w:r w:rsidRPr="0014575E">
              <w:rPr>
                <w:rFonts w:cstheme="minorHAnsi"/>
                <w:sz w:val="22"/>
              </w:rPr>
              <w:t>Historia clínica psiquiátrica</w:t>
            </w:r>
          </w:p>
        </w:tc>
        <w:tc>
          <w:tcPr>
            <w:tcW w:w="2479" w:type="dxa"/>
            <w:vAlign w:val="center"/>
          </w:tcPr>
          <w:p w:rsidR="008170ED" w:rsidRPr="0014575E" w:rsidRDefault="008170ED" w:rsidP="001C0A2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14575E">
              <w:rPr>
                <w:rFonts w:cstheme="minorHAnsi"/>
                <w:sz w:val="22"/>
              </w:rPr>
              <w:t>Si</w:t>
            </w:r>
          </w:p>
        </w:tc>
        <w:tc>
          <w:tcPr>
            <w:tcW w:w="0" w:type="auto"/>
            <w:vAlign w:val="center"/>
          </w:tcPr>
          <w:p w:rsidR="008170ED" w:rsidRPr="0014575E" w:rsidRDefault="008170ED" w:rsidP="001C0A2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14575E">
              <w:rPr>
                <w:rFonts w:cstheme="minorHAnsi"/>
                <w:sz w:val="22"/>
              </w:rPr>
              <w:t>No</w:t>
            </w:r>
          </w:p>
        </w:tc>
        <w:tc>
          <w:tcPr>
            <w:tcW w:w="0" w:type="auto"/>
            <w:vAlign w:val="center"/>
          </w:tcPr>
          <w:p w:rsidR="008170ED" w:rsidRPr="0014575E" w:rsidRDefault="008170ED" w:rsidP="001C0A2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14575E">
              <w:rPr>
                <w:rFonts w:cstheme="minorHAnsi"/>
                <w:sz w:val="22"/>
              </w:rPr>
              <w:t>Si</w:t>
            </w:r>
          </w:p>
        </w:tc>
      </w:tr>
      <w:tr w:rsidR="008170ED" w:rsidRPr="00DD3489" w:rsidTr="001C0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Borders>
              <w:left w:val="none" w:sz="0" w:space="0" w:color="auto"/>
              <w:right w:val="none" w:sz="0" w:space="0" w:color="auto"/>
            </w:tcBorders>
          </w:tcPr>
          <w:p w:rsidR="008170ED" w:rsidRPr="0014575E" w:rsidRDefault="008170ED" w:rsidP="001C0A2A">
            <w:pPr>
              <w:spacing w:after="0" w:line="240" w:lineRule="auto"/>
              <w:jc w:val="both"/>
              <w:rPr>
                <w:rFonts w:cstheme="minorHAnsi"/>
                <w:sz w:val="22"/>
              </w:rPr>
            </w:pPr>
            <w:r w:rsidRPr="0014575E">
              <w:rPr>
                <w:rFonts w:cstheme="minorHAnsi"/>
                <w:sz w:val="22"/>
              </w:rPr>
              <w:t>Consentimiento Informado</w:t>
            </w:r>
          </w:p>
        </w:tc>
        <w:tc>
          <w:tcPr>
            <w:tcW w:w="2479" w:type="dxa"/>
            <w:tcBorders>
              <w:left w:val="none" w:sz="0" w:space="0" w:color="auto"/>
              <w:right w:val="none" w:sz="0" w:space="0" w:color="auto"/>
            </w:tcBorders>
            <w:vAlign w:val="center"/>
          </w:tcPr>
          <w:p w:rsidR="008170ED" w:rsidRPr="0014575E" w:rsidRDefault="008170ED" w:rsidP="001C0A2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14575E">
              <w:rPr>
                <w:rFonts w:cstheme="minorHAnsi"/>
                <w:sz w:val="22"/>
              </w:rPr>
              <w:t>No</w:t>
            </w:r>
          </w:p>
        </w:tc>
        <w:tc>
          <w:tcPr>
            <w:tcW w:w="0" w:type="auto"/>
            <w:tcBorders>
              <w:left w:val="none" w:sz="0" w:space="0" w:color="auto"/>
              <w:right w:val="none" w:sz="0" w:space="0" w:color="auto"/>
            </w:tcBorders>
            <w:vAlign w:val="center"/>
          </w:tcPr>
          <w:p w:rsidR="008170ED" w:rsidRPr="0014575E" w:rsidRDefault="008170ED" w:rsidP="001C0A2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14575E">
              <w:rPr>
                <w:rFonts w:cstheme="minorHAnsi"/>
                <w:sz w:val="22"/>
              </w:rPr>
              <w:t>No</w:t>
            </w:r>
          </w:p>
        </w:tc>
        <w:tc>
          <w:tcPr>
            <w:tcW w:w="0" w:type="auto"/>
            <w:tcBorders>
              <w:left w:val="none" w:sz="0" w:space="0" w:color="auto"/>
              <w:right w:val="none" w:sz="0" w:space="0" w:color="auto"/>
            </w:tcBorders>
            <w:vAlign w:val="center"/>
          </w:tcPr>
          <w:p w:rsidR="008170ED" w:rsidRPr="0014575E" w:rsidRDefault="008170ED" w:rsidP="001C0A2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sz w:val="22"/>
              </w:rPr>
            </w:pPr>
            <w:r w:rsidRPr="0014575E">
              <w:rPr>
                <w:rFonts w:cstheme="minorHAnsi"/>
                <w:sz w:val="22"/>
              </w:rPr>
              <w:t>Si</w:t>
            </w:r>
          </w:p>
        </w:tc>
      </w:tr>
      <w:tr w:rsidR="008170ED" w:rsidRPr="00DD3489" w:rsidTr="001C0A2A">
        <w:tc>
          <w:tcPr>
            <w:cnfStyle w:val="001000000000" w:firstRow="0" w:lastRow="0" w:firstColumn="1" w:lastColumn="0" w:oddVBand="0" w:evenVBand="0" w:oddHBand="0" w:evenHBand="0" w:firstRowFirstColumn="0" w:firstRowLastColumn="0" w:lastRowFirstColumn="0" w:lastRowLastColumn="0"/>
            <w:tcW w:w="2235" w:type="dxa"/>
          </w:tcPr>
          <w:p w:rsidR="008170ED" w:rsidRPr="0014575E" w:rsidRDefault="008170ED" w:rsidP="001C0A2A">
            <w:pPr>
              <w:spacing w:after="0" w:line="240" w:lineRule="auto"/>
              <w:jc w:val="both"/>
              <w:rPr>
                <w:rFonts w:cstheme="minorHAnsi"/>
                <w:sz w:val="22"/>
              </w:rPr>
            </w:pPr>
            <w:r w:rsidRPr="0014575E">
              <w:rPr>
                <w:rFonts w:cstheme="minorHAnsi"/>
                <w:sz w:val="22"/>
              </w:rPr>
              <w:t>Historia clínica integral</w:t>
            </w:r>
          </w:p>
        </w:tc>
        <w:tc>
          <w:tcPr>
            <w:tcW w:w="2479" w:type="dxa"/>
            <w:vAlign w:val="center"/>
          </w:tcPr>
          <w:p w:rsidR="008170ED" w:rsidRPr="0014575E" w:rsidRDefault="008170ED" w:rsidP="001C0A2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14575E">
              <w:rPr>
                <w:rFonts w:cstheme="minorHAnsi"/>
                <w:sz w:val="22"/>
              </w:rPr>
              <w:t>No</w:t>
            </w:r>
          </w:p>
        </w:tc>
        <w:tc>
          <w:tcPr>
            <w:tcW w:w="0" w:type="auto"/>
            <w:vAlign w:val="center"/>
          </w:tcPr>
          <w:p w:rsidR="008170ED" w:rsidRPr="0014575E" w:rsidRDefault="008170ED" w:rsidP="001C0A2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14575E">
              <w:rPr>
                <w:rFonts w:cstheme="minorHAnsi"/>
                <w:sz w:val="22"/>
              </w:rPr>
              <w:t>No</w:t>
            </w:r>
          </w:p>
        </w:tc>
        <w:tc>
          <w:tcPr>
            <w:tcW w:w="0" w:type="auto"/>
            <w:vAlign w:val="center"/>
          </w:tcPr>
          <w:p w:rsidR="008170ED" w:rsidRPr="0014575E" w:rsidRDefault="008170ED" w:rsidP="001C0A2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sz w:val="22"/>
              </w:rPr>
            </w:pPr>
            <w:r w:rsidRPr="0014575E">
              <w:rPr>
                <w:rFonts w:cstheme="minorHAnsi"/>
                <w:sz w:val="22"/>
              </w:rPr>
              <w:t>No</w:t>
            </w:r>
          </w:p>
        </w:tc>
      </w:tr>
    </w:tbl>
    <w:p w:rsidR="008170ED" w:rsidRDefault="008170ED" w:rsidP="008170ED">
      <w:pPr>
        <w:spacing w:after="0"/>
        <w:jc w:val="both"/>
        <w:rPr>
          <w:rFonts w:cs="Arial"/>
        </w:rPr>
      </w:pPr>
    </w:p>
    <w:p w:rsidR="008170ED" w:rsidRDefault="008170ED" w:rsidP="008170ED">
      <w:pPr>
        <w:pStyle w:val="ListParagraph"/>
        <w:ind w:left="284"/>
        <w:jc w:val="both"/>
        <w:rPr>
          <w:rFonts w:cs="Arial"/>
          <w:b/>
          <w:sz w:val="22"/>
        </w:rPr>
      </w:pPr>
    </w:p>
    <w:p w:rsidR="008170ED" w:rsidRPr="00F7232C" w:rsidRDefault="008170ED" w:rsidP="008170ED">
      <w:pPr>
        <w:pStyle w:val="ListParagraph"/>
        <w:numPr>
          <w:ilvl w:val="0"/>
          <w:numId w:val="37"/>
        </w:numPr>
        <w:ind w:left="284" w:hanging="284"/>
        <w:jc w:val="both"/>
        <w:rPr>
          <w:rFonts w:cs="Arial"/>
          <w:b/>
          <w:sz w:val="22"/>
        </w:rPr>
      </w:pPr>
      <w:r w:rsidRPr="00F7232C">
        <w:rPr>
          <w:rFonts w:cs="Arial"/>
          <w:b/>
          <w:sz w:val="22"/>
        </w:rPr>
        <w:t xml:space="preserve">Historias clínicas: </w:t>
      </w:r>
    </w:p>
    <w:p w:rsidR="008170ED" w:rsidRDefault="008170ED" w:rsidP="008170ED">
      <w:pPr>
        <w:pStyle w:val="ListParagraph"/>
        <w:ind w:left="284"/>
        <w:jc w:val="both"/>
        <w:rPr>
          <w:rFonts w:cs="Arial"/>
          <w:b/>
          <w:sz w:val="22"/>
        </w:rPr>
      </w:pPr>
    </w:p>
    <w:p w:rsidR="008170ED" w:rsidRDefault="008170ED" w:rsidP="008170ED">
      <w:pPr>
        <w:pStyle w:val="ListParagraph"/>
        <w:ind w:left="284"/>
        <w:jc w:val="both"/>
        <w:rPr>
          <w:rFonts w:cs="Arial"/>
          <w:sz w:val="22"/>
        </w:rPr>
      </w:pPr>
      <w:r w:rsidRPr="00CC0DD6">
        <w:rPr>
          <w:rFonts w:cs="Arial"/>
          <w:sz w:val="22"/>
        </w:rPr>
        <w:t>Se corroboró que las historias clínicas no se están manejando de manera adecuada, pues la especialidad de psiquiatría tiene una historia clínica independiente a la historia c</w:t>
      </w:r>
      <w:r>
        <w:rPr>
          <w:rFonts w:cs="Arial"/>
          <w:sz w:val="22"/>
        </w:rPr>
        <w:t>línica general de las internas</w:t>
      </w:r>
      <w:r w:rsidRPr="00CC0DD6">
        <w:rPr>
          <w:rFonts w:cs="Arial"/>
          <w:sz w:val="22"/>
        </w:rPr>
        <w:t xml:space="preserve">; esta situación representa grave riesgo a la salud de las internas si se tiene en cuenta que: </w:t>
      </w:r>
      <w:r w:rsidRPr="00CC0DD6">
        <w:rPr>
          <w:rFonts w:cs="Arial"/>
          <w:b/>
          <w:sz w:val="22"/>
        </w:rPr>
        <w:t>(i)</w:t>
      </w:r>
      <w:r w:rsidRPr="00CC0DD6">
        <w:rPr>
          <w:rFonts w:cs="Arial"/>
          <w:sz w:val="22"/>
        </w:rPr>
        <w:t xml:space="preserve"> los especialistas que atienden a las internas y formulan medicamentos para el tratamiento de las diversas patologías, no tienen conocimiento del diagnóstico y tratamiento ordenado por parte del psiquiatra (y viceversa), sólo cuentan con la información verbal de las internas; situación que puede generar incompatibilidad entre medicamentos o un diagnóstico errado y </w:t>
      </w:r>
      <w:r w:rsidRPr="00CC0DD6">
        <w:rPr>
          <w:rFonts w:cs="Arial"/>
          <w:b/>
          <w:sz w:val="22"/>
        </w:rPr>
        <w:t>(ii)</w:t>
      </w:r>
      <w:r w:rsidRPr="00CC0DD6">
        <w:rPr>
          <w:rFonts w:cs="Arial"/>
          <w:sz w:val="22"/>
        </w:rPr>
        <w:t xml:space="preserve"> en caso de existir traslados de las internas a otros establecimientos, se interrumpe la continuidad del tratamiento, pues como se constató las evoluciones psiquiátricas no se archivan en las historias clínicas.  </w:t>
      </w:r>
    </w:p>
    <w:p w:rsidR="008170ED" w:rsidRDefault="008170ED" w:rsidP="008170ED">
      <w:pPr>
        <w:pStyle w:val="ListParagraph"/>
        <w:ind w:left="284"/>
        <w:jc w:val="both"/>
        <w:rPr>
          <w:rFonts w:cs="Arial"/>
          <w:sz w:val="22"/>
        </w:rPr>
      </w:pPr>
    </w:p>
    <w:p w:rsidR="008170ED" w:rsidRPr="00F7232C" w:rsidRDefault="008170ED" w:rsidP="008170ED">
      <w:pPr>
        <w:pStyle w:val="ListParagraph"/>
        <w:numPr>
          <w:ilvl w:val="0"/>
          <w:numId w:val="37"/>
        </w:numPr>
        <w:ind w:left="284" w:hanging="284"/>
        <w:jc w:val="both"/>
        <w:rPr>
          <w:rFonts w:cs="Arial"/>
          <w:b/>
          <w:sz w:val="22"/>
        </w:rPr>
      </w:pPr>
      <w:r w:rsidRPr="00F7232C">
        <w:rPr>
          <w:rFonts w:cs="Arial"/>
          <w:b/>
          <w:sz w:val="22"/>
        </w:rPr>
        <w:t>Medicamentos:</w:t>
      </w:r>
    </w:p>
    <w:p w:rsidR="008170ED" w:rsidRDefault="008170ED" w:rsidP="008170ED">
      <w:pPr>
        <w:pStyle w:val="ListParagraph"/>
        <w:jc w:val="both"/>
        <w:rPr>
          <w:rFonts w:cs="Arial"/>
          <w:b/>
          <w:sz w:val="22"/>
        </w:rPr>
      </w:pPr>
    </w:p>
    <w:p w:rsidR="008170ED" w:rsidRDefault="008170ED" w:rsidP="008170ED">
      <w:pPr>
        <w:pStyle w:val="ListParagraph"/>
        <w:ind w:left="284"/>
        <w:jc w:val="both"/>
        <w:rPr>
          <w:rFonts w:cs="Arial"/>
          <w:sz w:val="22"/>
        </w:rPr>
      </w:pPr>
      <w:r w:rsidRPr="00CC0DD6">
        <w:rPr>
          <w:rFonts w:cs="Arial"/>
          <w:sz w:val="22"/>
        </w:rPr>
        <w:t xml:space="preserve">En los establecimientos en los que se mantiene la IPS G.I.H Mariana como prestadora de la atención en salud mental, los medicamentos son suministrados en </w:t>
      </w:r>
      <w:r w:rsidRPr="00CC0DD6">
        <w:rPr>
          <w:rFonts w:cs="Arial"/>
          <w:sz w:val="22"/>
        </w:rPr>
        <w:lastRenderedPageBreak/>
        <w:t xml:space="preserve">forma de </w:t>
      </w:r>
      <w:proofErr w:type="spellStart"/>
      <w:r w:rsidRPr="00CC0DD6">
        <w:rPr>
          <w:rFonts w:cs="Arial"/>
          <w:sz w:val="22"/>
        </w:rPr>
        <w:t>unidosis</w:t>
      </w:r>
      <w:proofErr w:type="spellEnd"/>
      <w:r w:rsidRPr="00CC0DD6">
        <w:rPr>
          <w:rFonts w:cs="Arial"/>
          <w:sz w:val="22"/>
        </w:rPr>
        <w:t xml:space="preserve"> por parte del auxiliar de enfermería contratado por esta IPS para trabajar de lunes a viernes en horario de 8:00 am a 5:00 pm.</w:t>
      </w:r>
    </w:p>
    <w:p w:rsidR="008170ED" w:rsidRDefault="008170ED" w:rsidP="008170ED">
      <w:pPr>
        <w:pStyle w:val="ListParagraph"/>
        <w:ind w:left="284"/>
        <w:jc w:val="both"/>
        <w:rPr>
          <w:rFonts w:cs="Arial"/>
          <w:sz w:val="22"/>
        </w:rPr>
      </w:pPr>
    </w:p>
    <w:p w:rsidR="008170ED" w:rsidRDefault="008170ED" w:rsidP="008170ED">
      <w:pPr>
        <w:pStyle w:val="ListParagraph"/>
        <w:ind w:left="284"/>
        <w:jc w:val="both"/>
        <w:rPr>
          <w:rFonts w:cs="Arial"/>
          <w:sz w:val="22"/>
        </w:rPr>
      </w:pPr>
      <w:r w:rsidRPr="008D00C4">
        <w:rPr>
          <w:rFonts w:cs="Arial"/>
          <w:sz w:val="22"/>
        </w:rPr>
        <w:t xml:space="preserve">En el caso de la Reclusión de Mujeres de Bogotá en dónde el prestador es clínica La Paz, es la auxiliar de enfermería de INPEC quien suministra los medicamentos de lunes a domingo en dos jornadas (mañana y tarde) en forma de </w:t>
      </w:r>
      <w:proofErr w:type="spellStart"/>
      <w:r w:rsidRPr="008D00C4">
        <w:rPr>
          <w:rFonts w:cs="Arial"/>
          <w:sz w:val="22"/>
        </w:rPr>
        <w:t>unidosis</w:t>
      </w:r>
      <w:proofErr w:type="spellEnd"/>
      <w:r w:rsidRPr="008D00C4">
        <w:rPr>
          <w:rFonts w:cs="Arial"/>
          <w:sz w:val="22"/>
        </w:rPr>
        <w:t>, presentándose como un gran riesgo los casos en los que el medicamento debe tomarse en horas de la noche, pues estas dosis se dejan en horas de la tarde para que cada interna lo ingiera a la hora sugerida por el psiquiatra, pues no es posible verificar la ingesta del mismo.</w:t>
      </w:r>
    </w:p>
    <w:p w:rsidR="008170ED" w:rsidRDefault="008170ED" w:rsidP="008170ED">
      <w:pPr>
        <w:pStyle w:val="ListParagraph"/>
        <w:ind w:left="284"/>
        <w:jc w:val="both"/>
        <w:rPr>
          <w:rFonts w:cs="Arial"/>
          <w:sz w:val="22"/>
        </w:rPr>
      </w:pPr>
    </w:p>
    <w:p w:rsidR="008170ED" w:rsidRPr="00CC0DD6" w:rsidRDefault="008170ED" w:rsidP="008170ED">
      <w:pPr>
        <w:pStyle w:val="ListParagraph"/>
        <w:ind w:left="284"/>
        <w:jc w:val="both"/>
        <w:rPr>
          <w:rFonts w:cs="Arial"/>
          <w:b/>
          <w:sz w:val="22"/>
        </w:rPr>
      </w:pPr>
      <w:r w:rsidRPr="008D00C4">
        <w:rPr>
          <w:rFonts w:cs="Arial"/>
          <w:sz w:val="22"/>
        </w:rPr>
        <w:t xml:space="preserve">Se evidenció que por los inconvenientes en contratación presentados durante los 6 primeros meses del año se vio afectado el suministro de medicamentos ya que de acuerdo con lo informado por la auxiliar de enfermería del COPED en ocasiones debido a la demora con el suministro de medicamentos se veía en la obligación de </w:t>
      </w:r>
      <w:proofErr w:type="spellStart"/>
      <w:r w:rsidRPr="008D00C4">
        <w:rPr>
          <w:rFonts w:cs="Arial"/>
          <w:sz w:val="22"/>
        </w:rPr>
        <w:t>redosificar</w:t>
      </w:r>
      <w:proofErr w:type="spellEnd"/>
      <w:r w:rsidRPr="008D00C4">
        <w:rPr>
          <w:rFonts w:cs="Arial"/>
          <w:sz w:val="22"/>
        </w:rPr>
        <w:t xml:space="preserve"> los medicamentos para que alcanzaran más (</w:t>
      </w:r>
      <w:proofErr w:type="spellStart"/>
      <w:r w:rsidRPr="008D00C4">
        <w:rPr>
          <w:rFonts w:cs="Arial"/>
          <w:sz w:val="22"/>
        </w:rPr>
        <w:t>Ej</w:t>
      </w:r>
      <w:proofErr w:type="spellEnd"/>
      <w:r w:rsidRPr="008D00C4">
        <w:rPr>
          <w:rFonts w:cs="Arial"/>
          <w:sz w:val="22"/>
        </w:rPr>
        <w:t>: dar solo media pastilla en vez de una sola); y de acuerdo a lo informado por dos internas durante entrevista en el COJAM, los medicamentos formulados no eran los que estaban siendo suministrados ya que la IPS encargada no había realizado el suministro de medicamentos.</w:t>
      </w:r>
    </w:p>
    <w:p w:rsidR="008170ED" w:rsidRPr="00CC0DD6" w:rsidRDefault="008170ED" w:rsidP="008170ED">
      <w:pPr>
        <w:pStyle w:val="ListParagraph"/>
        <w:ind w:left="284"/>
        <w:jc w:val="both"/>
        <w:rPr>
          <w:rFonts w:cs="Arial"/>
          <w:sz w:val="22"/>
        </w:rPr>
      </w:pPr>
    </w:p>
    <w:p w:rsidR="008170ED" w:rsidRPr="00F7232C" w:rsidRDefault="008170ED" w:rsidP="008170ED">
      <w:pPr>
        <w:pStyle w:val="ListParagraph"/>
        <w:numPr>
          <w:ilvl w:val="0"/>
          <w:numId w:val="38"/>
        </w:numPr>
        <w:ind w:left="284" w:hanging="284"/>
        <w:jc w:val="both"/>
        <w:rPr>
          <w:rFonts w:cs="Arial"/>
          <w:sz w:val="22"/>
        </w:rPr>
      </w:pPr>
      <w:r w:rsidRPr="00F7232C">
        <w:rPr>
          <w:rFonts w:cs="Arial"/>
          <w:b/>
          <w:sz w:val="22"/>
        </w:rPr>
        <w:t>Tiempo destinado a consultas</w:t>
      </w:r>
      <w:r w:rsidRPr="00F7232C">
        <w:rPr>
          <w:rFonts w:cs="Arial"/>
          <w:sz w:val="22"/>
        </w:rPr>
        <w:t xml:space="preserve">: </w:t>
      </w:r>
    </w:p>
    <w:p w:rsidR="008170ED" w:rsidRDefault="008170ED" w:rsidP="008170ED">
      <w:pPr>
        <w:pStyle w:val="ListParagraph"/>
        <w:ind w:left="284"/>
        <w:jc w:val="both"/>
        <w:rPr>
          <w:rFonts w:cs="Arial"/>
          <w:b/>
          <w:sz w:val="22"/>
        </w:rPr>
      </w:pPr>
    </w:p>
    <w:p w:rsidR="008170ED" w:rsidRDefault="008170ED" w:rsidP="008170ED">
      <w:pPr>
        <w:pStyle w:val="ListParagraph"/>
        <w:ind w:left="284"/>
        <w:jc w:val="both"/>
        <w:rPr>
          <w:rFonts w:cs="Arial"/>
          <w:i/>
          <w:sz w:val="22"/>
        </w:rPr>
      </w:pPr>
      <w:r w:rsidRPr="00CC0DD6">
        <w:rPr>
          <w:rFonts w:cs="Arial"/>
          <w:sz w:val="22"/>
        </w:rPr>
        <w:t xml:space="preserve">De acuerdo a lo estipulado en la Ley 1616 de 016, artículo 6, numeral 5  toda persona tiene derecho en el marco de la Salud Mental </w:t>
      </w:r>
      <w:r w:rsidRPr="00CC0DD6">
        <w:rPr>
          <w:rFonts w:cs="Arial"/>
          <w:i/>
          <w:sz w:val="22"/>
        </w:rPr>
        <w:t xml:space="preserve">“(…) a tener un proceso psicoterapéutico, con los tiempos y sesiones necesarias para asegurar un trato digno para obtener resultados en términos de cambio, bienestar y calidad de vida.” </w:t>
      </w:r>
    </w:p>
    <w:p w:rsidR="008170ED" w:rsidRDefault="008170ED" w:rsidP="008170ED">
      <w:pPr>
        <w:pStyle w:val="ListParagraph"/>
        <w:ind w:left="284"/>
        <w:jc w:val="both"/>
        <w:rPr>
          <w:rFonts w:cs="Arial"/>
          <w:i/>
          <w:sz w:val="22"/>
        </w:rPr>
      </w:pPr>
    </w:p>
    <w:p w:rsidR="008170ED" w:rsidRDefault="008170ED" w:rsidP="008170ED">
      <w:pPr>
        <w:pStyle w:val="ListParagraph"/>
        <w:ind w:left="284"/>
        <w:jc w:val="both"/>
        <w:rPr>
          <w:rFonts w:cs="Arial"/>
          <w:sz w:val="22"/>
        </w:rPr>
      </w:pPr>
      <w:r w:rsidRPr="008D00C4">
        <w:rPr>
          <w:rFonts w:cs="Arial"/>
          <w:sz w:val="22"/>
        </w:rPr>
        <w:t>Pues bien, en la visita a los establecimientos de Jamundí y Pedregal, en donde aún se encuentra prestando la atención en salud mental GIH-Mariana, se evidenció que la situación es crítica y se están vulnerando los derechos de la población femenina, toda vez que durante los primeros seis meses del año</w:t>
      </w:r>
      <w:r>
        <w:rPr>
          <w:rFonts w:cs="Arial"/>
          <w:sz w:val="22"/>
        </w:rPr>
        <w:t xml:space="preserve"> 2016</w:t>
      </w:r>
      <w:r w:rsidRPr="008D00C4">
        <w:rPr>
          <w:rFonts w:cs="Arial"/>
          <w:sz w:val="22"/>
        </w:rPr>
        <w:t xml:space="preserve"> la atención se redujo, en el caso de Medellín el psiquiatra no valoraba mujeres desde el mes de febrero de 2016, por lo que </w:t>
      </w:r>
      <w:r>
        <w:rPr>
          <w:rFonts w:cs="Arial"/>
          <w:sz w:val="22"/>
        </w:rPr>
        <w:t xml:space="preserve">algunas internas </w:t>
      </w:r>
      <w:r w:rsidRPr="008D00C4">
        <w:rPr>
          <w:rFonts w:cs="Arial"/>
          <w:sz w:val="22"/>
        </w:rPr>
        <w:t xml:space="preserve">llevaban 5 meses sin ningún tipo de atención por esta especialidad. </w:t>
      </w:r>
    </w:p>
    <w:p w:rsidR="008170ED" w:rsidRDefault="008170ED" w:rsidP="008170ED">
      <w:pPr>
        <w:pStyle w:val="ListParagraph"/>
        <w:ind w:left="284"/>
        <w:jc w:val="both"/>
        <w:rPr>
          <w:rFonts w:cs="Arial"/>
          <w:sz w:val="22"/>
        </w:rPr>
      </w:pPr>
    </w:p>
    <w:p w:rsidR="008170ED" w:rsidRDefault="008170ED" w:rsidP="008170ED">
      <w:pPr>
        <w:pStyle w:val="ListParagraph"/>
        <w:ind w:left="284"/>
        <w:jc w:val="both"/>
        <w:rPr>
          <w:rFonts w:cs="Arial"/>
          <w:sz w:val="22"/>
        </w:rPr>
      </w:pPr>
      <w:r w:rsidRPr="008D00C4">
        <w:rPr>
          <w:rFonts w:cs="Arial"/>
          <w:sz w:val="22"/>
        </w:rPr>
        <w:t xml:space="preserve">En la Reclusión de Mujeres de Bogotá, el psiquiatra asiste </w:t>
      </w:r>
      <w:r>
        <w:rPr>
          <w:rFonts w:cs="Arial"/>
          <w:sz w:val="22"/>
        </w:rPr>
        <w:t>cada</w:t>
      </w:r>
      <w:r w:rsidRPr="008D00C4">
        <w:rPr>
          <w:rFonts w:cs="Arial"/>
          <w:sz w:val="22"/>
        </w:rPr>
        <w:t xml:space="preserve"> viernes durante todo el día y atiende un prom</w:t>
      </w:r>
      <w:r>
        <w:rPr>
          <w:rFonts w:cs="Arial"/>
          <w:sz w:val="22"/>
        </w:rPr>
        <w:t xml:space="preserve">edio de 10 a 12 internas. </w:t>
      </w:r>
      <w:r w:rsidRPr="008D00C4">
        <w:rPr>
          <w:rFonts w:cs="Arial"/>
          <w:sz w:val="22"/>
        </w:rPr>
        <w:t>Sin embargo, se informa que no se tiene contratado personal como psicólogo o terapeuta ocupacional ya que hasta el momento de la visita</w:t>
      </w:r>
      <w:r>
        <w:rPr>
          <w:rFonts w:cs="Arial"/>
          <w:sz w:val="22"/>
        </w:rPr>
        <w:t>,</w:t>
      </w:r>
      <w:r w:rsidRPr="008D00C4">
        <w:rPr>
          <w:rFonts w:cs="Arial"/>
          <w:sz w:val="22"/>
        </w:rPr>
        <w:t xml:space="preserve"> el psiquiatra no consideraba para ninguno de los casos este tipo de terapias </w:t>
      </w:r>
      <w:r>
        <w:rPr>
          <w:rFonts w:cs="Arial"/>
          <w:sz w:val="22"/>
        </w:rPr>
        <w:t>necesarias</w:t>
      </w:r>
      <w:r w:rsidRPr="008D00C4">
        <w:rPr>
          <w:rFonts w:cs="Arial"/>
          <w:sz w:val="22"/>
        </w:rPr>
        <w:t xml:space="preserve"> para el tratamiento </w:t>
      </w:r>
      <w:r>
        <w:rPr>
          <w:rFonts w:cs="Arial"/>
          <w:sz w:val="22"/>
        </w:rPr>
        <w:t xml:space="preserve">integral </w:t>
      </w:r>
      <w:r w:rsidRPr="008D00C4">
        <w:rPr>
          <w:rFonts w:cs="Arial"/>
          <w:sz w:val="22"/>
        </w:rPr>
        <w:t>de la enfermedad mental.</w:t>
      </w:r>
    </w:p>
    <w:p w:rsidR="008170ED" w:rsidRDefault="008170ED" w:rsidP="008170ED">
      <w:pPr>
        <w:pStyle w:val="ListParagraph"/>
        <w:ind w:left="284"/>
        <w:jc w:val="both"/>
        <w:rPr>
          <w:rFonts w:cs="Arial"/>
          <w:sz w:val="22"/>
        </w:rPr>
      </w:pPr>
    </w:p>
    <w:p w:rsidR="008170ED" w:rsidRPr="00F7232C" w:rsidRDefault="008170ED" w:rsidP="008170ED">
      <w:pPr>
        <w:pStyle w:val="ListParagraph"/>
        <w:numPr>
          <w:ilvl w:val="0"/>
          <w:numId w:val="38"/>
        </w:numPr>
        <w:ind w:left="284" w:hanging="284"/>
        <w:jc w:val="both"/>
        <w:rPr>
          <w:rFonts w:cs="Arial"/>
          <w:b/>
          <w:sz w:val="22"/>
        </w:rPr>
      </w:pPr>
      <w:r w:rsidRPr="00F7232C">
        <w:rPr>
          <w:rFonts w:cs="Arial"/>
          <w:b/>
          <w:sz w:val="22"/>
        </w:rPr>
        <w:t>Consentimiento Informado</w:t>
      </w:r>
    </w:p>
    <w:p w:rsidR="008170ED" w:rsidRDefault="008170ED" w:rsidP="008170ED">
      <w:pPr>
        <w:pStyle w:val="ListParagraph"/>
        <w:ind w:left="284"/>
        <w:jc w:val="both"/>
        <w:rPr>
          <w:rFonts w:cs="Arial"/>
          <w:b/>
          <w:sz w:val="22"/>
        </w:rPr>
      </w:pPr>
    </w:p>
    <w:p w:rsidR="008170ED" w:rsidRDefault="008170ED" w:rsidP="008170ED">
      <w:pPr>
        <w:pStyle w:val="ListParagraph"/>
        <w:ind w:left="284"/>
        <w:jc w:val="both"/>
        <w:rPr>
          <w:rFonts w:cs="Arial"/>
          <w:sz w:val="22"/>
        </w:rPr>
      </w:pPr>
      <w:r>
        <w:rPr>
          <w:rFonts w:cs="Arial"/>
          <w:sz w:val="22"/>
        </w:rPr>
        <w:t>E</w:t>
      </w:r>
      <w:r w:rsidRPr="008D00C4">
        <w:rPr>
          <w:rFonts w:cs="Arial"/>
          <w:sz w:val="22"/>
        </w:rPr>
        <w:t xml:space="preserve">n los establecimientos de reclusión de mujeres de Bogotá y </w:t>
      </w:r>
      <w:proofErr w:type="spellStart"/>
      <w:r w:rsidRPr="008D00C4">
        <w:rPr>
          <w:rFonts w:cs="Arial"/>
          <w:sz w:val="22"/>
        </w:rPr>
        <w:t>Jamudí</w:t>
      </w:r>
      <w:proofErr w:type="spellEnd"/>
      <w:r w:rsidRPr="008D00C4">
        <w:rPr>
          <w:rFonts w:cs="Arial"/>
          <w:sz w:val="22"/>
        </w:rPr>
        <w:t xml:space="preserve"> el consentimiento informado no ha sido incluido en la historia clínica ni ha sido tenido en cuenta como parte fundamental del inicio del tratamiento como lo indica la Ley 1616 de 2013 en el Artículo 6, Numerales  2 y 13: </w:t>
      </w:r>
    </w:p>
    <w:p w:rsidR="008170ED" w:rsidRDefault="008170ED" w:rsidP="008170ED">
      <w:pPr>
        <w:pStyle w:val="ListParagraph"/>
        <w:ind w:left="284"/>
        <w:jc w:val="both"/>
        <w:rPr>
          <w:rFonts w:cs="Arial"/>
          <w:sz w:val="22"/>
        </w:rPr>
      </w:pPr>
    </w:p>
    <w:p w:rsidR="008170ED" w:rsidRDefault="008170ED" w:rsidP="008170ED">
      <w:pPr>
        <w:pStyle w:val="ListParagraph"/>
        <w:ind w:left="284"/>
        <w:jc w:val="both"/>
        <w:rPr>
          <w:rFonts w:cs="Arial"/>
          <w:sz w:val="22"/>
        </w:rPr>
      </w:pPr>
      <w:r w:rsidRPr="008D00C4">
        <w:rPr>
          <w:rFonts w:cs="Arial"/>
          <w:sz w:val="22"/>
        </w:rPr>
        <w:t>2 “</w:t>
      </w:r>
      <w:r w:rsidRPr="008D00C4">
        <w:rPr>
          <w:rFonts w:cs="Arial"/>
          <w:i/>
          <w:sz w:val="22"/>
        </w:rPr>
        <w:t>Derecho a recibir información clara, oportuna, veraz y completa de las circunstancias relacionadas con su estado de salud, diagnóstico, tratamiento y pronóstico, incluyendo el propósito, método, duración probable y beneficios que se esperan, así como sus riesgos y las secuelas, de los hechos o situaciones causantes de su deterioro y de las circunstancias relacionadas con su seguridad social</w:t>
      </w:r>
      <w:r w:rsidRPr="008D00C4">
        <w:rPr>
          <w:rFonts w:cs="Arial"/>
          <w:sz w:val="22"/>
        </w:rPr>
        <w:t xml:space="preserve">.” </w:t>
      </w:r>
    </w:p>
    <w:p w:rsidR="008170ED" w:rsidRDefault="008170ED" w:rsidP="008170ED">
      <w:pPr>
        <w:pStyle w:val="ListParagraph"/>
        <w:ind w:left="284"/>
        <w:jc w:val="both"/>
        <w:rPr>
          <w:rFonts w:cs="Arial"/>
          <w:sz w:val="22"/>
        </w:rPr>
      </w:pPr>
    </w:p>
    <w:p w:rsidR="008170ED" w:rsidRDefault="008170ED" w:rsidP="008170ED">
      <w:pPr>
        <w:pStyle w:val="ListParagraph"/>
        <w:ind w:left="284"/>
        <w:jc w:val="both"/>
        <w:rPr>
          <w:rFonts w:cs="Arial"/>
          <w:sz w:val="22"/>
        </w:rPr>
      </w:pPr>
      <w:r w:rsidRPr="008D00C4">
        <w:rPr>
          <w:rFonts w:cs="Arial"/>
          <w:sz w:val="22"/>
        </w:rPr>
        <w:t>13 “</w:t>
      </w:r>
      <w:r w:rsidRPr="008D00C4">
        <w:rPr>
          <w:rFonts w:cs="Arial"/>
          <w:i/>
          <w:sz w:val="22"/>
        </w:rPr>
        <w:t>Derecho a exigir que sea tenido en cuenta el consentimiento informado para recibir el tratamiento</w:t>
      </w:r>
      <w:r w:rsidRPr="008D00C4">
        <w:rPr>
          <w:rFonts w:cs="Arial"/>
          <w:sz w:val="22"/>
        </w:rPr>
        <w:t>”.</w:t>
      </w:r>
    </w:p>
    <w:p w:rsidR="008170ED" w:rsidRPr="00CC0DD6" w:rsidRDefault="008170ED" w:rsidP="008170ED">
      <w:pPr>
        <w:pStyle w:val="ListParagraph"/>
        <w:ind w:left="284"/>
        <w:jc w:val="both"/>
        <w:rPr>
          <w:rFonts w:cs="Arial"/>
          <w:b/>
          <w:sz w:val="22"/>
        </w:rPr>
      </w:pPr>
    </w:p>
    <w:p w:rsidR="008170ED" w:rsidRPr="0014575E" w:rsidRDefault="008170ED" w:rsidP="008170ED">
      <w:pPr>
        <w:pStyle w:val="ListParagraph"/>
        <w:numPr>
          <w:ilvl w:val="0"/>
          <w:numId w:val="30"/>
        </w:numPr>
        <w:spacing w:after="0"/>
        <w:jc w:val="both"/>
        <w:rPr>
          <w:rFonts w:cs="Arial"/>
          <w:b/>
          <w:sz w:val="22"/>
        </w:rPr>
      </w:pPr>
      <w:r w:rsidRPr="0014575E">
        <w:rPr>
          <w:rFonts w:cs="Arial"/>
          <w:b/>
          <w:sz w:val="22"/>
        </w:rPr>
        <w:t xml:space="preserve">Otros hallazgos </w:t>
      </w:r>
    </w:p>
    <w:p w:rsidR="008170ED" w:rsidRDefault="008170ED" w:rsidP="008170ED">
      <w:pPr>
        <w:spacing w:after="0"/>
        <w:jc w:val="both"/>
        <w:rPr>
          <w:rFonts w:cs="Arial"/>
        </w:rPr>
      </w:pPr>
    </w:p>
    <w:p w:rsidR="008170ED" w:rsidRPr="00294360" w:rsidRDefault="008170ED" w:rsidP="008170ED">
      <w:pPr>
        <w:spacing w:after="0"/>
        <w:jc w:val="both"/>
        <w:rPr>
          <w:rFonts w:cs="Arial"/>
          <w:sz w:val="22"/>
        </w:rPr>
      </w:pPr>
      <w:r w:rsidRPr="00294360">
        <w:rPr>
          <w:rFonts w:cs="Arial"/>
          <w:sz w:val="22"/>
        </w:rPr>
        <w:t xml:space="preserve">En las conversaciones sostenidas con personal directivo, personal administrativo y personal de salud sobre la situación de las mujeres con trastorno mental, se pudo identificar, que en general, se tiene la creencia que las mujeres “se estresan por todo”, “lloran por todo”, “son muy sentimentales”, “se quejan mucho”; minimizando la importancia de la sintomatología presentada, que aunque no necesariamente corresponde a un trastorno mental, requiere de una atención oportuna. </w:t>
      </w:r>
    </w:p>
    <w:p w:rsidR="008170ED" w:rsidRPr="00294360" w:rsidRDefault="008170ED" w:rsidP="008170ED">
      <w:pPr>
        <w:pStyle w:val="ListParagraph"/>
        <w:spacing w:after="0"/>
        <w:jc w:val="both"/>
        <w:rPr>
          <w:rFonts w:cs="Arial"/>
          <w:sz w:val="22"/>
        </w:rPr>
      </w:pPr>
    </w:p>
    <w:p w:rsidR="008170ED" w:rsidRPr="00294360" w:rsidRDefault="008170ED" w:rsidP="008170ED">
      <w:pPr>
        <w:pStyle w:val="ListParagraph"/>
        <w:numPr>
          <w:ilvl w:val="0"/>
          <w:numId w:val="30"/>
        </w:numPr>
        <w:spacing w:after="0"/>
        <w:jc w:val="both"/>
        <w:rPr>
          <w:rFonts w:cs="Arial"/>
          <w:sz w:val="22"/>
        </w:rPr>
      </w:pPr>
      <w:r w:rsidRPr="00294360">
        <w:rPr>
          <w:rFonts w:cs="Arial"/>
          <w:sz w:val="22"/>
        </w:rPr>
        <w:t>Sigue sin contarse con protocolos para la atención de urgencias psiquiátricas, generando riesgo de confrontación con otras internas o personal de guardia.</w:t>
      </w:r>
    </w:p>
    <w:p w:rsidR="008170ED" w:rsidRPr="00294360" w:rsidRDefault="008170ED" w:rsidP="008170ED">
      <w:pPr>
        <w:pStyle w:val="ListParagraph"/>
        <w:rPr>
          <w:rFonts w:cs="Arial"/>
          <w:sz w:val="22"/>
        </w:rPr>
      </w:pPr>
    </w:p>
    <w:p w:rsidR="008170ED" w:rsidRDefault="008170ED" w:rsidP="008170ED">
      <w:pPr>
        <w:pStyle w:val="ListParagraph"/>
        <w:numPr>
          <w:ilvl w:val="0"/>
          <w:numId w:val="30"/>
        </w:numPr>
        <w:spacing w:after="0"/>
        <w:jc w:val="both"/>
        <w:rPr>
          <w:rFonts w:cs="Arial"/>
          <w:sz w:val="22"/>
        </w:rPr>
      </w:pPr>
      <w:r w:rsidRPr="00294360">
        <w:rPr>
          <w:rFonts w:cs="Arial"/>
          <w:sz w:val="22"/>
        </w:rPr>
        <w:t>No existe ningún programa que se oriente la prevención de la enfermedad mental.</w:t>
      </w:r>
    </w:p>
    <w:p w:rsidR="008170ED" w:rsidRPr="00294360" w:rsidRDefault="008170ED" w:rsidP="008170ED">
      <w:pPr>
        <w:pStyle w:val="ListParagraph"/>
        <w:rPr>
          <w:rFonts w:cs="Arial"/>
          <w:sz w:val="22"/>
        </w:rPr>
      </w:pPr>
    </w:p>
    <w:p w:rsidR="008170ED" w:rsidRDefault="008170ED" w:rsidP="008170ED">
      <w:pPr>
        <w:pStyle w:val="ListParagraph"/>
        <w:numPr>
          <w:ilvl w:val="0"/>
          <w:numId w:val="30"/>
        </w:numPr>
        <w:spacing w:after="0"/>
        <w:jc w:val="both"/>
        <w:rPr>
          <w:rFonts w:cs="Arial"/>
          <w:sz w:val="22"/>
        </w:rPr>
      </w:pPr>
      <w:r w:rsidRPr="00294360">
        <w:rPr>
          <w:rFonts w:cs="Arial"/>
          <w:sz w:val="22"/>
        </w:rPr>
        <w:t>La primera atención que recibe la persona que presenta síntomas de trastorno mental, se brinda a través del monitor de salud de cada patio, quien sin formación médica o paramédica alguna determina si la sintomatología de la persona amerita ser llevada a consulta médica; en caso de ser así en el término de  7 a 15 días es valorada por el médico general del establecimiento quien al realizar la valoración puede determinar si se requiere una remisión para valoración por especialista en psiquiatría o si por el contrario es “estrés elevado” para el cual le recomiendan a las internas “relájese, no se preocupe tanto” (Caso tomado entrevistas en Reclusión de Mujeres Bogotá)</w:t>
      </w:r>
    </w:p>
    <w:p w:rsidR="008170ED" w:rsidRPr="00294360" w:rsidRDefault="008170ED" w:rsidP="008170ED">
      <w:pPr>
        <w:pStyle w:val="ListParagraph"/>
        <w:rPr>
          <w:rFonts w:cs="Arial"/>
          <w:sz w:val="22"/>
        </w:rPr>
      </w:pPr>
    </w:p>
    <w:p w:rsidR="008170ED" w:rsidRDefault="008170ED" w:rsidP="008170ED">
      <w:pPr>
        <w:pStyle w:val="ListParagraph"/>
        <w:numPr>
          <w:ilvl w:val="0"/>
          <w:numId w:val="30"/>
        </w:numPr>
        <w:spacing w:after="0"/>
        <w:jc w:val="both"/>
        <w:rPr>
          <w:rFonts w:cs="Arial"/>
          <w:sz w:val="22"/>
        </w:rPr>
      </w:pPr>
      <w:r w:rsidRPr="00294360">
        <w:rPr>
          <w:rFonts w:cs="Arial"/>
          <w:sz w:val="22"/>
        </w:rPr>
        <w:t>La enfermedad mental sigue teniendo un tratamiento netamente farmacológico, no se garantizan terapias por parte de psicología, terapia ocupacional o terapia física, vulnerando los derechos de la población con trastorno mental a “recibir atención integral e integrada y humanizada por el equipo humano y los servicios especializados en salud mental”, como se plantea en la Ley 1616 de 2013, artículo 6, numeral 1.</w:t>
      </w:r>
    </w:p>
    <w:p w:rsidR="008170ED" w:rsidRPr="00294360" w:rsidRDefault="008170ED" w:rsidP="008170ED">
      <w:pPr>
        <w:pStyle w:val="ListParagraph"/>
        <w:rPr>
          <w:rFonts w:cs="Arial"/>
          <w:sz w:val="22"/>
        </w:rPr>
      </w:pPr>
    </w:p>
    <w:p w:rsidR="008170ED" w:rsidRDefault="008170ED" w:rsidP="008170ED">
      <w:pPr>
        <w:pStyle w:val="ListParagraph"/>
        <w:numPr>
          <w:ilvl w:val="0"/>
          <w:numId w:val="30"/>
        </w:numPr>
        <w:spacing w:after="0"/>
        <w:jc w:val="both"/>
        <w:rPr>
          <w:rFonts w:cs="Arial"/>
          <w:sz w:val="22"/>
        </w:rPr>
      </w:pPr>
      <w:r w:rsidRPr="00294360">
        <w:rPr>
          <w:rFonts w:cs="Arial"/>
          <w:sz w:val="22"/>
        </w:rPr>
        <w:t>De las 12 internas entrevistadas en los tres establecimientos, ninguna manifestó haber mejorado su condición con el tratamiento recibido para la enfermedad mental; por el contrario manifiestan haber perdido habilidades como concentración y atención, y sentirse adormitadas todo el día, lo que les dificulta la realización de actividades de trabajo o aprendizaje a las que tienen derecho.</w:t>
      </w:r>
    </w:p>
    <w:p w:rsidR="008170ED" w:rsidRDefault="008170ED" w:rsidP="005D33C2">
      <w:pPr>
        <w:spacing w:after="0"/>
        <w:jc w:val="both"/>
        <w:rPr>
          <w:sz w:val="22"/>
        </w:rPr>
      </w:pPr>
    </w:p>
    <w:p w:rsidR="00002794" w:rsidRDefault="00002794" w:rsidP="005D33C2">
      <w:pPr>
        <w:spacing w:after="0"/>
        <w:jc w:val="both"/>
        <w:rPr>
          <w:sz w:val="22"/>
        </w:rPr>
      </w:pPr>
    </w:p>
    <w:p w:rsidR="00EF0739" w:rsidRDefault="007D7F7C" w:rsidP="00881CB2">
      <w:pPr>
        <w:spacing w:after="0" w:line="240" w:lineRule="auto"/>
        <w:ind w:right="-142"/>
        <w:jc w:val="both"/>
        <w:rPr>
          <w:b/>
          <w:sz w:val="22"/>
        </w:rPr>
      </w:pPr>
      <w:r w:rsidRPr="007D7F7C">
        <w:rPr>
          <w:b/>
          <w:sz w:val="22"/>
        </w:rPr>
        <w:t>II.</w:t>
      </w:r>
      <w:r>
        <w:rPr>
          <w:sz w:val="22"/>
        </w:rPr>
        <w:t xml:space="preserve"> </w:t>
      </w:r>
      <w:r>
        <w:rPr>
          <w:b/>
          <w:sz w:val="22"/>
        </w:rPr>
        <w:t xml:space="preserve">RECOMENDACIÓN 17 LITERAL B: </w:t>
      </w:r>
      <w:r w:rsidRPr="008957F5">
        <w:rPr>
          <w:b/>
          <w:i/>
          <w:sz w:val="22"/>
        </w:rPr>
        <w:t>“</w:t>
      </w:r>
      <w:r w:rsidR="008957F5" w:rsidRPr="008957F5">
        <w:rPr>
          <w:b/>
          <w:i/>
          <w:sz w:val="22"/>
        </w:rPr>
        <w:t>Adoptar urgentemente medidas eficaces para reducir los niveles de ocupación en los centros penitenciarios (…)”</w:t>
      </w:r>
      <w:r>
        <w:rPr>
          <w:b/>
          <w:sz w:val="22"/>
        </w:rPr>
        <w:t xml:space="preserve">  </w:t>
      </w:r>
    </w:p>
    <w:p w:rsidR="00EF0739" w:rsidRDefault="00EF0739" w:rsidP="00881CB2">
      <w:pPr>
        <w:spacing w:after="0" w:line="240" w:lineRule="auto"/>
        <w:ind w:right="-142"/>
        <w:jc w:val="both"/>
        <w:rPr>
          <w:b/>
          <w:sz w:val="22"/>
        </w:rPr>
      </w:pPr>
    </w:p>
    <w:p w:rsidR="00F70EA4" w:rsidRPr="00A33ADF" w:rsidRDefault="00F70EA4" w:rsidP="00881CB2">
      <w:pPr>
        <w:spacing w:after="0" w:line="240" w:lineRule="auto"/>
        <w:ind w:right="-142"/>
        <w:jc w:val="both"/>
        <w:rPr>
          <w:sz w:val="22"/>
        </w:rPr>
      </w:pPr>
      <w:r w:rsidRPr="00A33ADF">
        <w:rPr>
          <w:sz w:val="22"/>
        </w:rPr>
        <w:t>Con el objeto de acatar esta recomendación, el estado colombiano</w:t>
      </w:r>
      <w:r w:rsidR="00A33ADF" w:rsidRPr="00A33ADF">
        <w:rPr>
          <w:sz w:val="22"/>
        </w:rPr>
        <w:t xml:space="preserve"> ha realizado importantes esfuerzos para</w:t>
      </w:r>
      <w:r w:rsidR="00AE3229">
        <w:rPr>
          <w:sz w:val="22"/>
        </w:rPr>
        <w:t xml:space="preserve"> reducir el alto </w:t>
      </w:r>
      <w:r w:rsidR="001C1FD9">
        <w:rPr>
          <w:sz w:val="22"/>
        </w:rPr>
        <w:t>índice</w:t>
      </w:r>
      <w:r w:rsidR="00AE3229">
        <w:rPr>
          <w:sz w:val="22"/>
        </w:rPr>
        <w:t xml:space="preserve"> de hacinamiento</w:t>
      </w:r>
      <w:r w:rsidR="001C1FD9">
        <w:rPr>
          <w:sz w:val="22"/>
        </w:rPr>
        <w:t xml:space="preserve">, sin embargo la Defensoría del Pueblo observa que son insuficientes para atender de manera efectiva y digna </w:t>
      </w:r>
      <w:r w:rsidR="00A32412">
        <w:rPr>
          <w:sz w:val="22"/>
        </w:rPr>
        <w:t xml:space="preserve">dicha problemática. </w:t>
      </w:r>
      <w:r w:rsidR="00A14C5C">
        <w:rPr>
          <w:sz w:val="22"/>
        </w:rPr>
        <w:t>A continuación se presentará un análisis</w:t>
      </w:r>
      <w:r w:rsidR="001D69EA">
        <w:rPr>
          <w:sz w:val="22"/>
        </w:rPr>
        <w:t xml:space="preserve"> detallado</w:t>
      </w:r>
      <w:r w:rsidR="00A14C5C">
        <w:rPr>
          <w:sz w:val="22"/>
        </w:rPr>
        <w:t xml:space="preserve"> de las cifras</w:t>
      </w:r>
      <w:r w:rsidR="001966D7">
        <w:rPr>
          <w:sz w:val="22"/>
        </w:rPr>
        <w:t xml:space="preserve"> oficiales presentadas por el </w:t>
      </w:r>
      <w:r w:rsidR="001D69EA">
        <w:rPr>
          <w:sz w:val="22"/>
        </w:rPr>
        <w:t>INPEC.</w:t>
      </w:r>
      <w:r w:rsidR="00A14C5C">
        <w:rPr>
          <w:sz w:val="22"/>
        </w:rPr>
        <w:t xml:space="preserve"> </w:t>
      </w:r>
      <w:r w:rsidR="00AE3229">
        <w:rPr>
          <w:sz w:val="22"/>
        </w:rPr>
        <w:t xml:space="preserve"> </w:t>
      </w:r>
      <w:r w:rsidR="00A33ADF">
        <w:rPr>
          <w:sz w:val="22"/>
        </w:rPr>
        <w:t xml:space="preserve"> </w:t>
      </w:r>
      <w:r w:rsidR="00A33ADF" w:rsidRPr="00A33ADF">
        <w:rPr>
          <w:sz w:val="22"/>
        </w:rPr>
        <w:t xml:space="preserve"> </w:t>
      </w:r>
      <w:r w:rsidRPr="00A33ADF">
        <w:rPr>
          <w:sz w:val="22"/>
        </w:rPr>
        <w:t xml:space="preserve"> </w:t>
      </w:r>
    </w:p>
    <w:p w:rsidR="00F23B3B" w:rsidRPr="001D69EA" w:rsidRDefault="00F23B3B" w:rsidP="00F23B3B">
      <w:pPr>
        <w:spacing w:after="0"/>
        <w:jc w:val="both"/>
        <w:rPr>
          <w:sz w:val="22"/>
          <w:u w:val="single"/>
        </w:rPr>
      </w:pPr>
    </w:p>
    <w:p w:rsidR="00F23B3B" w:rsidRPr="001D69EA" w:rsidRDefault="001D69EA" w:rsidP="00F23B3B">
      <w:pPr>
        <w:spacing w:after="160"/>
        <w:ind w:left="360"/>
        <w:jc w:val="both"/>
        <w:rPr>
          <w:b/>
          <w:sz w:val="22"/>
          <w:u w:val="single"/>
        </w:rPr>
      </w:pPr>
      <w:r w:rsidRPr="001D69EA">
        <w:rPr>
          <w:b/>
          <w:sz w:val="22"/>
        </w:rPr>
        <w:t>II.1.</w:t>
      </w:r>
      <w:r w:rsidRPr="001D69EA">
        <w:rPr>
          <w:b/>
          <w:sz w:val="22"/>
          <w:u w:val="single"/>
        </w:rPr>
        <w:t xml:space="preserve"> </w:t>
      </w:r>
      <w:r w:rsidR="00F23B3B" w:rsidRPr="001D69EA">
        <w:rPr>
          <w:b/>
          <w:sz w:val="22"/>
          <w:u w:val="single"/>
        </w:rPr>
        <w:t>Hacinamiento en el sistema penitenciario y Carcelario.</w:t>
      </w:r>
    </w:p>
    <w:p w:rsidR="00F23B3B" w:rsidRDefault="00F23B3B" w:rsidP="00F23B3B">
      <w:pPr>
        <w:jc w:val="both"/>
        <w:rPr>
          <w:sz w:val="22"/>
        </w:rPr>
      </w:pPr>
      <w:r>
        <w:rPr>
          <w:sz w:val="22"/>
        </w:rPr>
        <w:t>Para octubre de 2016</w:t>
      </w:r>
      <w:r w:rsidRPr="00CA3EEB">
        <w:rPr>
          <w:sz w:val="22"/>
        </w:rPr>
        <w:t xml:space="preserve"> el INPEC </w:t>
      </w:r>
      <w:r>
        <w:rPr>
          <w:sz w:val="22"/>
        </w:rPr>
        <w:t xml:space="preserve">en su información estadística </w:t>
      </w:r>
      <w:r w:rsidRPr="00CA3EEB">
        <w:rPr>
          <w:sz w:val="22"/>
        </w:rPr>
        <w:t>señala qu</w:t>
      </w:r>
      <w:r>
        <w:rPr>
          <w:sz w:val="22"/>
        </w:rPr>
        <w:t>e el hacinamiento es del 54,5%</w:t>
      </w:r>
      <w:r w:rsidRPr="00CA3EEB">
        <w:rPr>
          <w:sz w:val="22"/>
        </w:rPr>
        <w:t xml:space="preserve">, encontrando </w:t>
      </w:r>
      <w:r>
        <w:rPr>
          <w:sz w:val="22"/>
        </w:rPr>
        <w:t>9</w:t>
      </w:r>
      <w:r w:rsidRPr="00CA3EEB">
        <w:rPr>
          <w:sz w:val="22"/>
        </w:rPr>
        <w:t xml:space="preserve"> establ</w:t>
      </w:r>
      <w:r w:rsidR="001D69EA">
        <w:rPr>
          <w:sz w:val="22"/>
        </w:rPr>
        <w:t xml:space="preserve">ecimientos sin hacinamiento, </w:t>
      </w:r>
      <w:r>
        <w:rPr>
          <w:sz w:val="22"/>
        </w:rPr>
        <w:t>16</w:t>
      </w:r>
      <w:r w:rsidRPr="00CA3EEB">
        <w:rPr>
          <w:sz w:val="22"/>
        </w:rPr>
        <w:t xml:space="preserve"> con hacinamiento y 109 con hacinamiento grave. </w:t>
      </w:r>
      <w:r>
        <w:rPr>
          <w:sz w:val="22"/>
        </w:rPr>
        <w:t xml:space="preserve">Un dato estadístico que advierte nuevamente la Defensoría del Pueblo no se compadece con la realidad de cada uno de los centros de reclusión considerando que </w:t>
      </w:r>
      <w:r w:rsidRPr="00AC68D8">
        <w:rPr>
          <w:sz w:val="22"/>
        </w:rPr>
        <w:t>la vida en reclusión no se limita al albergue de personas en prisión, sino que tiene unas finalidades trazadas por el mismo derecho, dentro de las que se encuentra la reinserc</w:t>
      </w:r>
      <w:r>
        <w:rPr>
          <w:sz w:val="22"/>
        </w:rPr>
        <w:t xml:space="preserve">ión social del infractor penal, </w:t>
      </w:r>
      <w:r w:rsidRPr="00AC68D8">
        <w:rPr>
          <w:sz w:val="22"/>
        </w:rPr>
        <w:t>por lo que los establecimientos deben estar dotados de las locaciones necesarias para adelantar actividades como estudio, tra</w:t>
      </w:r>
      <w:r w:rsidR="001D69EA">
        <w:rPr>
          <w:sz w:val="22"/>
        </w:rPr>
        <w:t xml:space="preserve">bajo, recreación y cultura. </w:t>
      </w:r>
    </w:p>
    <w:p w:rsidR="00F23B3B" w:rsidRDefault="00F23B3B" w:rsidP="00F23B3B">
      <w:pPr>
        <w:jc w:val="both"/>
        <w:rPr>
          <w:sz w:val="22"/>
        </w:rPr>
      </w:pPr>
      <w:r w:rsidRPr="00CA3EEB">
        <w:rPr>
          <w:sz w:val="22"/>
        </w:rPr>
        <w:t>Lo</w:t>
      </w:r>
      <w:r>
        <w:rPr>
          <w:sz w:val="22"/>
        </w:rPr>
        <w:t>s</w:t>
      </w:r>
      <w:r w:rsidRPr="00CA3EEB">
        <w:rPr>
          <w:sz w:val="22"/>
        </w:rPr>
        <w:t xml:space="preserve"> datos específicos de la población privada de la libertad inmersa en las diferentes categorías y su porcentaje de participación en la población general se relacion</w:t>
      </w:r>
      <w:r>
        <w:rPr>
          <w:sz w:val="22"/>
        </w:rPr>
        <w:t>an</w:t>
      </w:r>
      <w:r w:rsidRPr="00CA3EEB">
        <w:rPr>
          <w:sz w:val="22"/>
        </w:rPr>
        <w:t xml:space="preserve"> a continuación:</w:t>
      </w:r>
    </w:p>
    <w:p w:rsidR="001D69EA" w:rsidRDefault="001D69EA" w:rsidP="00F23B3B">
      <w:pPr>
        <w:jc w:val="both"/>
        <w:rPr>
          <w:sz w:val="22"/>
        </w:rPr>
      </w:pPr>
    </w:p>
    <w:p w:rsidR="001D69EA" w:rsidRDefault="001D69EA" w:rsidP="00F23B3B">
      <w:pPr>
        <w:jc w:val="both"/>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50"/>
        <w:gridCol w:w="1314"/>
        <w:gridCol w:w="749"/>
      </w:tblGrid>
      <w:tr w:rsidR="00F23B3B" w:rsidRPr="00AC68D8" w:rsidTr="001C0A2A">
        <w:trPr>
          <w:trHeight w:val="322"/>
          <w:jc w:val="center"/>
        </w:trPr>
        <w:tc>
          <w:tcPr>
            <w:tcW w:w="0" w:type="auto"/>
            <w:gridSpan w:val="3"/>
            <w:shd w:val="clear" w:color="auto" w:fill="BFBFBF"/>
            <w:noWrap/>
            <w:vAlign w:val="bottom"/>
          </w:tcPr>
          <w:p w:rsidR="00F23B3B" w:rsidRPr="00AC68D8" w:rsidRDefault="00F23B3B" w:rsidP="001C0A2A">
            <w:pPr>
              <w:spacing w:after="0" w:line="240" w:lineRule="auto"/>
              <w:jc w:val="center"/>
              <w:rPr>
                <w:rFonts w:eastAsia="Times New Roman"/>
                <w:b/>
                <w:color w:val="000000"/>
                <w:sz w:val="22"/>
                <w:lang w:eastAsia="es-CO"/>
              </w:rPr>
            </w:pPr>
            <w:r w:rsidRPr="00AC68D8">
              <w:rPr>
                <w:rFonts w:eastAsia="Times New Roman"/>
                <w:b/>
                <w:color w:val="000000"/>
                <w:sz w:val="22"/>
                <w:lang w:eastAsia="es-CO"/>
              </w:rPr>
              <w:t>HACINAMIENTO POR POBLACIÓN A JULIO DE 2016</w:t>
            </w:r>
          </w:p>
        </w:tc>
      </w:tr>
      <w:tr w:rsidR="00F23B3B" w:rsidRPr="00AC68D8" w:rsidTr="001C0A2A">
        <w:trPr>
          <w:trHeight w:val="292"/>
          <w:jc w:val="center"/>
        </w:trPr>
        <w:tc>
          <w:tcPr>
            <w:tcW w:w="0" w:type="auto"/>
            <w:shd w:val="clear" w:color="auto" w:fill="BFBFBF"/>
            <w:noWrap/>
            <w:vAlign w:val="bottom"/>
          </w:tcPr>
          <w:p w:rsidR="00F23B3B" w:rsidRPr="00AC68D8" w:rsidRDefault="00F23B3B" w:rsidP="001C0A2A">
            <w:pPr>
              <w:spacing w:after="0" w:line="240" w:lineRule="auto"/>
              <w:rPr>
                <w:rFonts w:eastAsia="Times New Roman"/>
                <w:color w:val="000000"/>
                <w:sz w:val="22"/>
                <w:lang w:eastAsia="es-CO"/>
              </w:rPr>
            </w:pPr>
            <w:r w:rsidRPr="00AC68D8">
              <w:rPr>
                <w:rFonts w:eastAsia="Times New Roman"/>
                <w:color w:val="000000"/>
                <w:sz w:val="22"/>
                <w:lang w:eastAsia="es-CO"/>
              </w:rPr>
              <w:t>Categoría/ Dato</w:t>
            </w:r>
          </w:p>
        </w:tc>
        <w:tc>
          <w:tcPr>
            <w:tcW w:w="0" w:type="auto"/>
            <w:shd w:val="clear" w:color="auto" w:fill="BFBFBF"/>
            <w:noWrap/>
            <w:vAlign w:val="bottom"/>
          </w:tcPr>
          <w:p w:rsidR="00F23B3B" w:rsidRPr="00AC68D8" w:rsidRDefault="00F23B3B" w:rsidP="001C0A2A">
            <w:pPr>
              <w:spacing w:after="0" w:line="240" w:lineRule="auto"/>
              <w:jc w:val="right"/>
              <w:rPr>
                <w:rFonts w:eastAsia="Times New Roman"/>
                <w:color w:val="000000"/>
                <w:sz w:val="22"/>
                <w:lang w:eastAsia="es-CO"/>
              </w:rPr>
            </w:pPr>
            <w:r w:rsidRPr="00AC68D8">
              <w:rPr>
                <w:rFonts w:eastAsia="Times New Roman"/>
                <w:color w:val="000000"/>
                <w:sz w:val="22"/>
                <w:lang w:eastAsia="es-CO"/>
              </w:rPr>
              <w:t>PPL</w:t>
            </w:r>
            <w:r w:rsidR="006A4564">
              <w:rPr>
                <w:rStyle w:val="FootnoteReference"/>
                <w:rFonts w:eastAsia="Times New Roman"/>
                <w:color w:val="000000"/>
                <w:sz w:val="22"/>
                <w:lang w:eastAsia="es-CO"/>
              </w:rPr>
              <w:footnoteReference w:id="3"/>
            </w:r>
          </w:p>
        </w:tc>
        <w:tc>
          <w:tcPr>
            <w:tcW w:w="0" w:type="auto"/>
            <w:shd w:val="clear" w:color="auto" w:fill="BFBFBF"/>
            <w:noWrap/>
            <w:vAlign w:val="bottom"/>
          </w:tcPr>
          <w:p w:rsidR="00F23B3B" w:rsidRPr="00AC68D8" w:rsidRDefault="00F23B3B" w:rsidP="001C0A2A">
            <w:pPr>
              <w:spacing w:after="0" w:line="240" w:lineRule="auto"/>
              <w:jc w:val="right"/>
              <w:rPr>
                <w:rFonts w:eastAsia="Times New Roman"/>
                <w:color w:val="000000"/>
                <w:sz w:val="22"/>
                <w:lang w:eastAsia="es-CO"/>
              </w:rPr>
            </w:pPr>
            <w:r w:rsidRPr="00AC68D8">
              <w:rPr>
                <w:rFonts w:eastAsia="Times New Roman"/>
                <w:color w:val="000000"/>
                <w:sz w:val="22"/>
                <w:lang w:eastAsia="es-CO"/>
              </w:rPr>
              <w:t>%</w:t>
            </w:r>
          </w:p>
        </w:tc>
      </w:tr>
      <w:tr w:rsidR="00F23B3B" w:rsidRPr="00AC68D8" w:rsidTr="001C0A2A">
        <w:trPr>
          <w:trHeight w:val="268"/>
          <w:jc w:val="center"/>
        </w:trPr>
        <w:tc>
          <w:tcPr>
            <w:tcW w:w="0" w:type="auto"/>
            <w:shd w:val="clear" w:color="auto" w:fill="auto"/>
            <w:noWrap/>
            <w:vAlign w:val="bottom"/>
            <w:hideMark/>
          </w:tcPr>
          <w:p w:rsidR="00F23B3B" w:rsidRPr="00AC68D8" w:rsidRDefault="00F23B3B" w:rsidP="001C0A2A">
            <w:pPr>
              <w:spacing w:after="0" w:line="240" w:lineRule="auto"/>
              <w:rPr>
                <w:rFonts w:eastAsia="Times New Roman"/>
                <w:color w:val="000000"/>
                <w:sz w:val="22"/>
                <w:lang w:eastAsia="es-CO"/>
              </w:rPr>
            </w:pPr>
            <w:r w:rsidRPr="00AC68D8">
              <w:rPr>
                <w:rFonts w:eastAsia="Times New Roman"/>
                <w:color w:val="000000"/>
                <w:sz w:val="22"/>
                <w:lang w:eastAsia="es-CO"/>
              </w:rPr>
              <w:t xml:space="preserve">Sin hacinamiento  </w:t>
            </w:r>
          </w:p>
        </w:tc>
        <w:tc>
          <w:tcPr>
            <w:tcW w:w="0" w:type="auto"/>
            <w:shd w:val="clear" w:color="auto" w:fill="auto"/>
            <w:noWrap/>
            <w:vAlign w:val="bottom"/>
            <w:hideMark/>
          </w:tcPr>
          <w:p w:rsidR="00F23B3B" w:rsidRPr="00AC68D8" w:rsidRDefault="00F23B3B" w:rsidP="001C0A2A">
            <w:pPr>
              <w:spacing w:after="0" w:line="240" w:lineRule="auto"/>
              <w:jc w:val="right"/>
              <w:rPr>
                <w:rFonts w:eastAsia="Times New Roman"/>
                <w:color w:val="000000"/>
                <w:sz w:val="22"/>
                <w:lang w:eastAsia="es-CO"/>
              </w:rPr>
            </w:pPr>
            <w:r>
              <w:rPr>
                <w:rFonts w:eastAsia="Times New Roman"/>
                <w:color w:val="000000"/>
                <w:sz w:val="22"/>
                <w:lang w:eastAsia="es-CO"/>
              </w:rPr>
              <w:t>7.527</w:t>
            </w:r>
          </w:p>
        </w:tc>
        <w:tc>
          <w:tcPr>
            <w:tcW w:w="0" w:type="auto"/>
            <w:shd w:val="clear" w:color="auto" w:fill="auto"/>
            <w:noWrap/>
            <w:vAlign w:val="bottom"/>
            <w:hideMark/>
          </w:tcPr>
          <w:p w:rsidR="00F23B3B" w:rsidRPr="00AC68D8" w:rsidRDefault="00F23B3B" w:rsidP="001C0A2A">
            <w:pPr>
              <w:spacing w:after="0" w:line="240" w:lineRule="auto"/>
              <w:jc w:val="right"/>
              <w:rPr>
                <w:rFonts w:eastAsia="Times New Roman"/>
                <w:color w:val="000000"/>
                <w:sz w:val="22"/>
                <w:lang w:eastAsia="es-CO"/>
              </w:rPr>
            </w:pPr>
            <w:r>
              <w:rPr>
                <w:rFonts w:eastAsia="Times New Roman"/>
                <w:color w:val="000000"/>
                <w:sz w:val="22"/>
                <w:lang w:eastAsia="es-CO"/>
              </w:rPr>
              <w:t>6</w:t>
            </w:r>
            <w:r w:rsidRPr="00AC68D8">
              <w:rPr>
                <w:rFonts w:eastAsia="Times New Roman"/>
                <w:color w:val="000000"/>
                <w:sz w:val="22"/>
                <w:lang w:eastAsia="es-CO"/>
              </w:rPr>
              <w:t>,2</w:t>
            </w:r>
          </w:p>
        </w:tc>
      </w:tr>
      <w:tr w:rsidR="00F23B3B" w:rsidRPr="00AC68D8" w:rsidTr="001C0A2A">
        <w:trPr>
          <w:trHeight w:val="272"/>
          <w:jc w:val="center"/>
        </w:trPr>
        <w:tc>
          <w:tcPr>
            <w:tcW w:w="0" w:type="auto"/>
            <w:shd w:val="clear" w:color="auto" w:fill="auto"/>
            <w:noWrap/>
            <w:vAlign w:val="bottom"/>
            <w:hideMark/>
          </w:tcPr>
          <w:p w:rsidR="00F23B3B" w:rsidRPr="00AC68D8" w:rsidRDefault="00F23B3B" w:rsidP="001C0A2A">
            <w:pPr>
              <w:spacing w:after="0" w:line="240" w:lineRule="auto"/>
              <w:rPr>
                <w:rFonts w:eastAsia="Times New Roman"/>
                <w:color w:val="000000"/>
                <w:sz w:val="22"/>
                <w:lang w:eastAsia="es-CO"/>
              </w:rPr>
            </w:pPr>
            <w:r w:rsidRPr="00AC68D8">
              <w:rPr>
                <w:rFonts w:eastAsia="Times New Roman"/>
                <w:color w:val="000000"/>
                <w:sz w:val="22"/>
                <w:lang w:eastAsia="es-CO"/>
              </w:rPr>
              <w:t xml:space="preserve">Hacinamiento </w:t>
            </w:r>
          </w:p>
        </w:tc>
        <w:tc>
          <w:tcPr>
            <w:tcW w:w="0" w:type="auto"/>
            <w:shd w:val="clear" w:color="auto" w:fill="auto"/>
            <w:noWrap/>
            <w:vAlign w:val="bottom"/>
            <w:hideMark/>
          </w:tcPr>
          <w:p w:rsidR="00F23B3B" w:rsidRPr="00AC68D8" w:rsidRDefault="00F23B3B" w:rsidP="001C0A2A">
            <w:pPr>
              <w:spacing w:after="0" w:line="240" w:lineRule="auto"/>
              <w:jc w:val="right"/>
              <w:rPr>
                <w:rFonts w:eastAsia="Times New Roman"/>
                <w:color w:val="000000"/>
                <w:sz w:val="22"/>
                <w:lang w:eastAsia="es-CO"/>
              </w:rPr>
            </w:pPr>
            <w:r>
              <w:rPr>
                <w:rFonts w:eastAsia="Times New Roman"/>
                <w:color w:val="000000"/>
                <w:sz w:val="22"/>
                <w:lang w:eastAsia="es-CO"/>
              </w:rPr>
              <w:t>21.993</w:t>
            </w:r>
          </w:p>
        </w:tc>
        <w:tc>
          <w:tcPr>
            <w:tcW w:w="0" w:type="auto"/>
            <w:shd w:val="clear" w:color="auto" w:fill="auto"/>
            <w:noWrap/>
            <w:vAlign w:val="bottom"/>
            <w:hideMark/>
          </w:tcPr>
          <w:p w:rsidR="00F23B3B" w:rsidRPr="00AC68D8" w:rsidRDefault="00F23B3B" w:rsidP="001C0A2A">
            <w:pPr>
              <w:spacing w:after="0" w:line="240" w:lineRule="auto"/>
              <w:jc w:val="right"/>
              <w:rPr>
                <w:rFonts w:eastAsia="Times New Roman"/>
                <w:color w:val="000000"/>
                <w:sz w:val="22"/>
                <w:lang w:eastAsia="es-CO"/>
              </w:rPr>
            </w:pPr>
            <w:r>
              <w:rPr>
                <w:rFonts w:eastAsia="Times New Roman"/>
                <w:color w:val="000000"/>
                <w:sz w:val="22"/>
                <w:lang w:eastAsia="es-CO"/>
              </w:rPr>
              <w:t>18,2</w:t>
            </w:r>
          </w:p>
        </w:tc>
      </w:tr>
      <w:tr w:rsidR="00F23B3B" w:rsidRPr="00AC68D8" w:rsidTr="001C0A2A">
        <w:trPr>
          <w:trHeight w:val="276"/>
          <w:jc w:val="center"/>
        </w:trPr>
        <w:tc>
          <w:tcPr>
            <w:tcW w:w="0" w:type="auto"/>
            <w:shd w:val="clear" w:color="auto" w:fill="auto"/>
            <w:noWrap/>
            <w:vAlign w:val="bottom"/>
            <w:hideMark/>
          </w:tcPr>
          <w:p w:rsidR="00F23B3B" w:rsidRPr="00AC68D8" w:rsidRDefault="00F23B3B" w:rsidP="001C0A2A">
            <w:pPr>
              <w:spacing w:after="0" w:line="240" w:lineRule="auto"/>
              <w:rPr>
                <w:rFonts w:eastAsia="Times New Roman"/>
                <w:color w:val="000000"/>
                <w:sz w:val="22"/>
                <w:lang w:eastAsia="es-CO"/>
              </w:rPr>
            </w:pPr>
            <w:r w:rsidRPr="00AC68D8">
              <w:rPr>
                <w:rFonts w:eastAsia="Times New Roman"/>
                <w:color w:val="000000"/>
                <w:sz w:val="22"/>
                <w:lang w:eastAsia="es-CO"/>
              </w:rPr>
              <w:t>En hacinamiento grave</w:t>
            </w:r>
          </w:p>
        </w:tc>
        <w:tc>
          <w:tcPr>
            <w:tcW w:w="0" w:type="auto"/>
            <w:shd w:val="clear" w:color="auto" w:fill="auto"/>
            <w:noWrap/>
            <w:vAlign w:val="bottom"/>
            <w:hideMark/>
          </w:tcPr>
          <w:p w:rsidR="00F23B3B" w:rsidRPr="00AC68D8" w:rsidRDefault="00F23B3B" w:rsidP="001C0A2A">
            <w:pPr>
              <w:spacing w:after="0" w:line="240" w:lineRule="auto"/>
              <w:jc w:val="right"/>
              <w:rPr>
                <w:rFonts w:eastAsia="Times New Roman"/>
                <w:color w:val="000000"/>
                <w:sz w:val="22"/>
                <w:lang w:eastAsia="es-CO"/>
              </w:rPr>
            </w:pPr>
            <w:r>
              <w:rPr>
                <w:rFonts w:eastAsia="Times New Roman"/>
                <w:color w:val="000000"/>
                <w:sz w:val="22"/>
                <w:lang w:eastAsia="es-CO"/>
              </w:rPr>
              <w:t>91.148</w:t>
            </w:r>
          </w:p>
        </w:tc>
        <w:tc>
          <w:tcPr>
            <w:tcW w:w="0" w:type="auto"/>
            <w:shd w:val="clear" w:color="auto" w:fill="auto"/>
            <w:noWrap/>
            <w:vAlign w:val="bottom"/>
            <w:hideMark/>
          </w:tcPr>
          <w:p w:rsidR="00F23B3B" w:rsidRPr="00AC68D8" w:rsidRDefault="00F23B3B" w:rsidP="001C0A2A">
            <w:pPr>
              <w:spacing w:after="0" w:line="240" w:lineRule="auto"/>
              <w:jc w:val="right"/>
              <w:rPr>
                <w:rFonts w:eastAsia="Times New Roman"/>
                <w:color w:val="000000"/>
                <w:sz w:val="22"/>
                <w:lang w:eastAsia="es-CO"/>
              </w:rPr>
            </w:pPr>
            <w:r w:rsidRPr="00AC68D8">
              <w:rPr>
                <w:rFonts w:eastAsia="Times New Roman"/>
                <w:color w:val="000000"/>
                <w:sz w:val="22"/>
                <w:lang w:eastAsia="es-CO"/>
              </w:rPr>
              <w:t>7</w:t>
            </w:r>
            <w:r>
              <w:rPr>
                <w:rFonts w:eastAsia="Times New Roman"/>
                <w:color w:val="000000"/>
                <w:sz w:val="22"/>
                <w:lang w:eastAsia="es-CO"/>
              </w:rPr>
              <w:t>5,5</w:t>
            </w:r>
          </w:p>
        </w:tc>
      </w:tr>
      <w:tr w:rsidR="00F23B3B" w:rsidRPr="00AC68D8" w:rsidTr="001C0A2A">
        <w:trPr>
          <w:trHeight w:val="266"/>
          <w:jc w:val="center"/>
        </w:trPr>
        <w:tc>
          <w:tcPr>
            <w:tcW w:w="0" w:type="auto"/>
            <w:shd w:val="clear" w:color="auto" w:fill="auto"/>
            <w:noWrap/>
            <w:vAlign w:val="bottom"/>
            <w:hideMark/>
          </w:tcPr>
          <w:p w:rsidR="00F23B3B" w:rsidRPr="00AC68D8" w:rsidRDefault="00F23B3B" w:rsidP="001C0A2A">
            <w:pPr>
              <w:spacing w:after="0" w:line="240" w:lineRule="auto"/>
              <w:rPr>
                <w:rFonts w:eastAsia="Times New Roman"/>
                <w:color w:val="000000"/>
                <w:sz w:val="22"/>
                <w:lang w:eastAsia="es-CO"/>
              </w:rPr>
            </w:pPr>
            <w:r w:rsidRPr="00AC68D8">
              <w:rPr>
                <w:rFonts w:eastAsia="Times New Roman"/>
                <w:color w:val="000000"/>
                <w:sz w:val="22"/>
                <w:lang w:eastAsia="es-CO"/>
              </w:rPr>
              <w:t>Total</w:t>
            </w:r>
          </w:p>
        </w:tc>
        <w:tc>
          <w:tcPr>
            <w:tcW w:w="0" w:type="auto"/>
            <w:shd w:val="clear" w:color="auto" w:fill="auto"/>
            <w:noWrap/>
            <w:vAlign w:val="bottom"/>
            <w:hideMark/>
          </w:tcPr>
          <w:p w:rsidR="00F23B3B" w:rsidRPr="00316A21" w:rsidRDefault="00F23B3B" w:rsidP="001C0A2A">
            <w:pPr>
              <w:spacing w:after="0" w:line="240" w:lineRule="auto"/>
              <w:jc w:val="right"/>
              <w:rPr>
                <w:rFonts w:eastAsia="Times New Roman"/>
                <w:b/>
                <w:color w:val="000000"/>
                <w:sz w:val="22"/>
                <w:lang w:eastAsia="es-CO"/>
              </w:rPr>
            </w:pPr>
            <w:r w:rsidRPr="00316A21">
              <w:rPr>
                <w:rFonts w:eastAsia="Times New Roman"/>
                <w:b/>
                <w:color w:val="000000"/>
                <w:sz w:val="22"/>
                <w:lang w:eastAsia="es-CO"/>
              </w:rPr>
              <w:t>120.668</w:t>
            </w:r>
          </w:p>
        </w:tc>
        <w:tc>
          <w:tcPr>
            <w:tcW w:w="0" w:type="auto"/>
            <w:shd w:val="clear" w:color="auto" w:fill="auto"/>
            <w:noWrap/>
            <w:vAlign w:val="bottom"/>
            <w:hideMark/>
          </w:tcPr>
          <w:p w:rsidR="00F23B3B" w:rsidRPr="00316A21" w:rsidRDefault="00F23B3B" w:rsidP="001C0A2A">
            <w:pPr>
              <w:spacing w:after="0" w:line="240" w:lineRule="auto"/>
              <w:jc w:val="right"/>
              <w:rPr>
                <w:rFonts w:eastAsia="Times New Roman"/>
                <w:b/>
                <w:color w:val="000000"/>
                <w:sz w:val="22"/>
                <w:lang w:eastAsia="es-CO"/>
              </w:rPr>
            </w:pPr>
            <w:r w:rsidRPr="00316A21">
              <w:rPr>
                <w:rFonts w:eastAsia="Times New Roman"/>
                <w:b/>
                <w:color w:val="000000"/>
                <w:sz w:val="22"/>
                <w:lang w:eastAsia="es-CO"/>
              </w:rPr>
              <w:t>100</w:t>
            </w:r>
          </w:p>
        </w:tc>
      </w:tr>
    </w:tbl>
    <w:p w:rsidR="00F23B3B" w:rsidRDefault="00F23B3B" w:rsidP="00F23B3B">
      <w:pPr>
        <w:jc w:val="both"/>
        <w:rPr>
          <w:sz w:val="22"/>
        </w:rPr>
      </w:pPr>
    </w:p>
    <w:p w:rsidR="00F23B3B" w:rsidRDefault="00F23B3B" w:rsidP="00F23B3B">
      <w:pPr>
        <w:jc w:val="both"/>
        <w:rPr>
          <w:rFonts w:asciiTheme="minorHAnsi" w:eastAsiaTheme="minorHAnsi" w:hAnsiTheme="minorHAnsi" w:cstheme="minorBidi"/>
          <w:sz w:val="22"/>
          <w:lang w:val="es-CO"/>
        </w:rPr>
      </w:pPr>
      <w:r>
        <w:rPr>
          <w:sz w:val="22"/>
        </w:rPr>
        <w:t>L</w:t>
      </w:r>
      <w:r w:rsidRPr="00AC68D8">
        <w:rPr>
          <w:sz w:val="22"/>
        </w:rPr>
        <w:t>os 10 establecimie</w:t>
      </w:r>
      <w:r>
        <w:rPr>
          <w:sz w:val="22"/>
        </w:rPr>
        <w:t xml:space="preserve">ntos con más hacinamiento </w:t>
      </w:r>
      <w:r w:rsidRPr="009D6033">
        <w:rPr>
          <w:sz w:val="22"/>
          <w:u w:val="single"/>
        </w:rPr>
        <w:t>para octubre de 2016</w:t>
      </w:r>
      <w:r w:rsidRPr="00AC68D8">
        <w:rPr>
          <w:sz w:val="22"/>
        </w:rPr>
        <w:t xml:space="preserve"> </w:t>
      </w:r>
      <w:r>
        <w:fldChar w:fldCharType="begin"/>
      </w:r>
      <w:r>
        <w:instrText xml:space="preserve"> LINK Excel.Sheet.12 Libro2 Hoja1!F3C2:F14C4 \a \f 4 \h  \* MERGEFORMAT </w:instrText>
      </w:r>
      <w:r>
        <w:fldChar w:fldCharType="separate"/>
      </w:r>
    </w:p>
    <w:tbl>
      <w:tblPr>
        <w:tblW w:w="0" w:type="auto"/>
        <w:jc w:val="center"/>
        <w:tblCellMar>
          <w:left w:w="70" w:type="dxa"/>
          <w:right w:w="70" w:type="dxa"/>
        </w:tblCellMar>
        <w:tblLook w:val="04A0" w:firstRow="1" w:lastRow="0" w:firstColumn="1" w:lastColumn="0" w:noHBand="0" w:noVBand="1"/>
      </w:tblPr>
      <w:tblGrid>
        <w:gridCol w:w="1564"/>
        <w:gridCol w:w="2771"/>
        <w:gridCol w:w="3082"/>
      </w:tblGrid>
      <w:tr w:rsidR="00F23B3B" w:rsidRPr="00403516" w:rsidTr="001C0A2A">
        <w:trPr>
          <w:trHeight w:val="288"/>
          <w:jc w:val="center"/>
        </w:trPr>
        <w:tc>
          <w:tcPr>
            <w:tcW w:w="0" w:type="auto"/>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rsidR="00F23B3B" w:rsidRPr="00403516" w:rsidRDefault="00F23B3B" w:rsidP="001C0A2A">
            <w:pPr>
              <w:spacing w:after="0" w:line="240" w:lineRule="auto"/>
              <w:jc w:val="center"/>
              <w:rPr>
                <w:rFonts w:eastAsia="Times New Roman" w:cs="Calibri"/>
                <w:b/>
                <w:bCs/>
                <w:color w:val="000000"/>
                <w:szCs w:val="20"/>
                <w:lang w:val="es-CO" w:eastAsia="es-CO"/>
              </w:rPr>
            </w:pPr>
            <w:r w:rsidRPr="00403516">
              <w:rPr>
                <w:rFonts w:eastAsia="Times New Roman" w:cs="Calibri"/>
                <w:b/>
                <w:bCs/>
                <w:color w:val="000000"/>
                <w:szCs w:val="20"/>
                <w:lang w:eastAsia="es-CO"/>
              </w:rPr>
              <w:t xml:space="preserve">LOS 10 ESTABLECIMIENTOS CON MAYOR HACINAMIENTO </w:t>
            </w:r>
          </w:p>
        </w:tc>
      </w:tr>
      <w:tr w:rsidR="00F23B3B" w:rsidRPr="00403516" w:rsidTr="001C0A2A">
        <w:trPr>
          <w:trHeight w:val="576"/>
          <w:jc w:val="center"/>
        </w:trPr>
        <w:tc>
          <w:tcPr>
            <w:tcW w:w="0" w:type="auto"/>
            <w:tcBorders>
              <w:top w:val="nil"/>
              <w:left w:val="single" w:sz="4" w:space="0" w:color="auto"/>
              <w:bottom w:val="single" w:sz="4" w:space="0" w:color="auto"/>
              <w:right w:val="single" w:sz="4" w:space="0" w:color="auto"/>
            </w:tcBorders>
            <w:shd w:val="clear" w:color="000000" w:fill="BFBFBF"/>
            <w:noWrap/>
            <w:vAlign w:val="center"/>
            <w:hideMark/>
          </w:tcPr>
          <w:p w:rsidR="00F23B3B" w:rsidRPr="00403516" w:rsidRDefault="00F23B3B" w:rsidP="001C0A2A">
            <w:pPr>
              <w:spacing w:after="0" w:line="240" w:lineRule="auto"/>
              <w:jc w:val="center"/>
              <w:rPr>
                <w:rFonts w:eastAsia="Times New Roman" w:cs="Calibri"/>
                <w:color w:val="000000"/>
                <w:szCs w:val="20"/>
                <w:lang w:val="es-CO" w:eastAsia="es-CO"/>
              </w:rPr>
            </w:pPr>
            <w:r w:rsidRPr="00403516">
              <w:rPr>
                <w:rFonts w:eastAsia="Times New Roman" w:cs="Calibri"/>
                <w:color w:val="000000"/>
                <w:szCs w:val="20"/>
                <w:lang w:eastAsia="es-CO"/>
              </w:rPr>
              <w:t xml:space="preserve">ERON </w:t>
            </w:r>
          </w:p>
        </w:tc>
        <w:tc>
          <w:tcPr>
            <w:tcW w:w="0" w:type="auto"/>
            <w:tcBorders>
              <w:top w:val="nil"/>
              <w:left w:val="nil"/>
              <w:bottom w:val="single" w:sz="4" w:space="0" w:color="auto"/>
              <w:right w:val="single" w:sz="4" w:space="0" w:color="auto"/>
            </w:tcBorders>
            <w:shd w:val="clear" w:color="000000" w:fill="BFBFBF"/>
            <w:vAlign w:val="center"/>
            <w:hideMark/>
          </w:tcPr>
          <w:p w:rsidR="00F23B3B" w:rsidRPr="00403516" w:rsidRDefault="00F23B3B" w:rsidP="001C0A2A">
            <w:pPr>
              <w:spacing w:after="0" w:line="240" w:lineRule="auto"/>
              <w:jc w:val="center"/>
              <w:rPr>
                <w:rFonts w:eastAsia="Times New Roman" w:cs="Calibri"/>
                <w:color w:val="000000"/>
                <w:szCs w:val="20"/>
                <w:lang w:val="es-CO" w:eastAsia="es-CO"/>
              </w:rPr>
            </w:pPr>
            <w:r w:rsidRPr="00403516">
              <w:rPr>
                <w:rFonts w:eastAsia="Times New Roman" w:cs="Calibri"/>
                <w:color w:val="000000"/>
                <w:szCs w:val="20"/>
                <w:lang w:eastAsia="es-CO"/>
              </w:rPr>
              <w:t>Hacinamiento a abril de 2016</w:t>
            </w:r>
          </w:p>
        </w:tc>
        <w:tc>
          <w:tcPr>
            <w:tcW w:w="0" w:type="auto"/>
            <w:tcBorders>
              <w:top w:val="nil"/>
              <w:left w:val="nil"/>
              <w:bottom w:val="single" w:sz="4" w:space="0" w:color="auto"/>
              <w:right w:val="single" w:sz="4" w:space="0" w:color="auto"/>
            </w:tcBorders>
            <w:shd w:val="clear" w:color="000000" w:fill="BFBFBF"/>
            <w:vAlign w:val="center"/>
            <w:hideMark/>
          </w:tcPr>
          <w:p w:rsidR="00F23B3B" w:rsidRPr="00403516" w:rsidRDefault="00F23B3B" w:rsidP="001C0A2A">
            <w:pPr>
              <w:spacing w:after="0" w:line="240" w:lineRule="auto"/>
              <w:jc w:val="center"/>
              <w:rPr>
                <w:rFonts w:eastAsia="Times New Roman" w:cs="Calibri"/>
                <w:color w:val="000000"/>
                <w:szCs w:val="20"/>
                <w:lang w:val="es-CO" w:eastAsia="es-CO"/>
              </w:rPr>
            </w:pPr>
            <w:r w:rsidRPr="00403516">
              <w:rPr>
                <w:rFonts w:eastAsia="Times New Roman" w:cs="Calibri"/>
                <w:color w:val="000000"/>
                <w:szCs w:val="20"/>
                <w:lang w:eastAsia="es-CO"/>
              </w:rPr>
              <w:t>Hacinamiento a Octubre de 2016</w:t>
            </w:r>
          </w:p>
        </w:tc>
      </w:tr>
      <w:tr w:rsidR="00F23B3B" w:rsidRPr="00403516" w:rsidTr="001C0A2A">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23B3B" w:rsidRPr="00E662D1" w:rsidRDefault="00F23B3B" w:rsidP="001C0A2A">
            <w:pPr>
              <w:spacing w:after="0" w:line="240" w:lineRule="auto"/>
              <w:rPr>
                <w:rFonts w:eastAsia="Times New Roman" w:cs="Calibri"/>
                <w:color w:val="000000"/>
                <w:szCs w:val="20"/>
                <w:lang w:val="es-CO" w:eastAsia="es-CO"/>
              </w:rPr>
            </w:pPr>
            <w:r w:rsidRPr="00E662D1">
              <w:rPr>
                <w:rFonts w:eastAsia="Times New Roman" w:cs="Calibri"/>
                <w:color w:val="000000"/>
                <w:szCs w:val="20"/>
                <w:lang w:eastAsia="es-CO"/>
              </w:rPr>
              <w:t>RIOHACHA</w:t>
            </w:r>
          </w:p>
        </w:tc>
        <w:tc>
          <w:tcPr>
            <w:tcW w:w="0" w:type="auto"/>
            <w:tcBorders>
              <w:top w:val="single" w:sz="4" w:space="0" w:color="204162"/>
              <w:left w:val="single" w:sz="4" w:space="0" w:color="204162"/>
              <w:bottom w:val="single" w:sz="4" w:space="0" w:color="204162"/>
              <w:right w:val="single" w:sz="4" w:space="0" w:color="204162"/>
            </w:tcBorders>
            <w:shd w:val="clear" w:color="000000" w:fill="FFFFFF"/>
            <w:vAlign w:val="center"/>
            <w:hideMark/>
          </w:tcPr>
          <w:p w:rsidR="00F23B3B" w:rsidRPr="00E662D1" w:rsidRDefault="00F23B3B" w:rsidP="001C0A2A">
            <w:pPr>
              <w:spacing w:after="0" w:line="240" w:lineRule="auto"/>
              <w:jc w:val="center"/>
              <w:rPr>
                <w:rFonts w:eastAsia="Times New Roman" w:cs="Calibri"/>
                <w:szCs w:val="20"/>
                <w:lang w:val="es-CO" w:eastAsia="es-CO"/>
              </w:rPr>
            </w:pPr>
            <w:r w:rsidRPr="00E662D1">
              <w:rPr>
                <w:rFonts w:eastAsia="Times New Roman" w:cs="Calibri"/>
                <w:szCs w:val="20"/>
                <w:lang w:val="es-CO" w:eastAsia="es-CO"/>
              </w:rPr>
              <w:t>476,0%</w:t>
            </w:r>
          </w:p>
        </w:tc>
        <w:tc>
          <w:tcPr>
            <w:tcW w:w="0" w:type="auto"/>
            <w:tcBorders>
              <w:top w:val="nil"/>
              <w:left w:val="single" w:sz="4" w:space="0" w:color="auto"/>
              <w:bottom w:val="single" w:sz="4" w:space="0" w:color="auto"/>
              <w:right w:val="single" w:sz="4" w:space="0" w:color="auto"/>
            </w:tcBorders>
            <w:shd w:val="clear" w:color="000000" w:fill="FFFFFF"/>
            <w:vAlign w:val="center"/>
            <w:hideMark/>
          </w:tcPr>
          <w:p w:rsidR="00F23B3B" w:rsidRPr="00E662D1" w:rsidRDefault="00F23B3B" w:rsidP="001C0A2A">
            <w:pPr>
              <w:spacing w:after="0" w:line="240" w:lineRule="auto"/>
              <w:jc w:val="center"/>
              <w:rPr>
                <w:rFonts w:eastAsia="Times New Roman" w:cs="Calibri"/>
                <w:color w:val="000000"/>
                <w:szCs w:val="20"/>
                <w:lang w:val="es-CO" w:eastAsia="es-CO"/>
              </w:rPr>
            </w:pPr>
            <w:r w:rsidRPr="00E662D1">
              <w:rPr>
                <w:rFonts w:eastAsia="Times New Roman" w:cs="Calibri"/>
                <w:color w:val="000000"/>
                <w:szCs w:val="20"/>
                <w:lang w:eastAsia="es-CO"/>
              </w:rPr>
              <w:t>426,00%</w:t>
            </w:r>
          </w:p>
        </w:tc>
      </w:tr>
      <w:tr w:rsidR="00F23B3B" w:rsidRPr="00403516" w:rsidTr="001C0A2A">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23B3B" w:rsidRPr="00E662D1" w:rsidRDefault="00F23B3B" w:rsidP="001C0A2A">
            <w:pPr>
              <w:spacing w:after="0" w:line="240" w:lineRule="auto"/>
              <w:rPr>
                <w:rFonts w:eastAsia="Times New Roman" w:cs="Calibri"/>
                <w:color w:val="000000"/>
                <w:szCs w:val="20"/>
                <w:lang w:val="es-CO" w:eastAsia="es-CO"/>
              </w:rPr>
            </w:pPr>
            <w:r w:rsidRPr="00E662D1">
              <w:rPr>
                <w:rFonts w:eastAsia="Times New Roman" w:cs="Calibri"/>
                <w:color w:val="000000"/>
                <w:szCs w:val="20"/>
                <w:lang w:eastAsia="es-CO"/>
              </w:rPr>
              <w:t>VALLEDUPAR</w:t>
            </w:r>
          </w:p>
        </w:tc>
        <w:tc>
          <w:tcPr>
            <w:tcW w:w="0" w:type="auto"/>
            <w:tcBorders>
              <w:top w:val="nil"/>
              <w:left w:val="single" w:sz="4" w:space="0" w:color="204162"/>
              <w:bottom w:val="single" w:sz="4" w:space="0" w:color="204162"/>
              <w:right w:val="single" w:sz="4" w:space="0" w:color="204162"/>
            </w:tcBorders>
            <w:shd w:val="clear" w:color="000000" w:fill="FFFFFF"/>
            <w:vAlign w:val="center"/>
            <w:hideMark/>
          </w:tcPr>
          <w:p w:rsidR="00F23B3B" w:rsidRPr="00E662D1" w:rsidRDefault="00F23B3B" w:rsidP="001C0A2A">
            <w:pPr>
              <w:spacing w:after="0" w:line="240" w:lineRule="auto"/>
              <w:jc w:val="center"/>
              <w:rPr>
                <w:rFonts w:eastAsia="Times New Roman" w:cs="Calibri"/>
                <w:szCs w:val="20"/>
                <w:lang w:val="es-CO" w:eastAsia="es-CO"/>
              </w:rPr>
            </w:pPr>
            <w:r w:rsidRPr="00E662D1">
              <w:rPr>
                <w:rFonts w:eastAsia="Times New Roman" w:cs="Calibri"/>
                <w:szCs w:val="20"/>
                <w:lang w:val="es-CO" w:eastAsia="es-CO"/>
              </w:rPr>
              <w:t>316,8%</w:t>
            </w:r>
          </w:p>
        </w:tc>
        <w:tc>
          <w:tcPr>
            <w:tcW w:w="0" w:type="auto"/>
            <w:tcBorders>
              <w:top w:val="nil"/>
              <w:left w:val="single" w:sz="4" w:space="0" w:color="auto"/>
              <w:bottom w:val="single" w:sz="4" w:space="0" w:color="auto"/>
              <w:right w:val="single" w:sz="4" w:space="0" w:color="auto"/>
            </w:tcBorders>
            <w:shd w:val="clear" w:color="000000" w:fill="FFFFFF"/>
            <w:vAlign w:val="center"/>
            <w:hideMark/>
          </w:tcPr>
          <w:p w:rsidR="00F23B3B" w:rsidRPr="00E662D1" w:rsidRDefault="00F23B3B" w:rsidP="001C0A2A">
            <w:pPr>
              <w:spacing w:after="0" w:line="240" w:lineRule="auto"/>
              <w:jc w:val="center"/>
              <w:rPr>
                <w:rFonts w:eastAsia="Times New Roman" w:cs="Calibri"/>
                <w:color w:val="000000"/>
                <w:szCs w:val="20"/>
                <w:lang w:val="es-CO" w:eastAsia="es-CO"/>
              </w:rPr>
            </w:pPr>
            <w:r w:rsidRPr="00E662D1">
              <w:rPr>
                <w:rFonts w:eastAsia="Times New Roman" w:cs="Calibri"/>
                <w:color w:val="000000"/>
                <w:szCs w:val="20"/>
                <w:lang w:eastAsia="es-CO"/>
              </w:rPr>
              <w:t>371,90%</w:t>
            </w:r>
          </w:p>
        </w:tc>
      </w:tr>
      <w:tr w:rsidR="00F23B3B" w:rsidRPr="00403516" w:rsidTr="001C0A2A">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23B3B" w:rsidRPr="00E662D1" w:rsidRDefault="00F23B3B" w:rsidP="001C0A2A">
            <w:pPr>
              <w:spacing w:after="0" w:line="240" w:lineRule="auto"/>
              <w:rPr>
                <w:rFonts w:eastAsia="Times New Roman" w:cs="Calibri"/>
                <w:color w:val="000000"/>
                <w:szCs w:val="20"/>
                <w:lang w:val="es-CO" w:eastAsia="es-CO"/>
              </w:rPr>
            </w:pPr>
            <w:r w:rsidRPr="00E662D1">
              <w:rPr>
                <w:rFonts w:eastAsia="Times New Roman" w:cs="Calibri"/>
                <w:color w:val="000000"/>
                <w:szCs w:val="20"/>
                <w:lang w:eastAsia="es-CO"/>
              </w:rPr>
              <w:t>SANTA MARTA</w:t>
            </w:r>
          </w:p>
        </w:tc>
        <w:tc>
          <w:tcPr>
            <w:tcW w:w="0" w:type="auto"/>
            <w:tcBorders>
              <w:top w:val="nil"/>
              <w:left w:val="single" w:sz="4" w:space="0" w:color="204162"/>
              <w:bottom w:val="single" w:sz="4" w:space="0" w:color="204162"/>
              <w:right w:val="single" w:sz="4" w:space="0" w:color="204162"/>
            </w:tcBorders>
            <w:shd w:val="clear" w:color="000000" w:fill="FFFFFF"/>
            <w:vAlign w:val="center"/>
            <w:hideMark/>
          </w:tcPr>
          <w:p w:rsidR="00F23B3B" w:rsidRPr="00E662D1" w:rsidRDefault="00F23B3B" w:rsidP="001C0A2A">
            <w:pPr>
              <w:spacing w:after="0" w:line="240" w:lineRule="auto"/>
              <w:jc w:val="center"/>
              <w:rPr>
                <w:rFonts w:eastAsia="Times New Roman" w:cs="Calibri"/>
                <w:szCs w:val="20"/>
                <w:lang w:val="es-CO" w:eastAsia="es-CO"/>
              </w:rPr>
            </w:pPr>
            <w:r w:rsidRPr="00E662D1">
              <w:rPr>
                <w:rFonts w:eastAsia="Times New Roman" w:cs="Calibri"/>
                <w:szCs w:val="20"/>
                <w:lang w:val="es-CO" w:eastAsia="es-CO"/>
              </w:rPr>
              <w:t>379,2%</w:t>
            </w:r>
          </w:p>
        </w:tc>
        <w:tc>
          <w:tcPr>
            <w:tcW w:w="0" w:type="auto"/>
            <w:tcBorders>
              <w:top w:val="nil"/>
              <w:left w:val="single" w:sz="4" w:space="0" w:color="auto"/>
              <w:bottom w:val="single" w:sz="4" w:space="0" w:color="auto"/>
              <w:right w:val="single" w:sz="4" w:space="0" w:color="auto"/>
            </w:tcBorders>
            <w:shd w:val="clear" w:color="000000" w:fill="FFFFFF"/>
            <w:vAlign w:val="center"/>
            <w:hideMark/>
          </w:tcPr>
          <w:p w:rsidR="00F23B3B" w:rsidRPr="00E662D1" w:rsidRDefault="00F23B3B" w:rsidP="001C0A2A">
            <w:pPr>
              <w:spacing w:after="0" w:line="240" w:lineRule="auto"/>
              <w:jc w:val="center"/>
              <w:rPr>
                <w:rFonts w:eastAsia="Times New Roman" w:cs="Calibri"/>
                <w:color w:val="000000"/>
                <w:szCs w:val="20"/>
                <w:lang w:val="es-CO" w:eastAsia="es-CO"/>
              </w:rPr>
            </w:pPr>
            <w:r w:rsidRPr="00E662D1">
              <w:rPr>
                <w:rFonts w:eastAsia="Times New Roman" w:cs="Calibri"/>
                <w:color w:val="000000"/>
                <w:szCs w:val="20"/>
                <w:lang w:eastAsia="es-CO"/>
              </w:rPr>
              <w:t>386,90%</w:t>
            </w:r>
          </w:p>
        </w:tc>
      </w:tr>
      <w:tr w:rsidR="00F23B3B" w:rsidRPr="00403516" w:rsidTr="001C0A2A">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23B3B" w:rsidRPr="00E662D1" w:rsidRDefault="00F23B3B" w:rsidP="001C0A2A">
            <w:pPr>
              <w:spacing w:after="0" w:line="240" w:lineRule="auto"/>
              <w:rPr>
                <w:rFonts w:eastAsia="Times New Roman" w:cs="Calibri"/>
                <w:color w:val="000000"/>
                <w:szCs w:val="20"/>
                <w:lang w:val="es-CO" w:eastAsia="es-CO"/>
              </w:rPr>
            </w:pPr>
            <w:r w:rsidRPr="00E662D1">
              <w:rPr>
                <w:rFonts w:eastAsia="Times New Roman" w:cs="Calibri"/>
                <w:color w:val="000000"/>
                <w:szCs w:val="20"/>
                <w:lang w:eastAsia="es-CO"/>
              </w:rPr>
              <w:t>MAGANGUE</w:t>
            </w:r>
          </w:p>
        </w:tc>
        <w:tc>
          <w:tcPr>
            <w:tcW w:w="0" w:type="auto"/>
            <w:tcBorders>
              <w:top w:val="nil"/>
              <w:left w:val="single" w:sz="4" w:space="0" w:color="204162"/>
              <w:bottom w:val="single" w:sz="4" w:space="0" w:color="204162"/>
              <w:right w:val="single" w:sz="4" w:space="0" w:color="204162"/>
            </w:tcBorders>
            <w:shd w:val="clear" w:color="000000" w:fill="FFFFFF"/>
            <w:vAlign w:val="center"/>
            <w:hideMark/>
          </w:tcPr>
          <w:p w:rsidR="00F23B3B" w:rsidRPr="00E662D1" w:rsidRDefault="00F23B3B" w:rsidP="001C0A2A">
            <w:pPr>
              <w:spacing w:after="0" w:line="240" w:lineRule="auto"/>
              <w:jc w:val="center"/>
              <w:rPr>
                <w:rFonts w:eastAsia="Times New Roman" w:cs="Calibri"/>
                <w:szCs w:val="20"/>
                <w:lang w:val="es-CO" w:eastAsia="es-CO"/>
              </w:rPr>
            </w:pPr>
            <w:r w:rsidRPr="00E662D1">
              <w:rPr>
                <w:rFonts w:eastAsia="Times New Roman" w:cs="Calibri"/>
                <w:szCs w:val="20"/>
                <w:lang w:val="es-CO" w:eastAsia="es-CO"/>
              </w:rPr>
              <w:t>178,6%</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F23B3B" w:rsidRPr="00E662D1" w:rsidRDefault="00F23B3B" w:rsidP="001C0A2A">
            <w:pPr>
              <w:spacing w:after="0" w:line="240" w:lineRule="auto"/>
              <w:jc w:val="center"/>
              <w:rPr>
                <w:rFonts w:eastAsia="Times New Roman" w:cs="Calibri"/>
                <w:color w:val="000000"/>
                <w:szCs w:val="20"/>
                <w:lang w:val="es-CO" w:eastAsia="es-CO"/>
              </w:rPr>
            </w:pPr>
            <w:r w:rsidRPr="00E662D1">
              <w:rPr>
                <w:rFonts w:eastAsia="Times New Roman" w:cs="Calibri"/>
                <w:color w:val="000000"/>
                <w:szCs w:val="20"/>
                <w:lang w:eastAsia="es-CO"/>
              </w:rPr>
              <w:t>303,60%</w:t>
            </w:r>
          </w:p>
        </w:tc>
      </w:tr>
      <w:tr w:rsidR="00F23B3B" w:rsidRPr="00403516" w:rsidTr="001C0A2A">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23B3B" w:rsidRPr="00E662D1" w:rsidRDefault="00F23B3B" w:rsidP="001C0A2A">
            <w:pPr>
              <w:spacing w:after="0" w:line="240" w:lineRule="auto"/>
              <w:rPr>
                <w:rFonts w:eastAsia="Times New Roman" w:cs="Calibri"/>
                <w:color w:val="000000"/>
                <w:szCs w:val="20"/>
                <w:lang w:val="es-CO" w:eastAsia="es-CO"/>
              </w:rPr>
            </w:pPr>
            <w:r w:rsidRPr="00E662D1">
              <w:rPr>
                <w:rFonts w:eastAsia="Times New Roman" w:cs="Calibri"/>
                <w:color w:val="000000"/>
                <w:szCs w:val="20"/>
                <w:lang w:eastAsia="es-CO"/>
              </w:rPr>
              <w:t xml:space="preserve">ANDES   </w:t>
            </w:r>
          </w:p>
        </w:tc>
        <w:tc>
          <w:tcPr>
            <w:tcW w:w="0" w:type="auto"/>
            <w:tcBorders>
              <w:top w:val="nil"/>
              <w:left w:val="single" w:sz="4" w:space="0" w:color="204162"/>
              <w:bottom w:val="single" w:sz="4" w:space="0" w:color="204162"/>
              <w:right w:val="single" w:sz="4" w:space="0" w:color="204162"/>
            </w:tcBorders>
            <w:shd w:val="clear" w:color="000000" w:fill="FFFFFF"/>
            <w:vAlign w:val="center"/>
            <w:hideMark/>
          </w:tcPr>
          <w:p w:rsidR="00F23B3B" w:rsidRPr="00E662D1" w:rsidRDefault="00F23B3B" w:rsidP="001C0A2A">
            <w:pPr>
              <w:spacing w:after="0" w:line="240" w:lineRule="auto"/>
              <w:jc w:val="center"/>
              <w:rPr>
                <w:rFonts w:eastAsia="Times New Roman" w:cs="Calibri"/>
                <w:szCs w:val="20"/>
                <w:lang w:val="es-CO" w:eastAsia="es-CO"/>
              </w:rPr>
            </w:pPr>
            <w:r w:rsidRPr="00E662D1">
              <w:rPr>
                <w:rFonts w:eastAsia="Times New Roman" w:cs="Calibri"/>
                <w:szCs w:val="20"/>
                <w:lang w:val="es-CO" w:eastAsia="es-CO"/>
              </w:rPr>
              <w:t>238,7%</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F23B3B" w:rsidRPr="00E662D1" w:rsidRDefault="00F23B3B" w:rsidP="001C0A2A">
            <w:pPr>
              <w:spacing w:after="0" w:line="240" w:lineRule="auto"/>
              <w:jc w:val="center"/>
              <w:rPr>
                <w:rFonts w:eastAsia="Times New Roman" w:cs="Calibri"/>
                <w:color w:val="000000"/>
                <w:szCs w:val="20"/>
                <w:lang w:val="es-CO" w:eastAsia="es-CO"/>
              </w:rPr>
            </w:pPr>
            <w:r w:rsidRPr="00E662D1">
              <w:rPr>
                <w:rFonts w:eastAsia="Times New Roman" w:cs="Calibri"/>
                <w:color w:val="000000"/>
                <w:szCs w:val="20"/>
                <w:lang w:eastAsia="es-CO"/>
              </w:rPr>
              <w:t>289,30%</w:t>
            </w:r>
          </w:p>
        </w:tc>
      </w:tr>
      <w:tr w:rsidR="00F23B3B" w:rsidRPr="00403516" w:rsidTr="001C0A2A">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23B3B" w:rsidRPr="00E662D1" w:rsidRDefault="00F23B3B" w:rsidP="001C0A2A">
            <w:pPr>
              <w:spacing w:after="0" w:line="240" w:lineRule="auto"/>
              <w:rPr>
                <w:rFonts w:eastAsia="Times New Roman" w:cs="Calibri"/>
                <w:color w:val="000000"/>
                <w:szCs w:val="20"/>
                <w:lang w:val="es-CO" w:eastAsia="es-CO"/>
              </w:rPr>
            </w:pPr>
            <w:r w:rsidRPr="00E662D1">
              <w:rPr>
                <w:rFonts w:eastAsia="Times New Roman" w:cs="Calibri"/>
                <w:color w:val="000000"/>
                <w:szCs w:val="20"/>
                <w:lang w:eastAsia="es-CO"/>
              </w:rPr>
              <w:t>CALOTO</w:t>
            </w:r>
          </w:p>
        </w:tc>
        <w:tc>
          <w:tcPr>
            <w:tcW w:w="0" w:type="auto"/>
            <w:tcBorders>
              <w:top w:val="nil"/>
              <w:left w:val="single" w:sz="4" w:space="0" w:color="204162"/>
              <w:bottom w:val="single" w:sz="4" w:space="0" w:color="204162"/>
              <w:right w:val="single" w:sz="4" w:space="0" w:color="204162"/>
            </w:tcBorders>
            <w:shd w:val="clear" w:color="000000" w:fill="FFFFFF"/>
            <w:vAlign w:val="center"/>
            <w:hideMark/>
          </w:tcPr>
          <w:p w:rsidR="00F23B3B" w:rsidRPr="00E662D1" w:rsidRDefault="00F23B3B" w:rsidP="001C0A2A">
            <w:pPr>
              <w:spacing w:after="0" w:line="240" w:lineRule="auto"/>
              <w:jc w:val="center"/>
              <w:rPr>
                <w:rFonts w:eastAsia="Times New Roman" w:cs="Calibri"/>
                <w:szCs w:val="20"/>
                <w:lang w:val="es-CO" w:eastAsia="es-CO"/>
              </w:rPr>
            </w:pPr>
            <w:r w:rsidRPr="00E662D1">
              <w:rPr>
                <w:rFonts w:eastAsia="Times New Roman" w:cs="Calibri"/>
                <w:szCs w:val="20"/>
                <w:lang w:val="es-CO" w:eastAsia="es-CO"/>
              </w:rPr>
              <w:t>237,5%</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F23B3B" w:rsidRPr="00E662D1" w:rsidRDefault="00F23B3B" w:rsidP="001C0A2A">
            <w:pPr>
              <w:spacing w:after="0" w:line="240" w:lineRule="auto"/>
              <w:jc w:val="center"/>
              <w:rPr>
                <w:rFonts w:eastAsia="Times New Roman" w:cs="Calibri"/>
                <w:color w:val="000000"/>
                <w:szCs w:val="20"/>
                <w:lang w:val="es-CO" w:eastAsia="es-CO"/>
              </w:rPr>
            </w:pPr>
            <w:r w:rsidRPr="00E662D1">
              <w:rPr>
                <w:rFonts w:eastAsia="Times New Roman" w:cs="Calibri"/>
                <w:color w:val="000000"/>
                <w:szCs w:val="20"/>
                <w:lang w:eastAsia="es-CO"/>
              </w:rPr>
              <w:t>281,30%</w:t>
            </w:r>
          </w:p>
        </w:tc>
      </w:tr>
      <w:tr w:rsidR="00F23B3B" w:rsidRPr="00403516" w:rsidTr="001C0A2A">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23B3B" w:rsidRPr="00E662D1" w:rsidRDefault="00F23B3B" w:rsidP="001C0A2A">
            <w:pPr>
              <w:spacing w:after="0" w:line="240" w:lineRule="auto"/>
              <w:rPr>
                <w:rFonts w:eastAsia="Times New Roman" w:cs="Calibri"/>
                <w:color w:val="000000"/>
                <w:szCs w:val="20"/>
                <w:lang w:val="es-CO" w:eastAsia="es-CO"/>
              </w:rPr>
            </w:pPr>
            <w:r w:rsidRPr="00E662D1">
              <w:rPr>
                <w:rFonts w:eastAsia="Times New Roman" w:cs="Calibri"/>
                <w:color w:val="000000"/>
                <w:szCs w:val="20"/>
                <w:lang w:eastAsia="es-CO"/>
              </w:rPr>
              <w:t>APARTADO</w:t>
            </w:r>
          </w:p>
        </w:tc>
        <w:tc>
          <w:tcPr>
            <w:tcW w:w="0" w:type="auto"/>
            <w:tcBorders>
              <w:top w:val="nil"/>
              <w:left w:val="single" w:sz="4" w:space="0" w:color="204162"/>
              <w:bottom w:val="single" w:sz="4" w:space="0" w:color="204162"/>
              <w:right w:val="single" w:sz="4" w:space="0" w:color="204162"/>
            </w:tcBorders>
            <w:shd w:val="clear" w:color="000000" w:fill="FFFFFF"/>
            <w:vAlign w:val="center"/>
            <w:hideMark/>
          </w:tcPr>
          <w:p w:rsidR="00F23B3B" w:rsidRPr="00E662D1" w:rsidRDefault="00F23B3B" w:rsidP="001C0A2A">
            <w:pPr>
              <w:spacing w:after="0" w:line="240" w:lineRule="auto"/>
              <w:jc w:val="center"/>
              <w:rPr>
                <w:rFonts w:eastAsia="Times New Roman" w:cs="Calibri"/>
                <w:szCs w:val="20"/>
                <w:lang w:val="es-CO" w:eastAsia="es-CO"/>
              </w:rPr>
            </w:pPr>
            <w:r w:rsidRPr="00E662D1">
              <w:rPr>
                <w:rFonts w:eastAsia="Times New Roman" w:cs="Calibri"/>
                <w:szCs w:val="20"/>
                <w:lang w:val="es-CO" w:eastAsia="es-CO"/>
              </w:rPr>
              <w:t>200,0%</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F23B3B" w:rsidRPr="00E662D1" w:rsidRDefault="00F23B3B" w:rsidP="001C0A2A">
            <w:pPr>
              <w:spacing w:after="0" w:line="240" w:lineRule="auto"/>
              <w:jc w:val="center"/>
              <w:rPr>
                <w:rFonts w:eastAsia="Times New Roman" w:cs="Calibri"/>
                <w:color w:val="000000"/>
                <w:szCs w:val="20"/>
                <w:lang w:val="es-CO" w:eastAsia="es-CO"/>
              </w:rPr>
            </w:pPr>
            <w:r w:rsidRPr="00E662D1">
              <w:rPr>
                <w:rFonts w:eastAsia="Times New Roman" w:cs="Calibri"/>
                <w:color w:val="000000"/>
                <w:szCs w:val="20"/>
                <w:lang w:eastAsia="es-CO"/>
              </w:rPr>
              <w:t>250,70%</w:t>
            </w:r>
          </w:p>
        </w:tc>
      </w:tr>
      <w:tr w:rsidR="00F23B3B" w:rsidRPr="00403516" w:rsidTr="001C0A2A">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23B3B" w:rsidRPr="00E662D1" w:rsidRDefault="00F23B3B" w:rsidP="001C0A2A">
            <w:pPr>
              <w:spacing w:after="0" w:line="240" w:lineRule="auto"/>
              <w:rPr>
                <w:rFonts w:eastAsia="Times New Roman" w:cs="Calibri"/>
                <w:color w:val="000000"/>
                <w:szCs w:val="20"/>
                <w:lang w:val="es-CO" w:eastAsia="es-CO"/>
              </w:rPr>
            </w:pPr>
            <w:r w:rsidRPr="00E662D1">
              <w:rPr>
                <w:rFonts w:eastAsia="Times New Roman" w:cs="Calibri"/>
                <w:color w:val="000000"/>
                <w:szCs w:val="20"/>
                <w:lang w:eastAsia="es-CO"/>
              </w:rPr>
              <w:t>CALI</w:t>
            </w:r>
          </w:p>
        </w:tc>
        <w:tc>
          <w:tcPr>
            <w:tcW w:w="0" w:type="auto"/>
            <w:tcBorders>
              <w:top w:val="nil"/>
              <w:left w:val="single" w:sz="4" w:space="0" w:color="204162"/>
              <w:bottom w:val="single" w:sz="4" w:space="0" w:color="204162"/>
              <w:right w:val="single" w:sz="4" w:space="0" w:color="204162"/>
            </w:tcBorders>
            <w:shd w:val="clear" w:color="000000" w:fill="FFFFFF"/>
            <w:vAlign w:val="center"/>
            <w:hideMark/>
          </w:tcPr>
          <w:p w:rsidR="00F23B3B" w:rsidRPr="00E662D1" w:rsidRDefault="00F23B3B" w:rsidP="001C0A2A">
            <w:pPr>
              <w:spacing w:after="0" w:line="240" w:lineRule="auto"/>
              <w:jc w:val="center"/>
              <w:rPr>
                <w:rFonts w:eastAsia="Times New Roman" w:cs="Calibri"/>
                <w:szCs w:val="20"/>
                <w:lang w:val="es-CO" w:eastAsia="es-CO"/>
              </w:rPr>
            </w:pPr>
            <w:r w:rsidRPr="00E662D1">
              <w:rPr>
                <w:rFonts w:eastAsia="Times New Roman" w:cs="Calibri"/>
                <w:szCs w:val="20"/>
                <w:lang w:val="es-CO" w:eastAsia="es-CO"/>
              </w:rPr>
              <w:t>259,2%</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F23B3B" w:rsidRPr="00E662D1" w:rsidRDefault="00F23B3B" w:rsidP="001C0A2A">
            <w:pPr>
              <w:spacing w:after="0" w:line="240" w:lineRule="auto"/>
              <w:jc w:val="center"/>
              <w:rPr>
                <w:rFonts w:eastAsia="Times New Roman" w:cs="Calibri"/>
                <w:color w:val="000000"/>
                <w:szCs w:val="20"/>
                <w:lang w:val="es-CO" w:eastAsia="es-CO"/>
              </w:rPr>
            </w:pPr>
            <w:r w:rsidRPr="00E662D1">
              <w:rPr>
                <w:rFonts w:eastAsia="Times New Roman" w:cs="Calibri"/>
                <w:color w:val="000000"/>
                <w:szCs w:val="20"/>
                <w:lang w:eastAsia="es-CO"/>
              </w:rPr>
              <w:t>259,50%</w:t>
            </w:r>
          </w:p>
        </w:tc>
      </w:tr>
      <w:tr w:rsidR="00F23B3B" w:rsidRPr="00403516" w:rsidTr="001C0A2A">
        <w:trPr>
          <w:trHeight w:val="185"/>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23B3B" w:rsidRPr="00E662D1" w:rsidRDefault="00F23B3B" w:rsidP="001C0A2A">
            <w:pPr>
              <w:spacing w:after="0" w:line="240" w:lineRule="auto"/>
              <w:rPr>
                <w:rFonts w:eastAsia="Times New Roman" w:cs="Calibri"/>
                <w:color w:val="000000"/>
                <w:szCs w:val="20"/>
                <w:lang w:val="es-CO" w:eastAsia="es-CO"/>
              </w:rPr>
            </w:pPr>
            <w:r w:rsidRPr="00E662D1">
              <w:rPr>
                <w:rFonts w:eastAsia="Times New Roman" w:cs="Calibri"/>
                <w:color w:val="000000"/>
                <w:szCs w:val="20"/>
                <w:lang w:eastAsia="es-CO"/>
              </w:rPr>
              <w:t>ITAGUI - LA PAZ</w:t>
            </w:r>
          </w:p>
        </w:tc>
        <w:tc>
          <w:tcPr>
            <w:tcW w:w="0" w:type="auto"/>
            <w:tcBorders>
              <w:top w:val="nil"/>
              <w:left w:val="single" w:sz="4" w:space="0" w:color="204162"/>
              <w:bottom w:val="single" w:sz="4" w:space="0" w:color="204162"/>
              <w:right w:val="single" w:sz="4" w:space="0" w:color="204162"/>
            </w:tcBorders>
            <w:shd w:val="clear" w:color="000000" w:fill="FFFFFF"/>
            <w:vAlign w:val="center"/>
            <w:hideMark/>
          </w:tcPr>
          <w:p w:rsidR="00F23B3B" w:rsidRPr="00E662D1" w:rsidRDefault="00F23B3B" w:rsidP="001C0A2A">
            <w:pPr>
              <w:spacing w:after="0" w:line="240" w:lineRule="auto"/>
              <w:jc w:val="center"/>
              <w:rPr>
                <w:rFonts w:eastAsia="Times New Roman" w:cs="Calibri"/>
                <w:szCs w:val="20"/>
                <w:lang w:val="es-CO" w:eastAsia="es-CO"/>
              </w:rPr>
            </w:pPr>
            <w:r w:rsidRPr="00E662D1">
              <w:rPr>
                <w:rFonts w:eastAsia="Times New Roman" w:cs="Calibri"/>
                <w:szCs w:val="20"/>
                <w:lang w:val="es-CO" w:eastAsia="es-CO"/>
              </w:rPr>
              <w:t>209,1%</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F23B3B" w:rsidRPr="00E662D1" w:rsidRDefault="00F23B3B" w:rsidP="001C0A2A">
            <w:pPr>
              <w:spacing w:after="0" w:line="240" w:lineRule="auto"/>
              <w:jc w:val="center"/>
              <w:rPr>
                <w:rFonts w:eastAsia="Times New Roman" w:cs="Calibri"/>
                <w:color w:val="000000"/>
                <w:szCs w:val="20"/>
                <w:lang w:val="es-CO" w:eastAsia="es-CO"/>
              </w:rPr>
            </w:pPr>
            <w:r w:rsidRPr="00E662D1">
              <w:rPr>
                <w:rFonts w:eastAsia="Times New Roman" w:cs="Calibri"/>
                <w:color w:val="000000"/>
                <w:szCs w:val="20"/>
                <w:lang w:eastAsia="es-CO"/>
              </w:rPr>
              <w:t>211,90%</w:t>
            </w:r>
          </w:p>
        </w:tc>
      </w:tr>
      <w:tr w:rsidR="00F23B3B" w:rsidRPr="00403516" w:rsidTr="001C0A2A">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23B3B" w:rsidRPr="00E662D1" w:rsidRDefault="00F23B3B" w:rsidP="001C0A2A">
            <w:pPr>
              <w:spacing w:after="0" w:line="240" w:lineRule="auto"/>
              <w:rPr>
                <w:rFonts w:eastAsia="Times New Roman" w:cs="Calibri"/>
                <w:color w:val="000000"/>
                <w:szCs w:val="20"/>
                <w:lang w:val="es-CO" w:eastAsia="es-CO"/>
              </w:rPr>
            </w:pPr>
            <w:r w:rsidRPr="00E662D1">
              <w:rPr>
                <w:rFonts w:eastAsia="Times New Roman" w:cs="Calibri"/>
                <w:color w:val="000000"/>
                <w:szCs w:val="20"/>
                <w:lang w:eastAsia="es-CO"/>
              </w:rPr>
              <w:t>SONSON</w:t>
            </w:r>
          </w:p>
        </w:tc>
        <w:tc>
          <w:tcPr>
            <w:tcW w:w="0" w:type="auto"/>
            <w:tcBorders>
              <w:top w:val="nil"/>
              <w:left w:val="single" w:sz="4" w:space="0" w:color="204162"/>
              <w:bottom w:val="single" w:sz="4" w:space="0" w:color="204162"/>
              <w:right w:val="single" w:sz="4" w:space="0" w:color="204162"/>
            </w:tcBorders>
            <w:shd w:val="clear" w:color="000000" w:fill="FFFFFF"/>
            <w:vAlign w:val="center"/>
            <w:hideMark/>
          </w:tcPr>
          <w:p w:rsidR="00F23B3B" w:rsidRPr="00E662D1" w:rsidRDefault="00F23B3B" w:rsidP="001C0A2A">
            <w:pPr>
              <w:spacing w:after="0" w:line="240" w:lineRule="auto"/>
              <w:jc w:val="center"/>
              <w:rPr>
                <w:rFonts w:eastAsia="Times New Roman" w:cs="Calibri"/>
                <w:szCs w:val="20"/>
                <w:lang w:val="es-CO" w:eastAsia="es-CO"/>
              </w:rPr>
            </w:pPr>
            <w:r w:rsidRPr="00E662D1">
              <w:rPr>
                <w:rFonts w:eastAsia="Times New Roman" w:cs="Calibri"/>
                <w:szCs w:val="20"/>
                <w:lang w:val="es-CO" w:eastAsia="es-CO"/>
              </w:rPr>
              <w:t>189,3%</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F23B3B" w:rsidRPr="00E662D1" w:rsidRDefault="00F23B3B" w:rsidP="001C0A2A">
            <w:pPr>
              <w:spacing w:after="0" w:line="240" w:lineRule="auto"/>
              <w:jc w:val="center"/>
              <w:rPr>
                <w:rFonts w:eastAsia="Times New Roman" w:cs="Calibri"/>
                <w:color w:val="000000"/>
                <w:szCs w:val="20"/>
                <w:lang w:val="es-CO" w:eastAsia="es-CO"/>
              </w:rPr>
            </w:pPr>
            <w:r w:rsidRPr="00E662D1">
              <w:rPr>
                <w:rFonts w:eastAsia="Times New Roman" w:cs="Calibri"/>
                <w:color w:val="000000"/>
                <w:szCs w:val="20"/>
                <w:lang w:eastAsia="es-CO"/>
              </w:rPr>
              <w:t>192,00%</w:t>
            </w:r>
          </w:p>
        </w:tc>
      </w:tr>
    </w:tbl>
    <w:p w:rsidR="00F23B3B" w:rsidRPr="00FB2636" w:rsidRDefault="00F23B3B" w:rsidP="00F23B3B">
      <w:pPr>
        <w:jc w:val="both"/>
        <w:rPr>
          <w:sz w:val="22"/>
        </w:rPr>
      </w:pPr>
      <w:r>
        <w:rPr>
          <w:sz w:val="22"/>
        </w:rPr>
        <w:fldChar w:fldCharType="end"/>
      </w:r>
    </w:p>
    <w:p w:rsidR="00F23B3B" w:rsidRPr="006A4564" w:rsidRDefault="006A4564" w:rsidP="006A4564">
      <w:pPr>
        <w:spacing w:after="160" w:line="360" w:lineRule="auto"/>
        <w:ind w:left="360"/>
        <w:rPr>
          <w:b/>
          <w:u w:val="single"/>
        </w:rPr>
      </w:pPr>
      <w:r w:rsidRPr="006A4564">
        <w:rPr>
          <w:b/>
        </w:rPr>
        <w:t xml:space="preserve">II.2. </w:t>
      </w:r>
      <w:r w:rsidR="00F23B3B" w:rsidRPr="006A4564">
        <w:rPr>
          <w:b/>
          <w:sz w:val="22"/>
          <w:u w:val="single"/>
        </w:rPr>
        <w:t>Condiciones de reclusión respetuosas de la dignidad humana.</w:t>
      </w:r>
    </w:p>
    <w:p w:rsidR="00F23B3B" w:rsidRDefault="00F23B3B" w:rsidP="00F23B3B">
      <w:pPr>
        <w:jc w:val="both"/>
        <w:rPr>
          <w:sz w:val="22"/>
        </w:rPr>
      </w:pPr>
      <w:r>
        <w:rPr>
          <w:sz w:val="22"/>
        </w:rPr>
        <w:t>L</w:t>
      </w:r>
      <w:r w:rsidRPr="00AC68D8">
        <w:rPr>
          <w:sz w:val="22"/>
        </w:rPr>
        <w:t>a Corte Constitucional en concordancia con la CICR en la sentencia</w:t>
      </w:r>
      <w:r>
        <w:rPr>
          <w:sz w:val="22"/>
        </w:rPr>
        <w:t xml:space="preserve"> </w:t>
      </w:r>
      <w:r w:rsidR="00E86B0F">
        <w:rPr>
          <w:sz w:val="22"/>
        </w:rPr>
        <w:t xml:space="preserve">T-762 de 2015,            -que reiteró el estado de cosas inconstitucional- </w:t>
      </w:r>
      <w:r w:rsidRPr="00AC68D8">
        <w:rPr>
          <w:sz w:val="22"/>
        </w:rPr>
        <w:t xml:space="preserve">ha incorporado indicadores sobre la garantía de los derechos de </w:t>
      </w:r>
      <w:r>
        <w:rPr>
          <w:sz w:val="22"/>
        </w:rPr>
        <w:t>la PPL</w:t>
      </w:r>
      <w:r w:rsidRPr="00AC68D8">
        <w:rPr>
          <w:sz w:val="22"/>
        </w:rPr>
        <w:t xml:space="preserve">, </w:t>
      </w:r>
      <w:r w:rsidR="009A60B9">
        <w:rPr>
          <w:sz w:val="22"/>
        </w:rPr>
        <w:t>como lo son:</w:t>
      </w:r>
      <w:r w:rsidRPr="00AC68D8">
        <w:rPr>
          <w:sz w:val="22"/>
        </w:rPr>
        <w:t xml:space="preserve"> </w:t>
      </w:r>
      <w:r w:rsidRPr="009A60B9">
        <w:rPr>
          <w:b/>
          <w:sz w:val="22"/>
        </w:rPr>
        <w:t>(i)</w:t>
      </w:r>
      <w:r>
        <w:rPr>
          <w:sz w:val="22"/>
        </w:rPr>
        <w:t xml:space="preserve"> </w:t>
      </w:r>
      <w:r w:rsidRPr="00AC68D8">
        <w:rPr>
          <w:sz w:val="22"/>
        </w:rPr>
        <w:t>el espacio de reclusión para alojamiento por interno</w:t>
      </w:r>
      <w:r>
        <w:rPr>
          <w:sz w:val="22"/>
        </w:rPr>
        <w:t xml:space="preserve"> que hace referencia a un espacio para pernoctar, y </w:t>
      </w:r>
      <w:r w:rsidR="009A60B9" w:rsidRPr="009A60B9">
        <w:rPr>
          <w:b/>
          <w:sz w:val="22"/>
        </w:rPr>
        <w:t>(ii)</w:t>
      </w:r>
      <w:r w:rsidRPr="00AC68D8">
        <w:rPr>
          <w:sz w:val="22"/>
        </w:rPr>
        <w:t xml:space="preserve"> el espacio mínimo de reclusión por interno</w:t>
      </w:r>
      <w:r>
        <w:rPr>
          <w:sz w:val="22"/>
        </w:rPr>
        <w:t xml:space="preserve"> que hace referencia a los espacios que requiere cada interno para que se garantice la atención social y tratamiento penitenciario (recreación, actividades culturales, educación, trabajo, salud, alimentación)</w:t>
      </w:r>
    </w:p>
    <w:p w:rsidR="00F23B3B" w:rsidRDefault="00F23B3B" w:rsidP="00F23B3B">
      <w:pPr>
        <w:jc w:val="both"/>
        <w:rPr>
          <w:sz w:val="22"/>
        </w:rPr>
      </w:pPr>
      <w:r w:rsidRPr="00AC68D8">
        <w:rPr>
          <w:sz w:val="22"/>
        </w:rPr>
        <w:t>Con ese marco, la</w:t>
      </w:r>
      <w:r>
        <w:rPr>
          <w:sz w:val="22"/>
        </w:rPr>
        <w:t xml:space="preserve"> Defensoría del Pueblo a través de la </w:t>
      </w:r>
      <w:r w:rsidRPr="00AC68D8">
        <w:rPr>
          <w:sz w:val="22"/>
        </w:rPr>
        <w:t xml:space="preserve">Defensoría Delegada para la Política Criminal y Penitenciaria ha </w:t>
      </w:r>
      <w:r>
        <w:rPr>
          <w:sz w:val="22"/>
        </w:rPr>
        <w:t>recolectado</w:t>
      </w:r>
      <w:r w:rsidRPr="00AC68D8">
        <w:rPr>
          <w:sz w:val="22"/>
        </w:rPr>
        <w:t xml:space="preserve"> datos técnicos frente a 71 establecimientos, así como informes de las condiciones </w:t>
      </w:r>
      <w:r>
        <w:rPr>
          <w:sz w:val="22"/>
        </w:rPr>
        <w:t xml:space="preserve">generales </w:t>
      </w:r>
      <w:r w:rsidRPr="00AC68D8">
        <w:rPr>
          <w:sz w:val="22"/>
        </w:rPr>
        <w:t>de reclusión fr</w:t>
      </w:r>
      <w:r>
        <w:rPr>
          <w:sz w:val="22"/>
        </w:rPr>
        <w:t xml:space="preserve">ente a </w:t>
      </w:r>
      <w:r>
        <w:rPr>
          <w:sz w:val="22"/>
        </w:rPr>
        <w:lastRenderedPageBreak/>
        <w:t xml:space="preserve">47 establecimientos, de los que se ha realizado un análisis detallado de la infraestructura existente, con el fin de determinar los </w:t>
      </w:r>
      <w:r w:rsidRPr="00096CD1">
        <w:rPr>
          <w:b/>
          <w:i/>
          <w:sz w:val="22"/>
        </w:rPr>
        <w:t>cupos reales</w:t>
      </w:r>
      <w:r>
        <w:rPr>
          <w:sz w:val="22"/>
        </w:rPr>
        <w:t xml:space="preserve"> de cada cárcel o penitenciaria-</w:t>
      </w:r>
    </w:p>
    <w:p w:rsidR="00F23B3B" w:rsidRDefault="00F23B3B" w:rsidP="00F23B3B">
      <w:pPr>
        <w:jc w:val="both"/>
        <w:rPr>
          <w:sz w:val="22"/>
        </w:rPr>
      </w:pPr>
      <w:r w:rsidRPr="003356E9">
        <w:rPr>
          <w:b/>
          <w:sz w:val="22"/>
        </w:rPr>
        <w:t>En el caso de Riohacha</w:t>
      </w:r>
      <w:r w:rsidRPr="00AC68D8">
        <w:rPr>
          <w:sz w:val="22"/>
        </w:rPr>
        <w:t xml:space="preserve"> mediante visita realizada por funcionarios de la Delegada</w:t>
      </w:r>
      <w:r>
        <w:rPr>
          <w:sz w:val="22"/>
        </w:rPr>
        <w:t xml:space="preserve"> de Política Criminal y Penitenciara</w:t>
      </w:r>
      <w:r w:rsidRPr="00AC68D8">
        <w:rPr>
          <w:sz w:val="22"/>
        </w:rPr>
        <w:t xml:space="preserve"> </w:t>
      </w:r>
      <w:r>
        <w:rPr>
          <w:sz w:val="22"/>
        </w:rPr>
        <w:t>se concluyó</w:t>
      </w:r>
      <w:r w:rsidRPr="00AC68D8">
        <w:rPr>
          <w:sz w:val="22"/>
        </w:rPr>
        <w:t xml:space="preserve"> que el espacio de alojamiento por interno es de </w:t>
      </w:r>
      <w:r w:rsidRPr="000E1453">
        <w:rPr>
          <w:b/>
          <w:sz w:val="22"/>
        </w:rPr>
        <w:t xml:space="preserve">60 </w:t>
      </w:r>
      <w:r w:rsidRPr="00AC68D8">
        <w:rPr>
          <w:sz w:val="22"/>
        </w:rPr>
        <w:t>cm cuadrados, es decir, únicamente se está garantizando el 17.6% del espacio de alojamiento mínimo trazado por la Corte Constitucional. En lo que respecta al espacio mínimo en reclusión los internos cuentan con un espacio 1.9 metros cuadrados por interno, lo que implica que para el desarrollo de las actividades propias de la vida en rec</w:t>
      </w:r>
      <w:r>
        <w:rPr>
          <w:sz w:val="22"/>
        </w:rPr>
        <w:t>lusión y su tratamiento se está</w:t>
      </w:r>
      <w:r w:rsidRPr="00AC68D8">
        <w:rPr>
          <w:sz w:val="22"/>
        </w:rPr>
        <w:t xml:space="preserve"> garantizando un 9.5% del punto mínimo de espacio necesario para tal objeto. </w:t>
      </w:r>
    </w:p>
    <w:p w:rsidR="00F23B3B" w:rsidRPr="00AC68D8" w:rsidRDefault="00F23B3B" w:rsidP="00F23B3B">
      <w:pPr>
        <w:jc w:val="both"/>
        <w:rPr>
          <w:sz w:val="22"/>
        </w:rPr>
      </w:pPr>
      <w:r>
        <w:rPr>
          <w:sz w:val="22"/>
        </w:rPr>
        <w:t xml:space="preserve">A continuación un análisis más detallado del nivel de garantía: </w:t>
      </w:r>
      <w:r w:rsidRPr="00AC68D8">
        <w:rPr>
          <w:sz w:val="22"/>
        </w:rPr>
        <w:t xml:space="preserve"> </w:t>
      </w:r>
    </w:p>
    <w:tbl>
      <w:tblPr>
        <w:tblW w:w="7503" w:type="dxa"/>
        <w:jc w:val="center"/>
        <w:tblCellMar>
          <w:left w:w="70" w:type="dxa"/>
          <w:right w:w="70" w:type="dxa"/>
        </w:tblCellMar>
        <w:tblLook w:val="04A0" w:firstRow="1" w:lastRow="0" w:firstColumn="1" w:lastColumn="0" w:noHBand="0" w:noVBand="1"/>
      </w:tblPr>
      <w:tblGrid>
        <w:gridCol w:w="5980"/>
        <w:gridCol w:w="1523"/>
      </w:tblGrid>
      <w:tr w:rsidR="00F23B3B" w:rsidRPr="00DF4B9C" w:rsidTr="001C0A2A">
        <w:trPr>
          <w:trHeight w:val="300"/>
          <w:jc w:val="center"/>
        </w:trPr>
        <w:tc>
          <w:tcPr>
            <w:tcW w:w="7503" w:type="dxa"/>
            <w:gridSpan w:val="2"/>
            <w:tcBorders>
              <w:top w:val="single" w:sz="8" w:space="0" w:color="auto"/>
              <w:left w:val="single" w:sz="8" w:space="0" w:color="auto"/>
              <w:bottom w:val="single" w:sz="4" w:space="0" w:color="auto"/>
              <w:right w:val="single" w:sz="8" w:space="0" w:color="000000"/>
            </w:tcBorders>
            <w:shd w:val="clear" w:color="000000" w:fill="E7E6E6"/>
            <w:noWrap/>
            <w:vAlign w:val="bottom"/>
            <w:hideMark/>
          </w:tcPr>
          <w:p w:rsidR="00F23B3B" w:rsidRPr="000E2DE8" w:rsidRDefault="00F23B3B" w:rsidP="001C0A2A">
            <w:pPr>
              <w:spacing w:after="0" w:line="240" w:lineRule="auto"/>
              <w:jc w:val="center"/>
              <w:rPr>
                <w:rFonts w:eastAsia="Times New Roman"/>
                <w:b/>
                <w:color w:val="000000"/>
                <w:sz w:val="22"/>
                <w:lang w:eastAsia="es-CO"/>
              </w:rPr>
            </w:pPr>
            <w:r w:rsidRPr="000E2DE8">
              <w:rPr>
                <w:rFonts w:eastAsia="Times New Roman"/>
                <w:b/>
                <w:color w:val="000000"/>
                <w:sz w:val="22"/>
                <w:lang w:eastAsia="es-CO"/>
              </w:rPr>
              <w:t>Consolidado del EPCMS de Riohacha</w:t>
            </w:r>
          </w:p>
        </w:tc>
      </w:tr>
      <w:tr w:rsidR="00F23B3B" w:rsidRPr="00DF4B9C" w:rsidTr="001C0A2A">
        <w:trPr>
          <w:trHeight w:val="300"/>
          <w:jc w:val="center"/>
        </w:trPr>
        <w:tc>
          <w:tcPr>
            <w:tcW w:w="5980" w:type="dxa"/>
            <w:tcBorders>
              <w:top w:val="nil"/>
              <w:left w:val="single" w:sz="8" w:space="0" w:color="auto"/>
              <w:bottom w:val="single" w:sz="4" w:space="0" w:color="auto"/>
              <w:right w:val="single" w:sz="4" w:space="0" w:color="auto"/>
            </w:tcBorders>
            <w:shd w:val="clear" w:color="auto" w:fill="auto"/>
            <w:noWrap/>
            <w:vAlign w:val="bottom"/>
            <w:hideMark/>
          </w:tcPr>
          <w:p w:rsidR="00F23B3B" w:rsidRPr="000E2DE8" w:rsidRDefault="00F23B3B" w:rsidP="001C0A2A">
            <w:pPr>
              <w:spacing w:after="0" w:line="240" w:lineRule="auto"/>
              <w:rPr>
                <w:rFonts w:eastAsia="Times New Roman"/>
                <w:color w:val="000000"/>
                <w:sz w:val="22"/>
                <w:lang w:eastAsia="es-CO"/>
              </w:rPr>
            </w:pPr>
            <w:r w:rsidRPr="000E2DE8">
              <w:rPr>
                <w:rFonts w:eastAsia="Times New Roman"/>
                <w:color w:val="000000"/>
                <w:sz w:val="22"/>
                <w:lang w:eastAsia="es-CO"/>
              </w:rPr>
              <w:t>Hacinamiento por camas</w:t>
            </w:r>
          </w:p>
        </w:tc>
        <w:tc>
          <w:tcPr>
            <w:tcW w:w="1523" w:type="dxa"/>
            <w:tcBorders>
              <w:top w:val="nil"/>
              <w:left w:val="nil"/>
              <w:bottom w:val="single" w:sz="4" w:space="0" w:color="auto"/>
              <w:right w:val="single" w:sz="8" w:space="0" w:color="auto"/>
            </w:tcBorders>
            <w:shd w:val="clear" w:color="auto" w:fill="auto"/>
            <w:noWrap/>
            <w:vAlign w:val="bottom"/>
            <w:hideMark/>
          </w:tcPr>
          <w:p w:rsidR="00F23B3B" w:rsidRPr="000E2DE8" w:rsidRDefault="00F23B3B" w:rsidP="001C0A2A">
            <w:pPr>
              <w:spacing w:after="0" w:line="240" w:lineRule="auto"/>
              <w:jc w:val="right"/>
              <w:rPr>
                <w:rFonts w:eastAsia="Times New Roman"/>
                <w:color w:val="000000"/>
                <w:sz w:val="22"/>
                <w:lang w:eastAsia="es-CO"/>
              </w:rPr>
            </w:pPr>
            <w:r w:rsidRPr="000E2DE8">
              <w:rPr>
                <w:rFonts w:eastAsia="Times New Roman"/>
                <w:color w:val="000000"/>
                <w:sz w:val="22"/>
                <w:lang w:eastAsia="es-CO"/>
              </w:rPr>
              <w:t>529,6</w:t>
            </w:r>
            <w:r>
              <w:rPr>
                <w:rFonts w:eastAsia="Times New Roman"/>
                <w:color w:val="000000"/>
                <w:sz w:val="22"/>
                <w:lang w:eastAsia="es-CO"/>
              </w:rPr>
              <w:t>%</w:t>
            </w:r>
          </w:p>
        </w:tc>
      </w:tr>
      <w:tr w:rsidR="00F23B3B" w:rsidRPr="00DF4B9C" w:rsidTr="001C0A2A">
        <w:trPr>
          <w:trHeight w:val="300"/>
          <w:jc w:val="center"/>
        </w:trPr>
        <w:tc>
          <w:tcPr>
            <w:tcW w:w="5980" w:type="dxa"/>
            <w:tcBorders>
              <w:top w:val="nil"/>
              <w:left w:val="single" w:sz="8" w:space="0" w:color="auto"/>
              <w:bottom w:val="single" w:sz="4" w:space="0" w:color="auto"/>
              <w:right w:val="single" w:sz="4" w:space="0" w:color="auto"/>
            </w:tcBorders>
            <w:shd w:val="clear" w:color="auto" w:fill="auto"/>
            <w:noWrap/>
            <w:vAlign w:val="bottom"/>
            <w:hideMark/>
          </w:tcPr>
          <w:p w:rsidR="00F23B3B" w:rsidRPr="000E2DE8" w:rsidRDefault="00F23B3B" w:rsidP="001C0A2A">
            <w:pPr>
              <w:spacing w:after="0" w:line="240" w:lineRule="auto"/>
              <w:rPr>
                <w:rFonts w:eastAsia="Times New Roman"/>
                <w:color w:val="000000"/>
                <w:sz w:val="22"/>
                <w:lang w:eastAsia="es-CO"/>
              </w:rPr>
            </w:pPr>
            <w:r>
              <w:rPr>
                <w:rFonts w:eastAsia="Times New Roman"/>
                <w:color w:val="000000"/>
                <w:sz w:val="22"/>
                <w:lang w:eastAsia="es-CO"/>
              </w:rPr>
              <w:t>Hacinamiento por espacio</w:t>
            </w:r>
            <w:r w:rsidRPr="000E2DE8">
              <w:rPr>
                <w:rFonts w:eastAsia="Times New Roman"/>
                <w:color w:val="000000"/>
                <w:sz w:val="22"/>
                <w:lang w:eastAsia="es-CO"/>
              </w:rPr>
              <w:t xml:space="preserve"> mínimo de reclusión </w:t>
            </w:r>
          </w:p>
        </w:tc>
        <w:tc>
          <w:tcPr>
            <w:tcW w:w="1523" w:type="dxa"/>
            <w:tcBorders>
              <w:top w:val="nil"/>
              <w:left w:val="nil"/>
              <w:bottom w:val="single" w:sz="4" w:space="0" w:color="auto"/>
              <w:right w:val="single" w:sz="8" w:space="0" w:color="auto"/>
            </w:tcBorders>
            <w:shd w:val="clear" w:color="auto" w:fill="auto"/>
            <w:noWrap/>
            <w:vAlign w:val="bottom"/>
            <w:hideMark/>
          </w:tcPr>
          <w:p w:rsidR="00F23B3B" w:rsidRPr="000E2DE8" w:rsidRDefault="00F23B3B" w:rsidP="001C0A2A">
            <w:pPr>
              <w:spacing w:after="0" w:line="240" w:lineRule="auto"/>
              <w:jc w:val="right"/>
              <w:rPr>
                <w:rFonts w:eastAsia="Times New Roman"/>
                <w:color w:val="000000"/>
                <w:sz w:val="22"/>
                <w:lang w:eastAsia="es-CO"/>
              </w:rPr>
            </w:pPr>
            <w:r w:rsidRPr="000E2DE8">
              <w:rPr>
                <w:rFonts w:eastAsia="Times New Roman"/>
                <w:color w:val="000000"/>
                <w:sz w:val="22"/>
                <w:lang w:eastAsia="es-CO"/>
              </w:rPr>
              <w:t>930%</w:t>
            </w:r>
          </w:p>
        </w:tc>
      </w:tr>
      <w:tr w:rsidR="00F23B3B" w:rsidRPr="00DF4B9C" w:rsidTr="001C0A2A">
        <w:trPr>
          <w:trHeight w:val="300"/>
          <w:jc w:val="center"/>
        </w:trPr>
        <w:tc>
          <w:tcPr>
            <w:tcW w:w="5980" w:type="dxa"/>
            <w:tcBorders>
              <w:top w:val="nil"/>
              <w:left w:val="single" w:sz="8" w:space="0" w:color="auto"/>
              <w:bottom w:val="single" w:sz="4" w:space="0" w:color="auto"/>
              <w:right w:val="single" w:sz="4" w:space="0" w:color="auto"/>
            </w:tcBorders>
            <w:shd w:val="clear" w:color="auto" w:fill="auto"/>
            <w:noWrap/>
            <w:vAlign w:val="bottom"/>
            <w:hideMark/>
          </w:tcPr>
          <w:p w:rsidR="00F23B3B" w:rsidRPr="000E2DE8" w:rsidRDefault="00F23B3B" w:rsidP="001C0A2A">
            <w:pPr>
              <w:spacing w:after="0" w:line="240" w:lineRule="auto"/>
              <w:rPr>
                <w:rFonts w:eastAsia="Times New Roman"/>
                <w:color w:val="000000"/>
                <w:sz w:val="22"/>
                <w:lang w:eastAsia="es-CO"/>
              </w:rPr>
            </w:pPr>
            <w:r w:rsidRPr="000E2DE8">
              <w:rPr>
                <w:rFonts w:eastAsia="Times New Roman"/>
                <w:color w:val="000000"/>
                <w:sz w:val="22"/>
                <w:lang w:eastAsia="es-CO"/>
              </w:rPr>
              <w:t>Cupos por camas</w:t>
            </w:r>
          </w:p>
        </w:tc>
        <w:tc>
          <w:tcPr>
            <w:tcW w:w="1523" w:type="dxa"/>
            <w:tcBorders>
              <w:top w:val="nil"/>
              <w:left w:val="nil"/>
              <w:bottom w:val="single" w:sz="4" w:space="0" w:color="auto"/>
              <w:right w:val="single" w:sz="8" w:space="0" w:color="auto"/>
            </w:tcBorders>
            <w:shd w:val="clear" w:color="auto" w:fill="auto"/>
            <w:noWrap/>
            <w:vAlign w:val="bottom"/>
            <w:hideMark/>
          </w:tcPr>
          <w:p w:rsidR="00F23B3B" w:rsidRPr="000E2DE8" w:rsidRDefault="00F23B3B" w:rsidP="001C0A2A">
            <w:pPr>
              <w:spacing w:after="0" w:line="240" w:lineRule="auto"/>
              <w:jc w:val="right"/>
              <w:rPr>
                <w:rFonts w:eastAsia="Times New Roman"/>
                <w:color w:val="000000"/>
                <w:sz w:val="22"/>
                <w:lang w:eastAsia="es-CO"/>
              </w:rPr>
            </w:pPr>
            <w:r w:rsidRPr="000E2DE8">
              <w:rPr>
                <w:rFonts w:eastAsia="Times New Roman"/>
                <w:color w:val="000000"/>
                <w:sz w:val="22"/>
                <w:lang w:eastAsia="es-CO"/>
              </w:rPr>
              <w:t>91</w:t>
            </w:r>
          </w:p>
        </w:tc>
      </w:tr>
      <w:tr w:rsidR="00F23B3B" w:rsidRPr="00DF4B9C" w:rsidTr="001C0A2A">
        <w:trPr>
          <w:trHeight w:val="300"/>
          <w:jc w:val="center"/>
        </w:trPr>
        <w:tc>
          <w:tcPr>
            <w:tcW w:w="5980" w:type="dxa"/>
            <w:tcBorders>
              <w:top w:val="nil"/>
              <w:left w:val="single" w:sz="8" w:space="0" w:color="auto"/>
              <w:bottom w:val="single" w:sz="4" w:space="0" w:color="auto"/>
              <w:right w:val="single" w:sz="4" w:space="0" w:color="auto"/>
            </w:tcBorders>
            <w:shd w:val="clear" w:color="auto" w:fill="auto"/>
            <w:noWrap/>
            <w:vAlign w:val="bottom"/>
            <w:hideMark/>
          </w:tcPr>
          <w:p w:rsidR="00F23B3B" w:rsidRPr="000E2DE8" w:rsidRDefault="00F23B3B" w:rsidP="001C0A2A">
            <w:pPr>
              <w:spacing w:after="0" w:line="240" w:lineRule="auto"/>
              <w:rPr>
                <w:rFonts w:eastAsia="Times New Roman"/>
                <w:color w:val="000000"/>
                <w:sz w:val="22"/>
                <w:lang w:eastAsia="es-CO"/>
              </w:rPr>
            </w:pPr>
            <w:r w:rsidRPr="000E2DE8">
              <w:rPr>
                <w:rFonts w:eastAsia="Times New Roman"/>
                <w:color w:val="000000"/>
                <w:sz w:val="22"/>
                <w:lang w:eastAsia="es-CO"/>
              </w:rPr>
              <w:t>Cupos adecuados</w:t>
            </w:r>
          </w:p>
        </w:tc>
        <w:tc>
          <w:tcPr>
            <w:tcW w:w="1523" w:type="dxa"/>
            <w:tcBorders>
              <w:top w:val="nil"/>
              <w:left w:val="nil"/>
              <w:bottom w:val="single" w:sz="4" w:space="0" w:color="auto"/>
              <w:right w:val="single" w:sz="8" w:space="0" w:color="auto"/>
            </w:tcBorders>
            <w:shd w:val="clear" w:color="auto" w:fill="auto"/>
            <w:noWrap/>
            <w:vAlign w:val="bottom"/>
            <w:hideMark/>
          </w:tcPr>
          <w:p w:rsidR="00F23B3B" w:rsidRPr="000E2DE8" w:rsidRDefault="00F23B3B" w:rsidP="001C0A2A">
            <w:pPr>
              <w:spacing w:after="0" w:line="240" w:lineRule="auto"/>
              <w:jc w:val="right"/>
              <w:rPr>
                <w:rFonts w:eastAsia="Times New Roman"/>
                <w:color w:val="000000"/>
                <w:sz w:val="22"/>
                <w:lang w:eastAsia="es-CO"/>
              </w:rPr>
            </w:pPr>
            <w:r w:rsidRPr="000E2DE8">
              <w:rPr>
                <w:rFonts w:eastAsia="Times New Roman"/>
                <w:color w:val="000000"/>
                <w:sz w:val="22"/>
                <w:lang w:eastAsia="es-CO"/>
              </w:rPr>
              <w:t>0</w:t>
            </w:r>
          </w:p>
        </w:tc>
      </w:tr>
      <w:tr w:rsidR="00F23B3B" w:rsidRPr="00DF4B9C" w:rsidTr="001C0A2A">
        <w:trPr>
          <w:trHeight w:val="300"/>
          <w:jc w:val="center"/>
        </w:trPr>
        <w:tc>
          <w:tcPr>
            <w:tcW w:w="5980" w:type="dxa"/>
            <w:tcBorders>
              <w:top w:val="nil"/>
              <w:left w:val="single" w:sz="8" w:space="0" w:color="auto"/>
              <w:bottom w:val="single" w:sz="4" w:space="0" w:color="auto"/>
              <w:right w:val="single" w:sz="4" w:space="0" w:color="auto"/>
            </w:tcBorders>
            <w:shd w:val="clear" w:color="auto" w:fill="auto"/>
            <w:noWrap/>
            <w:vAlign w:val="bottom"/>
            <w:hideMark/>
          </w:tcPr>
          <w:p w:rsidR="00F23B3B" w:rsidRPr="000E2DE8" w:rsidRDefault="00F23B3B" w:rsidP="001C0A2A">
            <w:pPr>
              <w:spacing w:after="0" w:line="240" w:lineRule="auto"/>
              <w:rPr>
                <w:rFonts w:eastAsia="Times New Roman"/>
                <w:color w:val="000000"/>
                <w:sz w:val="22"/>
                <w:lang w:eastAsia="es-CO"/>
              </w:rPr>
            </w:pPr>
            <w:r w:rsidRPr="000E2DE8">
              <w:rPr>
                <w:rFonts w:eastAsia="Times New Roman"/>
                <w:color w:val="000000"/>
                <w:sz w:val="22"/>
                <w:lang w:eastAsia="es-CO"/>
              </w:rPr>
              <w:t xml:space="preserve">Espacio de alojamiento </w:t>
            </w:r>
          </w:p>
        </w:tc>
        <w:tc>
          <w:tcPr>
            <w:tcW w:w="1523" w:type="dxa"/>
            <w:tcBorders>
              <w:top w:val="nil"/>
              <w:left w:val="nil"/>
              <w:bottom w:val="single" w:sz="4" w:space="0" w:color="auto"/>
              <w:right w:val="single" w:sz="8" w:space="0" w:color="auto"/>
            </w:tcBorders>
            <w:shd w:val="clear" w:color="auto" w:fill="auto"/>
            <w:noWrap/>
            <w:vAlign w:val="bottom"/>
            <w:hideMark/>
          </w:tcPr>
          <w:p w:rsidR="00F23B3B" w:rsidRPr="000E2DE8" w:rsidRDefault="00F23B3B" w:rsidP="001C0A2A">
            <w:pPr>
              <w:spacing w:after="0" w:line="240" w:lineRule="auto"/>
              <w:jc w:val="right"/>
              <w:rPr>
                <w:rFonts w:eastAsia="Times New Roman"/>
                <w:color w:val="000000"/>
                <w:sz w:val="22"/>
                <w:lang w:eastAsia="es-CO"/>
              </w:rPr>
            </w:pPr>
            <w:r w:rsidRPr="000E2DE8">
              <w:rPr>
                <w:rFonts w:eastAsia="Times New Roman"/>
                <w:color w:val="000000"/>
                <w:sz w:val="22"/>
                <w:lang w:eastAsia="es-CO"/>
              </w:rPr>
              <w:t>349,34</w:t>
            </w:r>
            <w:r>
              <w:rPr>
                <w:rFonts w:eastAsia="Times New Roman"/>
                <w:color w:val="000000"/>
                <w:sz w:val="22"/>
                <w:lang w:eastAsia="es-CO"/>
              </w:rPr>
              <w:t xml:space="preserve"> m2</w:t>
            </w:r>
          </w:p>
        </w:tc>
      </w:tr>
      <w:tr w:rsidR="00F23B3B" w:rsidRPr="00DF4B9C" w:rsidTr="001C0A2A">
        <w:trPr>
          <w:trHeight w:val="300"/>
          <w:jc w:val="center"/>
        </w:trPr>
        <w:tc>
          <w:tcPr>
            <w:tcW w:w="5980" w:type="dxa"/>
            <w:tcBorders>
              <w:top w:val="nil"/>
              <w:left w:val="single" w:sz="8" w:space="0" w:color="auto"/>
              <w:bottom w:val="single" w:sz="4" w:space="0" w:color="auto"/>
              <w:right w:val="single" w:sz="4" w:space="0" w:color="auto"/>
            </w:tcBorders>
            <w:shd w:val="clear" w:color="auto" w:fill="auto"/>
            <w:noWrap/>
            <w:vAlign w:val="bottom"/>
            <w:hideMark/>
          </w:tcPr>
          <w:p w:rsidR="00F23B3B" w:rsidRPr="000E2DE8" w:rsidRDefault="00F23B3B" w:rsidP="001C0A2A">
            <w:pPr>
              <w:spacing w:after="0" w:line="240" w:lineRule="auto"/>
              <w:rPr>
                <w:rFonts w:eastAsia="Times New Roman"/>
                <w:color w:val="000000"/>
                <w:sz w:val="22"/>
                <w:lang w:eastAsia="es-CO"/>
              </w:rPr>
            </w:pPr>
            <w:r w:rsidRPr="000E2DE8">
              <w:rPr>
                <w:rFonts w:eastAsia="Times New Roman"/>
                <w:color w:val="000000"/>
                <w:sz w:val="22"/>
                <w:lang w:eastAsia="es-CO"/>
              </w:rPr>
              <w:t>Espacio de alojamiento por interno</w:t>
            </w:r>
          </w:p>
        </w:tc>
        <w:tc>
          <w:tcPr>
            <w:tcW w:w="1523" w:type="dxa"/>
            <w:tcBorders>
              <w:top w:val="nil"/>
              <w:left w:val="nil"/>
              <w:bottom w:val="single" w:sz="4" w:space="0" w:color="auto"/>
              <w:right w:val="single" w:sz="8" w:space="0" w:color="auto"/>
            </w:tcBorders>
            <w:shd w:val="clear" w:color="auto" w:fill="auto"/>
            <w:noWrap/>
            <w:vAlign w:val="bottom"/>
            <w:hideMark/>
          </w:tcPr>
          <w:p w:rsidR="00F23B3B" w:rsidRPr="000E2DE8" w:rsidRDefault="00F23B3B" w:rsidP="001C0A2A">
            <w:pPr>
              <w:spacing w:after="0" w:line="240" w:lineRule="auto"/>
              <w:jc w:val="right"/>
              <w:rPr>
                <w:rFonts w:eastAsia="Times New Roman"/>
                <w:color w:val="000000"/>
                <w:sz w:val="22"/>
                <w:lang w:eastAsia="es-CO"/>
              </w:rPr>
            </w:pPr>
            <w:r w:rsidRPr="000E2DE8">
              <w:rPr>
                <w:rFonts w:eastAsia="Times New Roman"/>
                <w:color w:val="000000"/>
                <w:sz w:val="22"/>
                <w:lang w:eastAsia="es-CO"/>
              </w:rPr>
              <w:t>0,6</w:t>
            </w:r>
            <w:r>
              <w:rPr>
                <w:rFonts w:eastAsia="Times New Roman"/>
                <w:color w:val="000000"/>
                <w:sz w:val="22"/>
                <w:lang w:eastAsia="es-CO"/>
              </w:rPr>
              <w:t xml:space="preserve"> m2</w:t>
            </w:r>
          </w:p>
        </w:tc>
      </w:tr>
      <w:tr w:rsidR="00F23B3B" w:rsidRPr="00DF4B9C" w:rsidTr="001C0A2A">
        <w:trPr>
          <w:trHeight w:val="300"/>
          <w:jc w:val="center"/>
        </w:trPr>
        <w:tc>
          <w:tcPr>
            <w:tcW w:w="5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3B3B" w:rsidRPr="000E2DE8" w:rsidRDefault="00F23B3B" w:rsidP="001C0A2A">
            <w:pPr>
              <w:spacing w:after="0" w:line="240" w:lineRule="auto"/>
              <w:rPr>
                <w:rFonts w:eastAsia="Times New Roman"/>
                <w:color w:val="000000"/>
                <w:sz w:val="22"/>
                <w:lang w:eastAsia="es-CO"/>
              </w:rPr>
            </w:pPr>
            <w:r w:rsidRPr="000E2DE8">
              <w:rPr>
                <w:rFonts w:eastAsia="Times New Roman"/>
                <w:color w:val="000000"/>
                <w:sz w:val="22"/>
                <w:lang w:eastAsia="es-CO"/>
              </w:rPr>
              <w:t>Espacio mínimo de reclusión por interno</w:t>
            </w:r>
          </w:p>
        </w:tc>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3B3B" w:rsidRPr="000E2DE8" w:rsidRDefault="00F23B3B" w:rsidP="001C0A2A">
            <w:pPr>
              <w:spacing w:after="0" w:line="240" w:lineRule="auto"/>
              <w:jc w:val="right"/>
              <w:rPr>
                <w:rFonts w:eastAsia="Times New Roman"/>
                <w:color w:val="000000"/>
                <w:sz w:val="22"/>
                <w:lang w:eastAsia="es-CO"/>
              </w:rPr>
            </w:pPr>
            <w:r w:rsidRPr="000E2DE8">
              <w:rPr>
                <w:rFonts w:eastAsia="Times New Roman"/>
                <w:color w:val="000000"/>
                <w:sz w:val="22"/>
                <w:lang w:eastAsia="es-CO"/>
              </w:rPr>
              <w:t>1,9</w:t>
            </w:r>
            <w:r>
              <w:rPr>
                <w:rFonts w:eastAsia="Times New Roman"/>
                <w:color w:val="000000"/>
                <w:sz w:val="22"/>
                <w:lang w:eastAsia="es-CO"/>
              </w:rPr>
              <w:t xml:space="preserve"> m2</w:t>
            </w:r>
          </w:p>
        </w:tc>
      </w:tr>
      <w:tr w:rsidR="00F23B3B" w:rsidRPr="00DF4B9C" w:rsidTr="001C0A2A">
        <w:trPr>
          <w:trHeight w:val="300"/>
          <w:jc w:val="center"/>
        </w:trPr>
        <w:tc>
          <w:tcPr>
            <w:tcW w:w="5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3B3B" w:rsidRPr="000E2DE8" w:rsidRDefault="00F23B3B" w:rsidP="001C0A2A">
            <w:pPr>
              <w:spacing w:after="0" w:line="240" w:lineRule="auto"/>
              <w:rPr>
                <w:rFonts w:eastAsia="Times New Roman"/>
                <w:color w:val="000000"/>
                <w:sz w:val="22"/>
                <w:lang w:eastAsia="es-CO"/>
              </w:rPr>
            </w:pPr>
            <w:r w:rsidRPr="000E2DE8">
              <w:rPr>
                <w:rFonts w:eastAsia="Times New Roman"/>
                <w:color w:val="000000"/>
                <w:sz w:val="22"/>
                <w:lang w:eastAsia="es-CO"/>
              </w:rPr>
              <w:t xml:space="preserve">Cupos reales por espacio mínimo de reclusión </w:t>
            </w:r>
          </w:p>
        </w:tc>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3B3B" w:rsidRPr="000E1453" w:rsidRDefault="00F23B3B" w:rsidP="001C0A2A">
            <w:pPr>
              <w:spacing w:after="0" w:line="240" w:lineRule="auto"/>
              <w:jc w:val="right"/>
              <w:rPr>
                <w:rFonts w:eastAsia="Times New Roman"/>
                <w:b/>
                <w:color w:val="000000"/>
                <w:sz w:val="22"/>
                <w:lang w:eastAsia="es-CO"/>
              </w:rPr>
            </w:pPr>
            <w:r w:rsidRPr="000E1453">
              <w:rPr>
                <w:rFonts w:eastAsia="Times New Roman"/>
                <w:b/>
                <w:color w:val="000000"/>
                <w:sz w:val="22"/>
                <w:lang w:eastAsia="es-CO"/>
              </w:rPr>
              <w:t>55,6</w:t>
            </w:r>
          </w:p>
        </w:tc>
      </w:tr>
      <w:tr w:rsidR="00F23B3B" w:rsidRPr="00AC68D8" w:rsidTr="001C0A2A">
        <w:trPr>
          <w:trHeight w:val="300"/>
          <w:jc w:val="center"/>
        </w:trPr>
        <w:tc>
          <w:tcPr>
            <w:tcW w:w="5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3B3B" w:rsidRPr="000E2DE8" w:rsidRDefault="00F23B3B" w:rsidP="001C0A2A">
            <w:pPr>
              <w:spacing w:after="0" w:line="240" w:lineRule="auto"/>
              <w:rPr>
                <w:rFonts w:eastAsia="Times New Roman"/>
                <w:color w:val="000000"/>
                <w:sz w:val="22"/>
                <w:lang w:eastAsia="es-CO"/>
              </w:rPr>
            </w:pPr>
            <w:r w:rsidRPr="000E2DE8">
              <w:rPr>
                <w:rFonts w:eastAsia="Times New Roman"/>
                <w:color w:val="000000"/>
                <w:sz w:val="22"/>
                <w:lang w:eastAsia="es-CO"/>
              </w:rPr>
              <w:t>Cupos reales por espacio mínimo de alojamiento</w:t>
            </w:r>
          </w:p>
        </w:tc>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3B3B" w:rsidRPr="000E1453" w:rsidRDefault="00F23B3B" w:rsidP="001C0A2A">
            <w:pPr>
              <w:spacing w:after="0" w:line="240" w:lineRule="auto"/>
              <w:jc w:val="right"/>
              <w:rPr>
                <w:rFonts w:eastAsia="Times New Roman"/>
                <w:b/>
                <w:color w:val="000000"/>
                <w:sz w:val="22"/>
                <w:lang w:eastAsia="es-CO"/>
              </w:rPr>
            </w:pPr>
            <w:r w:rsidRPr="000E1453">
              <w:rPr>
                <w:rFonts w:eastAsia="Times New Roman"/>
                <w:b/>
                <w:color w:val="000000"/>
                <w:sz w:val="22"/>
                <w:lang w:eastAsia="es-CO"/>
              </w:rPr>
              <w:t>102,7</w:t>
            </w:r>
          </w:p>
        </w:tc>
      </w:tr>
    </w:tbl>
    <w:p w:rsidR="00F23B3B" w:rsidRPr="000E1453" w:rsidRDefault="00F23B3B" w:rsidP="00F23B3B">
      <w:pPr>
        <w:jc w:val="center"/>
        <w:rPr>
          <w:i/>
          <w:sz w:val="22"/>
        </w:rPr>
      </w:pPr>
      <w:r w:rsidRPr="000E1453">
        <w:rPr>
          <w:i/>
          <w:sz w:val="22"/>
        </w:rPr>
        <w:t>Análisis realizado con los datos obtenidos a la fecha de la visita</w:t>
      </w:r>
    </w:p>
    <w:p w:rsidR="00F23B3B" w:rsidRPr="000E1453" w:rsidRDefault="00F23B3B" w:rsidP="00F23B3B">
      <w:pPr>
        <w:jc w:val="both"/>
        <w:rPr>
          <w:b/>
          <w:sz w:val="22"/>
        </w:rPr>
      </w:pPr>
      <w:r w:rsidRPr="000E1453">
        <w:rPr>
          <w:b/>
          <w:sz w:val="22"/>
        </w:rPr>
        <w:t xml:space="preserve">El anterior cuadro permite concluir que, al aplicar al centro de reclusión de Riohacha los estándares señalados por la H. Corte Constitucional obligan a recalcular la capacidad de la prisión en términos de condiciones de reclusión respetuosas de los derechos de las personas privadas de la libertad, hecho que conlleva a que se generen porcentajes de hacinamiento que desbordan en gran medida lo reportado por el INPEC; como se evidencia en el cuadro al calcular el hacinamiento desde el espacio mínimo de reclusión el cual alcanza un 930%. </w:t>
      </w:r>
    </w:p>
    <w:p w:rsidR="00F23B3B" w:rsidRPr="00AC68D8" w:rsidRDefault="00F23B3B" w:rsidP="00F23B3B">
      <w:pPr>
        <w:jc w:val="both"/>
        <w:rPr>
          <w:sz w:val="22"/>
        </w:rPr>
      </w:pPr>
      <w:r>
        <w:rPr>
          <w:sz w:val="22"/>
        </w:rPr>
        <w:t>En concepto de la Defensoría del Pueblo, luego de realizar la inspección en e</w:t>
      </w:r>
      <w:r w:rsidRPr="00AC68D8">
        <w:rPr>
          <w:sz w:val="22"/>
        </w:rPr>
        <w:t>l EPCMS de Riohacha</w:t>
      </w:r>
      <w:r>
        <w:rPr>
          <w:sz w:val="22"/>
        </w:rPr>
        <w:t xml:space="preserve">, </w:t>
      </w:r>
      <w:r w:rsidRPr="00366E5C">
        <w:rPr>
          <w:b/>
          <w:sz w:val="22"/>
        </w:rPr>
        <w:t xml:space="preserve">todas </w:t>
      </w:r>
      <w:r w:rsidRPr="00FA3F80">
        <w:rPr>
          <w:sz w:val="22"/>
        </w:rPr>
        <w:t>las celdas del establecimiento resultan</w:t>
      </w:r>
      <w:r w:rsidRPr="00366E5C">
        <w:rPr>
          <w:b/>
          <w:sz w:val="22"/>
        </w:rPr>
        <w:t xml:space="preserve"> </w:t>
      </w:r>
      <w:r w:rsidRPr="00FA3F80">
        <w:rPr>
          <w:sz w:val="22"/>
        </w:rPr>
        <w:t>inadecuadas</w:t>
      </w:r>
      <w:r>
        <w:rPr>
          <w:sz w:val="22"/>
        </w:rPr>
        <w:t xml:space="preserve"> ya que no cumplen  con</w:t>
      </w:r>
      <w:r w:rsidRPr="00AC68D8">
        <w:rPr>
          <w:sz w:val="22"/>
        </w:rPr>
        <w:t xml:space="preserve"> los criterios de espacio</w:t>
      </w:r>
      <w:r>
        <w:rPr>
          <w:sz w:val="22"/>
        </w:rPr>
        <w:t xml:space="preserve">, </w:t>
      </w:r>
      <w:r w:rsidRPr="00AC68D8">
        <w:rPr>
          <w:sz w:val="22"/>
        </w:rPr>
        <w:t xml:space="preserve"> ventilación, distancia entr</w:t>
      </w:r>
      <w:r>
        <w:rPr>
          <w:sz w:val="22"/>
        </w:rPr>
        <w:t>e paredes y altura de la celda</w:t>
      </w:r>
      <w:r w:rsidRPr="00AC68D8">
        <w:rPr>
          <w:sz w:val="22"/>
        </w:rPr>
        <w:t xml:space="preserve">. </w:t>
      </w:r>
    </w:p>
    <w:p w:rsidR="00F23B3B" w:rsidRPr="00AC68D8" w:rsidRDefault="00F23B3B" w:rsidP="00F23B3B">
      <w:pPr>
        <w:jc w:val="both"/>
        <w:rPr>
          <w:sz w:val="22"/>
        </w:rPr>
      </w:pPr>
      <w:r w:rsidRPr="00AC68D8">
        <w:rPr>
          <w:sz w:val="22"/>
        </w:rPr>
        <w:lastRenderedPageBreak/>
        <w:t xml:space="preserve">Adicionalmente, se evidenció que mientras que el patio 4 del establecimiento el área de alojamiento tenía una participación de 2.3 metros cuadrados por interno, en el patio 2 el área cuadrada por interno para alojamiento era de 50 centímetros. </w:t>
      </w:r>
    </w:p>
    <w:p w:rsidR="00F23B3B" w:rsidRPr="00AC68D8" w:rsidRDefault="00F23B3B" w:rsidP="00F23B3B">
      <w:pPr>
        <w:jc w:val="both"/>
        <w:rPr>
          <w:sz w:val="22"/>
        </w:rPr>
      </w:pPr>
      <w:r w:rsidRPr="00AC68D8">
        <w:rPr>
          <w:sz w:val="22"/>
        </w:rPr>
        <w:t xml:space="preserve">Esto no solamente denota una desigualdad de la participación interna en el espacio de alojamiento del establecimiento, sino que el estudio comparado de los patios, demuestra </w:t>
      </w:r>
      <w:r>
        <w:rPr>
          <w:sz w:val="22"/>
        </w:rPr>
        <w:t>la variación</w:t>
      </w:r>
      <w:r w:rsidRPr="00AC68D8">
        <w:rPr>
          <w:sz w:val="22"/>
        </w:rPr>
        <w:t xml:space="preserve"> </w:t>
      </w:r>
      <w:r>
        <w:rPr>
          <w:sz w:val="22"/>
        </w:rPr>
        <w:t>d</w:t>
      </w:r>
      <w:r w:rsidRPr="00AC68D8">
        <w:rPr>
          <w:sz w:val="22"/>
        </w:rPr>
        <w:t>el grado de hacinamiento interno, el cual si es calculado de conformidad</w:t>
      </w:r>
      <w:r>
        <w:rPr>
          <w:sz w:val="22"/>
        </w:rPr>
        <w:t xml:space="preserve"> al espacio mínimo de reclusión se obtiene que: (i)</w:t>
      </w:r>
      <w:r w:rsidRPr="00AC68D8">
        <w:rPr>
          <w:sz w:val="22"/>
        </w:rPr>
        <w:t xml:space="preserve"> </w:t>
      </w:r>
      <w:r>
        <w:rPr>
          <w:sz w:val="22"/>
        </w:rPr>
        <w:t>el establecimiento de</w:t>
      </w:r>
      <w:r w:rsidRPr="00AC68D8">
        <w:rPr>
          <w:sz w:val="22"/>
        </w:rPr>
        <w:t xml:space="preserve"> Riohacha t</w:t>
      </w:r>
      <w:r>
        <w:rPr>
          <w:sz w:val="22"/>
        </w:rPr>
        <w:t xml:space="preserve">iene </w:t>
      </w:r>
      <w:r w:rsidRPr="00AC68D8">
        <w:rPr>
          <w:sz w:val="22"/>
        </w:rPr>
        <w:t>un hacinamiento global del 930%</w:t>
      </w:r>
      <w:r>
        <w:rPr>
          <w:sz w:val="22"/>
        </w:rPr>
        <w:t>;</w:t>
      </w:r>
      <w:r w:rsidRPr="00AC68D8">
        <w:rPr>
          <w:sz w:val="22"/>
        </w:rPr>
        <w:t xml:space="preserve"> </w:t>
      </w:r>
      <w:r>
        <w:rPr>
          <w:sz w:val="22"/>
        </w:rPr>
        <w:t xml:space="preserve">(ii) </w:t>
      </w:r>
      <w:r w:rsidRPr="00AC68D8">
        <w:rPr>
          <w:sz w:val="22"/>
        </w:rPr>
        <w:t xml:space="preserve">en el patio 2 </w:t>
      </w:r>
      <w:r>
        <w:rPr>
          <w:sz w:val="22"/>
        </w:rPr>
        <w:t>es de</w:t>
      </w:r>
      <w:r w:rsidRPr="00AC68D8">
        <w:rPr>
          <w:sz w:val="22"/>
        </w:rPr>
        <w:t xml:space="preserve"> 1</w:t>
      </w:r>
      <w:r>
        <w:rPr>
          <w:sz w:val="22"/>
        </w:rPr>
        <w:t>.</w:t>
      </w:r>
      <w:r w:rsidRPr="00AC68D8">
        <w:rPr>
          <w:sz w:val="22"/>
        </w:rPr>
        <w:t>895%</w:t>
      </w:r>
      <w:r>
        <w:rPr>
          <w:sz w:val="22"/>
        </w:rPr>
        <w:t>; y</w:t>
      </w:r>
      <w:r w:rsidRPr="00AC68D8">
        <w:rPr>
          <w:sz w:val="22"/>
        </w:rPr>
        <w:t xml:space="preserve"> </w:t>
      </w:r>
      <w:r>
        <w:rPr>
          <w:sz w:val="22"/>
        </w:rPr>
        <w:t>en el patio</w:t>
      </w:r>
      <w:r w:rsidRPr="00AC68D8">
        <w:rPr>
          <w:sz w:val="22"/>
        </w:rPr>
        <w:t xml:space="preserve"> 4 llegu</w:t>
      </w:r>
      <w:r>
        <w:rPr>
          <w:sz w:val="22"/>
        </w:rPr>
        <w:t xml:space="preserve">e </w:t>
      </w:r>
      <w:r w:rsidRPr="00AC68D8">
        <w:rPr>
          <w:sz w:val="22"/>
        </w:rPr>
        <w:t xml:space="preserve"> al 2</w:t>
      </w:r>
      <w:r>
        <w:rPr>
          <w:sz w:val="22"/>
        </w:rPr>
        <w:t>.</w:t>
      </w:r>
      <w:r w:rsidRPr="00AC68D8">
        <w:rPr>
          <w:sz w:val="22"/>
        </w:rPr>
        <w:t xml:space="preserve">811 </w:t>
      </w:r>
      <w:r>
        <w:rPr>
          <w:sz w:val="22"/>
        </w:rPr>
        <w:t>%</w:t>
      </w:r>
    </w:p>
    <w:p w:rsidR="00F23B3B" w:rsidRPr="00AC68D8" w:rsidRDefault="00F23B3B" w:rsidP="00F23B3B">
      <w:pPr>
        <w:spacing w:after="0"/>
        <w:jc w:val="both"/>
        <w:rPr>
          <w:sz w:val="22"/>
        </w:rPr>
      </w:pPr>
      <w:r w:rsidRPr="003356E9">
        <w:rPr>
          <w:b/>
          <w:sz w:val="22"/>
        </w:rPr>
        <w:t>En lo que respecta al EP la Esperanza del municipio de Guaduas, Cundinamarca</w:t>
      </w:r>
      <w:r w:rsidRPr="00AC68D8">
        <w:rPr>
          <w:sz w:val="22"/>
        </w:rPr>
        <w:t xml:space="preserve">, </w:t>
      </w:r>
      <w:r>
        <w:rPr>
          <w:sz w:val="22"/>
        </w:rPr>
        <w:t>en el momento de la visita</w:t>
      </w:r>
      <w:r w:rsidRPr="00AC68D8">
        <w:rPr>
          <w:sz w:val="22"/>
        </w:rPr>
        <w:t xml:space="preserve"> t</w:t>
      </w:r>
      <w:r>
        <w:rPr>
          <w:sz w:val="22"/>
        </w:rPr>
        <w:t>enía</w:t>
      </w:r>
      <w:r w:rsidRPr="00AC68D8">
        <w:rPr>
          <w:sz w:val="22"/>
        </w:rPr>
        <w:t xml:space="preserve"> una ocupación de 2</w:t>
      </w:r>
      <w:r>
        <w:rPr>
          <w:sz w:val="22"/>
        </w:rPr>
        <w:t>.</w:t>
      </w:r>
      <w:r w:rsidRPr="00AC68D8">
        <w:rPr>
          <w:sz w:val="22"/>
        </w:rPr>
        <w:t>926 personas con una capacidad para albergar 2</w:t>
      </w:r>
      <w:r>
        <w:rPr>
          <w:sz w:val="22"/>
        </w:rPr>
        <w:t>.</w:t>
      </w:r>
      <w:r w:rsidRPr="00AC68D8">
        <w:rPr>
          <w:sz w:val="22"/>
        </w:rPr>
        <w:t xml:space="preserve">824 internos, por lo que </w:t>
      </w:r>
      <w:r>
        <w:rPr>
          <w:sz w:val="22"/>
        </w:rPr>
        <w:t xml:space="preserve">en ese momento tenía un hacinamiento del </w:t>
      </w:r>
      <w:r w:rsidRPr="00AC68D8">
        <w:rPr>
          <w:sz w:val="22"/>
        </w:rPr>
        <w:t xml:space="preserve">3.6%, reportando así uno de los hacinamientos más bajos del país. </w:t>
      </w:r>
    </w:p>
    <w:p w:rsidR="00F23B3B" w:rsidRDefault="00F23B3B" w:rsidP="00F23B3B">
      <w:pPr>
        <w:spacing w:after="0"/>
        <w:jc w:val="both"/>
        <w:rPr>
          <w:sz w:val="22"/>
        </w:rPr>
      </w:pPr>
    </w:p>
    <w:p w:rsidR="00F23B3B" w:rsidRPr="00AC68D8" w:rsidRDefault="00F23B3B" w:rsidP="00F23B3B">
      <w:pPr>
        <w:spacing w:after="0"/>
        <w:jc w:val="both"/>
        <w:rPr>
          <w:sz w:val="22"/>
        </w:rPr>
      </w:pPr>
      <w:r w:rsidRPr="00AC68D8">
        <w:rPr>
          <w:sz w:val="22"/>
        </w:rPr>
        <w:t xml:space="preserve">Frente a las condiciones de reclusión se halló que cada celda tiene un área de 9,6 </w:t>
      </w:r>
      <w:r>
        <w:rPr>
          <w:sz w:val="22"/>
        </w:rPr>
        <w:t>m</w:t>
      </w:r>
      <w:r w:rsidRPr="00BB3A00">
        <w:rPr>
          <w:sz w:val="22"/>
          <w:vertAlign w:val="superscript"/>
        </w:rPr>
        <w:t>2</w:t>
      </w:r>
      <w:r w:rsidRPr="00AC68D8">
        <w:rPr>
          <w:sz w:val="22"/>
        </w:rPr>
        <w:t xml:space="preserve">, para un área total de 13.2 </w:t>
      </w:r>
      <w:r>
        <w:rPr>
          <w:sz w:val="22"/>
        </w:rPr>
        <w:t>m</w:t>
      </w:r>
      <w:r w:rsidRPr="00BB3A00">
        <w:rPr>
          <w:sz w:val="22"/>
          <w:vertAlign w:val="superscript"/>
        </w:rPr>
        <w:t>2</w:t>
      </w:r>
      <w:r>
        <w:rPr>
          <w:sz w:val="22"/>
        </w:rPr>
        <w:t>,</w:t>
      </w:r>
      <w:r w:rsidRPr="00AC68D8">
        <w:rPr>
          <w:sz w:val="22"/>
        </w:rPr>
        <w:t xml:space="preserve"> </w:t>
      </w:r>
      <w:r>
        <w:rPr>
          <w:sz w:val="22"/>
        </w:rPr>
        <w:t>es decir,</w:t>
      </w:r>
      <w:r w:rsidRPr="00AC68D8">
        <w:rPr>
          <w:sz w:val="22"/>
        </w:rPr>
        <w:t xml:space="preserve"> </w:t>
      </w:r>
      <w:r>
        <w:rPr>
          <w:sz w:val="22"/>
        </w:rPr>
        <w:t xml:space="preserve">que </w:t>
      </w:r>
      <w:r w:rsidRPr="00AC68D8">
        <w:rPr>
          <w:sz w:val="22"/>
        </w:rPr>
        <w:t>el área de alojamiento p</w:t>
      </w:r>
      <w:r>
        <w:rPr>
          <w:sz w:val="22"/>
        </w:rPr>
        <w:t xml:space="preserve">or interno del establecimiento </w:t>
      </w:r>
      <w:r w:rsidRPr="00AC68D8">
        <w:rPr>
          <w:sz w:val="22"/>
        </w:rPr>
        <w:t xml:space="preserve">es de 3.3 </w:t>
      </w:r>
      <w:r>
        <w:rPr>
          <w:sz w:val="22"/>
        </w:rPr>
        <w:t>m</w:t>
      </w:r>
      <w:r w:rsidRPr="00BB3A00">
        <w:rPr>
          <w:sz w:val="22"/>
          <w:vertAlign w:val="superscript"/>
        </w:rPr>
        <w:t>2</w:t>
      </w:r>
      <w:r w:rsidRPr="00AC68D8">
        <w:rPr>
          <w:sz w:val="22"/>
        </w:rPr>
        <w:t xml:space="preserve">, </w:t>
      </w:r>
      <w:r>
        <w:rPr>
          <w:sz w:val="22"/>
        </w:rPr>
        <w:t>sin embargo,</w:t>
      </w:r>
      <w:r w:rsidRPr="00AC68D8">
        <w:rPr>
          <w:sz w:val="22"/>
        </w:rPr>
        <w:t xml:space="preserve"> </w:t>
      </w:r>
      <w:r>
        <w:rPr>
          <w:sz w:val="22"/>
        </w:rPr>
        <w:t>al tener</w:t>
      </w:r>
      <w:r w:rsidRPr="00AC68D8">
        <w:rPr>
          <w:sz w:val="22"/>
        </w:rPr>
        <w:t xml:space="preserve"> en cuenta que el área del baño en celda es diferente al área de alojamiento, </w:t>
      </w:r>
      <w:r>
        <w:rPr>
          <w:sz w:val="22"/>
        </w:rPr>
        <w:t>se encuentra</w:t>
      </w:r>
      <w:r w:rsidRPr="00AC68D8">
        <w:rPr>
          <w:sz w:val="22"/>
        </w:rPr>
        <w:t xml:space="preserve"> que el área efectiva de alojamiento </w:t>
      </w:r>
      <w:r>
        <w:rPr>
          <w:sz w:val="22"/>
        </w:rPr>
        <w:t>es</w:t>
      </w:r>
      <w:r w:rsidRPr="00AC68D8">
        <w:rPr>
          <w:sz w:val="22"/>
        </w:rPr>
        <w:t xml:space="preserve"> de 11,6 </w:t>
      </w:r>
      <w:r>
        <w:rPr>
          <w:sz w:val="22"/>
        </w:rPr>
        <w:t>m</w:t>
      </w:r>
      <w:r w:rsidRPr="00BB3A00">
        <w:rPr>
          <w:sz w:val="22"/>
          <w:vertAlign w:val="superscript"/>
        </w:rPr>
        <w:t>2</w:t>
      </w:r>
      <w:r w:rsidRPr="00AC68D8">
        <w:rPr>
          <w:sz w:val="22"/>
        </w:rPr>
        <w:t>, con una participación por i</w:t>
      </w:r>
      <w:r>
        <w:rPr>
          <w:sz w:val="22"/>
        </w:rPr>
        <w:t>nterno de 3.05 m</w:t>
      </w:r>
      <w:r w:rsidRPr="00BB3A00">
        <w:rPr>
          <w:sz w:val="22"/>
          <w:vertAlign w:val="superscript"/>
        </w:rPr>
        <w:t>2</w:t>
      </w:r>
      <w:r>
        <w:rPr>
          <w:sz w:val="22"/>
        </w:rPr>
        <w:t>,</w:t>
      </w:r>
      <w:r w:rsidRPr="00AC68D8">
        <w:rPr>
          <w:sz w:val="22"/>
        </w:rPr>
        <w:t xml:space="preserve"> lo que es inferior al espacio mínimo de reclusión fijado por la Corte Constitucional en la sentencia T-762 de 2015.</w:t>
      </w:r>
    </w:p>
    <w:p w:rsidR="00F23B3B" w:rsidRPr="00AC68D8" w:rsidRDefault="00F23B3B" w:rsidP="00F23B3B">
      <w:pPr>
        <w:spacing w:after="0"/>
        <w:jc w:val="both"/>
        <w:rPr>
          <w:sz w:val="22"/>
        </w:rPr>
      </w:pPr>
    </w:p>
    <w:p w:rsidR="00F23B3B" w:rsidRDefault="00F23B3B" w:rsidP="00F23B3B">
      <w:pPr>
        <w:jc w:val="both"/>
        <w:rPr>
          <w:sz w:val="22"/>
        </w:rPr>
      </w:pPr>
      <w:r>
        <w:rPr>
          <w:sz w:val="22"/>
        </w:rPr>
        <w:t>En</w:t>
      </w:r>
      <w:r w:rsidRPr="00AC68D8">
        <w:rPr>
          <w:sz w:val="22"/>
        </w:rPr>
        <w:t xml:space="preserve"> materia hidrosanitaria se encontró que cada celda tiene batería sanitaria para que los internos accedan durante el periodo de encierro, sin embargo la mayoría de estas no tienen agua o se encuentran en mal funcionamiento. Adicionalmente en el área común se tienen 4 baterías sanitarias para los 260 internos, lo que denota que hay un déficit de más del 50% de baterías requeridas de conformidad a la relación establecida por </w:t>
      </w:r>
      <w:proofErr w:type="gramStart"/>
      <w:r w:rsidRPr="00AC68D8">
        <w:rPr>
          <w:sz w:val="22"/>
        </w:rPr>
        <w:t>la</w:t>
      </w:r>
      <w:proofErr w:type="gramEnd"/>
      <w:r w:rsidRPr="00AC68D8">
        <w:rPr>
          <w:sz w:val="22"/>
        </w:rPr>
        <w:t xml:space="preserve"> H. Corte Constitucional en la sentencia T-762 de 2013. Situación que se agrava si se tiene en cuenta que no todas las baterías están en funcionamiento como se evidenci</w:t>
      </w:r>
      <w:r>
        <w:rPr>
          <w:sz w:val="22"/>
        </w:rPr>
        <w:t>ó</w:t>
      </w:r>
      <w:r w:rsidRPr="00AC68D8">
        <w:rPr>
          <w:sz w:val="22"/>
        </w:rPr>
        <w:t xml:space="preserve"> en el patio 1 de alta seguridad, donde en el área común solamente estaba en funcionamiento 1 inodoro.</w:t>
      </w:r>
    </w:p>
    <w:p w:rsidR="009A60B9" w:rsidRDefault="00F23B3B" w:rsidP="009A60B9">
      <w:pPr>
        <w:jc w:val="both"/>
        <w:rPr>
          <w:b/>
          <w:sz w:val="22"/>
        </w:rPr>
      </w:pPr>
      <w:r w:rsidRPr="001A0B2A">
        <w:rPr>
          <w:b/>
          <w:sz w:val="22"/>
        </w:rPr>
        <w:t xml:space="preserve">Los dos casos presentados permiten evidenciar como el hacinamiento tiene una incidencia directa en la participación del espacio de reclusión de las personas privadas de la libertad, así como que aún en ausencia del hacinamiento la capacidad de los establecimientos puede ser deficiente en materia hidrosanitaria y no acoger las condiciones de vida digna en reclusión al no alcanzar los espacios mínimos requeridos por la H. Corte Constitucional. </w:t>
      </w:r>
    </w:p>
    <w:p w:rsidR="00F23B3B" w:rsidRPr="00A61FB7" w:rsidRDefault="009A60B9" w:rsidP="009A60B9">
      <w:pPr>
        <w:jc w:val="both"/>
        <w:rPr>
          <w:b/>
          <w:sz w:val="22"/>
          <w:u w:val="single"/>
        </w:rPr>
      </w:pPr>
      <w:r w:rsidRPr="00A61FB7">
        <w:rPr>
          <w:b/>
          <w:sz w:val="22"/>
          <w:u w:val="single"/>
        </w:rPr>
        <w:t xml:space="preserve">II.3. </w:t>
      </w:r>
      <w:r w:rsidR="00F23B3B" w:rsidRPr="00A61FB7">
        <w:rPr>
          <w:b/>
          <w:sz w:val="22"/>
          <w:u w:val="single"/>
        </w:rPr>
        <w:t>Infraestructura</w:t>
      </w:r>
      <w:r w:rsidR="00A61FB7" w:rsidRPr="00A61FB7">
        <w:rPr>
          <w:b/>
          <w:sz w:val="22"/>
          <w:u w:val="single"/>
        </w:rPr>
        <w:t xml:space="preserve"> penitenciaria. Construcción y adecuación de cupos. </w:t>
      </w:r>
      <w:r w:rsidR="00F23B3B" w:rsidRPr="00A61FB7">
        <w:rPr>
          <w:b/>
          <w:sz w:val="22"/>
          <w:u w:val="single"/>
        </w:rPr>
        <w:t xml:space="preserve"> </w:t>
      </w:r>
    </w:p>
    <w:p w:rsidR="00F23B3B" w:rsidRDefault="00F23B3B" w:rsidP="00F23B3B">
      <w:pPr>
        <w:pStyle w:val="xmsonormal"/>
        <w:spacing w:before="0" w:beforeAutospacing="0" w:after="0" w:afterAutospacing="0" w:line="276" w:lineRule="auto"/>
        <w:jc w:val="both"/>
        <w:rPr>
          <w:rFonts w:ascii="Trebuchet MS" w:hAnsi="Trebuchet MS"/>
          <w:color w:val="000000"/>
          <w:sz w:val="22"/>
          <w:szCs w:val="22"/>
          <w:lang w:val="es-ES_tradnl"/>
        </w:rPr>
      </w:pPr>
      <w:r>
        <w:rPr>
          <w:rFonts w:ascii="Trebuchet MS" w:hAnsi="Trebuchet MS"/>
          <w:bCs/>
          <w:color w:val="000000"/>
          <w:sz w:val="22"/>
          <w:szCs w:val="22"/>
          <w:lang w:val="es-ES_tradnl"/>
        </w:rPr>
        <w:lastRenderedPageBreak/>
        <w:t>L</w:t>
      </w:r>
      <w:r w:rsidRPr="00AC68D8">
        <w:rPr>
          <w:rFonts w:ascii="Trebuchet MS" w:hAnsi="Trebuchet MS"/>
          <w:bCs/>
          <w:color w:val="000000"/>
          <w:sz w:val="22"/>
          <w:szCs w:val="22"/>
          <w:lang w:val="es-ES_tradnl"/>
        </w:rPr>
        <w:t xml:space="preserve">a Defensoría Delegada para la Política Criminal y Penitenciaria realizó durante el año 2015 el estudio </w:t>
      </w:r>
      <w:r w:rsidRPr="001A0B2A">
        <w:rPr>
          <w:rFonts w:ascii="Trebuchet MS" w:hAnsi="Trebuchet MS"/>
          <w:bCs/>
          <w:i/>
          <w:color w:val="000000"/>
          <w:sz w:val="22"/>
          <w:szCs w:val="22"/>
          <w:lang w:val="es-ES_tradnl"/>
        </w:rPr>
        <w:t>“Infraestructura Penitenciaria Y Carcelaria - Proyección De Construcciones Año 2015”,</w:t>
      </w:r>
      <w:r w:rsidRPr="00AC68D8">
        <w:rPr>
          <w:rFonts w:ascii="Trebuchet MS" w:hAnsi="Trebuchet MS"/>
          <w:bCs/>
          <w:color w:val="000000"/>
          <w:sz w:val="22"/>
          <w:szCs w:val="22"/>
          <w:lang w:val="es-ES_tradnl"/>
        </w:rPr>
        <w:t xml:space="preserve"> c</w:t>
      </w:r>
      <w:r w:rsidRPr="00AC68D8">
        <w:rPr>
          <w:rFonts w:ascii="Trebuchet MS" w:hAnsi="Trebuchet MS"/>
          <w:color w:val="000000"/>
          <w:sz w:val="22"/>
          <w:szCs w:val="22"/>
          <w:lang w:val="es-ES_tradnl"/>
        </w:rPr>
        <w:t>on el propósito de hacer seguimiento a las acciones adelantadas por el gobierno nacional con miras a superar la grave problemá</w:t>
      </w:r>
      <w:r>
        <w:rPr>
          <w:rFonts w:ascii="Trebuchet MS" w:hAnsi="Trebuchet MS"/>
          <w:color w:val="000000"/>
          <w:sz w:val="22"/>
          <w:szCs w:val="22"/>
          <w:lang w:val="es-ES_tradnl"/>
        </w:rPr>
        <w:t>tica de hacinamiento carcelario</w:t>
      </w:r>
      <w:r w:rsidRPr="00AC68D8">
        <w:rPr>
          <w:rFonts w:ascii="Trebuchet MS" w:hAnsi="Trebuchet MS"/>
          <w:color w:val="000000"/>
          <w:sz w:val="22"/>
          <w:szCs w:val="22"/>
          <w:lang w:val="es-ES_tradnl"/>
        </w:rPr>
        <w:t xml:space="preserve">. </w:t>
      </w:r>
    </w:p>
    <w:p w:rsidR="00F23B3B" w:rsidRDefault="00F23B3B" w:rsidP="00F23B3B">
      <w:pPr>
        <w:pStyle w:val="xmsonormal"/>
        <w:spacing w:before="0" w:beforeAutospacing="0" w:after="0" w:afterAutospacing="0" w:line="276" w:lineRule="auto"/>
        <w:jc w:val="both"/>
        <w:rPr>
          <w:rFonts w:ascii="Trebuchet MS" w:hAnsi="Trebuchet MS"/>
          <w:color w:val="000000"/>
          <w:sz w:val="22"/>
          <w:szCs w:val="22"/>
          <w:lang w:val="es-ES_tradnl"/>
        </w:rPr>
      </w:pPr>
    </w:p>
    <w:p w:rsidR="00F23B3B" w:rsidRPr="001A0B2A" w:rsidRDefault="00F23B3B" w:rsidP="00F23B3B">
      <w:pPr>
        <w:pStyle w:val="xmsonormal"/>
        <w:spacing w:before="0" w:beforeAutospacing="0" w:after="0" w:afterAutospacing="0" w:line="276" w:lineRule="auto"/>
        <w:jc w:val="both"/>
        <w:rPr>
          <w:rFonts w:ascii="Trebuchet MS" w:hAnsi="Trebuchet MS"/>
          <w:b/>
          <w:color w:val="000000"/>
          <w:sz w:val="22"/>
          <w:szCs w:val="22"/>
        </w:rPr>
      </w:pPr>
      <w:r w:rsidRPr="00AC68D8">
        <w:rPr>
          <w:rFonts w:ascii="Trebuchet MS" w:hAnsi="Trebuchet MS"/>
          <w:color w:val="000000"/>
          <w:sz w:val="22"/>
          <w:szCs w:val="22"/>
          <w:lang w:val="es-ES_tradnl"/>
        </w:rPr>
        <w:t xml:space="preserve">Con tal fin, se adelantaron visitas de inspección a 13 obras desarrolladas por la </w:t>
      </w:r>
      <w:proofErr w:type="spellStart"/>
      <w:r w:rsidRPr="00AC68D8">
        <w:rPr>
          <w:rFonts w:ascii="Trebuchet MS" w:hAnsi="Trebuchet MS"/>
          <w:color w:val="000000"/>
          <w:sz w:val="22"/>
          <w:szCs w:val="22"/>
          <w:lang w:val="es-ES_tradnl"/>
        </w:rPr>
        <w:t>Uspec</w:t>
      </w:r>
      <w:proofErr w:type="spellEnd"/>
      <w:r w:rsidRPr="00AC68D8">
        <w:rPr>
          <w:rFonts w:ascii="Trebuchet MS" w:hAnsi="Trebuchet MS"/>
          <w:color w:val="000000"/>
          <w:sz w:val="22"/>
          <w:szCs w:val="22"/>
          <w:lang w:val="es-ES_tradnl"/>
        </w:rPr>
        <w:t xml:space="preserve"> que hacen parte de las 22 que planeaban ejecutarse y que, conforme a la </w:t>
      </w:r>
      <w:proofErr w:type="spellStart"/>
      <w:r w:rsidRPr="00AC68D8">
        <w:rPr>
          <w:rFonts w:ascii="Trebuchet MS" w:hAnsi="Trebuchet MS"/>
          <w:color w:val="000000"/>
          <w:sz w:val="22"/>
          <w:szCs w:val="22"/>
          <w:lang w:val="es-ES_tradnl"/>
        </w:rPr>
        <w:t>Uspec</w:t>
      </w:r>
      <w:proofErr w:type="spellEnd"/>
      <w:r w:rsidRPr="00AC68D8">
        <w:rPr>
          <w:rFonts w:ascii="Trebuchet MS" w:hAnsi="Trebuchet MS"/>
          <w:color w:val="000000"/>
          <w:sz w:val="22"/>
          <w:szCs w:val="22"/>
          <w:lang w:val="es-ES_tradnl"/>
        </w:rPr>
        <w:t>, se traducirían en la construcción o habilitación de</w:t>
      </w:r>
      <w:r w:rsidRPr="00AC68D8">
        <w:rPr>
          <w:rStyle w:val="apple-converted-space"/>
          <w:rFonts w:ascii="Trebuchet MS" w:hAnsi="Trebuchet MS"/>
          <w:color w:val="000000"/>
          <w:sz w:val="22"/>
          <w:szCs w:val="22"/>
          <w:lang w:val="es-ES_tradnl"/>
        </w:rPr>
        <w:t> </w:t>
      </w:r>
      <w:r w:rsidRPr="001A0B2A">
        <w:rPr>
          <w:rFonts w:ascii="Trebuchet MS" w:hAnsi="Trebuchet MS"/>
          <w:b/>
          <w:bCs/>
          <w:color w:val="000000"/>
          <w:sz w:val="22"/>
          <w:szCs w:val="22"/>
          <w:lang w:val="es-ES_tradnl"/>
        </w:rPr>
        <w:t>8.032 cupos para el año 2015.</w:t>
      </w:r>
    </w:p>
    <w:p w:rsidR="00F23B3B" w:rsidRDefault="00F23B3B" w:rsidP="00F23B3B">
      <w:pPr>
        <w:pStyle w:val="xmsonormal"/>
        <w:spacing w:before="0" w:beforeAutospacing="0" w:after="0" w:afterAutospacing="0" w:line="276" w:lineRule="auto"/>
        <w:jc w:val="both"/>
        <w:rPr>
          <w:rFonts w:ascii="Trebuchet MS" w:hAnsi="Trebuchet MS"/>
          <w:color w:val="000000"/>
          <w:sz w:val="22"/>
          <w:szCs w:val="22"/>
        </w:rPr>
      </w:pPr>
    </w:p>
    <w:p w:rsidR="00F23B3B" w:rsidRPr="00AC68D8" w:rsidRDefault="00F23B3B" w:rsidP="00F23B3B">
      <w:pPr>
        <w:pStyle w:val="xmsonormal"/>
        <w:spacing w:before="0" w:beforeAutospacing="0" w:after="0" w:afterAutospacing="0" w:line="276" w:lineRule="auto"/>
        <w:jc w:val="both"/>
        <w:rPr>
          <w:rFonts w:ascii="Trebuchet MS" w:hAnsi="Trebuchet MS"/>
          <w:color w:val="000000"/>
          <w:sz w:val="22"/>
          <w:szCs w:val="22"/>
        </w:rPr>
      </w:pPr>
      <w:r w:rsidRPr="00AC68D8">
        <w:rPr>
          <w:rFonts w:ascii="Trebuchet MS" w:hAnsi="Trebuchet MS"/>
          <w:color w:val="000000"/>
          <w:sz w:val="22"/>
          <w:szCs w:val="22"/>
          <w:lang w:val="es-ES_tradnl"/>
        </w:rPr>
        <w:t>El siguiente cuadro muestra el total de establecimientos visitados, el total de cupos proyectados y el avance total en cada una de las obras de construcción o adecuación:</w:t>
      </w:r>
    </w:p>
    <w:p w:rsidR="00F23B3B" w:rsidRPr="00AC68D8" w:rsidRDefault="00F23B3B" w:rsidP="00F23B3B">
      <w:pPr>
        <w:pStyle w:val="xmsonormal"/>
        <w:spacing w:before="0" w:beforeAutospacing="0" w:after="0" w:afterAutospacing="0" w:line="276" w:lineRule="auto"/>
        <w:jc w:val="both"/>
        <w:rPr>
          <w:rFonts w:ascii="Trebuchet MS" w:hAnsi="Trebuchet MS"/>
          <w:color w:val="000000"/>
          <w:sz w:val="22"/>
          <w:szCs w:val="22"/>
        </w:rPr>
      </w:pPr>
    </w:p>
    <w:tbl>
      <w:tblPr>
        <w:tblW w:w="4751" w:type="pct"/>
        <w:tblInd w:w="10" w:type="dxa"/>
        <w:tblCellMar>
          <w:left w:w="0" w:type="dxa"/>
          <w:right w:w="0" w:type="dxa"/>
        </w:tblCellMar>
        <w:tblLook w:val="04A0" w:firstRow="1" w:lastRow="0" w:firstColumn="1" w:lastColumn="0" w:noHBand="0" w:noVBand="1"/>
      </w:tblPr>
      <w:tblGrid>
        <w:gridCol w:w="1639"/>
        <w:gridCol w:w="1576"/>
        <w:gridCol w:w="1670"/>
        <w:gridCol w:w="1460"/>
        <w:gridCol w:w="1314"/>
        <w:gridCol w:w="964"/>
      </w:tblGrid>
      <w:tr w:rsidR="00F23B3B" w:rsidRPr="000007CA" w:rsidTr="001C0A2A">
        <w:tc>
          <w:tcPr>
            <w:tcW w:w="972" w:type="pct"/>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center"/>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OBRA</w:t>
            </w:r>
          </w:p>
        </w:tc>
        <w:tc>
          <w:tcPr>
            <w:tcW w:w="902" w:type="pct"/>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center"/>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CUPOS PROYECTADOS</w:t>
            </w:r>
          </w:p>
        </w:tc>
        <w:tc>
          <w:tcPr>
            <w:tcW w:w="96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center"/>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CUPOS  EN CONSTRUCCION / HABILITACIÓN</w:t>
            </w:r>
          </w:p>
        </w:tc>
        <w:tc>
          <w:tcPr>
            <w:tcW w:w="85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center"/>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FECHA PROYECTADA DE ENTREGA</w:t>
            </w:r>
          </w:p>
        </w:tc>
        <w:tc>
          <w:tcPr>
            <w:tcW w:w="75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center"/>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FECHA INSPECCION DE OBRA</w:t>
            </w:r>
          </w:p>
        </w:tc>
        <w:tc>
          <w:tcPr>
            <w:tcW w:w="55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center"/>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AVANCE DE OBRA</w:t>
            </w:r>
          </w:p>
        </w:tc>
      </w:tr>
      <w:tr w:rsidR="00F23B3B" w:rsidRPr="000007CA" w:rsidTr="001C0A2A">
        <w:tc>
          <w:tcPr>
            <w:tcW w:w="972" w:type="pct"/>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EPAMS GIRÓN</w:t>
            </w:r>
          </w:p>
        </w:tc>
        <w:tc>
          <w:tcPr>
            <w:tcW w:w="902"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266</w:t>
            </w:r>
          </w:p>
        </w:tc>
        <w:tc>
          <w:tcPr>
            <w:tcW w:w="964"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w:t>
            </w:r>
          </w:p>
        </w:tc>
        <w:tc>
          <w:tcPr>
            <w:tcW w:w="855"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13-08-15</w:t>
            </w:r>
          </w:p>
        </w:tc>
        <w:tc>
          <w:tcPr>
            <w:tcW w:w="751"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14-08-15</w:t>
            </w:r>
          </w:p>
        </w:tc>
        <w:tc>
          <w:tcPr>
            <w:tcW w:w="556"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0%</w:t>
            </w:r>
          </w:p>
        </w:tc>
      </w:tr>
      <w:tr w:rsidR="00F23B3B" w:rsidRPr="000007CA" w:rsidTr="001C0A2A">
        <w:tc>
          <w:tcPr>
            <w:tcW w:w="972" w:type="pct"/>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EPMSC GIRARDOT</w:t>
            </w:r>
          </w:p>
        </w:tc>
        <w:tc>
          <w:tcPr>
            <w:tcW w:w="902"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278</w:t>
            </w:r>
          </w:p>
        </w:tc>
        <w:tc>
          <w:tcPr>
            <w:tcW w:w="964"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234</w:t>
            </w:r>
          </w:p>
        </w:tc>
        <w:tc>
          <w:tcPr>
            <w:tcW w:w="855"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05-08-15</w:t>
            </w:r>
          </w:p>
        </w:tc>
        <w:tc>
          <w:tcPr>
            <w:tcW w:w="751"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26-08-15</w:t>
            </w:r>
          </w:p>
        </w:tc>
        <w:tc>
          <w:tcPr>
            <w:tcW w:w="556"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40%</w:t>
            </w:r>
          </w:p>
        </w:tc>
      </w:tr>
      <w:tr w:rsidR="00F23B3B" w:rsidRPr="000007CA" w:rsidTr="001C0A2A">
        <w:tc>
          <w:tcPr>
            <w:tcW w:w="972" w:type="pct"/>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EPMSC CARTAGENA</w:t>
            </w:r>
          </w:p>
        </w:tc>
        <w:tc>
          <w:tcPr>
            <w:tcW w:w="902"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216</w:t>
            </w:r>
          </w:p>
        </w:tc>
        <w:tc>
          <w:tcPr>
            <w:tcW w:w="964"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216</w:t>
            </w:r>
          </w:p>
        </w:tc>
        <w:tc>
          <w:tcPr>
            <w:tcW w:w="855"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13-08-15</w:t>
            </w:r>
          </w:p>
        </w:tc>
        <w:tc>
          <w:tcPr>
            <w:tcW w:w="751"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7-09-15</w:t>
            </w:r>
          </w:p>
        </w:tc>
        <w:tc>
          <w:tcPr>
            <w:tcW w:w="556"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50%</w:t>
            </w:r>
          </w:p>
        </w:tc>
      </w:tr>
      <w:tr w:rsidR="00F23B3B" w:rsidRPr="000007CA" w:rsidTr="001C0A2A">
        <w:tc>
          <w:tcPr>
            <w:tcW w:w="972" w:type="pct"/>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EPMSC ERE JP BUCARAMANGA</w:t>
            </w:r>
          </w:p>
        </w:tc>
        <w:tc>
          <w:tcPr>
            <w:tcW w:w="902"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254</w:t>
            </w:r>
          </w:p>
        </w:tc>
        <w:tc>
          <w:tcPr>
            <w:tcW w:w="964"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200</w:t>
            </w:r>
          </w:p>
        </w:tc>
        <w:tc>
          <w:tcPr>
            <w:tcW w:w="855"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06-2015</w:t>
            </w:r>
          </w:p>
        </w:tc>
        <w:tc>
          <w:tcPr>
            <w:tcW w:w="751"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13-08-15</w:t>
            </w:r>
          </w:p>
        </w:tc>
        <w:tc>
          <w:tcPr>
            <w:tcW w:w="556"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60%</w:t>
            </w:r>
          </w:p>
        </w:tc>
      </w:tr>
      <w:tr w:rsidR="00F23B3B" w:rsidRPr="000007CA" w:rsidTr="001C0A2A">
        <w:tc>
          <w:tcPr>
            <w:tcW w:w="972" w:type="pct"/>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EC BOGOTÁ</w:t>
            </w:r>
          </w:p>
        </w:tc>
        <w:tc>
          <w:tcPr>
            <w:tcW w:w="902"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168</w:t>
            </w:r>
          </w:p>
        </w:tc>
        <w:tc>
          <w:tcPr>
            <w:tcW w:w="964"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368</w:t>
            </w:r>
          </w:p>
        </w:tc>
        <w:tc>
          <w:tcPr>
            <w:tcW w:w="855"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08-2015</w:t>
            </w:r>
          </w:p>
        </w:tc>
        <w:tc>
          <w:tcPr>
            <w:tcW w:w="751"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15-07-15</w:t>
            </w:r>
          </w:p>
        </w:tc>
        <w:tc>
          <w:tcPr>
            <w:tcW w:w="556"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60 %</w:t>
            </w:r>
          </w:p>
        </w:tc>
      </w:tr>
      <w:tr w:rsidR="00F23B3B" w:rsidRPr="000007CA" w:rsidTr="001C0A2A">
        <w:tc>
          <w:tcPr>
            <w:tcW w:w="972" w:type="pct"/>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EPMSC JP ESPINAL</w:t>
            </w:r>
          </w:p>
        </w:tc>
        <w:tc>
          <w:tcPr>
            <w:tcW w:w="902"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98</w:t>
            </w:r>
          </w:p>
        </w:tc>
        <w:tc>
          <w:tcPr>
            <w:tcW w:w="964"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60</w:t>
            </w:r>
          </w:p>
        </w:tc>
        <w:tc>
          <w:tcPr>
            <w:tcW w:w="855"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08-2015</w:t>
            </w:r>
          </w:p>
        </w:tc>
        <w:tc>
          <w:tcPr>
            <w:tcW w:w="751"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17-06-15 / 27-08-15</w:t>
            </w:r>
          </w:p>
        </w:tc>
        <w:tc>
          <w:tcPr>
            <w:tcW w:w="556"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70%</w:t>
            </w:r>
          </w:p>
        </w:tc>
      </w:tr>
      <w:tr w:rsidR="00F23B3B" w:rsidRPr="000007CA" w:rsidTr="001C0A2A">
        <w:tc>
          <w:tcPr>
            <w:tcW w:w="972" w:type="pct"/>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EPMSC JP ESPINAL</w:t>
            </w:r>
          </w:p>
        </w:tc>
        <w:tc>
          <w:tcPr>
            <w:tcW w:w="902"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768</w:t>
            </w:r>
          </w:p>
        </w:tc>
        <w:tc>
          <w:tcPr>
            <w:tcW w:w="964"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768</w:t>
            </w:r>
          </w:p>
        </w:tc>
        <w:tc>
          <w:tcPr>
            <w:tcW w:w="855"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15-04-15</w:t>
            </w:r>
          </w:p>
        </w:tc>
        <w:tc>
          <w:tcPr>
            <w:tcW w:w="751"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17-06-15 / 27-08-15</w:t>
            </w:r>
          </w:p>
        </w:tc>
        <w:tc>
          <w:tcPr>
            <w:tcW w:w="556"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100%</w:t>
            </w:r>
          </w:p>
        </w:tc>
      </w:tr>
      <w:tr w:rsidR="00F23B3B" w:rsidRPr="000007CA" w:rsidTr="001C0A2A">
        <w:tc>
          <w:tcPr>
            <w:tcW w:w="972" w:type="pct"/>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EPAMSCAS COMBITA</w:t>
            </w:r>
          </w:p>
        </w:tc>
        <w:tc>
          <w:tcPr>
            <w:tcW w:w="902"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410</w:t>
            </w:r>
          </w:p>
        </w:tc>
        <w:tc>
          <w:tcPr>
            <w:tcW w:w="964"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156</w:t>
            </w:r>
          </w:p>
        </w:tc>
        <w:tc>
          <w:tcPr>
            <w:tcW w:w="855"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15-07-15</w:t>
            </w:r>
          </w:p>
        </w:tc>
        <w:tc>
          <w:tcPr>
            <w:tcW w:w="751"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31-07-15</w:t>
            </w:r>
          </w:p>
        </w:tc>
        <w:tc>
          <w:tcPr>
            <w:tcW w:w="556"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35%</w:t>
            </w:r>
          </w:p>
        </w:tc>
      </w:tr>
      <w:tr w:rsidR="00F23B3B" w:rsidRPr="000007CA" w:rsidTr="001C0A2A">
        <w:tc>
          <w:tcPr>
            <w:tcW w:w="972" w:type="pct"/>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COIBA</w:t>
            </w:r>
          </w:p>
        </w:tc>
        <w:tc>
          <w:tcPr>
            <w:tcW w:w="902"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234</w:t>
            </w:r>
          </w:p>
        </w:tc>
        <w:tc>
          <w:tcPr>
            <w:tcW w:w="964"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64</w:t>
            </w:r>
          </w:p>
        </w:tc>
        <w:tc>
          <w:tcPr>
            <w:tcW w:w="855"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08-2015</w:t>
            </w:r>
          </w:p>
        </w:tc>
        <w:tc>
          <w:tcPr>
            <w:tcW w:w="751"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28-08-15</w:t>
            </w:r>
          </w:p>
        </w:tc>
        <w:tc>
          <w:tcPr>
            <w:tcW w:w="556"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27%</w:t>
            </w:r>
          </w:p>
        </w:tc>
      </w:tr>
      <w:tr w:rsidR="00F23B3B" w:rsidRPr="000007CA" w:rsidTr="001C0A2A">
        <w:tc>
          <w:tcPr>
            <w:tcW w:w="972" w:type="pct"/>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EPC TIERRAALTA</w:t>
            </w:r>
          </w:p>
        </w:tc>
        <w:tc>
          <w:tcPr>
            <w:tcW w:w="902"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608</w:t>
            </w:r>
          </w:p>
        </w:tc>
        <w:tc>
          <w:tcPr>
            <w:tcW w:w="964"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w:t>
            </w:r>
          </w:p>
        </w:tc>
        <w:tc>
          <w:tcPr>
            <w:tcW w:w="855"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25-09-14</w:t>
            </w:r>
          </w:p>
        </w:tc>
        <w:tc>
          <w:tcPr>
            <w:tcW w:w="751"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14-09-15</w:t>
            </w:r>
          </w:p>
        </w:tc>
        <w:tc>
          <w:tcPr>
            <w:tcW w:w="556"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0%</w:t>
            </w:r>
          </w:p>
        </w:tc>
      </w:tr>
      <w:tr w:rsidR="00F23B3B" w:rsidRPr="000007CA" w:rsidTr="001C0A2A">
        <w:tc>
          <w:tcPr>
            <w:tcW w:w="972" w:type="pct"/>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EPC TIERRAALTA</w:t>
            </w:r>
          </w:p>
        </w:tc>
        <w:tc>
          <w:tcPr>
            <w:tcW w:w="902"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672</w:t>
            </w:r>
          </w:p>
        </w:tc>
        <w:tc>
          <w:tcPr>
            <w:tcW w:w="964"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672</w:t>
            </w:r>
          </w:p>
        </w:tc>
        <w:tc>
          <w:tcPr>
            <w:tcW w:w="855"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31-09-14</w:t>
            </w:r>
          </w:p>
        </w:tc>
        <w:tc>
          <w:tcPr>
            <w:tcW w:w="751"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14-09-15</w:t>
            </w:r>
          </w:p>
        </w:tc>
        <w:tc>
          <w:tcPr>
            <w:tcW w:w="556"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100%</w:t>
            </w:r>
          </w:p>
        </w:tc>
      </w:tr>
      <w:tr w:rsidR="00F23B3B" w:rsidRPr="000007CA" w:rsidTr="001C0A2A">
        <w:tc>
          <w:tcPr>
            <w:tcW w:w="972" w:type="pct"/>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COMPLEJO CUCUTA</w:t>
            </w:r>
          </w:p>
        </w:tc>
        <w:tc>
          <w:tcPr>
            <w:tcW w:w="902"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134</w:t>
            </w:r>
          </w:p>
        </w:tc>
        <w:tc>
          <w:tcPr>
            <w:tcW w:w="964"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104</w:t>
            </w:r>
          </w:p>
        </w:tc>
        <w:tc>
          <w:tcPr>
            <w:tcW w:w="855"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13-09-15</w:t>
            </w:r>
          </w:p>
        </w:tc>
        <w:tc>
          <w:tcPr>
            <w:tcW w:w="751"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21-09-15</w:t>
            </w:r>
          </w:p>
        </w:tc>
        <w:tc>
          <w:tcPr>
            <w:tcW w:w="556"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30%</w:t>
            </w:r>
          </w:p>
        </w:tc>
      </w:tr>
      <w:tr w:rsidR="00F23B3B" w:rsidRPr="000007CA" w:rsidTr="001C0A2A">
        <w:tc>
          <w:tcPr>
            <w:tcW w:w="972" w:type="pct"/>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center"/>
              <w:rPr>
                <w:rFonts w:ascii="Trebuchet MS" w:hAnsi="Trebuchet MS" w:cstheme="minorHAnsi"/>
                <w:color w:val="000000"/>
                <w:sz w:val="20"/>
                <w:szCs w:val="20"/>
              </w:rPr>
            </w:pPr>
            <w:r w:rsidRPr="0014575E">
              <w:rPr>
                <w:rFonts w:ascii="Trebuchet MS" w:hAnsi="Trebuchet MS" w:cstheme="minorHAnsi"/>
                <w:b/>
                <w:bCs/>
                <w:color w:val="000000"/>
                <w:sz w:val="20"/>
                <w:szCs w:val="20"/>
                <w:u w:val="single"/>
                <w:lang w:val="es-ES_tradnl"/>
              </w:rPr>
              <w:t>TOTAL</w:t>
            </w:r>
          </w:p>
        </w:tc>
        <w:tc>
          <w:tcPr>
            <w:tcW w:w="902"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b/>
                <w:bCs/>
                <w:color w:val="000000"/>
                <w:sz w:val="20"/>
                <w:szCs w:val="20"/>
                <w:u w:val="single"/>
                <w:lang w:val="es-ES_tradnl"/>
              </w:rPr>
              <w:t>4.106</w:t>
            </w:r>
          </w:p>
        </w:tc>
        <w:tc>
          <w:tcPr>
            <w:tcW w:w="964"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b/>
                <w:bCs/>
                <w:color w:val="000000"/>
                <w:sz w:val="20"/>
                <w:szCs w:val="20"/>
                <w:u w:val="single"/>
                <w:lang w:val="es-ES_tradnl"/>
              </w:rPr>
              <w:t>2.842</w:t>
            </w:r>
          </w:p>
        </w:tc>
        <w:tc>
          <w:tcPr>
            <w:tcW w:w="855"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 </w:t>
            </w:r>
          </w:p>
        </w:tc>
        <w:tc>
          <w:tcPr>
            <w:tcW w:w="751"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color w:val="000000"/>
                <w:sz w:val="20"/>
                <w:szCs w:val="20"/>
                <w:lang w:val="es-ES_tradnl"/>
              </w:rPr>
              <w:t> </w:t>
            </w:r>
          </w:p>
        </w:tc>
        <w:tc>
          <w:tcPr>
            <w:tcW w:w="556" w:type="pct"/>
            <w:tcBorders>
              <w:top w:val="nil"/>
              <w:left w:val="nil"/>
              <w:bottom w:val="single" w:sz="8" w:space="0" w:color="auto"/>
              <w:right w:val="single" w:sz="8" w:space="0" w:color="auto"/>
            </w:tcBorders>
            <w:tcMar>
              <w:top w:w="0" w:type="dxa"/>
              <w:left w:w="108" w:type="dxa"/>
              <w:bottom w:w="0" w:type="dxa"/>
              <w:right w:w="108" w:type="dxa"/>
            </w:tcMar>
            <w:hideMark/>
          </w:tcPr>
          <w:p w:rsidR="00F23B3B" w:rsidRPr="0014575E" w:rsidRDefault="00F23B3B" w:rsidP="001C0A2A">
            <w:pPr>
              <w:pStyle w:val="xmsonormal"/>
              <w:spacing w:before="0" w:beforeAutospacing="0" w:after="0" w:afterAutospacing="0"/>
              <w:jc w:val="right"/>
              <w:rPr>
                <w:rFonts w:ascii="Trebuchet MS" w:hAnsi="Trebuchet MS" w:cstheme="minorHAnsi"/>
                <w:color w:val="000000"/>
                <w:sz w:val="20"/>
                <w:szCs w:val="20"/>
              </w:rPr>
            </w:pPr>
            <w:r w:rsidRPr="0014575E">
              <w:rPr>
                <w:rFonts w:ascii="Trebuchet MS" w:hAnsi="Trebuchet MS" w:cstheme="minorHAnsi"/>
                <w:b/>
                <w:bCs/>
                <w:color w:val="000000"/>
                <w:sz w:val="20"/>
                <w:szCs w:val="20"/>
                <w:lang w:val="es-ES_tradnl"/>
              </w:rPr>
              <w:t>47.6%</w:t>
            </w:r>
          </w:p>
        </w:tc>
      </w:tr>
    </w:tbl>
    <w:p w:rsidR="00F23B3B" w:rsidRPr="00AC68D8" w:rsidRDefault="00F23B3B" w:rsidP="00F23B3B">
      <w:pPr>
        <w:pStyle w:val="xmsonormal"/>
        <w:spacing w:before="0" w:beforeAutospacing="0" w:after="0" w:afterAutospacing="0" w:line="360" w:lineRule="auto"/>
        <w:jc w:val="both"/>
        <w:rPr>
          <w:rFonts w:ascii="Trebuchet MS" w:hAnsi="Trebuchet MS"/>
          <w:color w:val="000000"/>
          <w:sz w:val="22"/>
          <w:szCs w:val="22"/>
        </w:rPr>
      </w:pPr>
      <w:r w:rsidRPr="00AC68D8">
        <w:rPr>
          <w:rFonts w:ascii="Trebuchet MS" w:hAnsi="Trebuchet MS"/>
          <w:color w:val="000000"/>
          <w:sz w:val="22"/>
          <w:szCs w:val="22"/>
          <w:lang w:val="es-ES_tradnl"/>
        </w:rPr>
        <w:t> </w:t>
      </w:r>
    </w:p>
    <w:p w:rsidR="00F23B3B" w:rsidRDefault="00F23B3B" w:rsidP="00F23B3B">
      <w:pPr>
        <w:pStyle w:val="xmsonormal"/>
        <w:spacing w:before="0" w:beforeAutospacing="0" w:after="0" w:afterAutospacing="0" w:line="276" w:lineRule="auto"/>
        <w:jc w:val="both"/>
        <w:rPr>
          <w:rFonts w:ascii="Trebuchet MS" w:hAnsi="Trebuchet MS"/>
          <w:bCs/>
          <w:color w:val="000000"/>
          <w:sz w:val="22"/>
          <w:szCs w:val="22"/>
          <w:lang w:val="es-ES_tradnl"/>
        </w:rPr>
      </w:pPr>
      <w:r w:rsidRPr="00AC68D8">
        <w:rPr>
          <w:rFonts w:ascii="Trebuchet MS" w:hAnsi="Trebuchet MS"/>
          <w:bCs/>
          <w:color w:val="000000"/>
          <w:sz w:val="22"/>
          <w:szCs w:val="22"/>
          <w:lang w:val="es-ES_tradnl"/>
        </w:rPr>
        <w:t>De las visitas adelantadas la Defensoría Delegada para la Política Criminal y Penitenciaria estableció los siguientes hallazgos comunes:</w:t>
      </w:r>
    </w:p>
    <w:p w:rsidR="00F23B3B" w:rsidRDefault="00F23B3B" w:rsidP="00F23B3B">
      <w:pPr>
        <w:pStyle w:val="xmsonormal"/>
        <w:spacing w:before="0" w:beforeAutospacing="0" w:after="0" w:afterAutospacing="0" w:line="276" w:lineRule="auto"/>
        <w:jc w:val="both"/>
        <w:rPr>
          <w:rFonts w:ascii="Trebuchet MS" w:hAnsi="Trebuchet MS"/>
          <w:bCs/>
          <w:color w:val="000000"/>
          <w:sz w:val="22"/>
          <w:szCs w:val="22"/>
          <w:lang w:val="es-ES_tradnl"/>
        </w:rPr>
      </w:pPr>
    </w:p>
    <w:p w:rsidR="00F23B3B" w:rsidRDefault="00F23B3B" w:rsidP="00F23B3B">
      <w:pPr>
        <w:pStyle w:val="xmsolistparagraph"/>
        <w:numPr>
          <w:ilvl w:val="0"/>
          <w:numId w:val="32"/>
        </w:numPr>
        <w:spacing w:before="0" w:beforeAutospacing="0" w:after="0" w:afterAutospacing="0" w:line="276" w:lineRule="auto"/>
        <w:ind w:left="426"/>
        <w:jc w:val="both"/>
        <w:rPr>
          <w:rFonts w:ascii="Trebuchet MS" w:hAnsi="Trebuchet MS"/>
          <w:color w:val="000000"/>
          <w:sz w:val="22"/>
          <w:szCs w:val="22"/>
          <w:lang w:val="es-ES_tradnl"/>
        </w:rPr>
      </w:pPr>
      <w:r>
        <w:rPr>
          <w:rFonts w:ascii="Trebuchet MS" w:hAnsi="Trebuchet MS"/>
          <w:color w:val="000000"/>
          <w:sz w:val="22"/>
          <w:szCs w:val="22"/>
          <w:lang w:val="es-ES_tradnl"/>
        </w:rPr>
        <w:t>E</w:t>
      </w:r>
      <w:r w:rsidRPr="005A50DA">
        <w:rPr>
          <w:rFonts w:ascii="Trebuchet MS" w:hAnsi="Trebuchet MS"/>
          <w:color w:val="000000"/>
          <w:sz w:val="22"/>
          <w:szCs w:val="22"/>
          <w:lang w:val="es-ES_tradnl"/>
        </w:rPr>
        <w:t>n las obra</w:t>
      </w:r>
      <w:r>
        <w:rPr>
          <w:rFonts w:ascii="Trebuchet MS" w:hAnsi="Trebuchet MS"/>
          <w:color w:val="000000"/>
          <w:sz w:val="22"/>
          <w:szCs w:val="22"/>
          <w:lang w:val="es-ES_tradnl"/>
        </w:rPr>
        <w:t>s inspeccionadas sólo se entregaron</w:t>
      </w:r>
      <w:r w:rsidRPr="005A50DA">
        <w:rPr>
          <w:rFonts w:ascii="Trebuchet MS" w:hAnsi="Trebuchet MS"/>
          <w:color w:val="000000"/>
          <w:sz w:val="22"/>
          <w:szCs w:val="22"/>
          <w:lang w:val="es-ES_tradnl"/>
        </w:rPr>
        <w:t xml:space="preserve"> 736 cupos </w:t>
      </w:r>
      <w:r>
        <w:rPr>
          <w:rFonts w:ascii="Trebuchet MS" w:hAnsi="Trebuchet MS"/>
          <w:color w:val="000000"/>
          <w:sz w:val="22"/>
          <w:szCs w:val="22"/>
          <w:lang w:val="es-ES_tradnl"/>
        </w:rPr>
        <w:t>(</w:t>
      </w:r>
      <w:r w:rsidRPr="005A50DA">
        <w:rPr>
          <w:rFonts w:ascii="Trebuchet MS" w:hAnsi="Trebuchet MS"/>
          <w:color w:val="000000"/>
          <w:sz w:val="22"/>
          <w:szCs w:val="22"/>
          <w:lang w:val="es-ES_tradnl"/>
        </w:rPr>
        <w:t>18.3% de los cupos proyectados</w:t>
      </w:r>
      <w:r>
        <w:rPr>
          <w:rFonts w:ascii="Trebuchet MS" w:hAnsi="Trebuchet MS"/>
          <w:color w:val="000000"/>
          <w:sz w:val="22"/>
          <w:szCs w:val="22"/>
          <w:lang w:val="es-ES_tradnl"/>
        </w:rPr>
        <w:t>)</w:t>
      </w:r>
      <w:r w:rsidRPr="005A50DA">
        <w:rPr>
          <w:rFonts w:ascii="Trebuchet MS" w:hAnsi="Trebuchet MS"/>
          <w:color w:val="000000"/>
          <w:sz w:val="22"/>
          <w:szCs w:val="22"/>
          <w:lang w:val="es-ES_tradnl"/>
        </w:rPr>
        <w:t xml:space="preserve">; </w:t>
      </w:r>
      <w:r>
        <w:rPr>
          <w:rFonts w:ascii="Trebuchet MS" w:hAnsi="Trebuchet MS"/>
          <w:color w:val="000000"/>
          <w:sz w:val="22"/>
          <w:szCs w:val="22"/>
          <w:lang w:val="es-ES_tradnl"/>
        </w:rPr>
        <w:t>de forma que</w:t>
      </w:r>
      <w:r w:rsidRPr="005A50DA">
        <w:rPr>
          <w:rFonts w:ascii="Trebuchet MS" w:hAnsi="Trebuchet MS"/>
          <w:color w:val="000000"/>
          <w:sz w:val="22"/>
          <w:szCs w:val="22"/>
          <w:lang w:val="es-ES_tradnl"/>
        </w:rPr>
        <w:t xml:space="preserve"> se están dejando  de entregar </w:t>
      </w:r>
      <w:r w:rsidRPr="005A50DA">
        <w:rPr>
          <w:rFonts w:ascii="Trebuchet MS" w:hAnsi="Trebuchet MS"/>
          <w:b/>
          <w:color w:val="000000"/>
          <w:sz w:val="22"/>
          <w:szCs w:val="22"/>
          <w:lang w:val="es-ES_tradnl"/>
        </w:rPr>
        <w:t>3.280 cupos</w:t>
      </w:r>
      <w:r>
        <w:rPr>
          <w:rFonts w:ascii="Trebuchet MS" w:hAnsi="Trebuchet MS"/>
          <w:color w:val="000000"/>
          <w:sz w:val="22"/>
          <w:szCs w:val="22"/>
          <w:lang w:val="es-ES_tradnl"/>
        </w:rPr>
        <w:t>.</w:t>
      </w:r>
      <w:r w:rsidRPr="005A50DA">
        <w:rPr>
          <w:rFonts w:ascii="Trebuchet MS" w:hAnsi="Trebuchet MS"/>
          <w:color w:val="000000"/>
          <w:sz w:val="22"/>
          <w:szCs w:val="22"/>
          <w:lang w:val="es-ES_tradnl"/>
        </w:rPr>
        <w:t xml:space="preserve"> </w:t>
      </w:r>
    </w:p>
    <w:p w:rsidR="00F23B3B" w:rsidRDefault="00F23B3B" w:rsidP="00F23B3B">
      <w:pPr>
        <w:pStyle w:val="xmsolistparagraph"/>
        <w:spacing w:before="0" w:beforeAutospacing="0" w:after="0" w:afterAutospacing="0" w:line="276" w:lineRule="auto"/>
        <w:ind w:left="426"/>
        <w:jc w:val="both"/>
        <w:rPr>
          <w:rFonts w:ascii="Trebuchet MS" w:hAnsi="Trebuchet MS"/>
          <w:color w:val="000000"/>
          <w:sz w:val="22"/>
          <w:szCs w:val="22"/>
          <w:lang w:val="es-ES_tradnl"/>
        </w:rPr>
      </w:pPr>
    </w:p>
    <w:p w:rsidR="00F23B3B" w:rsidRDefault="00F23B3B" w:rsidP="00F23B3B">
      <w:pPr>
        <w:pStyle w:val="xmsolistparagraph"/>
        <w:numPr>
          <w:ilvl w:val="0"/>
          <w:numId w:val="32"/>
        </w:numPr>
        <w:spacing w:before="0" w:beforeAutospacing="0" w:after="0" w:afterAutospacing="0" w:line="276" w:lineRule="auto"/>
        <w:ind w:left="426"/>
        <w:jc w:val="both"/>
        <w:rPr>
          <w:rFonts w:ascii="Trebuchet MS" w:hAnsi="Trebuchet MS"/>
          <w:color w:val="000000"/>
          <w:sz w:val="22"/>
          <w:szCs w:val="22"/>
          <w:lang w:val="es-ES_tradnl"/>
        </w:rPr>
      </w:pPr>
      <w:r>
        <w:rPr>
          <w:rFonts w:ascii="Trebuchet MS" w:hAnsi="Trebuchet MS"/>
          <w:color w:val="000000"/>
          <w:sz w:val="22"/>
          <w:szCs w:val="22"/>
          <w:lang w:val="es-ES_tradnl"/>
        </w:rPr>
        <w:lastRenderedPageBreak/>
        <w:t>D</w:t>
      </w:r>
      <w:r w:rsidRPr="005A50DA">
        <w:rPr>
          <w:rFonts w:ascii="Trebuchet MS" w:hAnsi="Trebuchet MS"/>
          <w:color w:val="000000"/>
          <w:sz w:val="22"/>
          <w:szCs w:val="22"/>
          <w:lang w:val="es-ES_tradnl"/>
        </w:rPr>
        <w:t>el total de cupos pro</w:t>
      </w:r>
      <w:r>
        <w:rPr>
          <w:rFonts w:ascii="Trebuchet MS" w:hAnsi="Trebuchet MS"/>
          <w:color w:val="000000"/>
          <w:sz w:val="22"/>
          <w:szCs w:val="22"/>
          <w:lang w:val="es-ES_tradnl"/>
        </w:rPr>
        <w:t>yectados en la obras visitadas (</w:t>
      </w:r>
      <w:r w:rsidRPr="005A50DA">
        <w:rPr>
          <w:rFonts w:ascii="Trebuchet MS" w:hAnsi="Trebuchet MS"/>
          <w:color w:val="000000"/>
          <w:sz w:val="22"/>
          <w:szCs w:val="22"/>
          <w:lang w:val="es-ES_tradnl"/>
        </w:rPr>
        <w:t>4.016</w:t>
      </w:r>
      <w:r>
        <w:rPr>
          <w:rFonts w:ascii="Trebuchet MS" w:hAnsi="Trebuchet MS"/>
          <w:color w:val="000000"/>
          <w:sz w:val="22"/>
          <w:szCs w:val="22"/>
          <w:lang w:val="es-ES_tradnl"/>
        </w:rPr>
        <w:t>)</w:t>
      </w:r>
      <w:r w:rsidRPr="005A50DA">
        <w:rPr>
          <w:rFonts w:ascii="Trebuchet MS" w:hAnsi="Trebuchet MS"/>
          <w:color w:val="000000"/>
          <w:sz w:val="22"/>
          <w:szCs w:val="22"/>
          <w:lang w:val="es-ES_tradnl"/>
        </w:rPr>
        <w:t>, sólo se ejecutaron o están en ejecución 2.842 cupos, lo que significa que el 30% de los cupos proyectados se encuentran sin ninguna ejecución. </w:t>
      </w:r>
      <w:r w:rsidRPr="005A50DA">
        <w:rPr>
          <w:rFonts w:ascii="Trebuchet MS" w:hAnsi="Trebuchet MS"/>
          <w:color w:val="000000"/>
          <w:sz w:val="22"/>
          <w:szCs w:val="22"/>
        </w:rPr>
        <w:t xml:space="preserve"> </w:t>
      </w:r>
    </w:p>
    <w:p w:rsidR="00F23B3B" w:rsidRPr="005A50DA" w:rsidRDefault="00F23B3B" w:rsidP="00F23B3B">
      <w:pPr>
        <w:pStyle w:val="xmsolistparagraph"/>
        <w:spacing w:before="0" w:beforeAutospacing="0" w:after="0" w:afterAutospacing="0" w:line="276" w:lineRule="auto"/>
        <w:jc w:val="both"/>
        <w:rPr>
          <w:rFonts w:ascii="Trebuchet MS" w:hAnsi="Trebuchet MS"/>
          <w:color w:val="000000"/>
          <w:sz w:val="22"/>
          <w:szCs w:val="22"/>
          <w:lang w:val="es-ES_tradnl"/>
        </w:rPr>
      </w:pPr>
    </w:p>
    <w:p w:rsidR="00F23B3B" w:rsidRPr="005A50DA" w:rsidRDefault="00F23B3B" w:rsidP="00F23B3B">
      <w:pPr>
        <w:pStyle w:val="xmsolistparagraph"/>
        <w:numPr>
          <w:ilvl w:val="0"/>
          <w:numId w:val="32"/>
        </w:numPr>
        <w:spacing w:before="0" w:beforeAutospacing="0" w:after="0" w:afterAutospacing="0" w:line="276" w:lineRule="auto"/>
        <w:ind w:left="426"/>
        <w:jc w:val="both"/>
        <w:rPr>
          <w:rFonts w:ascii="Trebuchet MS" w:hAnsi="Trebuchet MS"/>
          <w:bCs/>
          <w:color w:val="000000"/>
          <w:sz w:val="22"/>
          <w:szCs w:val="22"/>
          <w:lang w:val="es-ES_tradnl"/>
        </w:rPr>
      </w:pPr>
      <w:r>
        <w:rPr>
          <w:rFonts w:ascii="Trebuchet MS" w:hAnsi="Trebuchet MS"/>
          <w:color w:val="000000"/>
          <w:sz w:val="22"/>
          <w:szCs w:val="22"/>
          <w:lang w:val="es-ES_tradnl"/>
        </w:rPr>
        <w:t>En las obras que no fueron objeto de inspección por parte de la Defensoría, la USPEC informó que se</w:t>
      </w:r>
      <w:r w:rsidRPr="005A50DA">
        <w:rPr>
          <w:rFonts w:ascii="Trebuchet MS" w:hAnsi="Trebuchet MS"/>
          <w:color w:val="000000"/>
          <w:sz w:val="22"/>
          <w:szCs w:val="22"/>
          <w:lang w:val="es-ES_tradnl"/>
        </w:rPr>
        <w:t xml:space="preserve"> terminaron y entregaron 973 cupos, ello significa que se están dejando de construir o habilitar 1.257 cupos,</w:t>
      </w:r>
      <w:r w:rsidRPr="005A50DA">
        <w:rPr>
          <w:rStyle w:val="apple-converted-space"/>
          <w:rFonts w:ascii="Trebuchet MS" w:hAnsi="Trebuchet MS"/>
          <w:color w:val="000000"/>
          <w:sz w:val="22"/>
          <w:szCs w:val="22"/>
          <w:lang w:val="es-ES_tradnl"/>
        </w:rPr>
        <w:t> </w:t>
      </w:r>
      <w:r w:rsidRPr="005A50DA">
        <w:rPr>
          <w:rFonts w:ascii="Trebuchet MS" w:hAnsi="Trebuchet MS"/>
          <w:color w:val="000000"/>
          <w:sz w:val="22"/>
          <w:szCs w:val="22"/>
          <w:u w:val="single"/>
          <w:lang w:val="es-ES_tradnl"/>
        </w:rPr>
        <w:t>es decir, tan sólo se han entregado el 43.6% del total de cupos proyectados</w:t>
      </w:r>
      <w:r>
        <w:rPr>
          <w:rFonts w:ascii="Trebuchet MS" w:hAnsi="Trebuchet MS"/>
          <w:color w:val="000000"/>
          <w:sz w:val="22"/>
          <w:szCs w:val="22"/>
          <w:u w:val="single"/>
          <w:lang w:val="es-ES_tradnl"/>
        </w:rPr>
        <w:t>.</w:t>
      </w:r>
    </w:p>
    <w:p w:rsidR="00F23B3B" w:rsidRPr="005A50DA" w:rsidRDefault="00F23B3B" w:rsidP="00F23B3B">
      <w:pPr>
        <w:pStyle w:val="xmsolistparagraph"/>
        <w:spacing w:before="0" w:beforeAutospacing="0" w:after="0" w:afterAutospacing="0" w:line="276" w:lineRule="auto"/>
        <w:jc w:val="both"/>
        <w:rPr>
          <w:rFonts w:ascii="Trebuchet MS" w:hAnsi="Trebuchet MS"/>
          <w:bCs/>
          <w:color w:val="000000"/>
          <w:sz w:val="22"/>
          <w:szCs w:val="22"/>
          <w:lang w:val="es-ES_tradnl"/>
        </w:rPr>
      </w:pPr>
    </w:p>
    <w:p w:rsidR="00F23B3B" w:rsidRDefault="00F23B3B" w:rsidP="00F23B3B">
      <w:pPr>
        <w:pStyle w:val="xmsonormal"/>
        <w:numPr>
          <w:ilvl w:val="0"/>
          <w:numId w:val="32"/>
        </w:numPr>
        <w:spacing w:before="0" w:beforeAutospacing="0" w:after="0" w:afterAutospacing="0" w:line="276" w:lineRule="auto"/>
        <w:ind w:left="426" w:hanging="426"/>
        <w:jc w:val="both"/>
        <w:rPr>
          <w:rFonts w:ascii="Trebuchet MS" w:hAnsi="Trebuchet MS"/>
          <w:color w:val="000000"/>
          <w:sz w:val="22"/>
          <w:szCs w:val="22"/>
          <w:lang w:val="es-ES_tradnl"/>
        </w:rPr>
      </w:pPr>
      <w:r w:rsidRPr="00AC68D8">
        <w:rPr>
          <w:rFonts w:ascii="Trebuchet MS" w:hAnsi="Trebuchet MS"/>
          <w:color w:val="000000"/>
          <w:sz w:val="22"/>
          <w:szCs w:val="22"/>
          <w:lang w:val="es-ES_tradnl"/>
        </w:rPr>
        <w:t xml:space="preserve">En las visitas de inspección realizadas la Defensoría pudo establecer que tan sólo dos obras fueron entregadas en la fecha señalada en los contratos, estas son: (i) la habilitación de cupos en el Establecimiento Penitenciario y Carcelario de </w:t>
      </w:r>
      <w:proofErr w:type="spellStart"/>
      <w:r w:rsidRPr="00AC68D8">
        <w:rPr>
          <w:rFonts w:ascii="Trebuchet MS" w:hAnsi="Trebuchet MS"/>
          <w:color w:val="000000"/>
          <w:sz w:val="22"/>
          <w:szCs w:val="22"/>
          <w:lang w:val="es-ES_tradnl"/>
        </w:rPr>
        <w:t>Tierralta</w:t>
      </w:r>
      <w:proofErr w:type="spellEnd"/>
      <w:r w:rsidRPr="00AC68D8">
        <w:rPr>
          <w:rFonts w:ascii="Trebuchet MS" w:hAnsi="Trebuchet MS"/>
          <w:color w:val="000000"/>
          <w:sz w:val="22"/>
          <w:szCs w:val="22"/>
          <w:lang w:val="es-ES_tradnl"/>
        </w:rPr>
        <w:t xml:space="preserve">-Córdoba y (ii) la obra parcial del Complejo Carcelario de Ibagué. </w:t>
      </w:r>
    </w:p>
    <w:p w:rsidR="00F23B3B" w:rsidRDefault="00F23B3B" w:rsidP="00F23B3B">
      <w:pPr>
        <w:pStyle w:val="xmsonormal"/>
        <w:spacing w:before="0" w:beforeAutospacing="0" w:after="0" w:afterAutospacing="0" w:line="276" w:lineRule="auto"/>
        <w:ind w:left="426"/>
        <w:jc w:val="both"/>
        <w:rPr>
          <w:rFonts w:ascii="Trebuchet MS" w:hAnsi="Trebuchet MS"/>
          <w:color w:val="000000"/>
          <w:sz w:val="22"/>
          <w:szCs w:val="22"/>
          <w:lang w:val="es-ES_tradnl"/>
        </w:rPr>
      </w:pPr>
    </w:p>
    <w:p w:rsidR="00F23B3B" w:rsidRDefault="00F23B3B" w:rsidP="00F23B3B">
      <w:pPr>
        <w:pStyle w:val="xmsonormal"/>
        <w:numPr>
          <w:ilvl w:val="0"/>
          <w:numId w:val="32"/>
        </w:numPr>
        <w:spacing w:before="0" w:beforeAutospacing="0" w:after="0" w:afterAutospacing="0" w:line="276" w:lineRule="auto"/>
        <w:ind w:left="426" w:hanging="426"/>
        <w:jc w:val="both"/>
        <w:rPr>
          <w:rFonts w:ascii="Trebuchet MS" w:hAnsi="Trebuchet MS"/>
          <w:color w:val="000000"/>
          <w:sz w:val="22"/>
          <w:szCs w:val="22"/>
          <w:lang w:val="es-ES_tradnl"/>
        </w:rPr>
      </w:pPr>
      <w:r w:rsidRPr="00AC68D8">
        <w:rPr>
          <w:rFonts w:ascii="Trebuchet MS" w:hAnsi="Trebuchet MS"/>
          <w:color w:val="000000"/>
          <w:sz w:val="22"/>
          <w:szCs w:val="22"/>
          <w:lang w:val="es-ES_tradnl"/>
        </w:rPr>
        <w:t>De la misma manera se logró comprobar que las habilitaciones de nuevos cupos o generación de cupos adicionales como lo define el objeto contractual, SÓLO consisten en un aumento de camastros con baterías sanitarias y NO se contemplan lugares y/o espacios para las diferentes actividades de resocialización.  </w:t>
      </w:r>
    </w:p>
    <w:p w:rsidR="00F23B3B" w:rsidRDefault="00F23B3B" w:rsidP="00F23B3B">
      <w:pPr>
        <w:pStyle w:val="xmsonormal"/>
        <w:spacing w:before="0" w:beforeAutospacing="0" w:after="0" w:afterAutospacing="0" w:line="276" w:lineRule="auto"/>
        <w:ind w:left="720"/>
        <w:jc w:val="both"/>
        <w:rPr>
          <w:rFonts w:ascii="Trebuchet MS" w:hAnsi="Trebuchet MS"/>
          <w:color w:val="000000"/>
          <w:sz w:val="22"/>
          <w:szCs w:val="22"/>
          <w:lang w:val="es-ES_tradnl"/>
        </w:rPr>
      </w:pPr>
    </w:p>
    <w:p w:rsidR="00F23B3B" w:rsidRPr="001A0B2A" w:rsidRDefault="00F23B3B" w:rsidP="00F23B3B">
      <w:pPr>
        <w:pStyle w:val="xmsonormal"/>
        <w:spacing w:before="0" w:beforeAutospacing="0" w:after="0" w:afterAutospacing="0" w:line="276" w:lineRule="auto"/>
        <w:ind w:left="426"/>
        <w:jc w:val="both"/>
        <w:rPr>
          <w:rFonts w:ascii="Trebuchet MS" w:hAnsi="Trebuchet MS"/>
          <w:bCs/>
          <w:color w:val="000000"/>
          <w:sz w:val="22"/>
          <w:szCs w:val="22"/>
          <w:lang w:val="es-ES_tradnl"/>
        </w:rPr>
      </w:pPr>
      <w:r w:rsidRPr="00AC68D8">
        <w:rPr>
          <w:rFonts w:ascii="Trebuchet MS" w:hAnsi="Trebuchet MS"/>
          <w:bCs/>
          <w:color w:val="000000"/>
          <w:sz w:val="22"/>
          <w:szCs w:val="22"/>
          <w:lang w:val="es-ES_tradnl"/>
        </w:rPr>
        <w:t>Hasta tanto no se disponga la implementación de los cupos penitenciarios, esto es, que cada interno desarrolle al interior del establecimiento de reclusión lo que el CICR denomina “día estructurado”, el Estado colombiano NO podrá afirmar válidamente que está comprometido con la resocialización de las personas que ocuparían dichos espacios.</w:t>
      </w:r>
    </w:p>
    <w:p w:rsidR="00F23B3B" w:rsidRDefault="00F23B3B" w:rsidP="00F23B3B">
      <w:pPr>
        <w:pStyle w:val="xmsolistparagraph"/>
        <w:spacing w:before="0" w:beforeAutospacing="0" w:after="0" w:afterAutospacing="0" w:line="276" w:lineRule="auto"/>
        <w:jc w:val="both"/>
        <w:rPr>
          <w:rFonts w:ascii="Trebuchet MS" w:hAnsi="Trebuchet MS"/>
          <w:color w:val="000000"/>
          <w:sz w:val="22"/>
          <w:szCs w:val="22"/>
          <w:lang w:val="es-ES_tradnl"/>
        </w:rPr>
      </w:pPr>
    </w:p>
    <w:p w:rsidR="00F23B3B" w:rsidRPr="009F2628" w:rsidRDefault="00F23B3B" w:rsidP="00F23B3B">
      <w:pPr>
        <w:pStyle w:val="xmsonormal"/>
        <w:numPr>
          <w:ilvl w:val="0"/>
          <w:numId w:val="32"/>
        </w:numPr>
        <w:spacing w:before="0" w:beforeAutospacing="0" w:after="0" w:afterAutospacing="0" w:line="276" w:lineRule="auto"/>
        <w:ind w:left="426" w:hanging="426"/>
        <w:jc w:val="both"/>
        <w:rPr>
          <w:rFonts w:ascii="Trebuchet MS" w:hAnsi="Trebuchet MS"/>
          <w:color w:val="000000"/>
          <w:sz w:val="22"/>
          <w:szCs w:val="22"/>
        </w:rPr>
      </w:pPr>
      <w:r w:rsidRPr="009F2628">
        <w:rPr>
          <w:rFonts w:ascii="Trebuchet MS" w:hAnsi="Trebuchet MS"/>
          <w:color w:val="000000"/>
          <w:sz w:val="22"/>
          <w:szCs w:val="22"/>
          <w:lang w:val="es-ES_tradnl"/>
        </w:rPr>
        <w:t xml:space="preserve">La Defensoría Delegada para la Política Criminal y Penitenciaria logró establecer que las causas comunes de los retrasos en la ejecución de las obras fueron: (i) las dificultades de contratación y alta rotación de obreros; (ii) horarios restringidos de trabajo por las condiciones propias de seguridad de los centros de reclusión; (iii) modificaciones en los diseños por motivos de seguridad o funcionalidad; (iv) y demoras en los transportes de materiales. </w:t>
      </w:r>
    </w:p>
    <w:p w:rsidR="00F23B3B" w:rsidRPr="009F2628" w:rsidRDefault="00F23B3B" w:rsidP="00F23B3B">
      <w:pPr>
        <w:pStyle w:val="xmsonormal"/>
        <w:spacing w:before="0" w:beforeAutospacing="0" w:after="0" w:afterAutospacing="0" w:line="276" w:lineRule="auto"/>
        <w:ind w:left="426"/>
        <w:jc w:val="both"/>
        <w:rPr>
          <w:rFonts w:ascii="Trebuchet MS" w:hAnsi="Trebuchet MS"/>
          <w:color w:val="000000"/>
          <w:sz w:val="22"/>
          <w:szCs w:val="22"/>
        </w:rPr>
      </w:pPr>
    </w:p>
    <w:p w:rsidR="00F23B3B" w:rsidRDefault="00F23B3B" w:rsidP="00F23B3B">
      <w:pPr>
        <w:pStyle w:val="xmsolistparagraph"/>
        <w:numPr>
          <w:ilvl w:val="0"/>
          <w:numId w:val="32"/>
        </w:numPr>
        <w:spacing w:before="0" w:beforeAutospacing="0" w:after="0" w:afterAutospacing="0" w:line="276" w:lineRule="auto"/>
        <w:ind w:left="426"/>
        <w:jc w:val="both"/>
        <w:rPr>
          <w:rFonts w:ascii="Trebuchet MS" w:hAnsi="Trebuchet MS"/>
          <w:color w:val="000000"/>
          <w:sz w:val="22"/>
          <w:szCs w:val="22"/>
        </w:rPr>
      </w:pPr>
      <w:r w:rsidRPr="001A0B2A">
        <w:rPr>
          <w:rFonts w:ascii="Trebuchet MS" w:hAnsi="Trebuchet MS"/>
          <w:color w:val="000000"/>
          <w:sz w:val="22"/>
          <w:szCs w:val="22"/>
          <w:lang w:val="es-ES_tradnl"/>
        </w:rPr>
        <w:t>Adicional a ello se determinó que: (i) se redujo considerablemente el número total de cupos proyectados respecto del número total de cupos en ejecución, así por ejemplo en el establecimiento de Girardot se pasó de</w:t>
      </w:r>
      <w:r w:rsidRPr="001A0B2A">
        <w:rPr>
          <w:rStyle w:val="apple-converted-space"/>
          <w:rFonts w:ascii="Trebuchet MS" w:hAnsi="Trebuchet MS"/>
          <w:color w:val="000000"/>
          <w:sz w:val="22"/>
          <w:szCs w:val="22"/>
          <w:lang w:val="es-ES_tradnl"/>
        </w:rPr>
        <w:t> </w:t>
      </w:r>
      <w:r w:rsidRPr="001A0B2A">
        <w:rPr>
          <w:rFonts w:ascii="Trebuchet MS" w:hAnsi="Trebuchet MS"/>
          <w:bCs/>
          <w:color w:val="000000"/>
          <w:sz w:val="22"/>
          <w:szCs w:val="22"/>
          <w:lang w:val="es-ES_tradnl"/>
        </w:rPr>
        <w:t>278 a 234</w:t>
      </w:r>
      <w:r w:rsidRPr="001A0B2A">
        <w:rPr>
          <w:rStyle w:val="apple-converted-space"/>
          <w:rFonts w:ascii="Trebuchet MS" w:hAnsi="Trebuchet MS"/>
          <w:color w:val="000000"/>
          <w:sz w:val="22"/>
          <w:szCs w:val="22"/>
          <w:lang w:val="es-ES_tradnl"/>
        </w:rPr>
        <w:t> </w:t>
      </w:r>
      <w:r w:rsidRPr="001A0B2A">
        <w:rPr>
          <w:rFonts w:ascii="Trebuchet MS" w:hAnsi="Trebuchet MS"/>
          <w:color w:val="000000"/>
          <w:sz w:val="22"/>
          <w:szCs w:val="22"/>
          <w:lang w:val="es-ES_tradnl"/>
        </w:rPr>
        <w:t>cupos y en Cartagena de</w:t>
      </w:r>
      <w:r w:rsidRPr="001A0B2A">
        <w:rPr>
          <w:rStyle w:val="apple-converted-space"/>
          <w:rFonts w:ascii="Trebuchet MS" w:hAnsi="Trebuchet MS"/>
          <w:color w:val="000000"/>
          <w:sz w:val="22"/>
          <w:szCs w:val="22"/>
          <w:lang w:val="es-ES_tradnl"/>
        </w:rPr>
        <w:t> </w:t>
      </w:r>
      <w:r w:rsidRPr="001A0B2A">
        <w:rPr>
          <w:rFonts w:ascii="Trebuchet MS" w:hAnsi="Trebuchet MS"/>
          <w:bCs/>
          <w:color w:val="000000"/>
          <w:sz w:val="22"/>
          <w:szCs w:val="22"/>
          <w:lang w:val="es-ES_tradnl"/>
        </w:rPr>
        <w:t>216 a 196</w:t>
      </w:r>
      <w:r w:rsidRPr="001A0B2A">
        <w:rPr>
          <w:rStyle w:val="apple-converted-space"/>
          <w:rFonts w:ascii="Trebuchet MS" w:hAnsi="Trebuchet MS"/>
          <w:color w:val="000000"/>
          <w:sz w:val="22"/>
          <w:szCs w:val="22"/>
          <w:lang w:val="es-ES_tradnl"/>
        </w:rPr>
        <w:t> </w:t>
      </w:r>
      <w:r w:rsidRPr="001A0B2A">
        <w:rPr>
          <w:rFonts w:ascii="Trebuchet MS" w:hAnsi="Trebuchet MS"/>
          <w:color w:val="000000"/>
          <w:sz w:val="22"/>
          <w:szCs w:val="22"/>
          <w:lang w:val="es-ES_tradnl"/>
        </w:rPr>
        <w:t>cupos; (ii) en Ibagué no existe ventilación adecuada para mitigar las altas temperaturas y (iii) en el Municipio de Cómbita- Boyacá, se construyen camastros a nivel del piso, lo que expone a los reclusos a un ambiente gélido.</w:t>
      </w:r>
    </w:p>
    <w:p w:rsidR="00F23B3B" w:rsidRDefault="00F23B3B" w:rsidP="00F23B3B">
      <w:pPr>
        <w:pStyle w:val="xmsolistparagraph"/>
        <w:spacing w:before="0" w:beforeAutospacing="0" w:after="0" w:afterAutospacing="0" w:line="276" w:lineRule="auto"/>
        <w:jc w:val="both"/>
        <w:rPr>
          <w:rFonts w:ascii="Trebuchet MS" w:hAnsi="Trebuchet MS"/>
          <w:color w:val="000000"/>
          <w:sz w:val="22"/>
          <w:szCs w:val="22"/>
          <w:lang w:val="es-ES_tradnl"/>
        </w:rPr>
      </w:pPr>
    </w:p>
    <w:p w:rsidR="00F23B3B" w:rsidRDefault="00F23B3B" w:rsidP="00F23B3B">
      <w:pPr>
        <w:pStyle w:val="xmsolistparagraph"/>
        <w:numPr>
          <w:ilvl w:val="0"/>
          <w:numId w:val="32"/>
        </w:numPr>
        <w:spacing w:before="0" w:beforeAutospacing="0" w:after="0" w:afterAutospacing="0" w:line="276" w:lineRule="auto"/>
        <w:ind w:left="426"/>
        <w:jc w:val="both"/>
        <w:rPr>
          <w:rFonts w:ascii="Trebuchet MS" w:hAnsi="Trebuchet MS"/>
          <w:color w:val="000000"/>
          <w:sz w:val="22"/>
          <w:szCs w:val="22"/>
        </w:rPr>
      </w:pPr>
      <w:r w:rsidRPr="00030BD5">
        <w:rPr>
          <w:rFonts w:ascii="Trebuchet MS" w:hAnsi="Trebuchet MS"/>
          <w:color w:val="000000"/>
          <w:sz w:val="22"/>
          <w:szCs w:val="22"/>
          <w:lang w:val="es-ES_tradnl"/>
        </w:rPr>
        <w:lastRenderedPageBreak/>
        <w:t>Se logró establecer con certeza que: (i) existe un atraso generalizado en la gran mayoría de las obras inspeccionadas; (ii) se evidenció una falta de planeación, coordinación y seguimiento por parte de la USPEC y el INPEC; (iii) las obras NO contemplan áreas destinadas a las diversas actividades de redención y (iv) las obras concluidas</w:t>
      </w:r>
      <w:r>
        <w:rPr>
          <w:rFonts w:ascii="Trebuchet MS" w:hAnsi="Trebuchet MS"/>
          <w:color w:val="000000"/>
          <w:sz w:val="22"/>
          <w:szCs w:val="22"/>
          <w:lang w:val="es-ES_tradnl"/>
        </w:rPr>
        <w:t xml:space="preserve"> –</w:t>
      </w:r>
      <w:proofErr w:type="spellStart"/>
      <w:r>
        <w:rPr>
          <w:rFonts w:ascii="Trebuchet MS" w:hAnsi="Trebuchet MS"/>
          <w:color w:val="000000"/>
          <w:sz w:val="22"/>
          <w:szCs w:val="22"/>
          <w:lang w:val="es-ES_tradnl"/>
        </w:rPr>
        <w:t>Tierralta</w:t>
      </w:r>
      <w:proofErr w:type="spellEnd"/>
      <w:r>
        <w:rPr>
          <w:rFonts w:ascii="Trebuchet MS" w:hAnsi="Trebuchet MS"/>
          <w:color w:val="000000"/>
          <w:sz w:val="22"/>
          <w:szCs w:val="22"/>
          <w:lang w:val="es-ES_tradnl"/>
        </w:rPr>
        <w:t xml:space="preserve"> e Ibagué-</w:t>
      </w:r>
      <w:r w:rsidRPr="00030BD5">
        <w:rPr>
          <w:rFonts w:ascii="Trebuchet MS" w:hAnsi="Trebuchet MS"/>
          <w:color w:val="000000"/>
          <w:sz w:val="22"/>
          <w:szCs w:val="22"/>
          <w:lang w:val="es-ES_tradnl"/>
        </w:rPr>
        <w:t xml:space="preserve"> NO cuentan con las condiciones mínimas establecidas por el CICR que garanticen las condiciones dignas de reclusión de la </w:t>
      </w:r>
      <w:r>
        <w:rPr>
          <w:rFonts w:ascii="Trebuchet MS" w:hAnsi="Trebuchet MS"/>
          <w:color w:val="000000"/>
          <w:sz w:val="22"/>
          <w:szCs w:val="22"/>
          <w:lang w:val="es-ES_tradnl"/>
        </w:rPr>
        <w:t>PPL.</w:t>
      </w:r>
    </w:p>
    <w:p w:rsidR="00F23B3B" w:rsidRPr="005A50DA" w:rsidRDefault="00F23B3B" w:rsidP="00F23B3B">
      <w:pPr>
        <w:pStyle w:val="xmsolistparagraph"/>
        <w:spacing w:before="0" w:beforeAutospacing="0" w:after="0" w:afterAutospacing="0" w:line="276" w:lineRule="auto"/>
        <w:ind w:left="426"/>
        <w:jc w:val="both"/>
        <w:rPr>
          <w:rFonts w:ascii="Trebuchet MS" w:hAnsi="Trebuchet MS"/>
          <w:color w:val="000000"/>
          <w:sz w:val="22"/>
          <w:szCs w:val="22"/>
        </w:rPr>
      </w:pPr>
    </w:p>
    <w:p w:rsidR="00F23B3B" w:rsidRDefault="00F23B3B" w:rsidP="00F23B3B">
      <w:pPr>
        <w:pStyle w:val="xmsonormal"/>
        <w:spacing w:before="0" w:beforeAutospacing="0" w:after="0" w:afterAutospacing="0" w:line="276" w:lineRule="auto"/>
        <w:jc w:val="both"/>
        <w:rPr>
          <w:rFonts w:ascii="Trebuchet MS" w:hAnsi="Trebuchet MS"/>
          <w:color w:val="000000"/>
          <w:sz w:val="22"/>
          <w:szCs w:val="22"/>
          <w:lang w:val="es-ES_tradnl"/>
        </w:rPr>
      </w:pPr>
      <w:r>
        <w:rPr>
          <w:rFonts w:ascii="Trebuchet MS" w:hAnsi="Trebuchet MS"/>
          <w:bCs/>
          <w:color w:val="000000"/>
          <w:sz w:val="22"/>
          <w:szCs w:val="22"/>
          <w:lang w:val="es-ES_tradnl"/>
        </w:rPr>
        <w:t>La</w:t>
      </w:r>
      <w:r w:rsidRPr="00AC68D8">
        <w:rPr>
          <w:rFonts w:ascii="Trebuchet MS" w:hAnsi="Trebuchet MS"/>
          <w:color w:val="000000"/>
          <w:sz w:val="22"/>
          <w:szCs w:val="22"/>
          <w:lang w:val="es-ES_tradnl"/>
        </w:rPr>
        <w:t xml:space="preserve"> amplia diferencia entre el número total de cupos proyectados y los efectivamente entregados </w:t>
      </w:r>
      <w:r>
        <w:rPr>
          <w:rFonts w:ascii="Trebuchet MS" w:hAnsi="Trebuchet MS"/>
          <w:color w:val="000000"/>
          <w:sz w:val="22"/>
          <w:szCs w:val="22"/>
          <w:lang w:val="es-ES_tradnl"/>
        </w:rPr>
        <w:t>(</w:t>
      </w:r>
      <w:r w:rsidRPr="00AC68D8">
        <w:rPr>
          <w:rFonts w:ascii="Trebuchet MS" w:hAnsi="Trebuchet MS"/>
          <w:color w:val="000000"/>
          <w:sz w:val="22"/>
          <w:szCs w:val="22"/>
          <w:lang w:val="es-ES_tradnl"/>
        </w:rPr>
        <w:t>4.995</w:t>
      </w:r>
      <w:r>
        <w:rPr>
          <w:rFonts w:ascii="Trebuchet MS" w:hAnsi="Trebuchet MS"/>
          <w:color w:val="000000"/>
          <w:sz w:val="22"/>
          <w:szCs w:val="22"/>
          <w:lang w:val="es-ES_tradnl"/>
        </w:rPr>
        <w:t xml:space="preserve"> cupos)</w:t>
      </w:r>
      <w:r w:rsidRPr="00AC68D8">
        <w:rPr>
          <w:rFonts w:ascii="Trebuchet MS" w:hAnsi="Trebuchet MS"/>
          <w:color w:val="000000"/>
          <w:sz w:val="22"/>
          <w:szCs w:val="22"/>
          <w:lang w:val="es-ES_tradnl"/>
        </w:rPr>
        <w:t xml:space="preserve"> es una cifra considerable que refleja</w:t>
      </w:r>
      <w:r w:rsidRPr="00AC68D8">
        <w:rPr>
          <w:rStyle w:val="apple-converted-space"/>
          <w:rFonts w:ascii="Trebuchet MS" w:hAnsi="Trebuchet MS"/>
          <w:color w:val="000000"/>
          <w:sz w:val="22"/>
          <w:szCs w:val="22"/>
          <w:lang w:val="es-ES_tradnl"/>
        </w:rPr>
        <w:t> </w:t>
      </w:r>
      <w:r w:rsidRPr="00AC68D8">
        <w:rPr>
          <w:rFonts w:ascii="Trebuchet MS" w:hAnsi="Trebuchet MS"/>
          <w:bCs/>
          <w:color w:val="000000"/>
          <w:sz w:val="22"/>
          <w:szCs w:val="22"/>
          <w:lang w:val="es-ES_tradnl"/>
        </w:rPr>
        <w:t>la falta de planeación y el escaso seguimiento que la USPEC le ha dado a la ejecución de las obras</w:t>
      </w:r>
      <w:r w:rsidRPr="00AC68D8">
        <w:rPr>
          <w:rFonts w:ascii="Trebuchet MS" w:hAnsi="Trebuchet MS"/>
          <w:color w:val="000000"/>
          <w:sz w:val="22"/>
          <w:szCs w:val="22"/>
          <w:lang w:val="es-ES_tradnl"/>
        </w:rPr>
        <w:t xml:space="preserve">. </w:t>
      </w:r>
    </w:p>
    <w:p w:rsidR="00F23B3B" w:rsidRDefault="00F23B3B" w:rsidP="00F23B3B">
      <w:pPr>
        <w:pStyle w:val="xmsonormal"/>
        <w:spacing w:before="0" w:beforeAutospacing="0" w:after="0" w:afterAutospacing="0" w:line="276" w:lineRule="auto"/>
        <w:jc w:val="both"/>
        <w:rPr>
          <w:rFonts w:ascii="Trebuchet MS" w:hAnsi="Trebuchet MS"/>
          <w:color w:val="000000"/>
          <w:sz w:val="22"/>
          <w:szCs w:val="22"/>
          <w:lang w:val="es-ES_tradnl"/>
        </w:rPr>
      </w:pPr>
    </w:p>
    <w:p w:rsidR="00F23B3B" w:rsidRDefault="00F23B3B" w:rsidP="00F23B3B">
      <w:pPr>
        <w:pStyle w:val="xmsonormal"/>
        <w:spacing w:before="0" w:beforeAutospacing="0" w:after="0" w:afterAutospacing="0" w:line="276" w:lineRule="auto"/>
        <w:jc w:val="both"/>
        <w:rPr>
          <w:rFonts w:ascii="Trebuchet MS" w:hAnsi="Trebuchet MS"/>
          <w:color w:val="000000"/>
          <w:sz w:val="22"/>
          <w:szCs w:val="22"/>
          <w:lang w:val="es-ES_tradnl"/>
        </w:rPr>
      </w:pPr>
      <w:r w:rsidRPr="00AC68D8">
        <w:rPr>
          <w:rFonts w:ascii="Trebuchet MS" w:hAnsi="Trebuchet MS"/>
          <w:color w:val="000000"/>
          <w:sz w:val="22"/>
          <w:szCs w:val="22"/>
          <w:lang w:val="es-ES_tradnl"/>
        </w:rPr>
        <w:t xml:space="preserve">En este punto, es preciso </w:t>
      </w:r>
      <w:r>
        <w:rPr>
          <w:rFonts w:ascii="Trebuchet MS" w:hAnsi="Trebuchet MS"/>
          <w:color w:val="000000"/>
          <w:sz w:val="22"/>
          <w:szCs w:val="22"/>
          <w:lang w:val="es-ES_tradnl"/>
        </w:rPr>
        <w:t>resaltar</w:t>
      </w:r>
      <w:r w:rsidRPr="00AC68D8">
        <w:rPr>
          <w:rFonts w:ascii="Trebuchet MS" w:hAnsi="Trebuchet MS"/>
          <w:color w:val="000000"/>
          <w:sz w:val="22"/>
          <w:szCs w:val="22"/>
          <w:lang w:val="es-ES_tradnl"/>
        </w:rPr>
        <w:t xml:space="preserve"> que el número de cupos entregado fue exiguo</w:t>
      </w:r>
      <w:r>
        <w:rPr>
          <w:rFonts w:ascii="Trebuchet MS" w:hAnsi="Trebuchet MS"/>
          <w:color w:val="000000"/>
          <w:sz w:val="22"/>
          <w:szCs w:val="22"/>
          <w:lang w:val="es-ES_tradnl"/>
        </w:rPr>
        <w:t xml:space="preserve"> en comparación con</w:t>
      </w:r>
      <w:r w:rsidRPr="00AC68D8">
        <w:rPr>
          <w:rFonts w:ascii="Trebuchet MS" w:hAnsi="Trebuchet MS"/>
          <w:color w:val="000000"/>
          <w:sz w:val="22"/>
          <w:szCs w:val="22"/>
          <w:lang w:val="es-ES_tradnl"/>
        </w:rPr>
        <w:t xml:space="preserve"> el aumento de personas privadas de la libertad</w:t>
      </w:r>
      <w:r>
        <w:rPr>
          <w:rFonts w:ascii="Trebuchet MS" w:hAnsi="Trebuchet MS"/>
          <w:color w:val="000000"/>
          <w:sz w:val="22"/>
          <w:szCs w:val="22"/>
          <w:lang w:val="es-ES_tradnl"/>
        </w:rPr>
        <w:t>, considerando que en el periodo enero-</w:t>
      </w:r>
      <w:r w:rsidRPr="00AC68D8">
        <w:rPr>
          <w:rFonts w:ascii="Trebuchet MS" w:hAnsi="Trebuchet MS"/>
          <w:color w:val="000000"/>
          <w:sz w:val="22"/>
          <w:szCs w:val="22"/>
          <w:lang w:val="es-ES_tradnl"/>
        </w:rPr>
        <w:t xml:space="preserve">octubre de 2015 </w:t>
      </w:r>
      <w:r>
        <w:rPr>
          <w:rFonts w:ascii="Trebuchet MS" w:hAnsi="Trebuchet MS"/>
          <w:color w:val="000000"/>
          <w:sz w:val="22"/>
          <w:szCs w:val="22"/>
          <w:lang w:val="es-ES_tradnl"/>
        </w:rPr>
        <w:t xml:space="preserve">el incremento </w:t>
      </w:r>
      <w:r w:rsidRPr="00AC68D8">
        <w:rPr>
          <w:rFonts w:ascii="Trebuchet MS" w:hAnsi="Trebuchet MS"/>
          <w:color w:val="000000"/>
          <w:sz w:val="22"/>
          <w:szCs w:val="22"/>
          <w:lang w:val="es-ES_tradnl"/>
        </w:rPr>
        <w:t>fue de</w:t>
      </w:r>
      <w:r w:rsidRPr="00AC68D8">
        <w:rPr>
          <w:rStyle w:val="apple-converted-space"/>
          <w:rFonts w:ascii="Trebuchet MS" w:hAnsi="Trebuchet MS"/>
          <w:color w:val="000000"/>
          <w:sz w:val="22"/>
          <w:szCs w:val="22"/>
          <w:lang w:val="es-ES_tradnl"/>
        </w:rPr>
        <w:t> </w:t>
      </w:r>
      <w:r w:rsidRPr="00AC68D8">
        <w:rPr>
          <w:rFonts w:ascii="Trebuchet MS" w:hAnsi="Trebuchet MS"/>
          <w:bCs/>
          <w:color w:val="000000"/>
          <w:sz w:val="22"/>
          <w:szCs w:val="22"/>
          <w:lang w:val="es-ES_tradnl"/>
        </w:rPr>
        <w:t>4.535 nuevos internos;</w:t>
      </w:r>
      <w:r w:rsidRPr="00AC68D8">
        <w:rPr>
          <w:rStyle w:val="apple-converted-space"/>
          <w:rFonts w:ascii="Trebuchet MS" w:hAnsi="Trebuchet MS"/>
          <w:bCs/>
          <w:color w:val="000000"/>
          <w:sz w:val="22"/>
          <w:szCs w:val="22"/>
          <w:lang w:val="es-ES_tradnl"/>
        </w:rPr>
        <w:t> </w:t>
      </w:r>
      <w:r>
        <w:rPr>
          <w:rFonts w:ascii="Trebuchet MS" w:hAnsi="Trebuchet MS"/>
          <w:color w:val="000000"/>
          <w:sz w:val="22"/>
          <w:szCs w:val="22"/>
          <w:lang w:val="es-ES_tradnl"/>
        </w:rPr>
        <w:t>de modo</w:t>
      </w:r>
      <w:r w:rsidRPr="00AC68D8">
        <w:rPr>
          <w:rFonts w:ascii="Trebuchet MS" w:hAnsi="Trebuchet MS"/>
          <w:color w:val="000000"/>
          <w:sz w:val="22"/>
          <w:szCs w:val="22"/>
          <w:lang w:val="es-ES_tradnl"/>
        </w:rPr>
        <w:t xml:space="preserve"> que </w:t>
      </w:r>
      <w:r>
        <w:rPr>
          <w:rFonts w:ascii="Trebuchet MS" w:hAnsi="Trebuchet MS"/>
          <w:color w:val="000000"/>
          <w:sz w:val="22"/>
          <w:szCs w:val="22"/>
          <w:lang w:val="es-ES_tradnl"/>
        </w:rPr>
        <w:t xml:space="preserve">la construcción y adecuación de cupos durante el 2015 </w:t>
      </w:r>
      <w:r w:rsidRPr="00AC68D8">
        <w:rPr>
          <w:rFonts w:ascii="Trebuchet MS" w:hAnsi="Trebuchet MS"/>
          <w:color w:val="000000"/>
          <w:sz w:val="22"/>
          <w:szCs w:val="22"/>
          <w:lang w:val="es-ES_tradnl"/>
        </w:rPr>
        <w:t xml:space="preserve">en nada disminuye el porcentaje de hacinamiento, que a diciembre de 2015 llegaba al 55.4%. </w:t>
      </w:r>
    </w:p>
    <w:p w:rsidR="00F23B3B" w:rsidRPr="00AC68D8" w:rsidRDefault="00F23B3B" w:rsidP="00F23B3B">
      <w:pPr>
        <w:pStyle w:val="xmsonormal"/>
        <w:spacing w:before="0" w:beforeAutospacing="0" w:after="0" w:afterAutospacing="0" w:line="276" w:lineRule="auto"/>
        <w:jc w:val="both"/>
        <w:rPr>
          <w:rFonts w:ascii="Trebuchet MS" w:hAnsi="Trebuchet MS"/>
          <w:color w:val="000000"/>
          <w:sz w:val="22"/>
          <w:szCs w:val="22"/>
        </w:rPr>
      </w:pPr>
    </w:p>
    <w:p w:rsidR="00EF0739" w:rsidRDefault="00EF0739" w:rsidP="00EF0739">
      <w:pPr>
        <w:pStyle w:val="NormalWeb"/>
        <w:spacing w:before="0" w:beforeAutospacing="0" w:after="0" w:afterAutospacing="0"/>
        <w:jc w:val="both"/>
        <w:rPr>
          <w:rFonts w:ascii="Trebuchet MS" w:hAnsi="Trebuchet MS"/>
          <w:b/>
          <w:sz w:val="22"/>
          <w:szCs w:val="27"/>
          <w:lang w:val="es-ES_tradnl"/>
        </w:rPr>
      </w:pPr>
    </w:p>
    <w:p w:rsidR="007028BD" w:rsidRPr="007028BD" w:rsidRDefault="001D0C90" w:rsidP="007028BD">
      <w:pPr>
        <w:shd w:val="clear" w:color="auto" w:fill="FFFFFF"/>
        <w:tabs>
          <w:tab w:val="center" w:pos="4135"/>
        </w:tabs>
        <w:jc w:val="both"/>
        <w:textAlignment w:val="baseline"/>
        <w:rPr>
          <w:b/>
          <w:sz w:val="22"/>
        </w:rPr>
      </w:pPr>
      <w:r>
        <w:rPr>
          <w:b/>
          <w:sz w:val="22"/>
        </w:rPr>
        <w:t>II.3. E</w:t>
      </w:r>
      <w:r w:rsidR="007028BD" w:rsidRPr="007028BD">
        <w:rPr>
          <w:b/>
          <w:sz w:val="22"/>
        </w:rPr>
        <w:t>l hacinamiento</w:t>
      </w:r>
      <w:r>
        <w:rPr>
          <w:b/>
          <w:sz w:val="22"/>
        </w:rPr>
        <w:t xml:space="preserve"> y los centros de </w:t>
      </w:r>
      <w:r w:rsidR="007028BD" w:rsidRPr="007028BD">
        <w:rPr>
          <w:b/>
          <w:sz w:val="22"/>
        </w:rPr>
        <w:t xml:space="preserve">reclusión transitoria. </w:t>
      </w:r>
    </w:p>
    <w:p w:rsidR="006920BD" w:rsidRDefault="00A3456B" w:rsidP="007028BD">
      <w:pPr>
        <w:shd w:val="clear" w:color="auto" w:fill="FFFFFF"/>
        <w:tabs>
          <w:tab w:val="center" w:pos="4135"/>
        </w:tabs>
        <w:jc w:val="both"/>
        <w:textAlignment w:val="baseline"/>
        <w:rPr>
          <w:sz w:val="22"/>
        </w:rPr>
      </w:pPr>
      <w:r w:rsidRPr="008848B9">
        <w:rPr>
          <w:sz w:val="22"/>
        </w:rPr>
        <w:t>E</w:t>
      </w:r>
      <w:r w:rsidR="004502E1" w:rsidRPr="008848B9">
        <w:rPr>
          <w:sz w:val="22"/>
        </w:rPr>
        <w:t xml:space="preserve">l hacinamiento y la grave a afectación a los derechos humanos de los internos, no es un evento </w:t>
      </w:r>
      <w:r w:rsidR="001D0C90">
        <w:rPr>
          <w:sz w:val="22"/>
        </w:rPr>
        <w:t>exclusivo de las cárceles y p</w:t>
      </w:r>
      <w:r w:rsidR="004502E1" w:rsidRPr="008848B9">
        <w:rPr>
          <w:sz w:val="22"/>
        </w:rPr>
        <w:t>enitenciarias del país</w:t>
      </w:r>
      <w:r w:rsidR="006920BD">
        <w:rPr>
          <w:sz w:val="22"/>
        </w:rPr>
        <w:t xml:space="preserve"> pues el elevado índice de hacinamiento a nivel nacional hace que los centros de reclusión del orden nacional materialmente no puedan recibir más personas; esta situación se traduce en una grave afectación de los derechos humanos de la población que se encuentra retenida en l</w:t>
      </w:r>
      <w:r w:rsidR="00A23A93" w:rsidRPr="008848B9">
        <w:rPr>
          <w:sz w:val="22"/>
        </w:rPr>
        <w:t>as U</w:t>
      </w:r>
      <w:r w:rsidR="00B8311F">
        <w:rPr>
          <w:sz w:val="22"/>
        </w:rPr>
        <w:t xml:space="preserve">nidades de </w:t>
      </w:r>
      <w:r w:rsidR="00A23A93" w:rsidRPr="008848B9">
        <w:rPr>
          <w:sz w:val="22"/>
        </w:rPr>
        <w:t>R</w:t>
      </w:r>
      <w:r w:rsidR="00B8311F">
        <w:rPr>
          <w:sz w:val="22"/>
        </w:rPr>
        <w:t>eacción Inmediata</w:t>
      </w:r>
      <w:r w:rsidR="001D0C90">
        <w:rPr>
          <w:sz w:val="22"/>
        </w:rPr>
        <w:t xml:space="preserve"> (URI) y Estaciones de Policía</w:t>
      </w:r>
      <w:r w:rsidR="006920BD">
        <w:rPr>
          <w:sz w:val="22"/>
        </w:rPr>
        <w:t xml:space="preserve">. </w:t>
      </w:r>
    </w:p>
    <w:p w:rsidR="005F206C" w:rsidRDefault="00DC319C" w:rsidP="007028BD">
      <w:pPr>
        <w:shd w:val="clear" w:color="auto" w:fill="FFFFFF"/>
        <w:tabs>
          <w:tab w:val="center" w:pos="4135"/>
        </w:tabs>
        <w:jc w:val="both"/>
        <w:textAlignment w:val="baseline"/>
        <w:rPr>
          <w:sz w:val="22"/>
        </w:rPr>
      </w:pPr>
      <w:r>
        <w:rPr>
          <w:sz w:val="22"/>
        </w:rPr>
        <w:t xml:space="preserve">Estos centros </w:t>
      </w:r>
      <w:r w:rsidR="001D0C90">
        <w:rPr>
          <w:sz w:val="22"/>
        </w:rPr>
        <w:t>-</w:t>
      </w:r>
      <w:r w:rsidR="00A23A93" w:rsidRPr="008848B9">
        <w:rPr>
          <w:sz w:val="22"/>
        </w:rPr>
        <w:t>aun siendo centros de rec</w:t>
      </w:r>
      <w:r w:rsidR="00F81830">
        <w:rPr>
          <w:sz w:val="22"/>
        </w:rPr>
        <w:t>lusión con vocación transitoria-</w:t>
      </w:r>
      <w:r>
        <w:rPr>
          <w:sz w:val="22"/>
        </w:rPr>
        <w:t xml:space="preserve"> son utilizados para albergar a personas privadas de la libertad por un término mayor </w:t>
      </w:r>
      <w:proofErr w:type="gramStart"/>
      <w:r>
        <w:rPr>
          <w:sz w:val="22"/>
        </w:rPr>
        <w:t>al legalmente permitido</w:t>
      </w:r>
      <w:proofErr w:type="gramEnd"/>
      <w:r w:rsidR="00A1234F">
        <w:rPr>
          <w:sz w:val="22"/>
        </w:rPr>
        <w:t xml:space="preserve"> (36 horas)</w:t>
      </w:r>
      <w:r w:rsidR="00AF5DAB">
        <w:rPr>
          <w:sz w:val="22"/>
        </w:rPr>
        <w:t xml:space="preserve">. </w:t>
      </w:r>
      <w:r w:rsidR="00A1234F">
        <w:rPr>
          <w:sz w:val="22"/>
        </w:rPr>
        <w:t>L</w:t>
      </w:r>
      <w:r w:rsidR="00E545CD">
        <w:rPr>
          <w:sz w:val="22"/>
        </w:rPr>
        <w:t>a Defensoría del Pueblo ha logrado c</w:t>
      </w:r>
      <w:r w:rsidR="0004400A">
        <w:rPr>
          <w:sz w:val="22"/>
        </w:rPr>
        <w:t xml:space="preserve">onstatar en sus visitas de inspección </w:t>
      </w:r>
      <w:r w:rsidR="0031011A">
        <w:rPr>
          <w:sz w:val="22"/>
        </w:rPr>
        <w:t>las p</w:t>
      </w:r>
      <w:r w:rsidR="00147DE7">
        <w:rPr>
          <w:sz w:val="22"/>
        </w:rPr>
        <w:t>é</w:t>
      </w:r>
      <w:r w:rsidR="00D61F10">
        <w:rPr>
          <w:sz w:val="22"/>
        </w:rPr>
        <w:t>simas condiciones de reclusión</w:t>
      </w:r>
      <w:r w:rsidR="00705AE6">
        <w:rPr>
          <w:sz w:val="22"/>
        </w:rPr>
        <w:t xml:space="preserve">: </w:t>
      </w:r>
      <w:r w:rsidR="00705AE6" w:rsidRPr="00705AE6">
        <w:rPr>
          <w:b/>
          <w:sz w:val="22"/>
        </w:rPr>
        <w:t>(i)</w:t>
      </w:r>
      <w:r w:rsidR="00705AE6">
        <w:rPr>
          <w:sz w:val="22"/>
        </w:rPr>
        <w:t xml:space="preserve"> </w:t>
      </w:r>
      <w:r w:rsidR="00D61F10">
        <w:rPr>
          <w:sz w:val="22"/>
        </w:rPr>
        <w:t xml:space="preserve">inadecuada atención en salud, </w:t>
      </w:r>
      <w:r w:rsidR="00705AE6" w:rsidRPr="00705AE6">
        <w:rPr>
          <w:b/>
          <w:sz w:val="22"/>
        </w:rPr>
        <w:t>(ii)</w:t>
      </w:r>
      <w:r w:rsidR="00705AE6">
        <w:rPr>
          <w:sz w:val="22"/>
        </w:rPr>
        <w:t xml:space="preserve"> </w:t>
      </w:r>
      <w:r w:rsidR="005F206C">
        <w:rPr>
          <w:sz w:val="22"/>
        </w:rPr>
        <w:t>deficiente alimentación (cantidad y cal</w:t>
      </w:r>
      <w:r w:rsidR="00705AE6">
        <w:rPr>
          <w:sz w:val="22"/>
        </w:rPr>
        <w:t xml:space="preserve">idad), </w:t>
      </w:r>
      <w:r w:rsidR="00705AE6" w:rsidRPr="00705AE6">
        <w:rPr>
          <w:b/>
          <w:sz w:val="22"/>
        </w:rPr>
        <w:t>(iii)</w:t>
      </w:r>
      <w:r w:rsidR="00705AE6">
        <w:rPr>
          <w:sz w:val="22"/>
        </w:rPr>
        <w:t xml:space="preserve"> </w:t>
      </w:r>
      <w:r w:rsidR="005F206C">
        <w:rPr>
          <w:sz w:val="22"/>
        </w:rPr>
        <w:t>altísimos índices de hacinamiento</w:t>
      </w:r>
      <w:r w:rsidR="000C6DD9">
        <w:rPr>
          <w:sz w:val="22"/>
        </w:rPr>
        <w:t xml:space="preserve"> e </w:t>
      </w:r>
      <w:r w:rsidR="008578F8" w:rsidRPr="00A1234F">
        <w:rPr>
          <w:b/>
          <w:sz w:val="22"/>
        </w:rPr>
        <w:t>(iv)</w:t>
      </w:r>
      <w:r w:rsidR="008578F8">
        <w:rPr>
          <w:sz w:val="22"/>
        </w:rPr>
        <w:t xml:space="preserve"> inadecuadas condiciones de </w:t>
      </w:r>
      <w:r w:rsidR="00A1234F">
        <w:rPr>
          <w:sz w:val="22"/>
        </w:rPr>
        <w:t>infraestructura</w:t>
      </w:r>
      <w:r w:rsidR="000C6DD9">
        <w:rPr>
          <w:sz w:val="22"/>
        </w:rPr>
        <w:t xml:space="preserve">. </w:t>
      </w:r>
    </w:p>
    <w:p w:rsidR="00A23A93" w:rsidRPr="00B1477E" w:rsidRDefault="005F206C" w:rsidP="007028BD">
      <w:pPr>
        <w:shd w:val="clear" w:color="auto" w:fill="FFFFFF"/>
        <w:tabs>
          <w:tab w:val="center" w:pos="4135"/>
        </w:tabs>
        <w:jc w:val="both"/>
        <w:textAlignment w:val="baseline"/>
        <w:rPr>
          <w:b/>
          <w:sz w:val="22"/>
          <w:u w:val="single"/>
        </w:rPr>
      </w:pPr>
      <w:r>
        <w:rPr>
          <w:sz w:val="22"/>
        </w:rPr>
        <w:t>La señalada problemática</w:t>
      </w:r>
      <w:r w:rsidR="00C61A56">
        <w:rPr>
          <w:sz w:val="22"/>
        </w:rPr>
        <w:t>,</w:t>
      </w:r>
      <w:r>
        <w:rPr>
          <w:sz w:val="22"/>
        </w:rPr>
        <w:t xml:space="preserve"> </w:t>
      </w:r>
      <w:r w:rsidR="00705AE6">
        <w:rPr>
          <w:sz w:val="22"/>
        </w:rPr>
        <w:t>fue reconocida por la</w:t>
      </w:r>
      <w:r w:rsidR="000C6DD9">
        <w:rPr>
          <w:sz w:val="22"/>
        </w:rPr>
        <w:t xml:space="preserve"> propia </w:t>
      </w:r>
      <w:r w:rsidR="00705AE6">
        <w:rPr>
          <w:sz w:val="22"/>
        </w:rPr>
        <w:t>Corte Constitucional</w:t>
      </w:r>
      <w:r w:rsidR="002257FC">
        <w:rPr>
          <w:sz w:val="22"/>
        </w:rPr>
        <w:t xml:space="preserve"> (</w:t>
      </w:r>
      <w:r w:rsidR="00672664">
        <w:rPr>
          <w:sz w:val="22"/>
        </w:rPr>
        <w:t>sentencia T-151 de 2016)</w:t>
      </w:r>
      <w:r w:rsidR="00F46FF8">
        <w:rPr>
          <w:sz w:val="22"/>
        </w:rPr>
        <w:t xml:space="preserve"> en razón de una acción de tutela presentada por la Defensoría Delegada para la Política Criminal y Penitenciaria a favor de las personas privadas de la libertad en los centros de reclusión transitoria</w:t>
      </w:r>
      <w:r w:rsidR="002257FC">
        <w:rPr>
          <w:sz w:val="22"/>
        </w:rPr>
        <w:t>,</w:t>
      </w:r>
      <w:r w:rsidR="00F46FF8">
        <w:rPr>
          <w:sz w:val="22"/>
        </w:rPr>
        <w:t xml:space="preserve"> de la cuidad de Bogotá D.C. </w:t>
      </w:r>
      <w:r w:rsidR="00672664">
        <w:rPr>
          <w:sz w:val="22"/>
        </w:rPr>
        <w:t>La Corporación señaló que las pésimas condiciones</w:t>
      </w:r>
      <w:r w:rsidR="002257FC">
        <w:rPr>
          <w:sz w:val="22"/>
        </w:rPr>
        <w:t xml:space="preserve"> de reclusión y </w:t>
      </w:r>
      <w:r w:rsidR="00833CA3">
        <w:rPr>
          <w:sz w:val="22"/>
        </w:rPr>
        <w:t xml:space="preserve">la prolongación de la privación de la libertad por un término superior al legalmente permitido </w:t>
      </w:r>
      <w:r w:rsidR="00833CA3" w:rsidRPr="00B1477E">
        <w:rPr>
          <w:b/>
          <w:sz w:val="22"/>
          <w:u w:val="single"/>
        </w:rPr>
        <w:t xml:space="preserve">constituye un </w:t>
      </w:r>
      <w:r w:rsidR="0078416B" w:rsidRPr="00B1477E">
        <w:rPr>
          <w:b/>
          <w:sz w:val="22"/>
          <w:u w:val="single"/>
        </w:rPr>
        <w:t>auténtico</w:t>
      </w:r>
      <w:r w:rsidR="00833CA3" w:rsidRPr="00B1477E">
        <w:rPr>
          <w:b/>
          <w:sz w:val="22"/>
          <w:u w:val="single"/>
        </w:rPr>
        <w:t xml:space="preserve"> trato cruel</w:t>
      </w:r>
      <w:r w:rsidR="0078416B" w:rsidRPr="00B1477E">
        <w:rPr>
          <w:b/>
          <w:sz w:val="22"/>
          <w:u w:val="single"/>
        </w:rPr>
        <w:t>, inhumano y degradante</w:t>
      </w:r>
      <w:r w:rsidR="00A23A93" w:rsidRPr="00B1477E">
        <w:rPr>
          <w:b/>
          <w:sz w:val="22"/>
          <w:u w:val="single"/>
        </w:rPr>
        <w:t>.</w:t>
      </w:r>
      <w:r w:rsidR="00A23A93" w:rsidRPr="000D671C">
        <w:rPr>
          <w:b/>
          <w:sz w:val="22"/>
        </w:rPr>
        <w:t xml:space="preserve"> </w:t>
      </w:r>
      <w:r w:rsidR="000D671C" w:rsidRPr="000D671C">
        <w:rPr>
          <w:b/>
          <w:sz w:val="22"/>
        </w:rPr>
        <w:t xml:space="preserve"> </w:t>
      </w:r>
      <w:r w:rsidR="004300D7" w:rsidRPr="004300D7">
        <w:rPr>
          <w:sz w:val="22"/>
        </w:rPr>
        <w:t>Al respecto señaló:</w:t>
      </w:r>
      <w:r w:rsidR="004300D7">
        <w:rPr>
          <w:b/>
          <w:sz w:val="22"/>
          <w:u w:val="single"/>
        </w:rPr>
        <w:t xml:space="preserve"> </w:t>
      </w:r>
    </w:p>
    <w:p w:rsidR="005E4BF1" w:rsidRPr="008848B9" w:rsidRDefault="005E4BF1" w:rsidP="008848B9">
      <w:pPr>
        <w:shd w:val="clear" w:color="auto" w:fill="FFFFFF"/>
        <w:tabs>
          <w:tab w:val="center" w:pos="4135"/>
        </w:tabs>
        <w:spacing w:after="0" w:line="240" w:lineRule="auto"/>
        <w:jc w:val="both"/>
        <w:textAlignment w:val="baseline"/>
        <w:rPr>
          <w:sz w:val="22"/>
        </w:rPr>
      </w:pPr>
    </w:p>
    <w:p w:rsidR="00095502" w:rsidRDefault="00095502" w:rsidP="008848B9">
      <w:pPr>
        <w:shd w:val="clear" w:color="auto" w:fill="FFFFFF"/>
        <w:tabs>
          <w:tab w:val="center" w:pos="4135"/>
        </w:tabs>
        <w:spacing w:after="0" w:line="240" w:lineRule="auto"/>
        <w:jc w:val="both"/>
        <w:textAlignment w:val="baseline"/>
        <w:rPr>
          <w:sz w:val="22"/>
        </w:rPr>
      </w:pPr>
    </w:p>
    <w:p w:rsidR="00095502" w:rsidRPr="00095502" w:rsidRDefault="00A10467" w:rsidP="008848B9">
      <w:pPr>
        <w:shd w:val="clear" w:color="auto" w:fill="FFFFFF"/>
        <w:tabs>
          <w:tab w:val="center" w:pos="4135"/>
        </w:tabs>
        <w:spacing w:after="0" w:line="240" w:lineRule="auto"/>
        <w:jc w:val="both"/>
        <w:textAlignment w:val="baseline"/>
        <w:rPr>
          <w:i/>
          <w:sz w:val="22"/>
        </w:rPr>
      </w:pPr>
      <w:r>
        <w:rPr>
          <w:i/>
          <w:sz w:val="22"/>
        </w:rPr>
        <w:t>“</w:t>
      </w:r>
      <w:r w:rsidR="00095502" w:rsidRPr="00095502">
        <w:rPr>
          <w:i/>
          <w:sz w:val="22"/>
        </w:rPr>
        <w:t xml:space="preserve">Se concluye de lo anterior, que existe una situación de afectación del derecho fundamental </w:t>
      </w:r>
      <w:r w:rsidR="00095502" w:rsidRPr="000D671C">
        <w:rPr>
          <w:b/>
          <w:i/>
          <w:sz w:val="22"/>
          <w:u w:val="single"/>
        </w:rPr>
        <w:t>a no ser sometido a tratos o penas crueles, inhumanos y degradantes</w:t>
      </w:r>
      <w:r w:rsidR="00095502" w:rsidRPr="00095502">
        <w:rPr>
          <w:i/>
          <w:sz w:val="22"/>
        </w:rPr>
        <w:t xml:space="preserve"> de las personas que deben permanecer internas en las URI y Estaciones de Policía de Bogotá, en las condiciones antes señaladas, la cual hace procedente otorgar el amparo y adoptar medidas encaminadas no solo a superar la situación actual en esos centros de detención transitoria, sino además encaminadas a prevenir que vuelvan a ocurrir hechos similares, ante el peligro latente que así suceda.</w:t>
      </w:r>
      <w:r>
        <w:rPr>
          <w:i/>
          <w:sz w:val="22"/>
        </w:rPr>
        <w:t>”</w:t>
      </w:r>
      <w:r w:rsidR="004300D7">
        <w:rPr>
          <w:i/>
          <w:sz w:val="22"/>
        </w:rPr>
        <w:t xml:space="preserve"> </w:t>
      </w:r>
    </w:p>
    <w:p w:rsidR="00095502" w:rsidRDefault="00095502" w:rsidP="008848B9">
      <w:pPr>
        <w:shd w:val="clear" w:color="auto" w:fill="FFFFFF"/>
        <w:tabs>
          <w:tab w:val="center" w:pos="4135"/>
        </w:tabs>
        <w:spacing w:after="0" w:line="240" w:lineRule="auto"/>
        <w:jc w:val="both"/>
        <w:textAlignment w:val="baseline"/>
        <w:rPr>
          <w:sz w:val="22"/>
        </w:rPr>
      </w:pPr>
    </w:p>
    <w:p w:rsidR="00095502" w:rsidRDefault="00095502" w:rsidP="008848B9">
      <w:pPr>
        <w:shd w:val="clear" w:color="auto" w:fill="FFFFFF"/>
        <w:tabs>
          <w:tab w:val="center" w:pos="4135"/>
        </w:tabs>
        <w:spacing w:after="0" w:line="240" w:lineRule="auto"/>
        <w:jc w:val="both"/>
        <w:textAlignment w:val="baseline"/>
        <w:rPr>
          <w:sz w:val="22"/>
        </w:rPr>
      </w:pPr>
    </w:p>
    <w:p w:rsidR="00D926E8" w:rsidRDefault="00D926E8" w:rsidP="008848B9">
      <w:pPr>
        <w:shd w:val="clear" w:color="auto" w:fill="FFFFFF"/>
        <w:tabs>
          <w:tab w:val="center" w:pos="4135"/>
        </w:tabs>
        <w:spacing w:after="0" w:line="240" w:lineRule="auto"/>
        <w:jc w:val="both"/>
        <w:textAlignment w:val="baseline"/>
        <w:rPr>
          <w:sz w:val="22"/>
        </w:rPr>
      </w:pPr>
      <w:r>
        <w:rPr>
          <w:sz w:val="22"/>
        </w:rPr>
        <w:t xml:space="preserve">A continuación des describirán los principales hallazgos obtenidos en algunas de las visitas a centros de reclusión transitoria en el país:  </w:t>
      </w:r>
    </w:p>
    <w:p w:rsidR="00D926E8" w:rsidRDefault="00D926E8" w:rsidP="008848B9">
      <w:pPr>
        <w:shd w:val="clear" w:color="auto" w:fill="FFFFFF"/>
        <w:tabs>
          <w:tab w:val="center" w:pos="4135"/>
        </w:tabs>
        <w:spacing w:after="0" w:line="240" w:lineRule="auto"/>
        <w:jc w:val="both"/>
        <w:textAlignment w:val="baseline"/>
        <w:rPr>
          <w:sz w:val="22"/>
        </w:rPr>
      </w:pPr>
    </w:p>
    <w:p w:rsidR="00D926E8" w:rsidRPr="00D926E8" w:rsidRDefault="00D926E8" w:rsidP="008848B9">
      <w:pPr>
        <w:shd w:val="clear" w:color="auto" w:fill="FFFFFF"/>
        <w:tabs>
          <w:tab w:val="center" w:pos="4135"/>
        </w:tabs>
        <w:spacing w:after="0" w:line="240" w:lineRule="auto"/>
        <w:jc w:val="both"/>
        <w:textAlignment w:val="baseline"/>
        <w:rPr>
          <w:b/>
          <w:sz w:val="22"/>
        </w:rPr>
      </w:pPr>
      <w:r w:rsidRPr="00D926E8">
        <w:rPr>
          <w:b/>
          <w:sz w:val="22"/>
        </w:rPr>
        <w:t>II.3.1.</w:t>
      </w:r>
      <w:r w:rsidR="00C8286E">
        <w:rPr>
          <w:b/>
          <w:sz w:val="22"/>
        </w:rPr>
        <w:t xml:space="preserve"> Riohacha, Guajira: </w:t>
      </w:r>
    </w:p>
    <w:p w:rsidR="00D926E8" w:rsidRDefault="00D926E8" w:rsidP="008848B9">
      <w:pPr>
        <w:shd w:val="clear" w:color="auto" w:fill="FFFFFF"/>
        <w:tabs>
          <w:tab w:val="center" w:pos="4135"/>
        </w:tabs>
        <w:spacing w:after="0" w:line="240" w:lineRule="auto"/>
        <w:jc w:val="both"/>
        <w:textAlignment w:val="baseline"/>
        <w:rPr>
          <w:sz w:val="22"/>
        </w:rPr>
      </w:pPr>
    </w:p>
    <w:p w:rsidR="004502E1" w:rsidRDefault="009F380F" w:rsidP="008848B9">
      <w:pPr>
        <w:shd w:val="clear" w:color="auto" w:fill="FFFFFF"/>
        <w:tabs>
          <w:tab w:val="center" w:pos="4135"/>
        </w:tabs>
        <w:spacing w:after="0" w:line="240" w:lineRule="auto"/>
        <w:jc w:val="both"/>
        <w:textAlignment w:val="baseline"/>
        <w:rPr>
          <w:sz w:val="22"/>
        </w:rPr>
      </w:pPr>
      <w:r w:rsidRPr="008848B9">
        <w:rPr>
          <w:sz w:val="22"/>
        </w:rPr>
        <w:t>E</w:t>
      </w:r>
      <w:r w:rsidR="00A23A93" w:rsidRPr="008848B9">
        <w:rPr>
          <w:sz w:val="22"/>
        </w:rPr>
        <w:t>l</w:t>
      </w:r>
      <w:r w:rsidR="00EC52DC">
        <w:rPr>
          <w:sz w:val="22"/>
        </w:rPr>
        <w:t xml:space="preserve"> día 2 de diciembre de 2016</w:t>
      </w:r>
      <w:r w:rsidR="00A23A93" w:rsidRPr="008848B9">
        <w:rPr>
          <w:sz w:val="22"/>
        </w:rPr>
        <w:t>, asesores de la Delegada de Política Criminal y Penitenciaria de la Defensoría del Pueblo se trasladaron a la ciudad de Riohacha Guajira con el fin de brindar el acompañamiento a la visita de los H. Senadores JOSÉ OBDU</w:t>
      </w:r>
      <w:r w:rsidR="00C8286E">
        <w:rPr>
          <w:sz w:val="22"/>
        </w:rPr>
        <w:t>LIO GAVIRIA</w:t>
      </w:r>
      <w:r w:rsidR="00A23A93" w:rsidRPr="008848B9">
        <w:rPr>
          <w:sz w:val="22"/>
        </w:rPr>
        <w:t>, MANUEL ENRÍQUEZ ROSERO y JESÚS ALBERTO CASTILLA.</w:t>
      </w:r>
    </w:p>
    <w:p w:rsidR="005E4BF1" w:rsidRPr="008848B9" w:rsidRDefault="005E4BF1" w:rsidP="008848B9">
      <w:pPr>
        <w:shd w:val="clear" w:color="auto" w:fill="FFFFFF"/>
        <w:tabs>
          <w:tab w:val="center" w:pos="4135"/>
        </w:tabs>
        <w:spacing w:after="0" w:line="240" w:lineRule="auto"/>
        <w:jc w:val="both"/>
        <w:textAlignment w:val="baseline"/>
        <w:rPr>
          <w:sz w:val="22"/>
        </w:rPr>
      </w:pPr>
    </w:p>
    <w:p w:rsidR="00082DC6" w:rsidRPr="008848B9" w:rsidRDefault="00082DC6" w:rsidP="008848B9">
      <w:pPr>
        <w:shd w:val="clear" w:color="auto" w:fill="FFFFFF"/>
        <w:tabs>
          <w:tab w:val="center" w:pos="4135"/>
        </w:tabs>
        <w:spacing w:after="0" w:line="240" w:lineRule="auto"/>
        <w:jc w:val="both"/>
        <w:textAlignment w:val="baseline"/>
        <w:rPr>
          <w:sz w:val="22"/>
        </w:rPr>
      </w:pPr>
      <w:r w:rsidRPr="008848B9">
        <w:rPr>
          <w:sz w:val="22"/>
        </w:rPr>
        <w:t>La primera actividad de la visita consistió en un recorrido por la Estación de Policía</w:t>
      </w:r>
      <w:r w:rsidR="00EC52DC">
        <w:rPr>
          <w:sz w:val="22"/>
        </w:rPr>
        <w:t xml:space="preserve"> de la ciudad de Riohacha</w:t>
      </w:r>
      <w:r w:rsidR="00EA723B">
        <w:rPr>
          <w:sz w:val="22"/>
        </w:rPr>
        <w:t xml:space="preserve"> q</w:t>
      </w:r>
      <w:r w:rsidR="00EA723B">
        <w:rPr>
          <w:sz w:val="22"/>
        </w:rPr>
        <w:tab/>
      </w:r>
      <w:proofErr w:type="spellStart"/>
      <w:r w:rsidR="00EA723B">
        <w:rPr>
          <w:sz w:val="22"/>
        </w:rPr>
        <w:t>ue</w:t>
      </w:r>
      <w:proofErr w:type="spellEnd"/>
      <w:r w:rsidR="00EA723B">
        <w:rPr>
          <w:sz w:val="22"/>
        </w:rPr>
        <w:t xml:space="preserve"> tiene una capacidad para albergar a 27 personas y contaba para la fecha de la visita con </w:t>
      </w:r>
      <w:r w:rsidR="00A83E83" w:rsidRPr="008848B9">
        <w:rPr>
          <w:sz w:val="22"/>
        </w:rPr>
        <w:t>cien</w:t>
      </w:r>
      <w:r w:rsidRPr="008848B9">
        <w:rPr>
          <w:sz w:val="22"/>
        </w:rPr>
        <w:t xml:space="preserve"> </w:t>
      </w:r>
      <w:r w:rsidRPr="00C8286E">
        <w:rPr>
          <w:b/>
          <w:sz w:val="22"/>
          <w:u w:val="single"/>
        </w:rPr>
        <w:t>(</w:t>
      </w:r>
      <w:r w:rsidR="00A83E83" w:rsidRPr="00C8286E">
        <w:rPr>
          <w:b/>
          <w:sz w:val="22"/>
          <w:u w:val="single"/>
        </w:rPr>
        <w:t>100</w:t>
      </w:r>
      <w:r w:rsidRPr="00C8286E">
        <w:rPr>
          <w:b/>
          <w:sz w:val="22"/>
          <w:u w:val="single"/>
        </w:rPr>
        <w:t>)</w:t>
      </w:r>
      <w:r w:rsidRPr="008848B9">
        <w:rPr>
          <w:sz w:val="22"/>
        </w:rPr>
        <w:t xml:space="preserve"> </w:t>
      </w:r>
      <w:r w:rsidR="00EA723B" w:rsidRPr="008848B9">
        <w:rPr>
          <w:sz w:val="22"/>
        </w:rPr>
        <w:t>mujeres</w:t>
      </w:r>
      <w:r w:rsidR="00EA723B">
        <w:rPr>
          <w:sz w:val="22"/>
        </w:rPr>
        <w:t xml:space="preserve"> y hombres</w:t>
      </w:r>
      <w:r w:rsidR="00EA723B" w:rsidRPr="008848B9">
        <w:rPr>
          <w:sz w:val="22"/>
        </w:rPr>
        <w:t xml:space="preserve"> </w:t>
      </w:r>
      <w:r w:rsidRPr="008848B9">
        <w:rPr>
          <w:sz w:val="22"/>
        </w:rPr>
        <w:t xml:space="preserve">personas detenidas, hombres y, sin distinción alguna, distribuidas en dos celdas en pésimas condiciones de salubridad y otras ubicadas en un planchón cercado con vallas de contención de la Policía.  </w:t>
      </w:r>
    </w:p>
    <w:p w:rsidR="004502E1" w:rsidRPr="008848B9" w:rsidRDefault="004502E1" w:rsidP="008848B9">
      <w:pPr>
        <w:shd w:val="clear" w:color="auto" w:fill="FFFFFF"/>
        <w:tabs>
          <w:tab w:val="center" w:pos="4135"/>
        </w:tabs>
        <w:spacing w:after="0" w:line="240" w:lineRule="auto"/>
        <w:jc w:val="both"/>
        <w:textAlignment w:val="baseline"/>
        <w:rPr>
          <w:sz w:val="22"/>
        </w:rPr>
      </w:pPr>
    </w:p>
    <w:p w:rsidR="00082DC6" w:rsidRPr="00C8286E" w:rsidRDefault="00082DC6" w:rsidP="008848B9">
      <w:pPr>
        <w:shd w:val="clear" w:color="auto" w:fill="FFFFFF"/>
        <w:tabs>
          <w:tab w:val="center" w:pos="4135"/>
        </w:tabs>
        <w:spacing w:after="0" w:line="240" w:lineRule="auto"/>
        <w:jc w:val="both"/>
        <w:textAlignment w:val="baseline"/>
        <w:rPr>
          <w:b/>
          <w:sz w:val="22"/>
          <w:u w:val="single"/>
        </w:rPr>
      </w:pPr>
      <w:r w:rsidRPr="00C8286E">
        <w:rPr>
          <w:b/>
          <w:sz w:val="22"/>
          <w:u w:val="single"/>
        </w:rPr>
        <w:t xml:space="preserve">Los internos no reciben la luz del sol, y no cuentan por supuesto con la infraestructura necesaria para las satisfacciones de sus necesidades. </w:t>
      </w:r>
    </w:p>
    <w:p w:rsidR="005E4BF1" w:rsidRPr="008848B9" w:rsidRDefault="005E4BF1" w:rsidP="008848B9">
      <w:pPr>
        <w:shd w:val="clear" w:color="auto" w:fill="FFFFFF"/>
        <w:tabs>
          <w:tab w:val="center" w:pos="4135"/>
        </w:tabs>
        <w:spacing w:after="0" w:line="240" w:lineRule="auto"/>
        <w:jc w:val="both"/>
        <w:textAlignment w:val="baseline"/>
        <w:rPr>
          <w:sz w:val="22"/>
        </w:rPr>
      </w:pPr>
    </w:p>
    <w:p w:rsidR="00082DC6" w:rsidRDefault="00082DC6" w:rsidP="008848B9">
      <w:pPr>
        <w:shd w:val="clear" w:color="auto" w:fill="FFFFFF"/>
        <w:tabs>
          <w:tab w:val="center" w:pos="4135"/>
        </w:tabs>
        <w:spacing w:after="0" w:line="240" w:lineRule="auto"/>
        <w:jc w:val="both"/>
        <w:textAlignment w:val="baseline"/>
        <w:rPr>
          <w:sz w:val="22"/>
        </w:rPr>
      </w:pPr>
      <w:r w:rsidRPr="008848B9">
        <w:rPr>
          <w:sz w:val="22"/>
        </w:rPr>
        <w:t xml:space="preserve">En la visita se pudo constatar que hay personas que llevan recluidas en las celdas de la estación por un </w:t>
      </w:r>
      <w:r w:rsidRPr="00C8286E">
        <w:rPr>
          <w:b/>
          <w:sz w:val="22"/>
          <w:u w:val="single"/>
        </w:rPr>
        <w:t>término superior a un (1) año</w:t>
      </w:r>
      <w:r w:rsidR="00A83E83" w:rsidRPr="008848B9">
        <w:rPr>
          <w:sz w:val="22"/>
        </w:rPr>
        <w:t xml:space="preserve">, sometidas a fuertes temperaturas día a día. </w:t>
      </w:r>
    </w:p>
    <w:p w:rsidR="005E4BF1" w:rsidRDefault="005E4BF1" w:rsidP="008848B9">
      <w:pPr>
        <w:shd w:val="clear" w:color="auto" w:fill="FFFFFF"/>
        <w:tabs>
          <w:tab w:val="center" w:pos="4135"/>
        </w:tabs>
        <w:spacing w:after="0" w:line="240" w:lineRule="auto"/>
        <w:jc w:val="both"/>
        <w:textAlignment w:val="baseline"/>
        <w:rPr>
          <w:sz w:val="22"/>
        </w:rPr>
      </w:pPr>
    </w:p>
    <w:p w:rsidR="00351F4A" w:rsidRDefault="00237EC2" w:rsidP="008848B9">
      <w:pPr>
        <w:shd w:val="clear" w:color="auto" w:fill="FFFFFF"/>
        <w:tabs>
          <w:tab w:val="center" w:pos="4135"/>
        </w:tabs>
        <w:spacing w:after="0" w:line="240" w:lineRule="auto"/>
        <w:jc w:val="both"/>
        <w:textAlignment w:val="baseline"/>
        <w:rPr>
          <w:b/>
          <w:sz w:val="22"/>
        </w:rPr>
      </w:pPr>
      <w:r>
        <w:rPr>
          <w:b/>
          <w:sz w:val="22"/>
        </w:rPr>
        <w:t>II.3.2</w:t>
      </w:r>
      <w:r w:rsidRPr="00D926E8">
        <w:rPr>
          <w:b/>
          <w:sz w:val="22"/>
        </w:rPr>
        <w:t>.</w:t>
      </w:r>
      <w:r w:rsidR="00351F4A">
        <w:rPr>
          <w:b/>
          <w:sz w:val="22"/>
        </w:rPr>
        <w:t xml:space="preserve"> </w:t>
      </w:r>
      <w:r w:rsidR="00351F4A" w:rsidRPr="00351F4A">
        <w:rPr>
          <w:b/>
          <w:sz w:val="22"/>
        </w:rPr>
        <w:t>Valledupar, César</w:t>
      </w:r>
      <w:r w:rsidR="009407FF">
        <w:rPr>
          <w:b/>
          <w:sz w:val="22"/>
        </w:rPr>
        <w:t>. Visita nocturna</w:t>
      </w:r>
      <w:r w:rsidR="00351F4A">
        <w:rPr>
          <w:b/>
          <w:sz w:val="22"/>
        </w:rPr>
        <w:t xml:space="preserve">: </w:t>
      </w:r>
    </w:p>
    <w:p w:rsidR="00237EC2" w:rsidRPr="00351F4A" w:rsidRDefault="00237EC2" w:rsidP="008848B9">
      <w:pPr>
        <w:shd w:val="clear" w:color="auto" w:fill="FFFFFF"/>
        <w:tabs>
          <w:tab w:val="center" w:pos="4135"/>
        </w:tabs>
        <w:spacing w:after="0" w:line="240" w:lineRule="auto"/>
        <w:jc w:val="both"/>
        <w:textAlignment w:val="baseline"/>
        <w:rPr>
          <w:b/>
          <w:sz w:val="22"/>
        </w:rPr>
      </w:pPr>
      <w:r w:rsidRPr="00351F4A">
        <w:rPr>
          <w:b/>
          <w:sz w:val="22"/>
        </w:rPr>
        <w:t xml:space="preserve"> </w:t>
      </w:r>
    </w:p>
    <w:p w:rsidR="00D41E53" w:rsidRDefault="00D41E53" w:rsidP="008848B9">
      <w:pPr>
        <w:spacing w:after="0" w:line="240" w:lineRule="auto"/>
        <w:jc w:val="both"/>
        <w:rPr>
          <w:sz w:val="22"/>
        </w:rPr>
      </w:pPr>
      <w:r w:rsidRPr="008848B9">
        <w:rPr>
          <w:sz w:val="22"/>
        </w:rPr>
        <w:t xml:space="preserve">El día </w:t>
      </w:r>
      <w:r w:rsidR="009407FF">
        <w:rPr>
          <w:sz w:val="22"/>
        </w:rPr>
        <w:t>jueves 23 de junio de 2016</w:t>
      </w:r>
      <w:r w:rsidRPr="008848B9">
        <w:rPr>
          <w:sz w:val="22"/>
        </w:rPr>
        <w:t xml:space="preserve"> se realizó visita de inspección nocturna a la Estación de Policía permanente de </w:t>
      </w:r>
      <w:r w:rsidR="009407FF">
        <w:rPr>
          <w:sz w:val="22"/>
        </w:rPr>
        <w:t xml:space="preserve">la ciudad de Valledupar. </w:t>
      </w:r>
      <w:r w:rsidRPr="008848B9">
        <w:rPr>
          <w:sz w:val="22"/>
        </w:rPr>
        <w:t xml:space="preserve">Esta visita tenía por objeto verificar las diferentes condiciones de reclusión de las personas allí privadas de la libertad y obtener un panorama real de su situación en las horas de descanso nocturno; en la misma participaron el Ministerio de Justicia y del Derecho, la Personería Municipal de Valledupar, el INPEC y la Defensoría del Pueblo.  </w:t>
      </w:r>
    </w:p>
    <w:p w:rsidR="00844CDC" w:rsidRPr="008848B9" w:rsidRDefault="00844CDC" w:rsidP="008848B9">
      <w:pPr>
        <w:spacing w:after="0" w:line="240" w:lineRule="auto"/>
        <w:jc w:val="both"/>
        <w:rPr>
          <w:sz w:val="22"/>
        </w:rPr>
      </w:pPr>
    </w:p>
    <w:p w:rsidR="00D41E53" w:rsidRPr="008848B9" w:rsidRDefault="00D41E53" w:rsidP="008848B9">
      <w:pPr>
        <w:spacing w:after="0" w:line="240" w:lineRule="auto"/>
        <w:jc w:val="both"/>
        <w:rPr>
          <w:sz w:val="22"/>
        </w:rPr>
      </w:pPr>
      <w:r w:rsidRPr="008848B9">
        <w:rPr>
          <w:sz w:val="22"/>
        </w:rPr>
        <w:t xml:space="preserve">La visita de inspección se llevó a cabo de 10:00 p.m. a 11:00 p.m., logrando evidenciar las deplorables condiciones de reclusión en las que se encuentra la PPL, dicha situación pudo ser observada por cada uno de los funcionarios de la comisión.    </w:t>
      </w:r>
    </w:p>
    <w:p w:rsidR="009407FF" w:rsidRDefault="009407FF" w:rsidP="008848B9">
      <w:pPr>
        <w:spacing w:after="0" w:line="240" w:lineRule="auto"/>
        <w:jc w:val="both"/>
        <w:rPr>
          <w:sz w:val="22"/>
        </w:rPr>
      </w:pPr>
    </w:p>
    <w:p w:rsidR="009407FF" w:rsidRDefault="009407FF" w:rsidP="008848B9">
      <w:pPr>
        <w:spacing w:after="0" w:line="240" w:lineRule="auto"/>
        <w:jc w:val="both"/>
        <w:rPr>
          <w:sz w:val="22"/>
        </w:rPr>
      </w:pPr>
    </w:p>
    <w:p w:rsidR="00D41E53" w:rsidRDefault="00D41E53" w:rsidP="008848B9">
      <w:pPr>
        <w:spacing w:after="0" w:line="240" w:lineRule="auto"/>
        <w:jc w:val="both"/>
        <w:rPr>
          <w:sz w:val="22"/>
        </w:rPr>
      </w:pPr>
      <w:r w:rsidRPr="008848B9">
        <w:rPr>
          <w:sz w:val="22"/>
        </w:rPr>
        <w:t xml:space="preserve">En particular, se destacan los siguientes hallazgos: </w:t>
      </w:r>
    </w:p>
    <w:p w:rsidR="00844CDC" w:rsidRPr="008848B9" w:rsidRDefault="00844CDC" w:rsidP="008848B9">
      <w:pPr>
        <w:spacing w:after="0" w:line="240" w:lineRule="auto"/>
        <w:jc w:val="both"/>
        <w:rPr>
          <w:sz w:val="22"/>
        </w:rPr>
      </w:pPr>
    </w:p>
    <w:p w:rsidR="00D41E53" w:rsidRDefault="00D41E53" w:rsidP="008848B9">
      <w:pPr>
        <w:shd w:val="clear" w:color="auto" w:fill="FFFFFF"/>
        <w:tabs>
          <w:tab w:val="center" w:pos="4135"/>
        </w:tabs>
        <w:spacing w:after="0" w:line="240" w:lineRule="auto"/>
        <w:jc w:val="both"/>
        <w:textAlignment w:val="baseline"/>
        <w:rPr>
          <w:sz w:val="22"/>
        </w:rPr>
      </w:pPr>
      <w:r w:rsidRPr="008848B9">
        <w:rPr>
          <w:sz w:val="22"/>
        </w:rPr>
        <w:t xml:space="preserve">La situación de hacinamiento al interior de la estación de policía era de tal gravedad que reflejaba un </w:t>
      </w:r>
      <w:r w:rsidRPr="008848B9">
        <w:rPr>
          <w:b/>
          <w:sz w:val="22"/>
          <w:u w:val="single"/>
        </w:rPr>
        <w:t>índice de hacinamiento del 870%.</w:t>
      </w:r>
      <w:r w:rsidRPr="008848B9">
        <w:rPr>
          <w:sz w:val="22"/>
        </w:rPr>
        <w:t xml:space="preserve"> Esta estación de Policía fue diseñada para albergar un total de </w:t>
      </w:r>
      <w:r w:rsidRPr="008848B9">
        <w:rPr>
          <w:b/>
          <w:sz w:val="22"/>
          <w:u w:val="single"/>
        </w:rPr>
        <w:t>20 personas</w:t>
      </w:r>
      <w:r w:rsidRPr="008848B9">
        <w:rPr>
          <w:sz w:val="22"/>
        </w:rPr>
        <w:t xml:space="preserve"> y a la fecha de la visita tenía recluidas </w:t>
      </w:r>
      <w:r w:rsidRPr="008848B9">
        <w:rPr>
          <w:b/>
          <w:sz w:val="22"/>
          <w:u w:val="single"/>
        </w:rPr>
        <w:t>193</w:t>
      </w:r>
      <w:r w:rsidRPr="008848B9">
        <w:rPr>
          <w:sz w:val="22"/>
        </w:rPr>
        <w:t xml:space="preserve">, es decir, un sobrecupo de </w:t>
      </w:r>
      <w:r w:rsidRPr="008848B9">
        <w:rPr>
          <w:b/>
          <w:sz w:val="22"/>
        </w:rPr>
        <w:t>174 personas</w:t>
      </w:r>
      <w:r w:rsidRPr="008848B9">
        <w:rPr>
          <w:sz w:val="22"/>
        </w:rPr>
        <w:t>. El espacio vital en estas locaciones apenas alcanzaba unos cuantos centímetros cuadrados, además, los reclusos tenían acceso a una sola batería sanitaria que no funcionaba, viéndose forzados a hacer sus necesidades fisiológicas en botellas y bolsas plásticas.</w:t>
      </w:r>
    </w:p>
    <w:p w:rsidR="00844CDC" w:rsidRPr="008848B9" w:rsidRDefault="00844CDC" w:rsidP="008848B9">
      <w:pPr>
        <w:shd w:val="clear" w:color="auto" w:fill="FFFFFF"/>
        <w:tabs>
          <w:tab w:val="center" w:pos="4135"/>
        </w:tabs>
        <w:spacing w:after="0" w:line="240" w:lineRule="auto"/>
        <w:jc w:val="both"/>
        <w:textAlignment w:val="baseline"/>
        <w:rPr>
          <w:sz w:val="22"/>
        </w:rPr>
      </w:pPr>
    </w:p>
    <w:p w:rsidR="00D41E53" w:rsidRDefault="00D41E53" w:rsidP="008848B9">
      <w:pPr>
        <w:spacing w:after="0" w:line="240" w:lineRule="auto"/>
        <w:jc w:val="both"/>
        <w:rPr>
          <w:sz w:val="22"/>
        </w:rPr>
      </w:pPr>
      <w:r w:rsidRPr="008848B9">
        <w:rPr>
          <w:sz w:val="22"/>
        </w:rPr>
        <w:t>La situación resulta incluso más apremiante, si se considera que en esta estación habían ciudadanos recluidos durante meses, incluso se evidenció el caso una persona que llevaba privada de la libertad un (1) año.</w:t>
      </w:r>
    </w:p>
    <w:p w:rsidR="00844CDC" w:rsidRPr="008848B9" w:rsidRDefault="00844CDC" w:rsidP="008848B9">
      <w:pPr>
        <w:spacing w:after="0" w:line="240" w:lineRule="auto"/>
        <w:jc w:val="both"/>
        <w:rPr>
          <w:sz w:val="22"/>
        </w:rPr>
      </w:pPr>
    </w:p>
    <w:p w:rsidR="00B76222" w:rsidRDefault="00B76222" w:rsidP="008848B9">
      <w:pPr>
        <w:shd w:val="clear" w:color="auto" w:fill="FFFFFF"/>
        <w:tabs>
          <w:tab w:val="center" w:pos="4135"/>
        </w:tabs>
        <w:spacing w:after="0" w:line="240" w:lineRule="auto"/>
        <w:jc w:val="both"/>
        <w:textAlignment w:val="baseline"/>
        <w:rPr>
          <w:b/>
          <w:sz w:val="22"/>
        </w:rPr>
      </w:pPr>
      <w:r>
        <w:rPr>
          <w:b/>
          <w:sz w:val="22"/>
        </w:rPr>
        <w:t>II.3.3</w:t>
      </w:r>
      <w:r w:rsidRPr="00D926E8">
        <w:rPr>
          <w:b/>
          <w:sz w:val="22"/>
        </w:rPr>
        <w:t>.</w:t>
      </w:r>
      <w:r>
        <w:rPr>
          <w:b/>
          <w:sz w:val="22"/>
        </w:rPr>
        <w:t xml:space="preserve"> </w:t>
      </w:r>
      <w:r w:rsidRPr="00B76222">
        <w:rPr>
          <w:b/>
          <w:sz w:val="22"/>
        </w:rPr>
        <w:t>Bucaramanga, Santander:</w:t>
      </w:r>
      <w:r>
        <w:rPr>
          <w:b/>
          <w:sz w:val="22"/>
        </w:rPr>
        <w:t xml:space="preserve"> </w:t>
      </w:r>
    </w:p>
    <w:p w:rsidR="00B76222" w:rsidRDefault="00B76222" w:rsidP="008848B9">
      <w:pPr>
        <w:shd w:val="clear" w:color="auto" w:fill="FFFFFF"/>
        <w:tabs>
          <w:tab w:val="center" w:pos="4135"/>
        </w:tabs>
        <w:spacing w:after="0" w:line="240" w:lineRule="auto"/>
        <w:jc w:val="both"/>
        <w:textAlignment w:val="baseline"/>
        <w:rPr>
          <w:b/>
          <w:sz w:val="22"/>
        </w:rPr>
      </w:pPr>
    </w:p>
    <w:p w:rsidR="000A0958" w:rsidRDefault="00011B04" w:rsidP="008848B9">
      <w:pPr>
        <w:shd w:val="clear" w:color="auto" w:fill="FFFFFF"/>
        <w:tabs>
          <w:tab w:val="center" w:pos="4135"/>
        </w:tabs>
        <w:spacing w:after="0" w:line="240" w:lineRule="auto"/>
        <w:jc w:val="both"/>
        <w:textAlignment w:val="baseline"/>
        <w:rPr>
          <w:sz w:val="22"/>
        </w:rPr>
      </w:pPr>
      <w:r w:rsidRPr="008848B9">
        <w:rPr>
          <w:sz w:val="22"/>
        </w:rPr>
        <w:t xml:space="preserve">Igual situación se presenta en las Estaciones de Policía y URIS de la </w:t>
      </w:r>
      <w:r w:rsidR="000A0958" w:rsidRPr="008848B9">
        <w:rPr>
          <w:sz w:val="22"/>
        </w:rPr>
        <w:t xml:space="preserve">ciudad de Bucaramanga. En visita de inspección realizada por servidores de la Defensoría Regional Santander los días 3, </w:t>
      </w:r>
      <w:r w:rsidR="00B76222">
        <w:rPr>
          <w:sz w:val="22"/>
        </w:rPr>
        <w:t>4 y 5 de agosto del 2016</w:t>
      </w:r>
      <w:r w:rsidR="000A0958" w:rsidRPr="008848B9">
        <w:rPr>
          <w:sz w:val="22"/>
        </w:rPr>
        <w:t xml:space="preserve"> a las personas privadas de la libertad en las estaciones de policía del área metropolitana de Bucaramanga se pudo constatar lo siguiente: </w:t>
      </w:r>
    </w:p>
    <w:p w:rsidR="00844CDC" w:rsidRPr="008848B9" w:rsidRDefault="00844CDC" w:rsidP="008848B9">
      <w:pPr>
        <w:shd w:val="clear" w:color="auto" w:fill="FFFFFF"/>
        <w:tabs>
          <w:tab w:val="center" w:pos="4135"/>
        </w:tabs>
        <w:spacing w:after="0" w:line="240" w:lineRule="auto"/>
        <w:jc w:val="both"/>
        <w:textAlignment w:val="baseline"/>
        <w:rPr>
          <w:sz w:val="22"/>
        </w:rPr>
      </w:pPr>
    </w:p>
    <w:p w:rsidR="00D30A0F" w:rsidRDefault="00D30A0F" w:rsidP="008848B9">
      <w:pPr>
        <w:shd w:val="clear" w:color="auto" w:fill="FFFFFF"/>
        <w:tabs>
          <w:tab w:val="center" w:pos="4135"/>
        </w:tabs>
        <w:spacing w:after="0" w:line="240" w:lineRule="auto"/>
        <w:jc w:val="both"/>
        <w:textAlignment w:val="baseline"/>
        <w:rPr>
          <w:sz w:val="22"/>
        </w:rPr>
      </w:pPr>
      <w:r w:rsidRPr="008848B9">
        <w:rPr>
          <w:sz w:val="22"/>
        </w:rPr>
        <w:t>-</w:t>
      </w:r>
      <w:r w:rsidR="000A0958" w:rsidRPr="00577985">
        <w:rPr>
          <w:b/>
          <w:sz w:val="22"/>
        </w:rPr>
        <w:t>Estación del Norte:</w:t>
      </w:r>
      <w:r w:rsidR="000A0958" w:rsidRPr="008848B9">
        <w:rPr>
          <w:sz w:val="22"/>
        </w:rPr>
        <w:t xml:space="preserve"> Según informó la regional, a la fecha se encontraban recluidas 128 personas, 84 en tres celdas de 12</w:t>
      </w:r>
      <w:r w:rsidRPr="008848B9">
        <w:rPr>
          <w:sz w:val="22"/>
        </w:rPr>
        <w:t xml:space="preserve"> m</w:t>
      </w:r>
      <w:r w:rsidRPr="008848B9">
        <w:rPr>
          <w:sz w:val="22"/>
          <w:vertAlign w:val="superscript"/>
        </w:rPr>
        <w:t xml:space="preserve">2 </w:t>
      </w:r>
      <w:r w:rsidRPr="008848B9">
        <w:rPr>
          <w:sz w:val="22"/>
        </w:rPr>
        <w:t>cada una; y los 44 restantes en un patio cubierto de 400 m</w:t>
      </w:r>
      <w:r w:rsidRPr="008848B9">
        <w:rPr>
          <w:sz w:val="22"/>
          <w:vertAlign w:val="superscript"/>
        </w:rPr>
        <w:t xml:space="preserve">2 </w:t>
      </w:r>
      <w:r w:rsidRPr="008848B9">
        <w:rPr>
          <w:sz w:val="22"/>
        </w:rPr>
        <w:t xml:space="preserve">aproximadamente dividido en varios “corrales” separados unos de otros por vallas que usa la policía en eventos públicos. Una batería sanitaria por celda, ducha y lavamanos, lo que se traduce en una por cada 42 internos. </w:t>
      </w:r>
    </w:p>
    <w:p w:rsidR="00844CDC" w:rsidRPr="008848B9" w:rsidRDefault="00844CDC" w:rsidP="008848B9">
      <w:pPr>
        <w:shd w:val="clear" w:color="auto" w:fill="FFFFFF"/>
        <w:tabs>
          <w:tab w:val="center" w:pos="4135"/>
        </w:tabs>
        <w:spacing w:after="0" w:line="240" w:lineRule="auto"/>
        <w:jc w:val="both"/>
        <w:textAlignment w:val="baseline"/>
        <w:rPr>
          <w:sz w:val="22"/>
        </w:rPr>
      </w:pPr>
    </w:p>
    <w:p w:rsidR="00D30A0F" w:rsidRDefault="00D30A0F" w:rsidP="008848B9">
      <w:pPr>
        <w:shd w:val="clear" w:color="auto" w:fill="FFFFFF"/>
        <w:tabs>
          <w:tab w:val="center" w:pos="4135"/>
        </w:tabs>
        <w:spacing w:after="0" w:line="240" w:lineRule="auto"/>
        <w:jc w:val="both"/>
        <w:textAlignment w:val="baseline"/>
        <w:rPr>
          <w:sz w:val="22"/>
        </w:rPr>
      </w:pPr>
      <w:r w:rsidRPr="008848B9">
        <w:rPr>
          <w:sz w:val="22"/>
        </w:rPr>
        <w:t>El suministro de elementos de aseo, depende de la buena voluntad de los familiares de los internos. Los internos duermen en hamacas, unos en colchonetas y otros en el suelo.</w:t>
      </w:r>
    </w:p>
    <w:p w:rsidR="00577985" w:rsidRPr="008848B9" w:rsidRDefault="00577985" w:rsidP="008848B9">
      <w:pPr>
        <w:shd w:val="clear" w:color="auto" w:fill="FFFFFF"/>
        <w:tabs>
          <w:tab w:val="center" w:pos="4135"/>
        </w:tabs>
        <w:spacing w:after="0" w:line="240" w:lineRule="auto"/>
        <w:jc w:val="both"/>
        <w:textAlignment w:val="baseline"/>
        <w:rPr>
          <w:sz w:val="22"/>
        </w:rPr>
      </w:pPr>
    </w:p>
    <w:p w:rsidR="00D30A0F" w:rsidRDefault="00D30A0F" w:rsidP="008848B9">
      <w:pPr>
        <w:shd w:val="clear" w:color="auto" w:fill="FFFFFF"/>
        <w:tabs>
          <w:tab w:val="center" w:pos="4135"/>
        </w:tabs>
        <w:spacing w:after="0" w:line="240" w:lineRule="auto"/>
        <w:jc w:val="both"/>
        <w:textAlignment w:val="baseline"/>
        <w:rPr>
          <w:sz w:val="22"/>
        </w:rPr>
      </w:pPr>
      <w:r w:rsidRPr="008848B9">
        <w:rPr>
          <w:sz w:val="22"/>
        </w:rPr>
        <w:t>-</w:t>
      </w:r>
      <w:r w:rsidRPr="00577985">
        <w:rPr>
          <w:b/>
          <w:sz w:val="22"/>
        </w:rPr>
        <w:t>Estación del Centro:</w:t>
      </w:r>
      <w:r w:rsidRPr="008848B9">
        <w:rPr>
          <w:sz w:val="22"/>
        </w:rPr>
        <w:t xml:space="preserve"> A la fecha se encontraban 92 internos recluidos en dos salones, la mayoría de estos durmiendo en colchonetas en el suelo. </w:t>
      </w:r>
    </w:p>
    <w:p w:rsidR="00844CDC" w:rsidRPr="008848B9" w:rsidRDefault="00844CDC" w:rsidP="008848B9">
      <w:pPr>
        <w:shd w:val="clear" w:color="auto" w:fill="FFFFFF"/>
        <w:tabs>
          <w:tab w:val="center" w:pos="4135"/>
        </w:tabs>
        <w:spacing w:after="0" w:line="240" w:lineRule="auto"/>
        <w:jc w:val="both"/>
        <w:textAlignment w:val="baseline"/>
        <w:rPr>
          <w:sz w:val="22"/>
        </w:rPr>
      </w:pPr>
    </w:p>
    <w:p w:rsidR="00577985" w:rsidRDefault="00D30A0F" w:rsidP="008848B9">
      <w:pPr>
        <w:shd w:val="clear" w:color="auto" w:fill="FFFFFF"/>
        <w:tabs>
          <w:tab w:val="center" w:pos="4135"/>
        </w:tabs>
        <w:spacing w:after="0" w:line="240" w:lineRule="auto"/>
        <w:jc w:val="both"/>
        <w:textAlignment w:val="baseline"/>
        <w:rPr>
          <w:sz w:val="22"/>
        </w:rPr>
      </w:pPr>
      <w:r w:rsidRPr="008848B9">
        <w:rPr>
          <w:sz w:val="22"/>
        </w:rPr>
        <w:t xml:space="preserve">- </w:t>
      </w:r>
      <w:r w:rsidRPr="00577985">
        <w:rPr>
          <w:b/>
          <w:sz w:val="22"/>
        </w:rPr>
        <w:t>Estación de las Américas:</w:t>
      </w:r>
      <w:r w:rsidRPr="008848B9">
        <w:rPr>
          <w:sz w:val="22"/>
        </w:rPr>
        <w:t xml:space="preserve"> Informa la Regional que para la fecha se encontraban 12 internos en un espacio de 25 m</w:t>
      </w:r>
      <w:r w:rsidRPr="008848B9">
        <w:rPr>
          <w:sz w:val="22"/>
          <w:vertAlign w:val="superscript"/>
        </w:rPr>
        <w:t>2</w:t>
      </w:r>
      <w:r w:rsidRPr="008848B9">
        <w:rPr>
          <w:sz w:val="22"/>
        </w:rPr>
        <w:t xml:space="preserve"> durmiendo en el piso en colchonetas. </w:t>
      </w:r>
    </w:p>
    <w:p w:rsidR="000A0958" w:rsidRPr="008848B9" w:rsidRDefault="000A0958" w:rsidP="008848B9">
      <w:pPr>
        <w:shd w:val="clear" w:color="auto" w:fill="FFFFFF"/>
        <w:tabs>
          <w:tab w:val="center" w:pos="4135"/>
        </w:tabs>
        <w:spacing w:after="0" w:line="240" w:lineRule="auto"/>
        <w:jc w:val="both"/>
        <w:textAlignment w:val="baseline"/>
        <w:rPr>
          <w:sz w:val="22"/>
        </w:rPr>
      </w:pPr>
      <w:r w:rsidRPr="008848B9">
        <w:rPr>
          <w:sz w:val="22"/>
        </w:rPr>
        <w:tab/>
      </w:r>
    </w:p>
    <w:p w:rsidR="00D30A0F" w:rsidRDefault="00D30A0F" w:rsidP="008848B9">
      <w:pPr>
        <w:shd w:val="clear" w:color="auto" w:fill="FFFFFF"/>
        <w:tabs>
          <w:tab w:val="center" w:pos="4135"/>
        </w:tabs>
        <w:spacing w:after="0" w:line="240" w:lineRule="auto"/>
        <w:jc w:val="both"/>
        <w:textAlignment w:val="baseline"/>
        <w:rPr>
          <w:sz w:val="22"/>
        </w:rPr>
      </w:pPr>
      <w:r w:rsidRPr="008848B9">
        <w:rPr>
          <w:sz w:val="22"/>
        </w:rPr>
        <w:t xml:space="preserve">- </w:t>
      </w:r>
      <w:r w:rsidRPr="00577985">
        <w:rPr>
          <w:b/>
          <w:sz w:val="22"/>
        </w:rPr>
        <w:t>Estación de Girón:</w:t>
      </w:r>
      <w:r w:rsidRPr="008848B9">
        <w:rPr>
          <w:sz w:val="22"/>
        </w:rPr>
        <w:t xml:space="preserve"> 36 internos recluidos en tres celdas de 3x4 </w:t>
      </w:r>
      <w:proofErr w:type="spellStart"/>
      <w:r w:rsidRPr="008848B9">
        <w:rPr>
          <w:sz w:val="22"/>
        </w:rPr>
        <w:t>mts</w:t>
      </w:r>
      <w:proofErr w:type="spellEnd"/>
      <w:r w:rsidRPr="008848B9">
        <w:rPr>
          <w:sz w:val="22"/>
        </w:rPr>
        <w:t xml:space="preserve"> cada una. Señala la regional que son celdas construidas para una (1) sola persona. </w:t>
      </w:r>
    </w:p>
    <w:p w:rsidR="00577985" w:rsidRPr="008848B9" w:rsidRDefault="00577985" w:rsidP="008848B9">
      <w:pPr>
        <w:shd w:val="clear" w:color="auto" w:fill="FFFFFF"/>
        <w:tabs>
          <w:tab w:val="center" w:pos="4135"/>
        </w:tabs>
        <w:spacing w:after="0" w:line="240" w:lineRule="auto"/>
        <w:jc w:val="both"/>
        <w:textAlignment w:val="baseline"/>
        <w:rPr>
          <w:sz w:val="22"/>
        </w:rPr>
      </w:pPr>
    </w:p>
    <w:p w:rsidR="000A0958" w:rsidRDefault="004731EF" w:rsidP="008848B9">
      <w:pPr>
        <w:shd w:val="clear" w:color="auto" w:fill="FFFFFF"/>
        <w:tabs>
          <w:tab w:val="center" w:pos="4135"/>
        </w:tabs>
        <w:spacing w:after="0" w:line="240" w:lineRule="auto"/>
        <w:jc w:val="both"/>
        <w:textAlignment w:val="baseline"/>
        <w:rPr>
          <w:sz w:val="22"/>
        </w:rPr>
      </w:pPr>
      <w:r w:rsidRPr="008848B9">
        <w:rPr>
          <w:sz w:val="22"/>
        </w:rPr>
        <w:t xml:space="preserve">- </w:t>
      </w:r>
      <w:r w:rsidRPr="00577985">
        <w:rPr>
          <w:b/>
          <w:sz w:val="22"/>
        </w:rPr>
        <w:t>Estación de Policía la Cumbre:</w:t>
      </w:r>
      <w:r w:rsidRPr="008848B9">
        <w:rPr>
          <w:sz w:val="22"/>
        </w:rPr>
        <w:t xml:space="preserve"> 38 internos recluidos en 6 celdas de 4 mts</w:t>
      </w:r>
      <w:r w:rsidRPr="008848B9">
        <w:rPr>
          <w:sz w:val="22"/>
          <w:vertAlign w:val="superscript"/>
        </w:rPr>
        <w:t>2</w:t>
      </w:r>
      <w:r w:rsidRPr="008848B9">
        <w:rPr>
          <w:sz w:val="22"/>
        </w:rPr>
        <w:t xml:space="preserve"> con dos baterías en mal funcionamiento. </w:t>
      </w:r>
    </w:p>
    <w:p w:rsidR="00577985" w:rsidRPr="008848B9" w:rsidRDefault="00577985" w:rsidP="008848B9">
      <w:pPr>
        <w:shd w:val="clear" w:color="auto" w:fill="FFFFFF"/>
        <w:tabs>
          <w:tab w:val="center" w:pos="4135"/>
        </w:tabs>
        <w:spacing w:after="0" w:line="240" w:lineRule="auto"/>
        <w:jc w:val="both"/>
        <w:textAlignment w:val="baseline"/>
        <w:rPr>
          <w:sz w:val="22"/>
        </w:rPr>
      </w:pPr>
    </w:p>
    <w:p w:rsidR="004731EF" w:rsidRPr="008848B9" w:rsidRDefault="004731EF" w:rsidP="008848B9">
      <w:pPr>
        <w:shd w:val="clear" w:color="auto" w:fill="FFFFFF"/>
        <w:tabs>
          <w:tab w:val="center" w:pos="4135"/>
        </w:tabs>
        <w:spacing w:after="0" w:line="240" w:lineRule="auto"/>
        <w:jc w:val="both"/>
        <w:textAlignment w:val="baseline"/>
        <w:rPr>
          <w:sz w:val="22"/>
        </w:rPr>
      </w:pPr>
      <w:r w:rsidRPr="008848B9">
        <w:rPr>
          <w:sz w:val="22"/>
        </w:rPr>
        <w:t xml:space="preserve">- </w:t>
      </w:r>
      <w:r w:rsidRPr="00577985">
        <w:rPr>
          <w:b/>
          <w:sz w:val="22"/>
        </w:rPr>
        <w:t>Estación de Policía de Piedecuesta:</w:t>
      </w:r>
      <w:r w:rsidRPr="008848B9">
        <w:rPr>
          <w:sz w:val="22"/>
        </w:rPr>
        <w:t xml:space="preserve"> 20 inter</w:t>
      </w:r>
      <w:r w:rsidR="00577985">
        <w:rPr>
          <w:sz w:val="22"/>
        </w:rPr>
        <w:t xml:space="preserve">nos recluidos en celdas de 4x3 </w:t>
      </w:r>
      <w:r w:rsidRPr="008848B9">
        <w:rPr>
          <w:sz w:val="22"/>
        </w:rPr>
        <w:t xml:space="preserve">metros. </w:t>
      </w:r>
    </w:p>
    <w:p w:rsidR="004731EF" w:rsidRDefault="004731EF" w:rsidP="008848B9">
      <w:pPr>
        <w:shd w:val="clear" w:color="auto" w:fill="FFFFFF"/>
        <w:tabs>
          <w:tab w:val="center" w:pos="4135"/>
        </w:tabs>
        <w:spacing w:after="0" w:line="240" w:lineRule="auto"/>
        <w:jc w:val="both"/>
        <w:textAlignment w:val="baseline"/>
        <w:rPr>
          <w:sz w:val="22"/>
        </w:rPr>
      </w:pPr>
      <w:r w:rsidRPr="008848B9">
        <w:rPr>
          <w:sz w:val="22"/>
        </w:rPr>
        <w:lastRenderedPageBreak/>
        <w:t xml:space="preserve">Concluyó la Defensoría Regional que las estaciones son </w:t>
      </w:r>
      <w:r w:rsidRPr="008848B9">
        <w:rPr>
          <w:i/>
          <w:sz w:val="22"/>
        </w:rPr>
        <w:t>“literalmente jaulas en donde se amontonan desordenadamente seres humanos</w:t>
      </w:r>
      <w:r w:rsidRPr="008848B9">
        <w:rPr>
          <w:sz w:val="22"/>
        </w:rPr>
        <w:t xml:space="preserve">”, no cuentan con personal médico ni paramédico ni se suministra ningún tipo de medicamento. </w:t>
      </w:r>
    </w:p>
    <w:p w:rsidR="00372252" w:rsidRPr="008848B9" w:rsidRDefault="00372252" w:rsidP="008848B9">
      <w:pPr>
        <w:shd w:val="clear" w:color="auto" w:fill="FFFFFF"/>
        <w:tabs>
          <w:tab w:val="center" w:pos="4135"/>
        </w:tabs>
        <w:spacing w:after="0" w:line="240" w:lineRule="auto"/>
        <w:jc w:val="both"/>
        <w:textAlignment w:val="baseline"/>
        <w:rPr>
          <w:sz w:val="22"/>
        </w:rPr>
      </w:pPr>
    </w:p>
    <w:p w:rsidR="004731EF" w:rsidRDefault="004731EF" w:rsidP="008848B9">
      <w:pPr>
        <w:shd w:val="clear" w:color="auto" w:fill="FFFFFF"/>
        <w:tabs>
          <w:tab w:val="center" w:pos="4135"/>
        </w:tabs>
        <w:spacing w:after="0" w:line="240" w:lineRule="auto"/>
        <w:jc w:val="both"/>
        <w:textAlignment w:val="baseline"/>
        <w:rPr>
          <w:sz w:val="22"/>
        </w:rPr>
      </w:pPr>
      <w:r w:rsidRPr="008848B9">
        <w:rPr>
          <w:sz w:val="22"/>
        </w:rPr>
        <w:t xml:space="preserve">La Policía Nacional no está en condiciones de prestar el servicio de vigilancia y custodia; las condiciones de reclusión prolongadas atentan contra la autodeterminación, la readaptación y la resocialización; el encierro en jaulas, es un trato cruel, inhumano y degradante; el vestuario no se adecua a estándares mínimos de decoro personal; la falta de atención en salud genera riesgo para los internos y el personal de </w:t>
      </w:r>
      <w:r w:rsidR="007771A0" w:rsidRPr="008848B9">
        <w:rPr>
          <w:sz w:val="22"/>
        </w:rPr>
        <w:t>policía</w:t>
      </w:r>
      <w:r w:rsidRPr="008848B9">
        <w:rPr>
          <w:rStyle w:val="FootnoteReference"/>
          <w:sz w:val="22"/>
        </w:rPr>
        <w:footnoteReference w:id="4"/>
      </w:r>
      <w:r w:rsidR="007771A0" w:rsidRPr="008848B9">
        <w:rPr>
          <w:sz w:val="22"/>
        </w:rPr>
        <w:t>.</w:t>
      </w:r>
      <w:r w:rsidRPr="008848B9">
        <w:rPr>
          <w:sz w:val="22"/>
        </w:rPr>
        <w:t xml:space="preserve"> </w:t>
      </w:r>
    </w:p>
    <w:p w:rsidR="00372252" w:rsidRPr="008848B9" w:rsidRDefault="00372252" w:rsidP="008848B9">
      <w:pPr>
        <w:shd w:val="clear" w:color="auto" w:fill="FFFFFF"/>
        <w:tabs>
          <w:tab w:val="center" w:pos="4135"/>
        </w:tabs>
        <w:spacing w:after="0" w:line="240" w:lineRule="auto"/>
        <w:jc w:val="both"/>
        <w:textAlignment w:val="baseline"/>
        <w:rPr>
          <w:sz w:val="22"/>
        </w:rPr>
      </w:pPr>
    </w:p>
    <w:p w:rsidR="00890DAC" w:rsidRDefault="00890DAC" w:rsidP="008848B9">
      <w:pPr>
        <w:shd w:val="clear" w:color="auto" w:fill="FFFFFF"/>
        <w:tabs>
          <w:tab w:val="center" w:pos="4135"/>
        </w:tabs>
        <w:spacing w:after="0" w:line="240" w:lineRule="auto"/>
        <w:jc w:val="both"/>
        <w:textAlignment w:val="baseline"/>
        <w:rPr>
          <w:sz w:val="22"/>
        </w:rPr>
      </w:pPr>
    </w:p>
    <w:p w:rsidR="00890DAC" w:rsidRPr="00F32958" w:rsidRDefault="00890DAC" w:rsidP="008848B9">
      <w:pPr>
        <w:shd w:val="clear" w:color="auto" w:fill="FFFFFF"/>
        <w:tabs>
          <w:tab w:val="center" w:pos="4135"/>
        </w:tabs>
        <w:spacing w:after="0" w:line="240" w:lineRule="auto"/>
        <w:jc w:val="both"/>
        <w:textAlignment w:val="baseline"/>
        <w:rPr>
          <w:b/>
          <w:sz w:val="22"/>
        </w:rPr>
      </w:pPr>
      <w:r w:rsidRPr="00F32958">
        <w:rPr>
          <w:b/>
          <w:sz w:val="22"/>
        </w:rPr>
        <w:t xml:space="preserve">II.4. </w:t>
      </w:r>
      <w:r w:rsidR="00ED4C54">
        <w:rPr>
          <w:b/>
          <w:sz w:val="22"/>
        </w:rPr>
        <w:t>Situación de los centros de reclusión transitoria</w:t>
      </w:r>
      <w:r w:rsidR="00E978FE">
        <w:rPr>
          <w:b/>
          <w:sz w:val="22"/>
        </w:rPr>
        <w:t>,</w:t>
      </w:r>
      <w:r w:rsidR="00ED4C54">
        <w:rPr>
          <w:b/>
          <w:sz w:val="22"/>
        </w:rPr>
        <w:t xml:space="preserve"> después de las órdenes preferidas en la sentencia T-151 de 2016.</w:t>
      </w:r>
    </w:p>
    <w:p w:rsidR="007771A0" w:rsidRPr="008848B9" w:rsidRDefault="007771A0" w:rsidP="008848B9">
      <w:pPr>
        <w:shd w:val="clear" w:color="auto" w:fill="FFFFFF"/>
        <w:tabs>
          <w:tab w:val="center" w:pos="4135"/>
        </w:tabs>
        <w:spacing w:after="0" w:line="240" w:lineRule="auto"/>
        <w:jc w:val="both"/>
        <w:textAlignment w:val="baseline"/>
        <w:rPr>
          <w:sz w:val="22"/>
        </w:rPr>
      </w:pPr>
    </w:p>
    <w:p w:rsidR="007771A0" w:rsidRPr="008848B9" w:rsidRDefault="007771A0" w:rsidP="008848B9">
      <w:pPr>
        <w:shd w:val="clear" w:color="auto" w:fill="FFFFFF"/>
        <w:tabs>
          <w:tab w:val="center" w:pos="4135"/>
        </w:tabs>
        <w:spacing w:after="0" w:line="240" w:lineRule="auto"/>
        <w:jc w:val="both"/>
        <w:textAlignment w:val="baseline"/>
        <w:rPr>
          <w:sz w:val="22"/>
        </w:rPr>
      </w:pPr>
      <w:r w:rsidRPr="008848B9">
        <w:rPr>
          <w:sz w:val="22"/>
        </w:rPr>
        <w:t>En cumplimiento</w:t>
      </w:r>
      <w:r w:rsidR="00375124">
        <w:rPr>
          <w:sz w:val="22"/>
        </w:rPr>
        <w:t xml:space="preserve"> de las órdenes proferidas por la Corte Constitucional </w:t>
      </w:r>
      <w:r w:rsidR="00743F03">
        <w:rPr>
          <w:sz w:val="22"/>
        </w:rPr>
        <w:t>a la Defensoría del Pueblo</w:t>
      </w:r>
      <w:r w:rsidRPr="008848B9">
        <w:rPr>
          <w:sz w:val="22"/>
        </w:rPr>
        <w:t xml:space="preserve"> a dicho mandato, </w:t>
      </w:r>
      <w:r w:rsidR="00A20DDF" w:rsidRPr="008848B9">
        <w:rPr>
          <w:sz w:val="22"/>
        </w:rPr>
        <w:t xml:space="preserve">los días 21 </w:t>
      </w:r>
      <w:r w:rsidR="00E978FE">
        <w:rPr>
          <w:sz w:val="22"/>
        </w:rPr>
        <w:t>y 24 de octubre del 2016</w:t>
      </w:r>
      <w:r w:rsidR="00A20DDF" w:rsidRPr="008848B9">
        <w:rPr>
          <w:sz w:val="22"/>
        </w:rPr>
        <w:t xml:space="preserve">, </w:t>
      </w:r>
      <w:r w:rsidRPr="008848B9">
        <w:rPr>
          <w:sz w:val="22"/>
        </w:rPr>
        <w:t>se adelantaron visitas de inspección a las URIS y Estaciones de Policía de Bogotá</w:t>
      </w:r>
      <w:r w:rsidR="00E978FE">
        <w:rPr>
          <w:sz w:val="22"/>
        </w:rPr>
        <w:t xml:space="preserve"> DC</w:t>
      </w:r>
      <w:r w:rsidRPr="008848B9">
        <w:rPr>
          <w:sz w:val="22"/>
        </w:rPr>
        <w:t xml:space="preserve">, con el fin de: </w:t>
      </w:r>
      <w:r w:rsidRPr="00E978FE">
        <w:rPr>
          <w:b/>
          <w:sz w:val="22"/>
        </w:rPr>
        <w:t>(i)</w:t>
      </w:r>
      <w:r w:rsidRPr="008848B9">
        <w:rPr>
          <w:sz w:val="22"/>
        </w:rPr>
        <w:t xml:space="preserve"> con la privacidad necesaria adelantar entrevista con los internos, </w:t>
      </w:r>
      <w:r w:rsidRPr="00E978FE">
        <w:rPr>
          <w:b/>
          <w:sz w:val="22"/>
        </w:rPr>
        <w:t>(ii)</w:t>
      </w:r>
      <w:r w:rsidRPr="008848B9">
        <w:rPr>
          <w:sz w:val="22"/>
        </w:rPr>
        <w:t xml:space="preserve"> acompañar el proceso de visitas de familiares, </w:t>
      </w:r>
      <w:r w:rsidRPr="00E978FE">
        <w:rPr>
          <w:b/>
          <w:sz w:val="22"/>
        </w:rPr>
        <w:t>(iii)</w:t>
      </w:r>
      <w:r w:rsidRPr="008848B9">
        <w:rPr>
          <w:sz w:val="22"/>
        </w:rPr>
        <w:t xml:space="preserve"> inspeccionar los sectores que se consideren necesarios, </w:t>
      </w:r>
      <w:r w:rsidRPr="00E978FE">
        <w:rPr>
          <w:b/>
          <w:sz w:val="22"/>
        </w:rPr>
        <w:t>(iv)</w:t>
      </w:r>
      <w:r w:rsidRPr="008848B9">
        <w:rPr>
          <w:sz w:val="22"/>
        </w:rPr>
        <w:t xml:space="preserve"> solicitar copias auténticas de documentos relacionados </w:t>
      </w:r>
      <w:r w:rsidR="00A20DDF" w:rsidRPr="008848B9">
        <w:rPr>
          <w:sz w:val="22"/>
        </w:rPr>
        <w:t xml:space="preserve">con la situación jurídica de los detenidos (procesos disciplinarios, cartillas biográficas, resúmenes de historias clínicas, etc..) entre otros aspectos. </w:t>
      </w:r>
    </w:p>
    <w:p w:rsidR="00E978FE" w:rsidRDefault="00E978FE" w:rsidP="008848B9">
      <w:pPr>
        <w:shd w:val="clear" w:color="auto" w:fill="FFFFFF"/>
        <w:tabs>
          <w:tab w:val="center" w:pos="4135"/>
        </w:tabs>
        <w:spacing w:after="0" w:line="240" w:lineRule="auto"/>
        <w:jc w:val="both"/>
        <w:textAlignment w:val="baseline"/>
        <w:rPr>
          <w:sz w:val="22"/>
        </w:rPr>
      </w:pPr>
    </w:p>
    <w:p w:rsidR="00E978FE" w:rsidRDefault="00116F92" w:rsidP="008848B9">
      <w:pPr>
        <w:shd w:val="clear" w:color="auto" w:fill="FFFFFF"/>
        <w:tabs>
          <w:tab w:val="center" w:pos="4135"/>
        </w:tabs>
        <w:spacing w:after="0" w:line="240" w:lineRule="auto"/>
        <w:jc w:val="both"/>
        <w:textAlignment w:val="baseline"/>
        <w:rPr>
          <w:sz w:val="22"/>
        </w:rPr>
      </w:pPr>
      <w:r>
        <w:rPr>
          <w:b/>
          <w:sz w:val="22"/>
        </w:rPr>
        <w:t xml:space="preserve">II.4.1. </w:t>
      </w:r>
      <w:r w:rsidR="00A20DDF" w:rsidRPr="00116F92">
        <w:rPr>
          <w:b/>
          <w:sz w:val="22"/>
        </w:rPr>
        <w:t>Hallazgos:</w:t>
      </w:r>
    </w:p>
    <w:p w:rsidR="00A20DDF" w:rsidRPr="008848B9" w:rsidRDefault="00A20DDF" w:rsidP="008848B9">
      <w:pPr>
        <w:shd w:val="clear" w:color="auto" w:fill="FFFFFF"/>
        <w:tabs>
          <w:tab w:val="center" w:pos="4135"/>
        </w:tabs>
        <w:spacing w:after="0" w:line="240" w:lineRule="auto"/>
        <w:jc w:val="both"/>
        <w:textAlignment w:val="baseline"/>
        <w:rPr>
          <w:sz w:val="22"/>
        </w:rPr>
      </w:pPr>
      <w:r w:rsidRPr="008848B9">
        <w:rPr>
          <w:sz w:val="22"/>
        </w:rPr>
        <w:t xml:space="preserve"> </w:t>
      </w:r>
    </w:p>
    <w:p w:rsidR="00A83E83" w:rsidRPr="008848B9" w:rsidRDefault="00A20DDF" w:rsidP="008848B9">
      <w:pPr>
        <w:pStyle w:val="ListParagraph"/>
        <w:numPr>
          <w:ilvl w:val="0"/>
          <w:numId w:val="20"/>
        </w:numPr>
        <w:spacing w:after="0" w:line="240" w:lineRule="auto"/>
        <w:ind w:left="284" w:firstLine="0"/>
        <w:jc w:val="both"/>
        <w:rPr>
          <w:sz w:val="22"/>
        </w:rPr>
      </w:pPr>
      <w:r w:rsidRPr="00E978FE">
        <w:rPr>
          <w:sz w:val="22"/>
          <w:u w:val="single"/>
        </w:rPr>
        <w:t>URI de Puente Aranda:</w:t>
      </w:r>
      <w:r w:rsidRPr="008848B9">
        <w:rPr>
          <w:sz w:val="22"/>
        </w:rPr>
        <w:t xml:space="preserve"> En el momento de la visita de inspección se hallaron 71 personas detenidas; 54  hombres imputados, 1 mujer, 1 hombre perteneciente al grupo LGBTI, 4 hombres condenados, 12 hombres a la espera de judicialización. Es decir, que 59 de los detenidos se encontraban a la espera de ser trasladados a los distintos centros de reclusión de la ciudad.</w:t>
      </w:r>
      <w:r w:rsidR="00A83E83" w:rsidRPr="008848B9">
        <w:rPr>
          <w:sz w:val="22"/>
        </w:rPr>
        <w:t xml:space="preserve"> </w:t>
      </w:r>
    </w:p>
    <w:p w:rsidR="00A83E83" w:rsidRPr="008848B9" w:rsidRDefault="00A83E83" w:rsidP="008848B9">
      <w:pPr>
        <w:pStyle w:val="ListParagraph"/>
        <w:spacing w:after="0" w:line="240" w:lineRule="auto"/>
        <w:ind w:left="284"/>
        <w:jc w:val="both"/>
        <w:rPr>
          <w:sz w:val="22"/>
        </w:rPr>
      </w:pPr>
    </w:p>
    <w:p w:rsidR="00A83E83" w:rsidRPr="008848B9" w:rsidRDefault="00A20DDF" w:rsidP="008848B9">
      <w:pPr>
        <w:pStyle w:val="ListParagraph"/>
        <w:spacing w:after="0" w:line="240" w:lineRule="auto"/>
        <w:ind w:left="284"/>
        <w:jc w:val="both"/>
        <w:rPr>
          <w:sz w:val="22"/>
        </w:rPr>
      </w:pPr>
      <w:r w:rsidRPr="008848B9">
        <w:rPr>
          <w:sz w:val="22"/>
        </w:rPr>
        <w:t xml:space="preserve">A la fecha 27 personas llevaban privadas de su libertad en el centro de reclusión por más de dos meses sin ser trasladados. </w:t>
      </w:r>
    </w:p>
    <w:p w:rsidR="00A83E83" w:rsidRPr="008848B9" w:rsidRDefault="00A83E83" w:rsidP="008848B9">
      <w:pPr>
        <w:pStyle w:val="ListParagraph"/>
        <w:spacing w:after="0" w:line="240" w:lineRule="auto"/>
        <w:ind w:left="284"/>
        <w:jc w:val="both"/>
        <w:rPr>
          <w:sz w:val="22"/>
        </w:rPr>
      </w:pPr>
    </w:p>
    <w:p w:rsidR="00A83E83" w:rsidRPr="008848B9" w:rsidRDefault="00A20DDF" w:rsidP="008848B9">
      <w:pPr>
        <w:pStyle w:val="ListParagraph"/>
        <w:spacing w:after="0" w:line="240" w:lineRule="auto"/>
        <w:ind w:left="284"/>
        <w:jc w:val="both"/>
        <w:rPr>
          <w:sz w:val="22"/>
        </w:rPr>
      </w:pPr>
      <w:r w:rsidRPr="008848B9">
        <w:rPr>
          <w:sz w:val="22"/>
        </w:rPr>
        <w:t>A los detenidos que ya fueron judicializados se les suministraba la alimentación por parte de las empresas contratadas por la Unidad de Servicios Penitenciarios y Carcelarios USPEC. Pero ninguna entidad se encarga de suministrar alimentos a las personas que aún no han sido judicializados, depende de sus familiares.</w:t>
      </w:r>
    </w:p>
    <w:p w:rsidR="00A20DDF" w:rsidRPr="008848B9" w:rsidRDefault="00A20DDF" w:rsidP="008848B9">
      <w:pPr>
        <w:pStyle w:val="ListParagraph"/>
        <w:spacing w:after="0" w:line="240" w:lineRule="auto"/>
        <w:ind w:left="284"/>
        <w:jc w:val="both"/>
        <w:rPr>
          <w:sz w:val="22"/>
        </w:rPr>
      </w:pPr>
      <w:r w:rsidRPr="008848B9">
        <w:rPr>
          <w:sz w:val="22"/>
        </w:rPr>
        <w:t xml:space="preserve">  </w:t>
      </w:r>
    </w:p>
    <w:p w:rsidR="00E46E4F" w:rsidRDefault="00A20DDF" w:rsidP="00E46E4F">
      <w:pPr>
        <w:pStyle w:val="ListParagraph"/>
        <w:numPr>
          <w:ilvl w:val="0"/>
          <w:numId w:val="20"/>
        </w:numPr>
        <w:spacing w:after="0" w:line="240" w:lineRule="auto"/>
        <w:ind w:left="284" w:firstLine="0"/>
        <w:jc w:val="both"/>
        <w:rPr>
          <w:sz w:val="22"/>
        </w:rPr>
      </w:pPr>
      <w:r w:rsidRPr="00E978FE">
        <w:rPr>
          <w:sz w:val="22"/>
          <w:u w:val="single"/>
        </w:rPr>
        <w:t>URI de Kennedy:</w:t>
      </w:r>
      <w:r w:rsidRPr="008848B9">
        <w:rPr>
          <w:sz w:val="22"/>
        </w:rPr>
        <w:t xml:space="preserve"> </w:t>
      </w:r>
      <w:r w:rsidRPr="008848B9">
        <w:rPr>
          <w:color w:val="000000"/>
          <w:sz w:val="22"/>
        </w:rPr>
        <w:t xml:space="preserve">La URI tiene capacidad para 50 internos, sin embargo al momento de la visita se encontraban recluidas 53 personas con medida de aseguramiento privativa de la libertad y 12 personas en reclusión transitoria mientras se </w:t>
      </w:r>
      <w:r w:rsidR="00A83E83" w:rsidRPr="008848B9">
        <w:rPr>
          <w:color w:val="000000"/>
          <w:sz w:val="22"/>
        </w:rPr>
        <w:t>definía</w:t>
      </w:r>
      <w:r w:rsidRPr="008848B9">
        <w:rPr>
          <w:color w:val="000000"/>
          <w:sz w:val="22"/>
        </w:rPr>
        <w:t xml:space="preserve"> su situación jurídica, </w:t>
      </w:r>
      <w:r w:rsidR="00A83E83" w:rsidRPr="008848B9">
        <w:rPr>
          <w:color w:val="000000"/>
          <w:sz w:val="22"/>
        </w:rPr>
        <w:t>para</w:t>
      </w:r>
      <w:r w:rsidRPr="008848B9">
        <w:rPr>
          <w:color w:val="000000"/>
          <w:sz w:val="22"/>
        </w:rPr>
        <w:t xml:space="preserve"> un total de 65 internos.</w:t>
      </w:r>
    </w:p>
    <w:p w:rsidR="00E46E4F" w:rsidRPr="00E46E4F" w:rsidRDefault="00E46E4F" w:rsidP="00E46E4F">
      <w:pPr>
        <w:pStyle w:val="ListParagraph"/>
        <w:spacing w:after="0" w:line="240" w:lineRule="auto"/>
        <w:ind w:left="284"/>
        <w:jc w:val="both"/>
        <w:rPr>
          <w:sz w:val="22"/>
        </w:rPr>
      </w:pPr>
    </w:p>
    <w:p w:rsidR="00E46E4F" w:rsidRDefault="00E46E4F" w:rsidP="008848B9">
      <w:pPr>
        <w:pStyle w:val="ListParagraph"/>
        <w:spacing w:after="0" w:line="240" w:lineRule="auto"/>
        <w:ind w:left="284"/>
        <w:jc w:val="both"/>
        <w:rPr>
          <w:sz w:val="22"/>
        </w:rPr>
      </w:pPr>
    </w:p>
    <w:p w:rsidR="00E46E4F" w:rsidRDefault="00E46E4F" w:rsidP="008848B9">
      <w:pPr>
        <w:pStyle w:val="ListParagraph"/>
        <w:spacing w:after="0" w:line="240" w:lineRule="auto"/>
        <w:ind w:left="284"/>
        <w:jc w:val="both"/>
        <w:rPr>
          <w:sz w:val="22"/>
        </w:rPr>
      </w:pPr>
    </w:p>
    <w:p w:rsidR="00413C8C" w:rsidRPr="008848B9" w:rsidRDefault="00A83E83" w:rsidP="008848B9">
      <w:pPr>
        <w:pStyle w:val="ListParagraph"/>
        <w:spacing w:after="0" w:line="240" w:lineRule="auto"/>
        <w:ind w:left="284"/>
        <w:jc w:val="both"/>
        <w:rPr>
          <w:sz w:val="22"/>
        </w:rPr>
      </w:pPr>
      <w:r w:rsidRPr="008848B9">
        <w:rPr>
          <w:sz w:val="22"/>
        </w:rPr>
        <w:t xml:space="preserve">A la fecha de la visita se encontraban internos con medida de aseguramiento con un término superior a un mes de reclusión. </w:t>
      </w:r>
    </w:p>
    <w:p w:rsidR="00413C8C" w:rsidRPr="008848B9" w:rsidRDefault="00413C8C" w:rsidP="008848B9">
      <w:pPr>
        <w:pStyle w:val="ListParagraph"/>
        <w:spacing w:after="0" w:line="240" w:lineRule="auto"/>
        <w:ind w:left="284"/>
        <w:jc w:val="both"/>
        <w:rPr>
          <w:sz w:val="22"/>
        </w:rPr>
      </w:pPr>
    </w:p>
    <w:p w:rsidR="00A83E83" w:rsidRPr="008848B9" w:rsidRDefault="00A83E83" w:rsidP="008848B9">
      <w:pPr>
        <w:pStyle w:val="ListParagraph"/>
        <w:spacing w:after="0" w:line="240" w:lineRule="auto"/>
        <w:ind w:left="284"/>
        <w:jc w:val="both"/>
        <w:rPr>
          <w:sz w:val="22"/>
        </w:rPr>
      </w:pPr>
      <w:r w:rsidRPr="008848B9">
        <w:rPr>
          <w:sz w:val="22"/>
        </w:rPr>
        <w:t>El hacinamiento que se vive en estas celdas es grave, los internos no tienen espacio suficiente para movilizarse dentro de estas. Había cables sueltos que podían generar choques eléctricos al contacto, por lo que las personas se mantenían alejadas. No había luz natural y las condiciones de ventilación eran insuficientes, duermen en el piso debido a que no había colchonetas, ni cobijas suficientes.</w:t>
      </w:r>
      <w:r w:rsidRPr="008848B9">
        <w:rPr>
          <w:rStyle w:val="FootnoteReference"/>
          <w:sz w:val="22"/>
        </w:rPr>
        <w:footnoteReference w:id="5"/>
      </w:r>
      <w:r w:rsidRPr="008848B9">
        <w:rPr>
          <w:sz w:val="22"/>
        </w:rPr>
        <w:t xml:space="preserve"> </w:t>
      </w:r>
    </w:p>
    <w:p w:rsidR="00413C8C" w:rsidRPr="008848B9" w:rsidRDefault="00413C8C" w:rsidP="008848B9">
      <w:pPr>
        <w:pStyle w:val="ListParagraph"/>
        <w:spacing w:after="0" w:line="240" w:lineRule="auto"/>
        <w:ind w:left="284"/>
        <w:jc w:val="both"/>
        <w:rPr>
          <w:sz w:val="22"/>
        </w:rPr>
      </w:pPr>
    </w:p>
    <w:p w:rsidR="00413C8C" w:rsidRDefault="00413C8C" w:rsidP="008848B9">
      <w:pPr>
        <w:pStyle w:val="ListParagraph"/>
        <w:numPr>
          <w:ilvl w:val="0"/>
          <w:numId w:val="20"/>
        </w:numPr>
        <w:spacing w:after="0" w:line="240" w:lineRule="auto"/>
        <w:ind w:left="284" w:firstLine="0"/>
        <w:jc w:val="both"/>
        <w:rPr>
          <w:sz w:val="22"/>
        </w:rPr>
      </w:pPr>
      <w:r w:rsidRPr="00E978FE">
        <w:rPr>
          <w:sz w:val="22"/>
          <w:u w:val="single"/>
        </w:rPr>
        <w:t>URI de Engativá:</w:t>
      </w:r>
      <w:r w:rsidRPr="008848B9">
        <w:rPr>
          <w:sz w:val="22"/>
        </w:rPr>
        <w:t xml:space="preserve"> Para la fecha de la visita se encontraban 15 personas con un tiempo de reclusión superior a las 36 horas, algunos de estos con más de un mes privados de su libertad en dicho recinto. </w:t>
      </w:r>
    </w:p>
    <w:p w:rsidR="00E46E4F" w:rsidRDefault="00E46E4F" w:rsidP="00E46E4F">
      <w:pPr>
        <w:spacing w:after="0" w:line="240" w:lineRule="auto"/>
        <w:jc w:val="both"/>
        <w:rPr>
          <w:sz w:val="22"/>
        </w:rPr>
      </w:pPr>
    </w:p>
    <w:p w:rsidR="00CA0372" w:rsidRPr="009B42B8" w:rsidRDefault="00E9617C" w:rsidP="00CA0372">
      <w:pPr>
        <w:spacing w:after="0"/>
        <w:jc w:val="both"/>
        <w:rPr>
          <w:b/>
          <w:bCs/>
          <w:sz w:val="22"/>
          <w:u w:val="single"/>
          <w:lang w:eastAsia="ar-SA"/>
        </w:rPr>
      </w:pPr>
      <w:r>
        <w:rPr>
          <w:sz w:val="22"/>
        </w:rPr>
        <w:t xml:space="preserve">En resumen, </w:t>
      </w:r>
      <w:r w:rsidR="00F450B9">
        <w:rPr>
          <w:sz w:val="22"/>
        </w:rPr>
        <w:t xml:space="preserve">la Defensoría del Pueblo halló a </w:t>
      </w:r>
      <w:r w:rsidR="00F450B9" w:rsidRPr="00F450B9">
        <w:rPr>
          <w:b/>
          <w:sz w:val="22"/>
          <w:u w:val="single"/>
        </w:rPr>
        <w:t>116</w:t>
      </w:r>
      <w:r w:rsidR="00F450B9">
        <w:rPr>
          <w:sz w:val="22"/>
        </w:rPr>
        <w:t xml:space="preserve"> personas privadas de la libertad en estos centros por un término mayor al legalmente per</w:t>
      </w:r>
      <w:r w:rsidR="00CA0372">
        <w:rPr>
          <w:sz w:val="22"/>
        </w:rPr>
        <w:t>mitido; en por lo menos 2</w:t>
      </w:r>
      <w:r w:rsidR="0041200B">
        <w:rPr>
          <w:sz w:val="22"/>
        </w:rPr>
        <w:t xml:space="preserve"> casos </w:t>
      </w:r>
      <w:r w:rsidR="00CA0372" w:rsidRPr="00921A57">
        <w:rPr>
          <w:bCs/>
          <w:sz w:val="22"/>
          <w:lang w:eastAsia="ar-SA"/>
        </w:rPr>
        <w:t>(2) ex funcionarios de la Policía Nacional,</w:t>
      </w:r>
      <w:r w:rsidR="00CA0372">
        <w:rPr>
          <w:bCs/>
          <w:sz w:val="22"/>
          <w:lang w:eastAsia="ar-SA"/>
        </w:rPr>
        <w:t xml:space="preserve"> quienes llevaban, para la fecha de la visita de inspección, </w:t>
      </w:r>
      <w:r w:rsidR="00CA0372" w:rsidRPr="00816D6C">
        <w:rPr>
          <w:b/>
          <w:bCs/>
          <w:sz w:val="22"/>
          <w:u w:val="single"/>
          <w:lang w:eastAsia="ar-SA"/>
        </w:rPr>
        <w:t>c</w:t>
      </w:r>
      <w:r w:rsidR="00CA0372" w:rsidRPr="009B42B8">
        <w:rPr>
          <w:b/>
          <w:bCs/>
          <w:sz w:val="22"/>
          <w:u w:val="single"/>
          <w:lang w:eastAsia="ar-SA"/>
        </w:rPr>
        <w:t>uatro (4) meses privados de la libertad en la URI de Tunjuelito</w:t>
      </w:r>
      <w:r w:rsidR="00CA0372">
        <w:rPr>
          <w:bCs/>
          <w:sz w:val="22"/>
          <w:lang w:eastAsia="ar-SA"/>
        </w:rPr>
        <w:t xml:space="preserve">. Este caso no solo es grave por el tiempo de reclusión sino porque están recluidos con delincuentes comunes, situación que sin lugar a dudas no sólo afecta sus derechos fundamentales, </w:t>
      </w:r>
      <w:r w:rsidR="00CA0372" w:rsidRPr="009B42B8">
        <w:rPr>
          <w:b/>
          <w:bCs/>
          <w:sz w:val="22"/>
          <w:u w:val="single"/>
          <w:lang w:eastAsia="ar-SA"/>
        </w:rPr>
        <w:t xml:space="preserve">pone en riesgo su integridad física y su vida. </w:t>
      </w:r>
      <w:r w:rsidR="004A27E3">
        <w:rPr>
          <w:b/>
          <w:bCs/>
          <w:sz w:val="22"/>
          <w:u w:val="single"/>
          <w:lang w:eastAsia="ar-SA"/>
        </w:rPr>
        <w:t xml:space="preserve"> </w:t>
      </w:r>
    </w:p>
    <w:p w:rsidR="00E9617C" w:rsidRDefault="00E9617C" w:rsidP="00E46E4F">
      <w:pPr>
        <w:spacing w:after="0" w:line="240" w:lineRule="auto"/>
        <w:jc w:val="both"/>
        <w:rPr>
          <w:b/>
          <w:sz w:val="22"/>
        </w:rPr>
      </w:pPr>
    </w:p>
    <w:p w:rsidR="00E9617C" w:rsidRDefault="00E9617C" w:rsidP="00E46E4F">
      <w:pPr>
        <w:spacing w:after="0" w:line="240" w:lineRule="auto"/>
        <w:jc w:val="both"/>
        <w:rPr>
          <w:b/>
          <w:sz w:val="22"/>
        </w:rPr>
      </w:pPr>
    </w:p>
    <w:p w:rsidR="00E46E4F" w:rsidRDefault="00116F92" w:rsidP="00E46E4F">
      <w:pPr>
        <w:spacing w:after="0" w:line="240" w:lineRule="auto"/>
        <w:jc w:val="both"/>
        <w:rPr>
          <w:b/>
          <w:sz w:val="22"/>
        </w:rPr>
      </w:pPr>
      <w:r>
        <w:rPr>
          <w:b/>
          <w:sz w:val="22"/>
        </w:rPr>
        <w:t xml:space="preserve">II.4.2. </w:t>
      </w:r>
      <w:r w:rsidR="00343F64">
        <w:rPr>
          <w:b/>
          <w:sz w:val="22"/>
        </w:rPr>
        <w:t xml:space="preserve">Conclusiones: </w:t>
      </w:r>
    </w:p>
    <w:p w:rsidR="00343F64" w:rsidRDefault="00343F64" w:rsidP="00E46E4F">
      <w:pPr>
        <w:spacing w:after="0" w:line="240" w:lineRule="auto"/>
        <w:jc w:val="both"/>
        <w:rPr>
          <w:sz w:val="22"/>
        </w:rPr>
      </w:pPr>
    </w:p>
    <w:p w:rsidR="001C0B62" w:rsidRDefault="00477DB5" w:rsidP="001C0B62">
      <w:pPr>
        <w:spacing w:after="0"/>
        <w:jc w:val="both"/>
        <w:rPr>
          <w:b/>
          <w:sz w:val="22"/>
          <w:u w:val="single"/>
        </w:rPr>
      </w:pPr>
      <w:r>
        <w:rPr>
          <w:sz w:val="22"/>
        </w:rPr>
        <w:t>Después de realizar</w:t>
      </w:r>
      <w:r w:rsidR="00951A11">
        <w:rPr>
          <w:sz w:val="22"/>
        </w:rPr>
        <w:t xml:space="preserve"> </w:t>
      </w:r>
      <w:r w:rsidR="00816D6C">
        <w:rPr>
          <w:sz w:val="22"/>
        </w:rPr>
        <w:t>diversas visitas de inspección a</w:t>
      </w:r>
      <w:r w:rsidR="00617DAF">
        <w:rPr>
          <w:sz w:val="22"/>
        </w:rPr>
        <w:t xml:space="preserve"> estos </w:t>
      </w:r>
      <w:r w:rsidR="00A331F7">
        <w:rPr>
          <w:sz w:val="22"/>
        </w:rPr>
        <w:t>centros de reclusión transitoria</w:t>
      </w:r>
      <w:r w:rsidR="00617DAF">
        <w:rPr>
          <w:sz w:val="22"/>
        </w:rPr>
        <w:t>,</w:t>
      </w:r>
      <w:r w:rsidR="001C0B62">
        <w:rPr>
          <w:sz w:val="22"/>
        </w:rPr>
        <w:t xml:space="preserve"> la Defensoría del Pueblo está en la capacidad </w:t>
      </w:r>
      <w:r w:rsidR="001C0B62" w:rsidRPr="0055236D">
        <w:rPr>
          <w:b/>
          <w:sz w:val="22"/>
          <w:u w:val="single"/>
        </w:rPr>
        <w:t>de afirmar que</w:t>
      </w:r>
      <w:r w:rsidR="001C0B62" w:rsidRPr="00617DAF">
        <w:rPr>
          <w:b/>
          <w:sz w:val="22"/>
          <w:u w:val="single"/>
        </w:rPr>
        <w:t xml:space="preserve"> las condiciones de reclusión de esta población son aún más precarias que las de la población privada de la libertad en los centros de reclusión del orden nacional.  </w:t>
      </w:r>
    </w:p>
    <w:p w:rsidR="00E62AE0" w:rsidRDefault="00E62AE0" w:rsidP="001C0B62">
      <w:pPr>
        <w:spacing w:after="0"/>
        <w:jc w:val="both"/>
        <w:rPr>
          <w:b/>
          <w:sz w:val="22"/>
          <w:u w:val="single"/>
        </w:rPr>
      </w:pPr>
    </w:p>
    <w:p w:rsidR="00E62AE0" w:rsidRPr="00E62AE0" w:rsidRDefault="00E62AE0" w:rsidP="001C0B62">
      <w:pPr>
        <w:spacing w:after="0"/>
        <w:jc w:val="both"/>
        <w:rPr>
          <w:sz w:val="22"/>
          <w:szCs w:val="27"/>
        </w:rPr>
      </w:pPr>
      <w:r>
        <w:rPr>
          <w:sz w:val="22"/>
        </w:rPr>
        <w:t xml:space="preserve">Baste con señalar que </w:t>
      </w:r>
      <w:r w:rsidR="0025273A">
        <w:rPr>
          <w:sz w:val="22"/>
        </w:rPr>
        <w:t>un número importante de seres humanos están allí recluidos por un periodo mayor al legalmente permitido</w:t>
      </w:r>
      <w:r w:rsidR="008E7E65">
        <w:rPr>
          <w:sz w:val="22"/>
        </w:rPr>
        <w:t xml:space="preserve"> –en palabras de la Corte Constitucional ello constituye un trato cruel inhumano y degradante-, aunado a lo anterior la </w:t>
      </w:r>
      <w:r w:rsidR="008E7E65" w:rsidRPr="009354C8">
        <w:rPr>
          <w:sz w:val="22"/>
          <w:u w:val="single"/>
        </w:rPr>
        <w:t>prestación del servicio de salud</w:t>
      </w:r>
      <w:r w:rsidR="008E7E65">
        <w:rPr>
          <w:sz w:val="22"/>
        </w:rPr>
        <w:t xml:space="preserve"> es pésima y, en algunas ocasiones nula,</w:t>
      </w:r>
      <w:r w:rsidR="00E570B0">
        <w:rPr>
          <w:sz w:val="22"/>
        </w:rPr>
        <w:t xml:space="preserve"> pues la gran mayoría no están</w:t>
      </w:r>
      <w:r w:rsidR="00E570B0" w:rsidRPr="00BD5600">
        <w:rPr>
          <w:sz w:val="22"/>
        </w:rPr>
        <w:t xml:space="preserve"> </w:t>
      </w:r>
      <w:r w:rsidR="00BD5600" w:rsidRPr="00BD5600">
        <w:rPr>
          <w:sz w:val="22"/>
        </w:rPr>
        <w:t>afiliados a ningún régimen de seguridad social</w:t>
      </w:r>
      <w:r w:rsidR="00BD5600">
        <w:rPr>
          <w:sz w:val="22"/>
        </w:rPr>
        <w:t xml:space="preserve"> y su atención debe limitarse a una atención inicial de urgencias, sin que exista un seguimiento a sus patologías</w:t>
      </w:r>
      <w:r w:rsidR="00501C9C">
        <w:rPr>
          <w:sz w:val="22"/>
        </w:rPr>
        <w:t>, tratamientos, procedimientos o se les pueda asignar una cita con un especialista</w:t>
      </w:r>
      <w:r w:rsidR="009354C8">
        <w:rPr>
          <w:sz w:val="22"/>
        </w:rPr>
        <w:t xml:space="preserve">. </w:t>
      </w:r>
      <w:r w:rsidR="00A101AA">
        <w:rPr>
          <w:sz w:val="22"/>
        </w:rPr>
        <w:t>En cuanto al servicio de alimentación se constató que la cantidad y la calidad de los mismos</w:t>
      </w:r>
      <w:r w:rsidR="007D09CB">
        <w:rPr>
          <w:sz w:val="22"/>
        </w:rPr>
        <w:t>,</w:t>
      </w:r>
      <w:r w:rsidR="00A101AA">
        <w:rPr>
          <w:sz w:val="22"/>
        </w:rPr>
        <w:t xml:space="preserve"> es insuficiente para garantizar este servicio de manera digna</w:t>
      </w:r>
      <w:r w:rsidR="007D09CB">
        <w:rPr>
          <w:sz w:val="22"/>
        </w:rPr>
        <w:t>, alguno</w:t>
      </w:r>
      <w:r w:rsidR="00F816EA">
        <w:rPr>
          <w:sz w:val="22"/>
        </w:rPr>
        <w:t xml:space="preserve">s internos manifestaron que en </w:t>
      </w:r>
      <w:r w:rsidR="007D09CB">
        <w:rPr>
          <w:sz w:val="22"/>
        </w:rPr>
        <w:t>a</w:t>
      </w:r>
      <w:r w:rsidR="00F816EA">
        <w:rPr>
          <w:sz w:val="22"/>
        </w:rPr>
        <w:t>l</w:t>
      </w:r>
      <w:r w:rsidR="007D09CB">
        <w:rPr>
          <w:sz w:val="22"/>
        </w:rPr>
        <w:t>gunas ocasiones llega</w:t>
      </w:r>
      <w:r w:rsidR="00F816EA">
        <w:rPr>
          <w:sz w:val="22"/>
        </w:rPr>
        <w:t xml:space="preserve"> en estado de descomposición. </w:t>
      </w:r>
      <w:r w:rsidR="007D09CB">
        <w:rPr>
          <w:sz w:val="22"/>
        </w:rPr>
        <w:t xml:space="preserve"> </w:t>
      </w:r>
      <w:r w:rsidR="00A101AA">
        <w:rPr>
          <w:sz w:val="22"/>
        </w:rPr>
        <w:t xml:space="preserve"> </w:t>
      </w:r>
      <w:r w:rsidR="00501C9C">
        <w:rPr>
          <w:sz w:val="22"/>
        </w:rPr>
        <w:t xml:space="preserve"> </w:t>
      </w:r>
      <w:r w:rsidR="00BD5600">
        <w:rPr>
          <w:sz w:val="22"/>
        </w:rPr>
        <w:t xml:space="preserve"> </w:t>
      </w:r>
      <w:r w:rsidR="008E7E65">
        <w:rPr>
          <w:sz w:val="22"/>
        </w:rPr>
        <w:t xml:space="preserve"> </w:t>
      </w:r>
    </w:p>
    <w:p w:rsidR="00951A11" w:rsidRDefault="00A331F7" w:rsidP="00585D88">
      <w:pPr>
        <w:spacing w:after="0"/>
        <w:jc w:val="both"/>
        <w:rPr>
          <w:sz w:val="22"/>
        </w:rPr>
      </w:pPr>
      <w:r>
        <w:rPr>
          <w:sz w:val="22"/>
        </w:rPr>
        <w:t xml:space="preserve"> </w:t>
      </w:r>
      <w:r w:rsidR="00816D6C">
        <w:rPr>
          <w:sz w:val="22"/>
        </w:rPr>
        <w:t xml:space="preserve"> </w:t>
      </w:r>
    </w:p>
    <w:p w:rsidR="00951A11" w:rsidRDefault="00951A11" w:rsidP="00585D88">
      <w:pPr>
        <w:spacing w:after="0"/>
        <w:jc w:val="both"/>
        <w:rPr>
          <w:sz w:val="22"/>
        </w:rPr>
      </w:pPr>
    </w:p>
    <w:p w:rsidR="00E46E4F" w:rsidRDefault="00E46E4F" w:rsidP="00E46E4F">
      <w:pPr>
        <w:spacing w:after="0" w:line="240" w:lineRule="auto"/>
        <w:jc w:val="both"/>
        <w:rPr>
          <w:sz w:val="22"/>
        </w:rPr>
      </w:pPr>
    </w:p>
    <w:p w:rsidR="00F450B9" w:rsidRDefault="00F450B9" w:rsidP="00E46E4F">
      <w:pPr>
        <w:spacing w:after="0" w:line="240" w:lineRule="auto"/>
        <w:jc w:val="both"/>
        <w:rPr>
          <w:sz w:val="22"/>
        </w:rPr>
      </w:pPr>
    </w:p>
    <w:p w:rsidR="00F450B9" w:rsidRDefault="00F450B9" w:rsidP="00E46E4F">
      <w:pPr>
        <w:spacing w:after="0" w:line="240" w:lineRule="auto"/>
        <w:jc w:val="both"/>
        <w:rPr>
          <w:sz w:val="22"/>
        </w:rPr>
      </w:pPr>
      <w:r>
        <w:rPr>
          <w:b/>
          <w:sz w:val="22"/>
          <w:szCs w:val="27"/>
          <w:u w:val="single"/>
        </w:rPr>
        <w:t>RECOMENDACIÓN No. 19 MUERTES EN CUSTODIA</w:t>
      </w:r>
      <w:r w:rsidRPr="00771B99">
        <w:rPr>
          <w:b/>
          <w:sz w:val="22"/>
          <w:szCs w:val="27"/>
          <w:u w:val="single"/>
        </w:rPr>
        <w:t>:</w:t>
      </w:r>
      <w:r w:rsidRPr="00EE7E4C">
        <w:rPr>
          <w:b/>
          <w:sz w:val="22"/>
          <w:szCs w:val="27"/>
          <w:u w:val="single"/>
        </w:rPr>
        <w:t xml:space="preserve"> </w:t>
      </w:r>
      <w:r w:rsidRPr="00EE7E4C">
        <w:rPr>
          <w:b/>
          <w:i/>
          <w:sz w:val="22"/>
          <w:szCs w:val="27"/>
          <w:u w:val="single"/>
        </w:rPr>
        <w:t xml:space="preserve">“El Comité expresa su preocupación por </w:t>
      </w:r>
      <w:r w:rsidR="00BF4006">
        <w:rPr>
          <w:b/>
          <w:i/>
          <w:sz w:val="22"/>
          <w:szCs w:val="27"/>
          <w:u w:val="single"/>
        </w:rPr>
        <w:t>el elevado número de muertes registradas en centros de detención y lamenta no h</w:t>
      </w:r>
      <w:r w:rsidR="00961356">
        <w:rPr>
          <w:b/>
          <w:i/>
          <w:sz w:val="22"/>
          <w:szCs w:val="27"/>
          <w:u w:val="single"/>
        </w:rPr>
        <w:t>aber recibido información relativa a las causas que determinaron su fallecimiento</w:t>
      </w:r>
      <w:r w:rsidRPr="00EE7E4C">
        <w:rPr>
          <w:b/>
          <w:i/>
          <w:sz w:val="22"/>
          <w:szCs w:val="27"/>
          <w:u w:val="single"/>
        </w:rPr>
        <w:t xml:space="preserve"> (…)”.</w:t>
      </w:r>
    </w:p>
    <w:p w:rsidR="00E46E4F" w:rsidRDefault="00E46E4F" w:rsidP="00E46E4F">
      <w:pPr>
        <w:spacing w:after="0" w:line="240" w:lineRule="auto"/>
        <w:jc w:val="both"/>
        <w:rPr>
          <w:sz w:val="22"/>
        </w:rPr>
      </w:pPr>
    </w:p>
    <w:p w:rsidR="00E46E4F" w:rsidRDefault="00E46E4F" w:rsidP="00E46E4F">
      <w:pPr>
        <w:spacing w:after="0" w:line="240" w:lineRule="auto"/>
        <w:jc w:val="both"/>
        <w:rPr>
          <w:sz w:val="22"/>
        </w:rPr>
      </w:pPr>
    </w:p>
    <w:p w:rsidR="00976146" w:rsidRDefault="00976146" w:rsidP="00FB2636">
      <w:pPr>
        <w:spacing w:after="0"/>
        <w:jc w:val="both"/>
        <w:rPr>
          <w:sz w:val="22"/>
        </w:rPr>
      </w:pPr>
      <w:r>
        <w:rPr>
          <w:sz w:val="22"/>
        </w:rPr>
        <w:t xml:space="preserve">La Defensoría Delegada para la Política Criminal realizó </w:t>
      </w:r>
      <w:r w:rsidR="009C1666">
        <w:rPr>
          <w:sz w:val="22"/>
        </w:rPr>
        <w:t>un análisis comparativo</w:t>
      </w:r>
      <w:r w:rsidR="009577AA">
        <w:rPr>
          <w:sz w:val="22"/>
        </w:rPr>
        <w:t xml:space="preserve"> entre </w:t>
      </w:r>
      <w:r w:rsidR="009C1666" w:rsidRPr="00AC68D8">
        <w:rPr>
          <w:sz w:val="22"/>
        </w:rPr>
        <w:t>las tasas de homicidios, suicidios, muertes naturales y lesion</w:t>
      </w:r>
      <w:r w:rsidR="00DB7CB9">
        <w:rPr>
          <w:sz w:val="22"/>
        </w:rPr>
        <w:t xml:space="preserve">es </w:t>
      </w:r>
      <w:r w:rsidR="0076481D">
        <w:rPr>
          <w:sz w:val="22"/>
        </w:rPr>
        <w:t>interpersonales no fatales de</w:t>
      </w:r>
      <w:r w:rsidR="00DB7CB9">
        <w:rPr>
          <w:sz w:val="22"/>
        </w:rPr>
        <w:t xml:space="preserve"> la </w:t>
      </w:r>
      <w:r w:rsidR="009C1666" w:rsidRPr="00AC68D8">
        <w:rPr>
          <w:sz w:val="22"/>
        </w:rPr>
        <w:t>población</w:t>
      </w:r>
      <w:r w:rsidR="0076481D">
        <w:rPr>
          <w:sz w:val="22"/>
        </w:rPr>
        <w:t xml:space="preserve"> general </w:t>
      </w:r>
      <w:r w:rsidR="00DB7CB9">
        <w:rPr>
          <w:sz w:val="22"/>
        </w:rPr>
        <w:t xml:space="preserve">y </w:t>
      </w:r>
      <w:r w:rsidR="009C1666" w:rsidRPr="00AC68D8">
        <w:rPr>
          <w:sz w:val="22"/>
        </w:rPr>
        <w:t>la</w:t>
      </w:r>
      <w:r w:rsidR="00F10FB8">
        <w:rPr>
          <w:sz w:val="22"/>
        </w:rPr>
        <w:t xml:space="preserve"> población de </w:t>
      </w:r>
      <w:r w:rsidR="00353891">
        <w:rPr>
          <w:sz w:val="22"/>
        </w:rPr>
        <w:t>privada</w:t>
      </w:r>
      <w:r w:rsidR="009C1666" w:rsidRPr="00AC68D8">
        <w:rPr>
          <w:sz w:val="22"/>
        </w:rPr>
        <w:t xml:space="preserve"> de la libertad</w:t>
      </w:r>
      <w:r w:rsidR="0076481D">
        <w:rPr>
          <w:sz w:val="22"/>
        </w:rPr>
        <w:t xml:space="preserve"> en el país. </w:t>
      </w:r>
      <w:r w:rsidR="00431B81">
        <w:rPr>
          <w:sz w:val="22"/>
        </w:rPr>
        <w:t xml:space="preserve"> </w:t>
      </w:r>
    </w:p>
    <w:p w:rsidR="00B32007" w:rsidRDefault="00B15BC3" w:rsidP="00FB2636">
      <w:pPr>
        <w:spacing w:after="0"/>
        <w:jc w:val="both"/>
        <w:rPr>
          <w:sz w:val="22"/>
        </w:rPr>
      </w:pPr>
      <w:r>
        <w:rPr>
          <w:sz w:val="22"/>
        </w:rPr>
        <w:t xml:space="preserve"> </w:t>
      </w:r>
    </w:p>
    <w:p w:rsidR="005237DD" w:rsidRPr="00F94889" w:rsidRDefault="005237DD" w:rsidP="005237DD">
      <w:pPr>
        <w:spacing w:after="0"/>
        <w:jc w:val="both"/>
        <w:rPr>
          <w:sz w:val="22"/>
        </w:rPr>
      </w:pPr>
      <w:r>
        <w:rPr>
          <w:sz w:val="22"/>
        </w:rPr>
        <w:t>Al respecto</w:t>
      </w:r>
      <w:r w:rsidRPr="00F94889">
        <w:rPr>
          <w:sz w:val="22"/>
        </w:rPr>
        <w:t xml:space="preserve"> se  encuentra que en el ámbito colombiano el Instituto Nacional de Medicina Legal y Ciencias Forenses en la serie de estudios </w:t>
      </w:r>
      <w:proofErr w:type="spellStart"/>
      <w:r w:rsidRPr="00F94889">
        <w:rPr>
          <w:sz w:val="22"/>
        </w:rPr>
        <w:t>Forensis</w:t>
      </w:r>
      <w:proofErr w:type="spellEnd"/>
      <w:r w:rsidRPr="00F94889">
        <w:rPr>
          <w:sz w:val="22"/>
        </w:rPr>
        <w:t xml:space="preserve">, al estudiar temas relacionados con el derecho a la vida ha utilizado como criterio de análisis las muertes violentas. </w:t>
      </w:r>
      <w:r>
        <w:rPr>
          <w:sz w:val="22"/>
        </w:rPr>
        <w:t xml:space="preserve"> </w:t>
      </w:r>
      <w:r w:rsidRPr="00F94889">
        <w:rPr>
          <w:sz w:val="22"/>
        </w:rPr>
        <w:t>Estas se clasifican en “</w:t>
      </w:r>
      <w:r w:rsidRPr="00F94889">
        <w:rPr>
          <w:i/>
          <w:sz w:val="22"/>
        </w:rPr>
        <w:t>homicidios, suicidios, muertes accidentales de transporte, otras muertes accidentales, e indeterminadas</w:t>
      </w:r>
      <w:r w:rsidRPr="00F94889">
        <w:rPr>
          <w:sz w:val="22"/>
        </w:rPr>
        <w:t>”</w:t>
      </w:r>
      <w:r w:rsidRPr="00F94889">
        <w:rPr>
          <w:rStyle w:val="FootnoteReference"/>
          <w:sz w:val="22"/>
        </w:rPr>
        <w:footnoteReference w:id="6"/>
      </w:r>
      <w:r w:rsidRPr="00F94889">
        <w:rPr>
          <w:sz w:val="22"/>
        </w:rPr>
        <w:t>, datos que se representan con la tasa de casos por cada por cada 100.000 habitantes, lo que se calcula con la fórmula:</w:t>
      </w:r>
    </w:p>
    <w:p w:rsidR="005237DD" w:rsidRPr="00AC68D8" w:rsidRDefault="005237DD" w:rsidP="005237DD">
      <w:pPr>
        <w:spacing w:after="0" w:line="360" w:lineRule="auto"/>
        <w:jc w:val="both"/>
        <w:rPr>
          <w:sz w:val="22"/>
        </w:rPr>
      </w:pPr>
    </w:p>
    <w:p w:rsidR="005237DD" w:rsidRPr="00AC68D8" w:rsidRDefault="005237DD" w:rsidP="005237DD">
      <w:pPr>
        <w:spacing w:after="0" w:line="360" w:lineRule="auto"/>
        <w:jc w:val="center"/>
        <w:rPr>
          <w:sz w:val="22"/>
        </w:rPr>
      </w:pPr>
      <w:r w:rsidRPr="00AC68D8">
        <w:rPr>
          <w:sz w:val="22"/>
        </w:rPr>
        <w:t xml:space="preserve">            </w:t>
      </w:r>
      <w:r w:rsidRPr="00AC68D8">
        <w:rPr>
          <w:sz w:val="22"/>
          <w:u w:val="single"/>
        </w:rPr>
        <w:t xml:space="preserve">            Casos            </w:t>
      </w:r>
      <w:r w:rsidRPr="00AC68D8">
        <w:rPr>
          <w:sz w:val="22"/>
        </w:rPr>
        <w:t xml:space="preserve"> * 100.000</w:t>
      </w:r>
    </w:p>
    <w:p w:rsidR="005237DD" w:rsidRPr="00AC68D8" w:rsidRDefault="005237DD" w:rsidP="005237DD">
      <w:pPr>
        <w:spacing w:after="0" w:line="360" w:lineRule="auto"/>
        <w:jc w:val="center"/>
        <w:rPr>
          <w:sz w:val="22"/>
        </w:rPr>
      </w:pPr>
      <w:r w:rsidRPr="00AC68D8">
        <w:rPr>
          <w:sz w:val="22"/>
        </w:rPr>
        <w:t>Población total</w:t>
      </w:r>
    </w:p>
    <w:p w:rsidR="005237DD" w:rsidRPr="00AC68D8" w:rsidRDefault="005237DD" w:rsidP="005237DD">
      <w:pPr>
        <w:spacing w:after="0"/>
        <w:jc w:val="both"/>
        <w:rPr>
          <w:sz w:val="22"/>
        </w:rPr>
      </w:pPr>
    </w:p>
    <w:p w:rsidR="005237DD" w:rsidRPr="00AC68D8" w:rsidRDefault="005237DD" w:rsidP="005237DD">
      <w:pPr>
        <w:spacing w:after="0"/>
        <w:jc w:val="both"/>
        <w:rPr>
          <w:sz w:val="22"/>
        </w:rPr>
      </w:pPr>
      <w:r w:rsidRPr="00AC68D8">
        <w:rPr>
          <w:sz w:val="22"/>
        </w:rPr>
        <w:t>Este indicador encuentra concordancia con los indicadores de derecho a la vida  planteados en la literatura sobre el tema; en particular por las Naciones Unidas en el documento “</w:t>
      </w:r>
      <w:r w:rsidRPr="00AC68D8">
        <w:rPr>
          <w:i/>
          <w:sz w:val="22"/>
        </w:rPr>
        <w:t>Indicadores de Derechos Humanos”</w:t>
      </w:r>
      <w:r w:rsidRPr="00AC68D8">
        <w:rPr>
          <w:sz w:val="22"/>
        </w:rPr>
        <w:t xml:space="preserve"> del año 2012. Metodología que igualmente es utilizada para estudiar el índice de mortalidad y lesiones interpersonales. </w:t>
      </w:r>
    </w:p>
    <w:p w:rsidR="005237DD" w:rsidRPr="00AC68D8" w:rsidRDefault="005237DD" w:rsidP="005237DD">
      <w:pPr>
        <w:spacing w:after="0"/>
        <w:jc w:val="both"/>
        <w:rPr>
          <w:sz w:val="22"/>
        </w:rPr>
      </w:pPr>
    </w:p>
    <w:p w:rsidR="005237DD" w:rsidRDefault="005237DD" w:rsidP="005237DD">
      <w:pPr>
        <w:spacing w:after="0"/>
        <w:jc w:val="both"/>
        <w:rPr>
          <w:sz w:val="22"/>
        </w:rPr>
      </w:pPr>
      <w:r w:rsidRPr="00AC68D8">
        <w:rPr>
          <w:sz w:val="22"/>
        </w:rPr>
        <w:t xml:space="preserve">De conformidad a lo anterior, para el análisis del goce </w:t>
      </w:r>
      <w:r>
        <w:rPr>
          <w:sz w:val="22"/>
        </w:rPr>
        <w:t>efectivo de los derechos de la PPL</w:t>
      </w:r>
      <w:r w:rsidRPr="00AC68D8">
        <w:rPr>
          <w:sz w:val="22"/>
        </w:rPr>
        <w:t>, se comparar</w:t>
      </w:r>
      <w:r>
        <w:rPr>
          <w:sz w:val="22"/>
        </w:rPr>
        <w:t>á</w:t>
      </w:r>
      <w:r w:rsidRPr="00AC68D8">
        <w:rPr>
          <w:sz w:val="22"/>
        </w:rPr>
        <w:t xml:space="preserve">n las tasas de homicidios, suicidios, muertes naturales y lesiones interpersonales no fatales de la población nacional con la tasa de las personas privadas de la libertad. Los resultados serán establecidos para los indicadores de homicidios, suicidios y lesiones personales bajo los criterios de garantía </w:t>
      </w:r>
      <w:r w:rsidRPr="00A21E06">
        <w:rPr>
          <w:i/>
          <w:sz w:val="22"/>
          <w:u w:val="single"/>
        </w:rPr>
        <w:t>buena</w:t>
      </w:r>
      <w:r w:rsidRPr="00AC68D8">
        <w:rPr>
          <w:sz w:val="22"/>
        </w:rPr>
        <w:t xml:space="preserve"> si </w:t>
      </w:r>
      <w:r>
        <w:rPr>
          <w:sz w:val="22"/>
        </w:rPr>
        <w:t>la tasa de la PPL</w:t>
      </w:r>
      <w:r w:rsidRPr="00AC68D8">
        <w:rPr>
          <w:sz w:val="22"/>
        </w:rPr>
        <w:t xml:space="preserve"> es  igual a 0, dada la responsabilidad objetiva del Estado; </w:t>
      </w:r>
      <w:r w:rsidRPr="00A21E06">
        <w:rPr>
          <w:b/>
          <w:i/>
          <w:sz w:val="22"/>
          <w:u w:val="single"/>
        </w:rPr>
        <w:t>baja</w:t>
      </w:r>
      <w:r>
        <w:rPr>
          <w:sz w:val="22"/>
        </w:rPr>
        <w:t xml:space="preserve"> si la tasa de la PPL</w:t>
      </w:r>
      <w:r w:rsidRPr="00AC68D8">
        <w:rPr>
          <w:sz w:val="22"/>
        </w:rPr>
        <w:t xml:space="preserve"> es de 1 caso y/o inferior a la tasa nacional; y </w:t>
      </w:r>
      <w:r w:rsidRPr="00A21E06">
        <w:rPr>
          <w:b/>
          <w:i/>
          <w:sz w:val="22"/>
          <w:u w:val="single"/>
        </w:rPr>
        <w:t>crítica</w:t>
      </w:r>
      <w:r w:rsidRPr="00AC68D8">
        <w:rPr>
          <w:sz w:val="22"/>
        </w:rPr>
        <w:t xml:space="preserve"> cu</w:t>
      </w:r>
      <w:r>
        <w:rPr>
          <w:sz w:val="22"/>
        </w:rPr>
        <w:t>a</w:t>
      </w:r>
      <w:r w:rsidRPr="00AC68D8">
        <w:rPr>
          <w:sz w:val="22"/>
        </w:rPr>
        <w:t>ndo el número de casos es mayor a 1 y la tasa de casos e</w:t>
      </w:r>
      <w:r>
        <w:rPr>
          <w:sz w:val="22"/>
        </w:rPr>
        <w:t>s</w:t>
      </w:r>
      <w:r w:rsidRPr="00AC68D8">
        <w:rPr>
          <w:sz w:val="22"/>
        </w:rPr>
        <w:t xml:space="preserve"> mayor que la nacional.</w:t>
      </w:r>
    </w:p>
    <w:p w:rsidR="00976146" w:rsidRDefault="00976146" w:rsidP="00FB2636">
      <w:pPr>
        <w:spacing w:after="0"/>
        <w:jc w:val="both"/>
        <w:rPr>
          <w:sz w:val="22"/>
        </w:rPr>
      </w:pPr>
    </w:p>
    <w:p w:rsidR="009823EA" w:rsidRPr="00AC68D8" w:rsidRDefault="009823EA" w:rsidP="009823EA">
      <w:pPr>
        <w:pStyle w:val="ListParagraph"/>
        <w:numPr>
          <w:ilvl w:val="0"/>
          <w:numId w:val="16"/>
        </w:numPr>
        <w:spacing w:after="0" w:line="360" w:lineRule="auto"/>
        <w:ind w:left="284" w:hanging="284"/>
        <w:rPr>
          <w:b/>
        </w:rPr>
      </w:pPr>
      <w:r>
        <w:rPr>
          <w:b/>
        </w:rPr>
        <w:t xml:space="preserve">Análisis </w:t>
      </w:r>
      <w:r w:rsidRPr="00AC68D8">
        <w:rPr>
          <w:b/>
        </w:rPr>
        <w:t>Muertes Violentas.</w:t>
      </w:r>
    </w:p>
    <w:p w:rsidR="009823EA" w:rsidRDefault="009823EA" w:rsidP="009823EA">
      <w:pPr>
        <w:spacing w:after="0" w:line="360" w:lineRule="auto"/>
        <w:rPr>
          <w:b/>
          <w:sz w:val="22"/>
        </w:rPr>
      </w:pPr>
    </w:p>
    <w:p w:rsidR="009823EA" w:rsidRPr="00A21E06" w:rsidRDefault="009823EA" w:rsidP="009823EA">
      <w:pPr>
        <w:pStyle w:val="ListParagraph"/>
        <w:numPr>
          <w:ilvl w:val="1"/>
          <w:numId w:val="16"/>
        </w:numPr>
        <w:spacing w:after="0" w:line="360" w:lineRule="auto"/>
        <w:ind w:left="284" w:hanging="284"/>
        <w:rPr>
          <w:b/>
        </w:rPr>
      </w:pPr>
      <w:r w:rsidRPr="00A21E06">
        <w:rPr>
          <w:b/>
        </w:rPr>
        <w:t xml:space="preserve">Muertes violentas de personas privadas de la libertad durante el año 2015. </w:t>
      </w:r>
    </w:p>
    <w:p w:rsidR="009823EA" w:rsidRDefault="009823EA" w:rsidP="009823EA">
      <w:pPr>
        <w:shd w:val="clear" w:color="auto" w:fill="FFFFFF"/>
        <w:spacing w:after="0"/>
        <w:jc w:val="both"/>
        <w:rPr>
          <w:rFonts w:eastAsia="Times New Roman" w:cs="Calibri"/>
          <w:color w:val="212121"/>
          <w:sz w:val="22"/>
          <w:lang w:val="es-CO" w:eastAsia="es-CO"/>
        </w:rPr>
      </w:pPr>
    </w:p>
    <w:p w:rsidR="009823EA" w:rsidRPr="001B2AC5" w:rsidRDefault="009823EA" w:rsidP="009823EA">
      <w:pPr>
        <w:shd w:val="clear" w:color="auto" w:fill="FFFFFF"/>
        <w:spacing w:after="0"/>
        <w:jc w:val="both"/>
        <w:rPr>
          <w:rFonts w:eastAsia="Times New Roman" w:cs="Calibri"/>
          <w:color w:val="212121"/>
          <w:sz w:val="22"/>
          <w:lang w:val="es-CO" w:eastAsia="es-CO"/>
        </w:rPr>
      </w:pPr>
      <w:r w:rsidRPr="001B2AC5">
        <w:rPr>
          <w:rFonts w:eastAsia="Times New Roman" w:cs="Calibri"/>
          <w:color w:val="212121"/>
          <w:sz w:val="22"/>
          <w:lang w:val="es-CO" w:eastAsia="es-CO"/>
        </w:rPr>
        <w:t>De acuerdo con la información suministrada por el Centro Estratégico de Información-CEDIP- del INPEC, durante el 2015 fallecieron 611 personas privadas de la libertad en establecimientos de reclusión, prisión domiciliaria y/o vigilancia electrónica. 603 Personas fallecieron bajo custodia y vigilancia del INPEC, 8 fallecieron durante el permiso de 72 horas o fugados de prisión.</w:t>
      </w:r>
    </w:p>
    <w:p w:rsidR="009823EA" w:rsidRPr="001B2AC5" w:rsidRDefault="009823EA" w:rsidP="009823EA">
      <w:pPr>
        <w:shd w:val="clear" w:color="auto" w:fill="FFFFFF"/>
        <w:tabs>
          <w:tab w:val="left" w:pos="1200"/>
        </w:tabs>
        <w:spacing w:after="0"/>
        <w:jc w:val="both"/>
        <w:rPr>
          <w:rFonts w:eastAsia="Times New Roman" w:cs="Calibri"/>
          <w:color w:val="212121"/>
          <w:sz w:val="22"/>
          <w:lang w:val="es-CO" w:eastAsia="es-CO"/>
        </w:rPr>
      </w:pPr>
      <w:r>
        <w:rPr>
          <w:rFonts w:eastAsia="Times New Roman" w:cs="Calibri"/>
          <w:color w:val="212121"/>
          <w:sz w:val="22"/>
          <w:lang w:val="es-CO" w:eastAsia="es-CO"/>
        </w:rPr>
        <w:tab/>
      </w:r>
    </w:p>
    <w:p w:rsidR="009823EA" w:rsidRPr="001B2AC5" w:rsidRDefault="009823EA" w:rsidP="009823EA">
      <w:pPr>
        <w:shd w:val="clear" w:color="auto" w:fill="FFFFFF"/>
        <w:spacing w:after="0"/>
        <w:jc w:val="both"/>
        <w:rPr>
          <w:rFonts w:eastAsia="Times New Roman" w:cs="Calibri"/>
          <w:color w:val="212121"/>
          <w:sz w:val="22"/>
          <w:lang w:val="es-CO" w:eastAsia="es-CO"/>
        </w:rPr>
      </w:pPr>
      <w:r w:rsidRPr="001B2AC5">
        <w:rPr>
          <w:rFonts w:eastAsia="Times New Roman" w:cs="Calibri"/>
          <w:color w:val="212121"/>
          <w:sz w:val="22"/>
          <w:lang w:val="es-CO" w:eastAsia="es-CO"/>
        </w:rPr>
        <w:t>De estas 603 muertes 101 ocurrieron bajo el indicador de muertes violentas relacionadas con homicidios (81) o suicidios (20). </w:t>
      </w:r>
    </w:p>
    <w:p w:rsidR="009823EA" w:rsidRPr="001B2AC5" w:rsidRDefault="009823EA" w:rsidP="009823EA">
      <w:pPr>
        <w:shd w:val="clear" w:color="auto" w:fill="FFFFFF"/>
        <w:spacing w:after="0"/>
        <w:jc w:val="both"/>
        <w:rPr>
          <w:rFonts w:eastAsia="Times New Roman" w:cs="Calibri"/>
          <w:color w:val="212121"/>
          <w:sz w:val="22"/>
          <w:lang w:val="es-CO" w:eastAsia="es-CO"/>
        </w:rPr>
      </w:pPr>
    </w:p>
    <w:p w:rsidR="009823EA" w:rsidRPr="001B2AC5" w:rsidRDefault="009823EA" w:rsidP="009823EA">
      <w:pPr>
        <w:shd w:val="clear" w:color="auto" w:fill="FFFFFF"/>
        <w:spacing w:after="0"/>
        <w:jc w:val="both"/>
        <w:rPr>
          <w:rFonts w:eastAsia="Times New Roman" w:cs="Calibri"/>
          <w:color w:val="212121"/>
          <w:sz w:val="22"/>
          <w:lang w:val="es-CO" w:eastAsia="es-CO"/>
        </w:rPr>
      </w:pPr>
      <w:r w:rsidRPr="001B2AC5">
        <w:rPr>
          <w:rFonts w:eastAsia="Times New Roman" w:cs="Calibri"/>
          <w:color w:val="212121"/>
          <w:sz w:val="22"/>
          <w:lang w:val="es-CO" w:eastAsia="es-CO"/>
        </w:rPr>
        <w:t>Los 81 homicidios se traducen en una tasa por cada 100.000 habitantes de 45,7, siendo esta muy superior a la tasa presentada en personas no privadas de la libertad que para el 2015 fue del 24,03.</w:t>
      </w:r>
    </w:p>
    <w:p w:rsidR="009823EA" w:rsidRPr="001B2AC5" w:rsidRDefault="009823EA" w:rsidP="009823EA">
      <w:pPr>
        <w:shd w:val="clear" w:color="auto" w:fill="FFFFFF"/>
        <w:spacing w:after="0"/>
        <w:jc w:val="both"/>
        <w:rPr>
          <w:rFonts w:eastAsia="Times New Roman" w:cs="Calibri"/>
          <w:color w:val="212121"/>
          <w:sz w:val="22"/>
          <w:lang w:val="es-CO" w:eastAsia="es-CO"/>
        </w:rPr>
      </w:pPr>
    </w:p>
    <w:tbl>
      <w:tblPr>
        <w:tblW w:w="0" w:type="auto"/>
        <w:jc w:val="center"/>
        <w:tblCellMar>
          <w:left w:w="70" w:type="dxa"/>
          <w:right w:w="70" w:type="dxa"/>
        </w:tblCellMar>
        <w:tblLook w:val="04A0" w:firstRow="1" w:lastRow="0" w:firstColumn="1" w:lastColumn="0" w:noHBand="0" w:noVBand="1"/>
      </w:tblPr>
      <w:tblGrid>
        <w:gridCol w:w="3004"/>
        <w:gridCol w:w="844"/>
        <w:gridCol w:w="1261"/>
        <w:gridCol w:w="1551"/>
        <w:gridCol w:w="1515"/>
      </w:tblGrid>
      <w:tr w:rsidR="009823EA" w:rsidRPr="0087715E" w:rsidTr="009823EA">
        <w:trPr>
          <w:trHeight w:val="315"/>
          <w:jc w:val="center"/>
        </w:trPr>
        <w:tc>
          <w:tcPr>
            <w:tcW w:w="0" w:type="auto"/>
            <w:gridSpan w:val="5"/>
            <w:tcBorders>
              <w:top w:val="single" w:sz="8" w:space="0" w:color="auto"/>
              <w:left w:val="single" w:sz="8" w:space="0" w:color="auto"/>
              <w:bottom w:val="single" w:sz="8" w:space="0" w:color="auto"/>
              <w:right w:val="single" w:sz="8" w:space="0" w:color="000000"/>
            </w:tcBorders>
            <w:shd w:val="clear" w:color="000000" w:fill="D9D9D9"/>
            <w:noWrap/>
            <w:hideMark/>
          </w:tcPr>
          <w:p w:rsidR="009823EA" w:rsidRPr="0087715E" w:rsidRDefault="009823EA" w:rsidP="006662EE">
            <w:pPr>
              <w:spacing w:after="0" w:line="240" w:lineRule="auto"/>
              <w:jc w:val="center"/>
              <w:rPr>
                <w:rFonts w:asciiTheme="minorHAnsi" w:eastAsia="Times New Roman" w:hAnsiTheme="minorHAnsi" w:cstheme="minorHAnsi"/>
                <w:b/>
                <w:bCs/>
                <w:color w:val="000000"/>
                <w:szCs w:val="20"/>
                <w:lang w:eastAsia="es-CO"/>
              </w:rPr>
            </w:pPr>
            <w:r w:rsidRPr="0087715E">
              <w:rPr>
                <w:rFonts w:asciiTheme="minorHAnsi" w:eastAsia="Times New Roman" w:hAnsiTheme="minorHAnsi" w:cstheme="minorHAnsi"/>
                <w:b/>
                <w:bCs/>
                <w:color w:val="000000"/>
                <w:szCs w:val="20"/>
                <w:lang w:eastAsia="es-CO"/>
              </w:rPr>
              <w:t xml:space="preserve">Homicidios </w:t>
            </w:r>
            <w:proofErr w:type="spellStart"/>
            <w:r w:rsidRPr="0087715E">
              <w:rPr>
                <w:rFonts w:asciiTheme="minorHAnsi" w:eastAsia="Times New Roman" w:hAnsiTheme="minorHAnsi" w:cstheme="minorHAnsi"/>
                <w:b/>
                <w:bCs/>
                <w:color w:val="000000"/>
                <w:szCs w:val="20"/>
                <w:lang w:eastAsia="es-CO"/>
              </w:rPr>
              <w:t>Intramurales</w:t>
            </w:r>
            <w:proofErr w:type="spellEnd"/>
            <w:r w:rsidRPr="0087715E">
              <w:rPr>
                <w:rFonts w:asciiTheme="minorHAnsi" w:eastAsia="Times New Roman" w:hAnsiTheme="minorHAnsi" w:cstheme="minorHAnsi"/>
                <w:b/>
                <w:bCs/>
                <w:color w:val="000000"/>
                <w:szCs w:val="20"/>
                <w:lang w:eastAsia="es-CO"/>
              </w:rPr>
              <w:t xml:space="preserve"> año 2015</w:t>
            </w:r>
          </w:p>
        </w:tc>
      </w:tr>
      <w:tr w:rsidR="009823EA" w:rsidRPr="0087715E" w:rsidTr="009823EA">
        <w:trPr>
          <w:trHeight w:val="300"/>
          <w:jc w:val="center"/>
        </w:trPr>
        <w:tc>
          <w:tcPr>
            <w:tcW w:w="0" w:type="auto"/>
            <w:tcBorders>
              <w:top w:val="nil"/>
              <w:left w:val="single" w:sz="8" w:space="0" w:color="auto"/>
              <w:bottom w:val="single" w:sz="4" w:space="0" w:color="auto"/>
              <w:right w:val="single" w:sz="4" w:space="0" w:color="auto"/>
            </w:tcBorders>
            <w:shd w:val="clear" w:color="000000" w:fill="D9D9D9"/>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ERON</w:t>
            </w:r>
          </w:p>
        </w:tc>
        <w:tc>
          <w:tcPr>
            <w:tcW w:w="0" w:type="auto"/>
            <w:tcBorders>
              <w:top w:val="nil"/>
              <w:left w:val="nil"/>
              <w:bottom w:val="single" w:sz="4" w:space="0" w:color="auto"/>
              <w:right w:val="single" w:sz="4" w:space="0" w:color="auto"/>
            </w:tcBorders>
            <w:shd w:val="clear" w:color="000000" w:fill="D9D9D9"/>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Tasa PPL</w:t>
            </w:r>
          </w:p>
        </w:tc>
        <w:tc>
          <w:tcPr>
            <w:tcW w:w="0" w:type="auto"/>
            <w:tcBorders>
              <w:top w:val="nil"/>
              <w:left w:val="nil"/>
              <w:bottom w:val="single" w:sz="4" w:space="0" w:color="auto"/>
              <w:right w:val="single" w:sz="4" w:space="0" w:color="auto"/>
            </w:tcBorders>
            <w:shd w:val="clear" w:color="000000" w:fill="D9D9D9"/>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Tasa Nacional</w:t>
            </w:r>
          </w:p>
        </w:tc>
        <w:tc>
          <w:tcPr>
            <w:tcW w:w="0" w:type="auto"/>
            <w:tcBorders>
              <w:top w:val="nil"/>
              <w:left w:val="nil"/>
              <w:bottom w:val="single" w:sz="4" w:space="0" w:color="auto"/>
              <w:right w:val="single" w:sz="4" w:space="0" w:color="auto"/>
            </w:tcBorders>
            <w:shd w:val="clear" w:color="000000" w:fill="D9D9D9"/>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No de homicidios</w:t>
            </w:r>
          </w:p>
        </w:tc>
        <w:tc>
          <w:tcPr>
            <w:tcW w:w="0" w:type="auto"/>
            <w:tcBorders>
              <w:top w:val="nil"/>
              <w:left w:val="nil"/>
              <w:bottom w:val="single" w:sz="4" w:space="0" w:color="auto"/>
              <w:right w:val="single" w:sz="8" w:space="0" w:color="auto"/>
            </w:tcBorders>
            <w:shd w:val="clear" w:color="000000" w:fill="D9D9D9"/>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Nivel de garantía</w:t>
            </w:r>
          </w:p>
        </w:tc>
      </w:tr>
      <w:tr w:rsidR="009823EA" w:rsidRPr="0087715E" w:rsidTr="009823EA">
        <w:trPr>
          <w:trHeight w:val="71"/>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COJAM Jamundí</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110,2</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24,03</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5</w:t>
            </w:r>
          </w:p>
        </w:tc>
        <w:tc>
          <w:tcPr>
            <w:tcW w:w="0" w:type="auto"/>
            <w:tcBorders>
              <w:top w:val="nil"/>
              <w:left w:val="nil"/>
              <w:bottom w:val="single" w:sz="4" w:space="0" w:color="auto"/>
              <w:right w:val="single" w:sz="8"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Crítica</w:t>
            </w:r>
          </w:p>
        </w:tc>
      </w:tr>
      <w:tr w:rsidR="009823EA" w:rsidRPr="0087715E" w:rsidTr="009823EA">
        <w:trPr>
          <w:trHeight w:val="105"/>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COCUC Cúcuta</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74,0</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24,03</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3</w:t>
            </w:r>
          </w:p>
        </w:tc>
        <w:tc>
          <w:tcPr>
            <w:tcW w:w="0" w:type="auto"/>
            <w:tcBorders>
              <w:top w:val="nil"/>
              <w:left w:val="nil"/>
              <w:bottom w:val="single" w:sz="4" w:space="0" w:color="auto"/>
              <w:right w:val="single" w:sz="8"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Crítica</w:t>
            </w:r>
          </w:p>
        </w:tc>
      </w:tr>
      <w:tr w:rsidR="009823EA" w:rsidRPr="0087715E" w:rsidTr="009823EA">
        <w:trPr>
          <w:trHeight w:val="139"/>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EPAMSCAS Combita</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74,2</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24,03</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w:t>
            </w:r>
          </w:p>
        </w:tc>
        <w:tc>
          <w:tcPr>
            <w:tcW w:w="0" w:type="auto"/>
            <w:tcBorders>
              <w:top w:val="nil"/>
              <w:left w:val="nil"/>
              <w:bottom w:val="single" w:sz="4" w:space="0" w:color="auto"/>
              <w:right w:val="single" w:sz="8"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Crítica</w:t>
            </w:r>
          </w:p>
        </w:tc>
      </w:tr>
      <w:tr w:rsidR="009823EA" w:rsidRPr="0087715E" w:rsidTr="009823EA">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9823EA" w:rsidRPr="00944086" w:rsidRDefault="009823EA" w:rsidP="006662EE">
            <w:pPr>
              <w:spacing w:after="0" w:line="240" w:lineRule="auto"/>
              <w:rPr>
                <w:rFonts w:asciiTheme="minorHAnsi" w:eastAsia="Times New Roman" w:hAnsiTheme="minorHAnsi" w:cstheme="minorHAnsi"/>
                <w:color w:val="000000"/>
                <w:szCs w:val="20"/>
                <w:lang w:val="pt-BR" w:eastAsia="es-CO"/>
              </w:rPr>
            </w:pPr>
            <w:r w:rsidRPr="00944086">
              <w:rPr>
                <w:rFonts w:asciiTheme="minorHAnsi" w:eastAsia="Times New Roman" w:hAnsiTheme="minorHAnsi" w:cstheme="minorHAnsi"/>
                <w:color w:val="000000"/>
                <w:szCs w:val="20"/>
                <w:lang w:val="pt-BR" w:eastAsia="es-CO"/>
              </w:rPr>
              <w:t>EPMSC Santa Rosa de Viterbo</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214,6</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24,03</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8"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Baja</w:t>
            </w:r>
          </w:p>
        </w:tc>
      </w:tr>
      <w:tr w:rsidR="009823EA" w:rsidRPr="0087715E" w:rsidTr="009823EA">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COMEB</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12,8</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24,03</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8"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Baja</w:t>
            </w:r>
          </w:p>
        </w:tc>
      </w:tr>
      <w:tr w:rsidR="009823EA" w:rsidRPr="0087715E" w:rsidTr="009823EA">
        <w:trPr>
          <w:trHeight w:val="85"/>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EPMSC Acacias</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38,9</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24,03</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8"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Baja</w:t>
            </w:r>
          </w:p>
        </w:tc>
      </w:tr>
      <w:tr w:rsidR="009823EA" w:rsidRPr="0087715E" w:rsidTr="009823EA">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EP Guaduas La Esperanza</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40,1</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24,03</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8"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Baja</w:t>
            </w:r>
          </w:p>
        </w:tc>
      </w:tr>
      <w:tr w:rsidR="009823EA" w:rsidRPr="0087715E" w:rsidTr="009823EA">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EP Florencia Las Heliconias</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63,7</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24,03</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8"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Baja</w:t>
            </w:r>
          </w:p>
        </w:tc>
      </w:tr>
      <w:tr w:rsidR="009823EA" w:rsidRPr="0087715E" w:rsidTr="009823EA">
        <w:trPr>
          <w:trHeight w:val="283"/>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207 EPMSC Santander de Quilichao</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208,3</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24,03</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8"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Baja</w:t>
            </w:r>
          </w:p>
        </w:tc>
      </w:tr>
      <w:tr w:rsidR="009823EA" w:rsidRPr="0087715E" w:rsidTr="009823EA">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225 EPAMSCAS Palmira</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36,3</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24,03</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8"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Baja</w:t>
            </w:r>
          </w:p>
        </w:tc>
      </w:tr>
      <w:tr w:rsidR="009823EA" w:rsidRPr="0087715E" w:rsidTr="009823EA">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226 EPMSC Cali</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16,0</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24,03</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8"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Baja</w:t>
            </w:r>
          </w:p>
        </w:tc>
      </w:tr>
      <w:tr w:rsidR="009823EA" w:rsidRPr="0087715E" w:rsidTr="009823EA">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314 EPMSC Santa Marta</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66,7</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24,03</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8"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Baja</w:t>
            </w:r>
          </w:p>
        </w:tc>
      </w:tr>
      <w:tr w:rsidR="009823EA" w:rsidRPr="0087715E" w:rsidTr="009823EA">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421 EPAMS Girón</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57,7</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24,03</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8"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Baja</w:t>
            </w:r>
          </w:p>
        </w:tc>
      </w:tr>
      <w:tr w:rsidR="009823EA" w:rsidRPr="0087715E" w:rsidTr="009823EA">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612 EPMSC Calarcá</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109,2</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24,03</w:t>
            </w:r>
          </w:p>
        </w:tc>
        <w:tc>
          <w:tcPr>
            <w:tcW w:w="0" w:type="auto"/>
            <w:tcBorders>
              <w:top w:val="nil"/>
              <w:left w:val="nil"/>
              <w:bottom w:val="single" w:sz="4"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8"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Baja</w:t>
            </w:r>
          </w:p>
        </w:tc>
      </w:tr>
      <w:tr w:rsidR="009823EA" w:rsidRPr="0087715E" w:rsidTr="009823EA">
        <w:trPr>
          <w:trHeight w:val="315"/>
          <w:jc w:val="center"/>
        </w:trPr>
        <w:tc>
          <w:tcPr>
            <w:tcW w:w="0" w:type="auto"/>
            <w:tcBorders>
              <w:top w:val="nil"/>
              <w:left w:val="single" w:sz="8" w:space="0" w:color="auto"/>
              <w:bottom w:val="single" w:sz="8"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639 COIBA Ibagué</w:t>
            </w:r>
          </w:p>
        </w:tc>
        <w:tc>
          <w:tcPr>
            <w:tcW w:w="0" w:type="auto"/>
            <w:tcBorders>
              <w:top w:val="nil"/>
              <w:left w:val="nil"/>
              <w:bottom w:val="single" w:sz="8"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18,9</w:t>
            </w:r>
          </w:p>
        </w:tc>
        <w:tc>
          <w:tcPr>
            <w:tcW w:w="0" w:type="auto"/>
            <w:tcBorders>
              <w:top w:val="nil"/>
              <w:left w:val="nil"/>
              <w:bottom w:val="single" w:sz="8"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24,03</w:t>
            </w:r>
          </w:p>
        </w:tc>
        <w:tc>
          <w:tcPr>
            <w:tcW w:w="0" w:type="auto"/>
            <w:tcBorders>
              <w:top w:val="nil"/>
              <w:left w:val="nil"/>
              <w:bottom w:val="single" w:sz="8" w:space="0" w:color="auto"/>
              <w:right w:val="single" w:sz="4"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8" w:space="0" w:color="auto"/>
              <w:right w:val="single" w:sz="8" w:space="0" w:color="auto"/>
            </w:tcBorders>
            <w:shd w:val="clear" w:color="auto" w:fill="auto"/>
            <w:noWrap/>
            <w:hideMark/>
          </w:tcPr>
          <w:p w:rsidR="009823EA" w:rsidRPr="0087715E" w:rsidRDefault="009823EA"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Baja</w:t>
            </w:r>
          </w:p>
        </w:tc>
      </w:tr>
    </w:tbl>
    <w:p w:rsidR="009823EA" w:rsidRDefault="009823EA" w:rsidP="009823EA">
      <w:pPr>
        <w:spacing w:after="0" w:line="360" w:lineRule="auto"/>
        <w:rPr>
          <w:sz w:val="22"/>
        </w:rPr>
      </w:pPr>
    </w:p>
    <w:p w:rsidR="001E7570" w:rsidRDefault="001E7570" w:rsidP="001E7570">
      <w:pPr>
        <w:shd w:val="clear" w:color="auto" w:fill="FFFFFF"/>
        <w:spacing w:after="0"/>
        <w:jc w:val="both"/>
        <w:rPr>
          <w:rFonts w:eastAsia="Times New Roman" w:cs="Calibri"/>
          <w:color w:val="212121"/>
          <w:sz w:val="22"/>
          <w:lang w:val="es-CO" w:eastAsia="es-CO"/>
        </w:rPr>
      </w:pPr>
      <w:r w:rsidRPr="001B2AC5">
        <w:rPr>
          <w:rFonts w:eastAsia="Times New Roman" w:cs="Calibri"/>
          <w:color w:val="212121"/>
          <w:sz w:val="22"/>
          <w:lang w:val="es-CO" w:eastAsia="es-CO"/>
        </w:rPr>
        <w:t>El análisis realizado permite concluir frente al indicador que en 121 de los 136 establecimientos la garantía del derecho a la vida por el indicador de homicidios es buena, mientras que en 12 establecimientos es baja y, en 3 establecimientos en los que se encuentran el 46% de los homicidios ocurridos en personas privadas de la libertad, resulta crítico.</w:t>
      </w:r>
    </w:p>
    <w:p w:rsidR="00976146" w:rsidRPr="001E7570" w:rsidRDefault="00976146" w:rsidP="00FB2636">
      <w:pPr>
        <w:spacing w:after="0"/>
        <w:jc w:val="both"/>
        <w:rPr>
          <w:sz w:val="22"/>
          <w:lang w:val="es-CO"/>
        </w:rPr>
      </w:pPr>
    </w:p>
    <w:p w:rsidR="00976146" w:rsidRDefault="00976146" w:rsidP="00FB2636">
      <w:pPr>
        <w:spacing w:after="0"/>
        <w:jc w:val="both"/>
        <w:rPr>
          <w:sz w:val="22"/>
        </w:rPr>
      </w:pPr>
    </w:p>
    <w:p w:rsidR="00976146" w:rsidRDefault="00976146" w:rsidP="00FB2636">
      <w:pPr>
        <w:spacing w:after="0"/>
        <w:jc w:val="both"/>
        <w:rPr>
          <w:sz w:val="22"/>
        </w:rPr>
      </w:pPr>
    </w:p>
    <w:p w:rsidR="00976146" w:rsidRDefault="00976146" w:rsidP="00FB2636">
      <w:pPr>
        <w:spacing w:after="0"/>
        <w:jc w:val="both"/>
        <w:rPr>
          <w:sz w:val="22"/>
        </w:rPr>
      </w:pPr>
    </w:p>
    <w:p w:rsidR="001E7570" w:rsidRPr="001B2AC5" w:rsidRDefault="001E7570" w:rsidP="001E7570">
      <w:pPr>
        <w:shd w:val="clear" w:color="auto" w:fill="FFFFFF"/>
        <w:spacing w:after="0"/>
        <w:jc w:val="both"/>
        <w:rPr>
          <w:rFonts w:eastAsia="Times New Roman" w:cs="Calibri"/>
          <w:color w:val="212121"/>
          <w:sz w:val="22"/>
          <w:lang w:val="es-CO" w:eastAsia="es-CO"/>
        </w:rPr>
      </w:pPr>
      <w:r w:rsidRPr="001B2AC5">
        <w:rPr>
          <w:rFonts w:eastAsia="Times New Roman" w:cs="Calibri"/>
          <w:color w:val="212121"/>
          <w:sz w:val="22"/>
          <w:lang w:val="es-CO" w:eastAsia="es-CO"/>
        </w:rPr>
        <w:t>Frente al indicador de suicidios, los 20 hechos ocurridos al interior de las prisiones se traducen en una tasa por cada 100.000 habitantes de 11,4, siendo nuevamente muy superior a la tasa presentada en personas no privadas de la libertad que para el 2015 fue de 4,08, este indicador evidencia que mientras que en 120 de las 136 prisiones la garantía del derecho a la vida medida por el indicador suicidio es buena, en 16 da como resultado que es crítica.</w:t>
      </w:r>
    </w:p>
    <w:p w:rsidR="001E7570" w:rsidRDefault="001E7570" w:rsidP="001E7570">
      <w:pPr>
        <w:spacing w:after="0" w:line="360" w:lineRule="auto"/>
        <w:rPr>
          <w:sz w:val="22"/>
        </w:rPr>
      </w:pPr>
    </w:p>
    <w:tbl>
      <w:tblPr>
        <w:tblW w:w="0" w:type="auto"/>
        <w:jc w:val="center"/>
        <w:tblCellMar>
          <w:left w:w="70" w:type="dxa"/>
          <w:right w:w="70" w:type="dxa"/>
        </w:tblCellMar>
        <w:tblLook w:val="04A0" w:firstRow="1" w:lastRow="0" w:firstColumn="1" w:lastColumn="0" w:noHBand="0" w:noVBand="1"/>
      </w:tblPr>
      <w:tblGrid>
        <w:gridCol w:w="1961"/>
        <w:gridCol w:w="849"/>
        <w:gridCol w:w="1261"/>
        <w:gridCol w:w="1855"/>
        <w:gridCol w:w="1515"/>
      </w:tblGrid>
      <w:tr w:rsidR="001E7570" w:rsidRPr="0087715E" w:rsidTr="006662EE">
        <w:trPr>
          <w:trHeight w:val="315"/>
          <w:jc w:val="center"/>
        </w:trPr>
        <w:tc>
          <w:tcPr>
            <w:tcW w:w="0" w:type="auto"/>
            <w:gridSpan w:val="5"/>
            <w:tcBorders>
              <w:top w:val="single" w:sz="8" w:space="0" w:color="auto"/>
              <w:left w:val="single" w:sz="8" w:space="0" w:color="auto"/>
              <w:bottom w:val="single" w:sz="8" w:space="0" w:color="auto"/>
              <w:right w:val="single" w:sz="8" w:space="0" w:color="000000"/>
            </w:tcBorders>
            <w:shd w:val="clear" w:color="000000" w:fill="D9D9D9"/>
            <w:noWrap/>
            <w:vAlign w:val="bottom"/>
            <w:hideMark/>
          </w:tcPr>
          <w:p w:rsidR="001E7570" w:rsidRPr="0087715E" w:rsidRDefault="001E7570" w:rsidP="006662EE">
            <w:pPr>
              <w:spacing w:after="0" w:line="240" w:lineRule="auto"/>
              <w:jc w:val="center"/>
              <w:rPr>
                <w:rFonts w:asciiTheme="minorHAnsi" w:eastAsia="Times New Roman" w:hAnsiTheme="minorHAnsi" w:cstheme="minorHAnsi"/>
                <w:b/>
                <w:color w:val="000000"/>
                <w:szCs w:val="20"/>
                <w:lang w:eastAsia="es-CO"/>
              </w:rPr>
            </w:pPr>
            <w:r w:rsidRPr="0087715E">
              <w:rPr>
                <w:rFonts w:asciiTheme="minorHAnsi" w:eastAsia="Times New Roman" w:hAnsiTheme="minorHAnsi" w:cstheme="minorHAnsi"/>
                <w:b/>
                <w:color w:val="000000"/>
                <w:szCs w:val="20"/>
                <w:lang w:eastAsia="es-CO"/>
              </w:rPr>
              <w:t>SUICIDIOS INTRAMURALES AÑO 2015</w:t>
            </w:r>
          </w:p>
        </w:tc>
      </w:tr>
      <w:tr w:rsidR="001E7570" w:rsidRPr="0087715E" w:rsidTr="006662EE">
        <w:trPr>
          <w:trHeight w:val="300"/>
          <w:jc w:val="center"/>
        </w:trPr>
        <w:tc>
          <w:tcPr>
            <w:tcW w:w="0" w:type="auto"/>
            <w:tcBorders>
              <w:top w:val="nil"/>
              <w:left w:val="single" w:sz="8" w:space="0" w:color="auto"/>
              <w:bottom w:val="single" w:sz="4" w:space="0" w:color="auto"/>
              <w:right w:val="single" w:sz="4" w:space="0" w:color="auto"/>
            </w:tcBorders>
            <w:shd w:val="clear" w:color="000000" w:fill="D9D9D9"/>
            <w:noWrap/>
            <w:vAlign w:val="bottom"/>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ERON</w:t>
            </w:r>
          </w:p>
        </w:tc>
        <w:tc>
          <w:tcPr>
            <w:tcW w:w="0" w:type="auto"/>
            <w:tcBorders>
              <w:top w:val="nil"/>
              <w:left w:val="nil"/>
              <w:bottom w:val="single" w:sz="4" w:space="0" w:color="auto"/>
              <w:right w:val="single" w:sz="4" w:space="0" w:color="auto"/>
            </w:tcBorders>
            <w:shd w:val="clear" w:color="000000" w:fill="D9D9D9"/>
            <w:noWrap/>
            <w:vAlign w:val="bottom"/>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Suicidios</w:t>
            </w:r>
          </w:p>
        </w:tc>
        <w:tc>
          <w:tcPr>
            <w:tcW w:w="0" w:type="auto"/>
            <w:tcBorders>
              <w:top w:val="nil"/>
              <w:left w:val="nil"/>
              <w:bottom w:val="single" w:sz="4" w:space="0" w:color="auto"/>
              <w:right w:val="single" w:sz="4" w:space="0" w:color="auto"/>
            </w:tcBorders>
            <w:shd w:val="clear" w:color="000000" w:fill="D9D9D9"/>
            <w:noWrap/>
            <w:vAlign w:val="bottom"/>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Tasa Nacional</w:t>
            </w:r>
          </w:p>
        </w:tc>
        <w:tc>
          <w:tcPr>
            <w:tcW w:w="0" w:type="auto"/>
            <w:tcBorders>
              <w:top w:val="nil"/>
              <w:left w:val="nil"/>
              <w:bottom w:val="single" w:sz="4" w:space="0" w:color="auto"/>
              <w:right w:val="single" w:sz="4" w:space="0" w:color="auto"/>
            </w:tcBorders>
            <w:shd w:val="clear" w:color="000000" w:fill="D9D9D9"/>
            <w:noWrap/>
            <w:vAlign w:val="bottom"/>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Tasa Establecimiento</w:t>
            </w:r>
          </w:p>
        </w:tc>
        <w:tc>
          <w:tcPr>
            <w:tcW w:w="0" w:type="auto"/>
            <w:tcBorders>
              <w:top w:val="nil"/>
              <w:left w:val="nil"/>
              <w:bottom w:val="single" w:sz="4" w:space="0" w:color="auto"/>
              <w:right w:val="single" w:sz="8" w:space="0" w:color="auto"/>
            </w:tcBorders>
            <w:shd w:val="clear" w:color="000000" w:fill="D9D9D9"/>
            <w:noWrap/>
            <w:vAlign w:val="bottom"/>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Nivel de garantía</w:t>
            </w:r>
          </w:p>
        </w:tc>
      </w:tr>
      <w:tr w:rsidR="001E7570" w:rsidRPr="0087715E" w:rsidTr="006662EE">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EC Bogotá</w:t>
            </w:r>
          </w:p>
        </w:tc>
        <w:tc>
          <w:tcPr>
            <w:tcW w:w="0" w:type="auto"/>
            <w:tcBorders>
              <w:top w:val="nil"/>
              <w:left w:val="nil"/>
              <w:bottom w:val="single" w:sz="4" w:space="0" w:color="auto"/>
              <w:right w:val="single" w:sz="4" w:space="0" w:color="auto"/>
            </w:tcBorders>
            <w:shd w:val="clear" w:color="auto" w:fill="auto"/>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5,22</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40,6</w:t>
            </w:r>
          </w:p>
        </w:tc>
        <w:tc>
          <w:tcPr>
            <w:tcW w:w="0" w:type="auto"/>
            <w:tcBorders>
              <w:top w:val="nil"/>
              <w:left w:val="nil"/>
              <w:bottom w:val="single" w:sz="4" w:space="0" w:color="auto"/>
              <w:right w:val="single" w:sz="8" w:space="0" w:color="auto"/>
            </w:tcBorders>
            <w:shd w:val="clear" w:color="auto" w:fill="auto"/>
            <w:noWrap/>
            <w:vAlign w:val="bottom"/>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Crítico</w:t>
            </w:r>
          </w:p>
        </w:tc>
      </w:tr>
      <w:tr w:rsidR="001E7570" w:rsidRPr="0087715E" w:rsidTr="006662EE">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EPMSC Villavicencio</w:t>
            </w:r>
          </w:p>
        </w:tc>
        <w:tc>
          <w:tcPr>
            <w:tcW w:w="0" w:type="auto"/>
            <w:tcBorders>
              <w:top w:val="nil"/>
              <w:left w:val="nil"/>
              <w:bottom w:val="single" w:sz="4" w:space="0" w:color="auto"/>
              <w:right w:val="single" w:sz="4" w:space="0" w:color="auto"/>
            </w:tcBorders>
            <w:shd w:val="clear" w:color="auto" w:fill="auto"/>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5,22</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109,2</w:t>
            </w:r>
          </w:p>
        </w:tc>
        <w:tc>
          <w:tcPr>
            <w:tcW w:w="0" w:type="auto"/>
            <w:tcBorders>
              <w:top w:val="nil"/>
              <w:left w:val="nil"/>
              <w:bottom w:val="single" w:sz="4" w:space="0" w:color="auto"/>
              <w:right w:val="single" w:sz="8" w:space="0" w:color="auto"/>
            </w:tcBorders>
            <w:shd w:val="clear" w:color="auto" w:fill="auto"/>
            <w:noWrap/>
            <w:vAlign w:val="bottom"/>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Crítico</w:t>
            </w:r>
          </w:p>
        </w:tc>
      </w:tr>
      <w:tr w:rsidR="001E7570" w:rsidRPr="0087715E" w:rsidTr="006662EE">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RM Bogotá</w:t>
            </w:r>
          </w:p>
        </w:tc>
        <w:tc>
          <w:tcPr>
            <w:tcW w:w="0" w:type="auto"/>
            <w:tcBorders>
              <w:top w:val="nil"/>
              <w:left w:val="nil"/>
              <w:bottom w:val="single" w:sz="4" w:space="0" w:color="auto"/>
              <w:right w:val="single" w:sz="4" w:space="0" w:color="auto"/>
            </w:tcBorders>
            <w:shd w:val="clear" w:color="auto" w:fill="auto"/>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5,22</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57,2</w:t>
            </w:r>
          </w:p>
        </w:tc>
        <w:tc>
          <w:tcPr>
            <w:tcW w:w="0" w:type="auto"/>
            <w:tcBorders>
              <w:top w:val="nil"/>
              <w:left w:val="nil"/>
              <w:bottom w:val="single" w:sz="4" w:space="0" w:color="auto"/>
              <w:right w:val="single" w:sz="8" w:space="0" w:color="auto"/>
            </w:tcBorders>
            <w:shd w:val="clear" w:color="auto" w:fill="auto"/>
            <w:noWrap/>
            <w:vAlign w:val="bottom"/>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Crítico</w:t>
            </w:r>
          </w:p>
        </w:tc>
      </w:tr>
      <w:tr w:rsidR="001E7570" w:rsidRPr="0087715E" w:rsidTr="006662EE">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PMSC Neiva</w:t>
            </w:r>
          </w:p>
        </w:tc>
        <w:tc>
          <w:tcPr>
            <w:tcW w:w="0" w:type="auto"/>
            <w:tcBorders>
              <w:top w:val="nil"/>
              <w:left w:val="nil"/>
              <w:bottom w:val="single" w:sz="4" w:space="0" w:color="auto"/>
              <w:right w:val="single" w:sz="4" w:space="0" w:color="auto"/>
            </w:tcBorders>
            <w:shd w:val="clear" w:color="auto" w:fill="auto"/>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5,22</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56,3</w:t>
            </w:r>
          </w:p>
        </w:tc>
        <w:tc>
          <w:tcPr>
            <w:tcW w:w="0" w:type="auto"/>
            <w:tcBorders>
              <w:top w:val="nil"/>
              <w:left w:val="nil"/>
              <w:bottom w:val="single" w:sz="4" w:space="0" w:color="auto"/>
              <w:right w:val="single" w:sz="8" w:space="0" w:color="auto"/>
            </w:tcBorders>
            <w:shd w:val="clear" w:color="auto" w:fill="auto"/>
            <w:noWrap/>
            <w:vAlign w:val="bottom"/>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Crítico</w:t>
            </w:r>
          </w:p>
        </w:tc>
      </w:tr>
      <w:tr w:rsidR="001E7570" w:rsidRPr="0087715E" w:rsidTr="006662EE">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EC Yopal</w:t>
            </w:r>
          </w:p>
        </w:tc>
        <w:tc>
          <w:tcPr>
            <w:tcW w:w="0" w:type="auto"/>
            <w:tcBorders>
              <w:top w:val="nil"/>
              <w:left w:val="nil"/>
              <w:bottom w:val="single" w:sz="4" w:space="0" w:color="auto"/>
              <w:right w:val="single" w:sz="4" w:space="0" w:color="auto"/>
            </w:tcBorders>
            <w:shd w:val="clear" w:color="auto" w:fill="auto"/>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5,22</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78,9</w:t>
            </w:r>
          </w:p>
        </w:tc>
        <w:tc>
          <w:tcPr>
            <w:tcW w:w="0" w:type="auto"/>
            <w:tcBorders>
              <w:top w:val="nil"/>
              <w:left w:val="nil"/>
              <w:bottom w:val="single" w:sz="4" w:space="0" w:color="auto"/>
              <w:right w:val="single" w:sz="8" w:space="0" w:color="auto"/>
            </w:tcBorders>
            <w:shd w:val="clear" w:color="auto" w:fill="auto"/>
            <w:noWrap/>
            <w:vAlign w:val="bottom"/>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Crítico</w:t>
            </w:r>
          </w:p>
        </w:tc>
      </w:tr>
      <w:tr w:rsidR="001E7570" w:rsidRPr="0087715E" w:rsidTr="006662EE">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EPMSC Tumaco</w:t>
            </w:r>
          </w:p>
        </w:tc>
        <w:tc>
          <w:tcPr>
            <w:tcW w:w="0" w:type="auto"/>
            <w:tcBorders>
              <w:top w:val="nil"/>
              <w:left w:val="nil"/>
              <w:bottom w:val="single" w:sz="4" w:space="0" w:color="auto"/>
              <w:right w:val="single" w:sz="4" w:space="0" w:color="auto"/>
            </w:tcBorders>
            <w:shd w:val="clear" w:color="auto" w:fill="auto"/>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5,22</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242,1</w:t>
            </w:r>
          </w:p>
        </w:tc>
        <w:tc>
          <w:tcPr>
            <w:tcW w:w="0" w:type="auto"/>
            <w:tcBorders>
              <w:top w:val="nil"/>
              <w:left w:val="nil"/>
              <w:bottom w:val="single" w:sz="4" w:space="0" w:color="auto"/>
              <w:right w:val="single" w:sz="8" w:space="0" w:color="auto"/>
            </w:tcBorders>
            <w:shd w:val="clear" w:color="auto" w:fill="auto"/>
            <w:noWrap/>
            <w:vAlign w:val="bottom"/>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Crítico</w:t>
            </w:r>
          </w:p>
        </w:tc>
      </w:tr>
      <w:tr w:rsidR="001E7570" w:rsidRPr="0087715E" w:rsidTr="006662EE">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EPMSC Cali</w:t>
            </w:r>
          </w:p>
        </w:tc>
        <w:tc>
          <w:tcPr>
            <w:tcW w:w="0" w:type="auto"/>
            <w:tcBorders>
              <w:top w:val="nil"/>
              <w:left w:val="nil"/>
              <w:bottom w:val="single" w:sz="4" w:space="0" w:color="auto"/>
              <w:right w:val="single" w:sz="4" w:space="0" w:color="auto"/>
            </w:tcBorders>
            <w:shd w:val="clear" w:color="auto" w:fill="auto"/>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5,22</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16,0</w:t>
            </w:r>
          </w:p>
        </w:tc>
        <w:tc>
          <w:tcPr>
            <w:tcW w:w="0" w:type="auto"/>
            <w:tcBorders>
              <w:top w:val="nil"/>
              <w:left w:val="nil"/>
              <w:bottom w:val="single" w:sz="4" w:space="0" w:color="auto"/>
              <w:right w:val="single" w:sz="8" w:space="0" w:color="auto"/>
            </w:tcBorders>
            <w:shd w:val="clear" w:color="auto" w:fill="auto"/>
            <w:noWrap/>
            <w:vAlign w:val="bottom"/>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Crítico</w:t>
            </w:r>
          </w:p>
        </w:tc>
      </w:tr>
      <w:tr w:rsidR="001E7570" w:rsidRPr="0087715E" w:rsidTr="006662EE">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EPMSC Roldanillo</w:t>
            </w:r>
          </w:p>
        </w:tc>
        <w:tc>
          <w:tcPr>
            <w:tcW w:w="0" w:type="auto"/>
            <w:tcBorders>
              <w:top w:val="nil"/>
              <w:left w:val="nil"/>
              <w:bottom w:val="single" w:sz="4" w:space="0" w:color="auto"/>
              <w:right w:val="single" w:sz="4" w:space="0" w:color="auto"/>
            </w:tcBorders>
            <w:shd w:val="clear" w:color="auto" w:fill="auto"/>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5,22</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757,6</w:t>
            </w:r>
          </w:p>
        </w:tc>
        <w:tc>
          <w:tcPr>
            <w:tcW w:w="0" w:type="auto"/>
            <w:tcBorders>
              <w:top w:val="nil"/>
              <w:left w:val="nil"/>
              <w:bottom w:val="single" w:sz="4" w:space="0" w:color="auto"/>
              <w:right w:val="single" w:sz="8" w:space="0" w:color="auto"/>
            </w:tcBorders>
            <w:shd w:val="clear" w:color="auto" w:fill="auto"/>
            <w:noWrap/>
            <w:vAlign w:val="bottom"/>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Crítico</w:t>
            </w:r>
          </w:p>
        </w:tc>
      </w:tr>
      <w:tr w:rsidR="001E7570" w:rsidRPr="0087715E" w:rsidTr="006662EE">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COJAM Jamundí</w:t>
            </w:r>
          </w:p>
        </w:tc>
        <w:tc>
          <w:tcPr>
            <w:tcW w:w="0" w:type="auto"/>
            <w:tcBorders>
              <w:top w:val="nil"/>
              <w:left w:val="nil"/>
              <w:bottom w:val="single" w:sz="4" w:space="0" w:color="auto"/>
              <w:right w:val="single" w:sz="4" w:space="0" w:color="auto"/>
            </w:tcBorders>
            <w:shd w:val="clear" w:color="auto" w:fill="auto"/>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5,22</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22,0</w:t>
            </w:r>
          </w:p>
        </w:tc>
        <w:tc>
          <w:tcPr>
            <w:tcW w:w="0" w:type="auto"/>
            <w:tcBorders>
              <w:top w:val="nil"/>
              <w:left w:val="nil"/>
              <w:bottom w:val="single" w:sz="4" w:space="0" w:color="auto"/>
              <w:right w:val="single" w:sz="8" w:space="0" w:color="auto"/>
            </w:tcBorders>
            <w:shd w:val="clear" w:color="auto" w:fill="auto"/>
            <w:noWrap/>
            <w:vAlign w:val="bottom"/>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Crítico</w:t>
            </w:r>
          </w:p>
        </w:tc>
      </w:tr>
      <w:tr w:rsidR="001E7570" w:rsidRPr="0087715E" w:rsidTr="006662EE">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EPMSC Cartagena</w:t>
            </w:r>
          </w:p>
        </w:tc>
        <w:tc>
          <w:tcPr>
            <w:tcW w:w="0" w:type="auto"/>
            <w:tcBorders>
              <w:top w:val="nil"/>
              <w:left w:val="nil"/>
              <w:bottom w:val="single" w:sz="4" w:space="0" w:color="auto"/>
              <w:right w:val="single" w:sz="4" w:space="0" w:color="auto"/>
            </w:tcBorders>
            <w:shd w:val="clear" w:color="auto" w:fill="auto"/>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5,22</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42,4</w:t>
            </w:r>
          </w:p>
        </w:tc>
        <w:tc>
          <w:tcPr>
            <w:tcW w:w="0" w:type="auto"/>
            <w:tcBorders>
              <w:top w:val="nil"/>
              <w:left w:val="nil"/>
              <w:bottom w:val="single" w:sz="4" w:space="0" w:color="auto"/>
              <w:right w:val="single" w:sz="8" w:space="0" w:color="auto"/>
            </w:tcBorders>
            <w:shd w:val="clear" w:color="auto" w:fill="auto"/>
            <w:noWrap/>
            <w:vAlign w:val="bottom"/>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Crítico</w:t>
            </w:r>
          </w:p>
        </w:tc>
      </w:tr>
      <w:tr w:rsidR="001E7570" w:rsidRPr="0087715E" w:rsidTr="006662EE">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EPMSC Sincelejo</w:t>
            </w:r>
          </w:p>
        </w:tc>
        <w:tc>
          <w:tcPr>
            <w:tcW w:w="0" w:type="auto"/>
            <w:tcBorders>
              <w:top w:val="nil"/>
              <w:left w:val="nil"/>
              <w:bottom w:val="single" w:sz="4" w:space="0" w:color="auto"/>
              <w:right w:val="single" w:sz="4" w:space="0" w:color="auto"/>
            </w:tcBorders>
            <w:shd w:val="clear" w:color="auto" w:fill="auto"/>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5,22</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82,3</w:t>
            </w:r>
          </w:p>
        </w:tc>
        <w:tc>
          <w:tcPr>
            <w:tcW w:w="0" w:type="auto"/>
            <w:tcBorders>
              <w:top w:val="nil"/>
              <w:left w:val="nil"/>
              <w:bottom w:val="single" w:sz="4" w:space="0" w:color="auto"/>
              <w:right w:val="single" w:sz="8" w:space="0" w:color="auto"/>
            </w:tcBorders>
            <w:shd w:val="clear" w:color="auto" w:fill="auto"/>
            <w:noWrap/>
            <w:vAlign w:val="bottom"/>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Crítico</w:t>
            </w:r>
          </w:p>
        </w:tc>
      </w:tr>
      <w:tr w:rsidR="001E7570" w:rsidRPr="0087715E" w:rsidTr="006662EE">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EPAMSCAS Valledupar</w:t>
            </w:r>
          </w:p>
        </w:tc>
        <w:tc>
          <w:tcPr>
            <w:tcW w:w="0" w:type="auto"/>
            <w:tcBorders>
              <w:top w:val="nil"/>
              <w:left w:val="nil"/>
              <w:bottom w:val="single" w:sz="4" w:space="0" w:color="auto"/>
              <w:right w:val="single" w:sz="4" w:space="0" w:color="auto"/>
            </w:tcBorders>
            <w:shd w:val="clear" w:color="auto" w:fill="auto"/>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5,22</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69,5</w:t>
            </w:r>
          </w:p>
        </w:tc>
        <w:tc>
          <w:tcPr>
            <w:tcW w:w="0" w:type="auto"/>
            <w:tcBorders>
              <w:top w:val="nil"/>
              <w:left w:val="nil"/>
              <w:bottom w:val="single" w:sz="4" w:space="0" w:color="auto"/>
              <w:right w:val="single" w:sz="8" w:space="0" w:color="auto"/>
            </w:tcBorders>
            <w:shd w:val="clear" w:color="auto" w:fill="auto"/>
            <w:noWrap/>
            <w:vAlign w:val="bottom"/>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Crítico</w:t>
            </w:r>
          </w:p>
        </w:tc>
      </w:tr>
      <w:tr w:rsidR="001E7570" w:rsidRPr="0087715E" w:rsidTr="006662EE">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EPMSC Socorro</w:t>
            </w:r>
          </w:p>
        </w:tc>
        <w:tc>
          <w:tcPr>
            <w:tcW w:w="0" w:type="auto"/>
            <w:tcBorders>
              <w:top w:val="nil"/>
              <w:left w:val="nil"/>
              <w:bottom w:val="single" w:sz="4" w:space="0" w:color="auto"/>
              <w:right w:val="single" w:sz="4" w:space="0" w:color="auto"/>
            </w:tcBorders>
            <w:shd w:val="clear" w:color="auto" w:fill="auto"/>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5,22</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208,8</w:t>
            </w:r>
          </w:p>
        </w:tc>
        <w:tc>
          <w:tcPr>
            <w:tcW w:w="0" w:type="auto"/>
            <w:tcBorders>
              <w:top w:val="nil"/>
              <w:left w:val="nil"/>
              <w:bottom w:val="single" w:sz="4" w:space="0" w:color="auto"/>
              <w:right w:val="single" w:sz="8" w:space="0" w:color="auto"/>
            </w:tcBorders>
            <w:shd w:val="clear" w:color="auto" w:fill="auto"/>
            <w:noWrap/>
            <w:vAlign w:val="bottom"/>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Crítico</w:t>
            </w:r>
          </w:p>
        </w:tc>
      </w:tr>
      <w:tr w:rsidR="001E7570" w:rsidRPr="0087715E" w:rsidTr="006662EE">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EPMSC Quibdó</w:t>
            </w:r>
          </w:p>
        </w:tc>
        <w:tc>
          <w:tcPr>
            <w:tcW w:w="0" w:type="auto"/>
            <w:tcBorders>
              <w:top w:val="nil"/>
              <w:left w:val="nil"/>
              <w:bottom w:val="single" w:sz="4" w:space="0" w:color="auto"/>
              <w:right w:val="single" w:sz="4" w:space="0" w:color="auto"/>
            </w:tcBorders>
            <w:shd w:val="clear" w:color="auto" w:fill="auto"/>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5,22</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136,1</w:t>
            </w:r>
          </w:p>
        </w:tc>
        <w:tc>
          <w:tcPr>
            <w:tcW w:w="0" w:type="auto"/>
            <w:tcBorders>
              <w:top w:val="nil"/>
              <w:left w:val="nil"/>
              <w:bottom w:val="single" w:sz="4" w:space="0" w:color="auto"/>
              <w:right w:val="single" w:sz="8" w:space="0" w:color="auto"/>
            </w:tcBorders>
            <w:shd w:val="clear" w:color="auto" w:fill="auto"/>
            <w:noWrap/>
            <w:vAlign w:val="bottom"/>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Crítico</w:t>
            </w:r>
          </w:p>
        </w:tc>
      </w:tr>
      <w:tr w:rsidR="001E7570" w:rsidRPr="0087715E" w:rsidTr="006662EE">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EPAMS La Dorada</w:t>
            </w:r>
          </w:p>
        </w:tc>
        <w:tc>
          <w:tcPr>
            <w:tcW w:w="0" w:type="auto"/>
            <w:tcBorders>
              <w:top w:val="nil"/>
              <w:left w:val="nil"/>
              <w:bottom w:val="single" w:sz="4" w:space="0" w:color="auto"/>
              <w:right w:val="single" w:sz="4" w:space="0" w:color="auto"/>
            </w:tcBorders>
            <w:shd w:val="clear" w:color="auto" w:fill="auto"/>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5,22</w:t>
            </w:r>
          </w:p>
        </w:tc>
        <w:tc>
          <w:tcPr>
            <w:tcW w:w="0" w:type="auto"/>
            <w:tcBorders>
              <w:top w:val="nil"/>
              <w:left w:val="nil"/>
              <w:bottom w:val="single" w:sz="4"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62,5</w:t>
            </w:r>
          </w:p>
        </w:tc>
        <w:tc>
          <w:tcPr>
            <w:tcW w:w="0" w:type="auto"/>
            <w:tcBorders>
              <w:top w:val="nil"/>
              <w:left w:val="nil"/>
              <w:bottom w:val="single" w:sz="4" w:space="0" w:color="auto"/>
              <w:right w:val="single" w:sz="8" w:space="0" w:color="auto"/>
            </w:tcBorders>
            <w:shd w:val="clear" w:color="auto" w:fill="auto"/>
            <w:noWrap/>
            <w:vAlign w:val="bottom"/>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Crítico</w:t>
            </w:r>
          </w:p>
        </w:tc>
      </w:tr>
      <w:tr w:rsidR="001E7570" w:rsidRPr="0087715E" w:rsidTr="006662EE">
        <w:trPr>
          <w:trHeight w:val="315"/>
          <w:jc w:val="center"/>
        </w:trPr>
        <w:tc>
          <w:tcPr>
            <w:tcW w:w="0" w:type="auto"/>
            <w:tcBorders>
              <w:top w:val="nil"/>
              <w:left w:val="single" w:sz="8" w:space="0" w:color="auto"/>
              <w:bottom w:val="single" w:sz="8" w:space="0" w:color="auto"/>
              <w:right w:val="single" w:sz="4" w:space="0" w:color="auto"/>
            </w:tcBorders>
            <w:shd w:val="clear" w:color="auto" w:fill="auto"/>
            <w:noWrap/>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COIBA Ibagué</w:t>
            </w:r>
          </w:p>
        </w:tc>
        <w:tc>
          <w:tcPr>
            <w:tcW w:w="0" w:type="auto"/>
            <w:tcBorders>
              <w:top w:val="nil"/>
              <w:left w:val="nil"/>
              <w:bottom w:val="single" w:sz="8" w:space="0" w:color="auto"/>
              <w:right w:val="single" w:sz="4" w:space="0" w:color="auto"/>
            </w:tcBorders>
            <w:shd w:val="clear" w:color="auto" w:fill="auto"/>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w:t>
            </w:r>
          </w:p>
        </w:tc>
        <w:tc>
          <w:tcPr>
            <w:tcW w:w="0" w:type="auto"/>
            <w:tcBorders>
              <w:top w:val="nil"/>
              <w:left w:val="nil"/>
              <w:bottom w:val="single" w:sz="8"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5,22</w:t>
            </w:r>
          </w:p>
        </w:tc>
        <w:tc>
          <w:tcPr>
            <w:tcW w:w="0" w:type="auto"/>
            <w:tcBorders>
              <w:top w:val="nil"/>
              <w:left w:val="nil"/>
              <w:bottom w:val="single" w:sz="8" w:space="0" w:color="auto"/>
              <w:right w:val="single" w:sz="4" w:space="0" w:color="auto"/>
            </w:tcBorders>
            <w:shd w:val="clear" w:color="auto" w:fill="auto"/>
            <w:noWrap/>
            <w:vAlign w:val="bottom"/>
            <w:hideMark/>
          </w:tcPr>
          <w:p w:rsidR="001E7570" w:rsidRPr="0087715E" w:rsidRDefault="001E7570" w:rsidP="006662EE">
            <w:pPr>
              <w:spacing w:after="0" w:line="240" w:lineRule="auto"/>
              <w:jc w:val="right"/>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18,9</w:t>
            </w:r>
          </w:p>
        </w:tc>
        <w:tc>
          <w:tcPr>
            <w:tcW w:w="0" w:type="auto"/>
            <w:tcBorders>
              <w:top w:val="nil"/>
              <w:left w:val="nil"/>
              <w:bottom w:val="single" w:sz="8" w:space="0" w:color="auto"/>
              <w:right w:val="single" w:sz="8" w:space="0" w:color="auto"/>
            </w:tcBorders>
            <w:shd w:val="clear" w:color="auto" w:fill="auto"/>
            <w:noWrap/>
            <w:vAlign w:val="bottom"/>
            <w:hideMark/>
          </w:tcPr>
          <w:p w:rsidR="001E7570" w:rsidRPr="0087715E" w:rsidRDefault="001E7570" w:rsidP="006662EE">
            <w:pPr>
              <w:spacing w:after="0" w:line="240" w:lineRule="auto"/>
              <w:rPr>
                <w:rFonts w:asciiTheme="minorHAnsi" w:eastAsia="Times New Roman" w:hAnsiTheme="minorHAnsi" w:cstheme="minorHAnsi"/>
                <w:color w:val="000000"/>
                <w:szCs w:val="20"/>
                <w:lang w:eastAsia="es-CO"/>
              </w:rPr>
            </w:pPr>
            <w:r w:rsidRPr="0087715E">
              <w:rPr>
                <w:rFonts w:asciiTheme="minorHAnsi" w:eastAsia="Times New Roman" w:hAnsiTheme="minorHAnsi" w:cstheme="minorHAnsi"/>
                <w:color w:val="000000"/>
                <w:szCs w:val="20"/>
                <w:lang w:eastAsia="es-CO"/>
              </w:rPr>
              <w:t>Crítico</w:t>
            </w:r>
          </w:p>
        </w:tc>
      </w:tr>
    </w:tbl>
    <w:p w:rsidR="001E7570" w:rsidRPr="00AC68D8" w:rsidRDefault="001E7570" w:rsidP="001E7570">
      <w:pPr>
        <w:spacing w:after="0" w:line="360" w:lineRule="auto"/>
        <w:rPr>
          <w:sz w:val="22"/>
        </w:rPr>
      </w:pPr>
      <w:r w:rsidRPr="00AC68D8">
        <w:rPr>
          <w:sz w:val="22"/>
        </w:rPr>
        <w:t xml:space="preserve"> </w:t>
      </w:r>
    </w:p>
    <w:p w:rsidR="001E7570" w:rsidRDefault="001E7570" w:rsidP="001E7570">
      <w:pPr>
        <w:spacing w:after="0"/>
        <w:jc w:val="both"/>
        <w:rPr>
          <w:sz w:val="22"/>
        </w:rPr>
      </w:pPr>
      <w:r>
        <w:rPr>
          <w:sz w:val="22"/>
        </w:rPr>
        <w:t>Lo expuesto evidencia que al comparar</w:t>
      </w:r>
      <w:r w:rsidRPr="00F50014">
        <w:rPr>
          <w:sz w:val="22"/>
        </w:rPr>
        <w:t xml:space="preserve"> los datos de suicidios y homicidios en las 28 prisiones en las que se presentaron, se encuentra que la garantía al derecho a la vida es buena en 108 de los 136 establecimientos de reclusión del país; mientras que los indicadores de muertes violentas de tasa de homicidios y suicidios demuestra que la garantía del derecho es baja en 1 establecimiento y crítica en 27 prisiones. </w:t>
      </w:r>
    </w:p>
    <w:p w:rsidR="00976146" w:rsidRDefault="00976146" w:rsidP="00FB2636">
      <w:pPr>
        <w:spacing w:after="0"/>
        <w:jc w:val="both"/>
        <w:rPr>
          <w:sz w:val="22"/>
        </w:rPr>
      </w:pPr>
    </w:p>
    <w:p w:rsidR="009D3403" w:rsidRDefault="009D3403" w:rsidP="00FB2636">
      <w:pPr>
        <w:spacing w:after="0"/>
        <w:jc w:val="both"/>
        <w:rPr>
          <w:sz w:val="22"/>
        </w:rPr>
      </w:pPr>
    </w:p>
    <w:p w:rsidR="009D3403" w:rsidRDefault="009D3403" w:rsidP="00FB2636">
      <w:pPr>
        <w:spacing w:after="0"/>
        <w:jc w:val="both"/>
        <w:rPr>
          <w:sz w:val="22"/>
        </w:rPr>
      </w:pPr>
    </w:p>
    <w:p w:rsidR="009D3403" w:rsidRPr="0087715E" w:rsidRDefault="009D3403" w:rsidP="009D3403">
      <w:pPr>
        <w:pStyle w:val="ListParagraph"/>
        <w:numPr>
          <w:ilvl w:val="0"/>
          <w:numId w:val="16"/>
        </w:numPr>
        <w:spacing w:after="0"/>
        <w:ind w:left="284" w:hanging="284"/>
        <w:rPr>
          <w:sz w:val="22"/>
        </w:rPr>
      </w:pPr>
      <w:r w:rsidRPr="0087715E">
        <w:rPr>
          <w:b/>
          <w:sz w:val="22"/>
        </w:rPr>
        <w:t>Muertes violentas de personas privadas de la libertad durante el año 2016.</w:t>
      </w:r>
    </w:p>
    <w:p w:rsidR="009D3403" w:rsidRPr="0087715E" w:rsidRDefault="009D3403" w:rsidP="009D3403">
      <w:pPr>
        <w:pStyle w:val="ListParagraph"/>
        <w:spacing w:after="0"/>
        <w:ind w:left="1080"/>
        <w:rPr>
          <w:sz w:val="22"/>
        </w:rPr>
      </w:pPr>
    </w:p>
    <w:p w:rsidR="005C3366" w:rsidRDefault="009D3403" w:rsidP="005C3366">
      <w:pPr>
        <w:spacing w:after="0"/>
        <w:jc w:val="both"/>
        <w:rPr>
          <w:sz w:val="22"/>
        </w:rPr>
      </w:pPr>
      <w:r>
        <w:rPr>
          <w:sz w:val="22"/>
        </w:rPr>
        <w:lastRenderedPageBreak/>
        <w:t>Con corte al</w:t>
      </w:r>
      <w:r w:rsidRPr="0087715E">
        <w:rPr>
          <w:sz w:val="22"/>
        </w:rPr>
        <w:t xml:space="preserve"> mes de julio de 2016, </w:t>
      </w:r>
      <w:r>
        <w:rPr>
          <w:sz w:val="22"/>
        </w:rPr>
        <w:t>y quedando</w:t>
      </w:r>
      <w:r w:rsidRPr="0087715E">
        <w:rPr>
          <w:sz w:val="22"/>
        </w:rPr>
        <w:t xml:space="preserve"> </w:t>
      </w:r>
      <w:r>
        <w:rPr>
          <w:sz w:val="22"/>
        </w:rPr>
        <w:t>poco</w:t>
      </w:r>
      <w:r w:rsidRPr="0087715E">
        <w:rPr>
          <w:sz w:val="22"/>
        </w:rPr>
        <w:t xml:space="preserve"> para terminar el período objeto de estudio, no es posible realizar una valoración del grado de la garantía del derecho a la vida en sentido biológico del año 2016. </w:t>
      </w:r>
      <w:r>
        <w:rPr>
          <w:sz w:val="22"/>
        </w:rPr>
        <w:t>No obstante</w:t>
      </w:r>
      <w:r w:rsidRPr="0087715E">
        <w:rPr>
          <w:sz w:val="22"/>
        </w:rPr>
        <w:t xml:space="preserve">, </w:t>
      </w:r>
      <w:r>
        <w:rPr>
          <w:sz w:val="22"/>
        </w:rPr>
        <w:t>se</w:t>
      </w:r>
      <w:r w:rsidRPr="0087715E">
        <w:rPr>
          <w:sz w:val="22"/>
        </w:rPr>
        <w:t xml:space="preserve"> presenta</w:t>
      </w:r>
      <w:r>
        <w:rPr>
          <w:sz w:val="22"/>
        </w:rPr>
        <w:t>n</w:t>
      </w:r>
      <w:r w:rsidRPr="0087715E">
        <w:rPr>
          <w:sz w:val="22"/>
        </w:rPr>
        <w:t xml:space="preserve"> los datos del comportamiento de las muertes violentas de las personas privadas de la libertad durante </w:t>
      </w:r>
      <w:r>
        <w:rPr>
          <w:sz w:val="22"/>
        </w:rPr>
        <w:t>el periodo comprendido entre</w:t>
      </w:r>
      <w:r w:rsidRPr="0087715E">
        <w:rPr>
          <w:sz w:val="22"/>
        </w:rPr>
        <w:t xml:space="preserve"> enero </w:t>
      </w:r>
      <w:r>
        <w:rPr>
          <w:sz w:val="22"/>
        </w:rPr>
        <w:t>y</w:t>
      </w:r>
      <w:r w:rsidRPr="0087715E">
        <w:rPr>
          <w:sz w:val="22"/>
        </w:rPr>
        <w:t xml:space="preserve"> </w:t>
      </w:r>
      <w:r w:rsidR="005C3366">
        <w:rPr>
          <w:sz w:val="22"/>
        </w:rPr>
        <w:t>julio.</w:t>
      </w:r>
      <w:r w:rsidR="005C3366" w:rsidRPr="005C3366">
        <w:rPr>
          <w:sz w:val="22"/>
        </w:rPr>
        <w:t xml:space="preserve"> </w:t>
      </w:r>
    </w:p>
    <w:p w:rsidR="005C3366" w:rsidRDefault="005C3366" w:rsidP="005C3366">
      <w:pPr>
        <w:spacing w:after="0"/>
        <w:jc w:val="both"/>
        <w:rPr>
          <w:sz w:val="22"/>
        </w:rPr>
      </w:pPr>
    </w:p>
    <w:p w:rsidR="005C3366" w:rsidRDefault="005C3366" w:rsidP="005C3366">
      <w:pPr>
        <w:spacing w:after="0"/>
        <w:jc w:val="both"/>
        <w:rPr>
          <w:sz w:val="22"/>
        </w:rPr>
      </w:pPr>
      <w:r w:rsidRPr="00AC68D8">
        <w:rPr>
          <w:sz w:val="22"/>
        </w:rPr>
        <w:t xml:space="preserve">Los datos suministrados por el Centro Estratégico de Información Penitenciaria –CEDIP-  del INPEC, </w:t>
      </w:r>
      <w:r>
        <w:rPr>
          <w:sz w:val="22"/>
        </w:rPr>
        <w:t>indican</w:t>
      </w:r>
      <w:r w:rsidRPr="00AC68D8">
        <w:rPr>
          <w:sz w:val="22"/>
        </w:rPr>
        <w:t xml:space="preserve"> que al día 04 de agosto de 2016, de la</w:t>
      </w:r>
      <w:r>
        <w:rPr>
          <w:sz w:val="22"/>
        </w:rPr>
        <w:t xml:space="preserve"> totalidad de</w:t>
      </w:r>
      <w:r w:rsidRPr="00AC68D8">
        <w:rPr>
          <w:sz w:val="22"/>
        </w:rPr>
        <w:t xml:space="preserve"> personas privadas de la libertad</w:t>
      </w:r>
      <w:r>
        <w:rPr>
          <w:sz w:val="22"/>
        </w:rPr>
        <w:t xml:space="preserve"> </w:t>
      </w:r>
      <w:r w:rsidRPr="005C3366">
        <w:rPr>
          <w:b/>
          <w:sz w:val="22"/>
        </w:rPr>
        <w:t>(179.532)</w:t>
      </w:r>
      <w:r>
        <w:rPr>
          <w:sz w:val="22"/>
        </w:rPr>
        <w:t xml:space="preserve"> </w:t>
      </w:r>
      <w:r w:rsidRPr="00AC68D8">
        <w:rPr>
          <w:sz w:val="22"/>
        </w:rPr>
        <w:t xml:space="preserve">han muerto 612, las cuales se encontraban en centros de reclusión del orden nacional, prisión domiciliaria o bajo vigilancia electrónica. Revisado el lugar de la muerte y los hechos descritos sobre ésta, se </w:t>
      </w:r>
      <w:r>
        <w:rPr>
          <w:sz w:val="22"/>
        </w:rPr>
        <w:t>encontró</w:t>
      </w:r>
      <w:r w:rsidRPr="00AC68D8">
        <w:rPr>
          <w:sz w:val="22"/>
        </w:rPr>
        <w:t xml:space="preserve"> que 607 personas murieron bajo la custodia y vigilancia del INPEC, mientras 5 murieron </w:t>
      </w:r>
      <w:r>
        <w:rPr>
          <w:sz w:val="22"/>
        </w:rPr>
        <w:t>durante el</w:t>
      </w:r>
      <w:r w:rsidRPr="00AC68D8">
        <w:rPr>
          <w:sz w:val="22"/>
        </w:rPr>
        <w:t xml:space="preserve"> permiso de 72 horas. </w:t>
      </w:r>
    </w:p>
    <w:p w:rsidR="005C3366" w:rsidRDefault="005C3366" w:rsidP="005C3366">
      <w:pPr>
        <w:spacing w:after="0"/>
        <w:jc w:val="both"/>
        <w:rPr>
          <w:sz w:val="22"/>
        </w:rPr>
      </w:pPr>
    </w:p>
    <w:p w:rsidR="005C3366" w:rsidRPr="00AC68D8" w:rsidRDefault="005C3366" w:rsidP="005C3366">
      <w:pPr>
        <w:spacing w:after="0"/>
        <w:jc w:val="both"/>
        <w:rPr>
          <w:sz w:val="22"/>
        </w:rPr>
      </w:pPr>
      <w:r w:rsidRPr="00AC68D8">
        <w:rPr>
          <w:sz w:val="22"/>
        </w:rPr>
        <w:t>De las 607 muertes</w:t>
      </w:r>
      <w:r>
        <w:rPr>
          <w:sz w:val="22"/>
        </w:rPr>
        <w:t xml:space="preserve">, 41 </w:t>
      </w:r>
      <w:r w:rsidRPr="00AC68D8">
        <w:rPr>
          <w:sz w:val="22"/>
        </w:rPr>
        <w:t>se encuentra</w:t>
      </w:r>
      <w:r>
        <w:rPr>
          <w:sz w:val="22"/>
        </w:rPr>
        <w:t>n</w:t>
      </w:r>
      <w:r w:rsidRPr="00AC68D8">
        <w:rPr>
          <w:sz w:val="22"/>
        </w:rPr>
        <w:t xml:space="preserve"> bajo el indicador de muertes violentas por homicidios o suicidios de personas privadas de la libertad.  De las cuales 33 corresponden a la modalidad de homicidio, en tanto que 8 a suicidios. 15 de las muertes violentas ocurridas durante el año 2016 en las modalidades de homicidio y suicidio tuvieron lugar en los establecimientos penitenciarios y carcelarios del país, 9 en la categoría de homicidio y 6 en suicidio. </w:t>
      </w:r>
    </w:p>
    <w:p w:rsidR="005C3366" w:rsidRPr="00AC68D8" w:rsidRDefault="005C3366" w:rsidP="005C3366">
      <w:pPr>
        <w:spacing w:after="0"/>
        <w:jc w:val="both"/>
        <w:rPr>
          <w:sz w:val="22"/>
        </w:rPr>
      </w:pPr>
    </w:p>
    <w:p w:rsidR="005C3366" w:rsidRPr="00AC68D8" w:rsidRDefault="005C3366" w:rsidP="005C3366">
      <w:pPr>
        <w:spacing w:after="0"/>
        <w:jc w:val="both"/>
        <w:rPr>
          <w:sz w:val="22"/>
        </w:rPr>
      </w:pPr>
      <w:r w:rsidRPr="00F50014">
        <w:rPr>
          <w:sz w:val="22"/>
        </w:rPr>
        <w:t>Los 9 homicidios que han ocurrido al interior de las prisiones durante el año 2016 han tenido lugar en 6 de los 136 establecimientos de reclusión del orden nacional. De los cuales el 56% han sucedido en 2 prisiones, de las cuales causa especial atención COJAM JAMUNDÍ, al tener una participación nacional en los homicidios del 34%, como se presenta en la siguiente gráfica.</w:t>
      </w:r>
    </w:p>
    <w:p w:rsidR="005C3366" w:rsidRPr="00AC68D8" w:rsidRDefault="005C3366" w:rsidP="005C3366">
      <w:pPr>
        <w:spacing w:after="0" w:line="360" w:lineRule="auto"/>
        <w:jc w:val="both"/>
        <w:rPr>
          <w:sz w:val="22"/>
        </w:rPr>
      </w:pPr>
    </w:p>
    <w:p w:rsidR="005C3366" w:rsidRPr="00AC68D8" w:rsidRDefault="005C3366" w:rsidP="00A415B9">
      <w:pPr>
        <w:spacing w:after="0"/>
        <w:jc w:val="center"/>
        <w:rPr>
          <w:sz w:val="22"/>
        </w:rPr>
      </w:pPr>
      <w:r w:rsidRPr="00AC68D8">
        <w:rPr>
          <w:noProof/>
          <w:sz w:val="22"/>
          <w:lang w:val="en-GB" w:eastAsia="en-GB"/>
        </w:rPr>
        <w:drawing>
          <wp:inline distT="0" distB="0" distL="0" distR="0" wp14:anchorId="6658DCE1" wp14:editId="7A1E8B10">
            <wp:extent cx="4655820" cy="2354580"/>
            <wp:effectExtent l="0" t="0" r="11430" b="7620"/>
            <wp:docPr id="12" name="Gráfico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D3403" w:rsidRDefault="009D3403" w:rsidP="00FB2636">
      <w:pPr>
        <w:spacing w:after="0"/>
        <w:jc w:val="both"/>
        <w:rPr>
          <w:sz w:val="22"/>
        </w:rPr>
      </w:pPr>
    </w:p>
    <w:p w:rsidR="00976146" w:rsidRDefault="00976146" w:rsidP="00FB2636">
      <w:pPr>
        <w:spacing w:after="0"/>
        <w:jc w:val="both"/>
        <w:rPr>
          <w:sz w:val="22"/>
        </w:rPr>
      </w:pPr>
    </w:p>
    <w:p w:rsidR="00976146" w:rsidRDefault="00976146" w:rsidP="00FB2636">
      <w:pPr>
        <w:spacing w:after="0"/>
        <w:jc w:val="both"/>
        <w:rPr>
          <w:sz w:val="22"/>
        </w:rPr>
      </w:pPr>
    </w:p>
    <w:p w:rsidR="00976146" w:rsidRDefault="00976146" w:rsidP="00FB2636">
      <w:pPr>
        <w:spacing w:after="0"/>
        <w:jc w:val="both"/>
        <w:rPr>
          <w:sz w:val="22"/>
        </w:rPr>
      </w:pPr>
    </w:p>
    <w:p w:rsidR="00976146" w:rsidRDefault="00976146" w:rsidP="00FB2636">
      <w:pPr>
        <w:spacing w:after="0"/>
        <w:jc w:val="both"/>
        <w:rPr>
          <w:sz w:val="22"/>
        </w:rPr>
      </w:pPr>
    </w:p>
    <w:p w:rsidR="00A415B9" w:rsidRDefault="00A415B9" w:rsidP="00A415B9">
      <w:pPr>
        <w:spacing w:after="0" w:line="360" w:lineRule="auto"/>
        <w:jc w:val="both"/>
        <w:rPr>
          <w:sz w:val="22"/>
        </w:rPr>
      </w:pPr>
    </w:p>
    <w:p w:rsidR="00A415B9" w:rsidRDefault="00A415B9" w:rsidP="00A415B9">
      <w:pPr>
        <w:spacing w:after="0"/>
        <w:jc w:val="both"/>
        <w:rPr>
          <w:sz w:val="22"/>
        </w:rPr>
      </w:pPr>
      <w:r w:rsidRPr="00AC68D8">
        <w:rPr>
          <w:sz w:val="22"/>
        </w:rPr>
        <w:t>En lo que corresponde a los 6 suicidios que han tenido lugar al interior de las prisiones, la Defensoría del Pueblo encuentra que éstos han ocurrido en 5 establecimientos, como se presenta a continuación.</w:t>
      </w:r>
    </w:p>
    <w:p w:rsidR="00A415B9" w:rsidRPr="00AC68D8" w:rsidRDefault="00A415B9" w:rsidP="00A415B9">
      <w:pPr>
        <w:spacing w:after="0"/>
        <w:jc w:val="both"/>
        <w:rPr>
          <w:sz w:val="22"/>
        </w:rPr>
      </w:pPr>
    </w:p>
    <w:p w:rsidR="00976146" w:rsidRDefault="00976146" w:rsidP="00FB2636">
      <w:pPr>
        <w:spacing w:after="0"/>
        <w:jc w:val="both"/>
        <w:rPr>
          <w:sz w:val="22"/>
        </w:rPr>
      </w:pPr>
    </w:p>
    <w:p w:rsidR="00976146" w:rsidRDefault="00976146" w:rsidP="00FB2636">
      <w:pPr>
        <w:spacing w:after="0"/>
        <w:jc w:val="both"/>
        <w:rPr>
          <w:sz w:val="22"/>
        </w:rPr>
      </w:pPr>
    </w:p>
    <w:p w:rsidR="00976146" w:rsidRDefault="00A415B9" w:rsidP="00A415B9">
      <w:pPr>
        <w:spacing w:after="0"/>
        <w:jc w:val="center"/>
        <w:rPr>
          <w:sz w:val="22"/>
        </w:rPr>
      </w:pPr>
      <w:r w:rsidRPr="00AC68D8">
        <w:rPr>
          <w:noProof/>
          <w:sz w:val="22"/>
          <w:lang w:val="en-GB" w:eastAsia="en-GB"/>
        </w:rPr>
        <w:drawing>
          <wp:inline distT="0" distB="0" distL="0" distR="0" wp14:anchorId="01050035" wp14:editId="37E590CD">
            <wp:extent cx="3776980" cy="2038985"/>
            <wp:effectExtent l="0" t="0" r="13970" b="18415"/>
            <wp:docPr id="11" name="Gráfico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76146" w:rsidRDefault="00976146" w:rsidP="00FB2636">
      <w:pPr>
        <w:spacing w:after="0"/>
        <w:jc w:val="both"/>
        <w:rPr>
          <w:sz w:val="22"/>
        </w:rPr>
      </w:pPr>
    </w:p>
    <w:p w:rsidR="00976146" w:rsidRDefault="00976146" w:rsidP="00FB2636">
      <w:pPr>
        <w:spacing w:after="0"/>
        <w:jc w:val="both"/>
        <w:rPr>
          <w:sz w:val="22"/>
        </w:rPr>
      </w:pPr>
    </w:p>
    <w:p w:rsidR="00A415B9" w:rsidRPr="00AC68D8" w:rsidRDefault="00A415B9" w:rsidP="00A415B9">
      <w:pPr>
        <w:spacing w:after="0" w:line="360" w:lineRule="auto"/>
        <w:rPr>
          <w:sz w:val="22"/>
        </w:rPr>
      </w:pPr>
    </w:p>
    <w:p w:rsidR="00A415B9" w:rsidRDefault="00A415B9" w:rsidP="00A415B9">
      <w:pPr>
        <w:spacing w:after="0"/>
        <w:jc w:val="both"/>
        <w:rPr>
          <w:sz w:val="22"/>
        </w:rPr>
      </w:pPr>
      <w:r w:rsidRPr="00AC68D8">
        <w:rPr>
          <w:sz w:val="22"/>
        </w:rPr>
        <w:t xml:space="preserve">De conformidad a los datos presentados se puede concluir que tratándose de muertes violentas durante el periodo estudiado que comprende el 60% del año, se ha presentado un 40% del total de las muertes violentas de </w:t>
      </w:r>
      <w:r>
        <w:rPr>
          <w:sz w:val="22"/>
        </w:rPr>
        <w:t>la PPL</w:t>
      </w:r>
      <w:r w:rsidRPr="00AC68D8">
        <w:rPr>
          <w:sz w:val="22"/>
        </w:rPr>
        <w:t xml:space="preserve"> que se dieron durante el año 2015. </w:t>
      </w:r>
    </w:p>
    <w:p w:rsidR="00A415B9" w:rsidRDefault="00A415B9" w:rsidP="00A415B9">
      <w:pPr>
        <w:spacing w:after="0"/>
        <w:jc w:val="both"/>
        <w:rPr>
          <w:sz w:val="22"/>
        </w:rPr>
      </w:pPr>
    </w:p>
    <w:p w:rsidR="00A415B9" w:rsidRDefault="00A415B9" w:rsidP="00A415B9">
      <w:pPr>
        <w:spacing w:after="0"/>
        <w:jc w:val="both"/>
        <w:rPr>
          <w:sz w:val="22"/>
        </w:rPr>
      </w:pPr>
      <w:r w:rsidRPr="00AC68D8">
        <w:rPr>
          <w:sz w:val="22"/>
        </w:rPr>
        <w:t xml:space="preserve">Tratándose de las personas privadas de la libertad en las prisiones, se han presentado en comparación con el año 2015 un 40,9% de los homicidios y un 40% de los suicidios reportados. </w:t>
      </w:r>
    </w:p>
    <w:p w:rsidR="00A415B9" w:rsidRDefault="00A415B9" w:rsidP="00A415B9">
      <w:pPr>
        <w:spacing w:after="0"/>
        <w:jc w:val="both"/>
        <w:rPr>
          <w:sz w:val="22"/>
        </w:rPr>
      </w:pPr>
    </w:p>
    <w:p w:rsidR="00A415B9" w:rsidRPr="00AC68D8" w:rsidRDefault="00A415B9" w:rsidP="00A415B9">
      <w:pPr>
        <w:spacing w:after="0"/>
        <w:jc w:val="both"/>
        <w:rPr>
          <w:sz w:val="22"/>
        </w:rPr>
      </w:pPr>
      <w:r w:rsidRPr="00AC68D8">
        <w:rPr>
          <w:sz w:val="22"/>
        </w:rPr>
        <w:t>Lo anterior, si bien denota un</w:t>
      </w:r>
      <w:r>
        <w:rPr>
          <w:sz w:val="22"/>
        </w:rPr>
        <w:t>a disminución de los casos,</w:t>
      </w:r>
      <w:r w:rsidRPr="00AC68D8">
        <w:rPr>
          <w:sz w:val="22"/>
        </w:rPr>
        <w:t xml:space="preserve"> no implica que se esté configurando una garantía al derecho a la vida.</w:t>
      </w:r>
    </w:p>
    <w:p w:rsidR="00976146" w:rsidRDefault="00976146" w:rsidP="00FB2636">
      <w:pPr>
        <w:spacing w:after="0"/>
        <w:jc w:val="both"/>
        <w:rPr>
          <w:sz w:val="22"/>
        </w:rPr>
      </w:pPr>
    </w:p>
    <w:p w:rsidR="00961356" w:rsidRPr="001700A0" w:rsidRDefault="00A070BD" w:rsidP="00FB2636">
      <w:pPr>
        <w:spacing w:after="0"/>
        <w:jc w:val="both"/>
        <w:rPr>
          <w:b/>
          <w:sz w:val="22"/>
          <w:u w:val="single"/>
        </w:rPr>
      </w:pPr>
      <w:r>
        <w:rPr>
          <w:sz w:val="22"/>
        </w:rPr>
        <w:t>Por último,</w:t>
      </w:r>
      <w:r w:rsidR="00C7583D">
        <w:rPr>
          <w:sz w:val="22"/>
        </w:rPr>
        <w:t xml:space="preserve"> como caso hito</w:t>
      </w:r>
      <w:r w:rsidR="000C6A13">
        <w:rPr>
          <w:sz w:val="22"/>
        </w:rPr>
        <w:t>,</w:t>
      </w:r>
      <w:r w:rsidR="00C7583D">
        <w:rPr>
          <w:sz w:val="22"/>
        </w:rPr>
        <w:t xml:space="preserve"> </w:t>
      </w:r>
      <w:r>
        <w:rPr>
          <w:sz w:val="22"/>
        </w:rPr>
        <w:t xml:space="preserve">nos </w:t>
      </w:r>
      <w:r w:rsidR="00C7583D">
        <w:rPr>
          <w:sz w:val="22"/>
        </w:rPr>
        <w:t xml:space="preserve">referiremos al caso de la </w:t>
      </w:r>
      <w:r w:rsidR="00C7583D" w:rsidRPr="001700A0">
        <w:rPr>
          <w:sz w:val="22"/>
        </w:rPr>
        <w:t xml:space="preserve">señora </w:t>
      </w:r>
      <w:r w:rsidR="00961356" w:rsidRPr="001700A0">
        <w:rPr>
          <w:b/>
          <w:sz w:val="22"/>
          <w:u w:val="single"/>
        </w:rPr>
        <w:t>Adriana</w:t>
      </w:r>
      <w:r w:rsidR="00C7583D" w:rsidRPr="001700A0">
        <w:rPr>
          <w:b/>
          <w:sz w:val="22"/>
          <w:u w:val="single"/>
        </w:rPr>
        <w:t xml:space="preserve"> Paola</w:t>
      </w:r>
      <w:r w:rsidR="00961356" w:rsidRPr="001700A0">
        <w:rPr>
          <w:b/>
          <w:sz w:val="22"/>
          <w:u w:val="single"/>
        </w:rPr>
        <w:t xml:space="preserve"> Bernal</w:t>
      </w:r>
      <w:r w:rsidR="00C7583D">
        <w:rPr>
          <w:sz w:val="22"/>
        </w:rPr>
        <w:t xml:space="preserve"> </w:t>
      </w:r>
      <w:r w:rsidR="00C7583D" w:rsidRPr="001700A0">
        <w:rPr>
          <w:b/>
          <w:sz w:val="22"/>
          <w:u w:val="single"/>
        </w:rPr>
        <w:t>quien falleció en extrañas circunstancias en</w:t>
      </w:r>
      <w:r w:rsidR="000C6A13" w:rsidRPr="001700A0">
        <w:rPr>
          <w:b/>
          <w:sz w:val="22"/>
          <w:u w:val="single"/>
        </w:rPr>
        <w:t xml:space="preserve"> el centro de reclusión de Jamundí</w:t>
      </w:r>
      <w:r w:rsidR="001700A0" w:rsidRPr="001700A0">
        <w:rPr>
          <w:b/>
          <w:sz w:val="22"/>
          <w:u w:val="single"/>
        </w:rPr>
        <w:t>,</w:t>
      </w:r>
      <w:r w:rsidR="000C6A13" w:rsidRPr="001700A0">
        <w:rPr>
          <w:b/>
          <w:sz w:val="22"/>
          <w:u w:val="single"/>
        </w:rPr>
        <w:t xml:space="preserve"> Valle del Cauca</w:t>
      </w:r>
      <w:r w:rsidR="00961356" w:rsidRPr="001700A0">
        <w:rPr>
          <w:b/>
          <w:sz w:val="22"/>
          <w:u w:val="single"/>
        </w:rPr>
        <w:t>.</w:t>
      </w:r>
    </w:p>
    <w:p w:rsidR="00961356" w:rsidRDefault="00961356" w:rsidP="00FB2636">
      <w:pPr>
        <w:spacing w:after="0"/>
        <w:jc w:val="both"/>
        <w:rPr>
          <w:sz w:val="22"/>
        </w:rPr>
      </w:pPr>
    </w:p>
    <w:p w:rsidR="00621D6D" w:rsidRPr="00621D6D" w:rsidRDefault="00621D6D" w:rsidP="00FB2636">
      <w:pPr>
        <w:spacing w:after="0"/>
        <w:jc w:val="both"/>
        <w:rPr>
          <w:sz w:val="22"/>
        </w:rPr>
      </w:pPr>
      <w:r>
        <w:rPr>
          <w:sz w:val="22"/>
        </w:rPr>
        <w:t xml:space="preserve">En principio la dirección del establecimiento señaló que </w:t>
      </w:r>
      <w:proofErr w:type="gramStart"/>
      <w:r w:rsidR="00AF108F">
        <w:rPr>
          <w:sz w:val="22"/>
        </w:rPr>
        <w:t>la</w:t>
      </w:r>
      <w:proofErr w:type="gramEnd"/>
      <w:r w:rsidR="00AF108F">
        <w:rPr>
          <w:sz w:val="22"/>
        </w:rPr>
        <w:t xml:space="preserve"> Sra. Bernal se había suicidado al interior de una unidad de tratamiento especial. La Delegada para la Política Criminal recopiló diversa información</w:t>
      </w:r>
      <w:r w:rsidR="0051247E">
        <w:rPr>
          <w:sz w:val="22"/>
        </w:rPr>
        <w:t>,</w:t>
      </w:r>
      <w:r w:rsidR="00AF108F">
        <w:rPr>
          <w:sz w:val="22"/>
        </w:rPr>
        <w:t xml:space="preserve"> </w:t>
      </w:r>
      <w:r w:rsidR="0051247E">
        <w:rPr>
          <w:sz w:val="22"/>
        </w:rPr>
        <w:t xml:space="preserve">entre la que se encuentra el dictamen de necropsia realizado por </w:t>
      </w:r>
      <w:r w:rsidR="001575A9">
        <w:rPr>
          <w:sz w:val="22"/>
        </w:rPr>
        <w:t>el Instituto Nacional de Medicina Legal y Ciencias Forenses</w:t>
      </w:r>
      <w:r w:rsidR="00552288">
        <w:rPr>
          <w:sz w:val="22"/>
        </w:rPr>
        <w:t xml:space="preserve"> determinó </w:t>
      </w:r>
      <w:r w:rsidR="00541FAE">
        <w:rPr>
          <w:sz w:val="22"/>
        </w:rPr>
        <w:t>que la causa de muerte</w:t>
      </w:r>
      <w:r w:rsidR="002A1488">
        <w:rPr>
          <w:sz w:val="22"/>
        </w:rPr>
        <w:t xml:space="preserve"> era asfixia mecánica </w:t>
      </w:r>
      <w:r w:rsidR="00E12F6C">
        <w:rPr>
          <w:sz w:val="22"/>
        </w:rPr>
        <w:t xml:space="preserve">y que no coincidía con la posible causa de muerte </w:t>
      </w:r>
      <w:r w:rsidR="00672CF7">
        <w:rPr>
          <w:sz w:val="22"/>
        </w:rPr>
        <w:t>señalada por el I</w:t>
      </w:r>
      <w:r w:rsidR="00DD4DDF">
        <w:rPr>
          <w:sz w:val="22"/>
        </w:rPr>
        <w:t xml:space="preserve">NPEC. Desafortunadamente esta investigación, que </w:t>
      </w:r>
      <w:r w:rsidR="002A4BCD">
        <w:rPr>
          <w:sz w:val="22"/>
        </w:rPr>
        <w:t xml:space="preserve">está en curso en la Fiscalía General de la Nación no ha avanzado. </w:t>
      </w:r>
      <w:r w:rsidR="00DD4DDF">
        <w:rPr>
          <w:sz w:val="22"/>
        </w:rPr>
        <w:t xml:space="preserve"> </w:t>
      </w:r>
      <w:r w:rsidR="00E12F6C">
        <w:rPr>
          <w:sz w:val="22"/>
        </w:rPr>
        <w:t xml:space="preserve"> </w:t>
      </w:r>
      <w:r w:rsidR="001575A9">
        <w:rPr>
          <w:sz w:val="22"/>
        </w:rPr>
        <w:t xml:space="preserve"> </w:t>
      </w:r>
      <w:r w:rsidR="00AF108F">
        <w:rPr>
          <w:sz w:val="22"/>
        </w:rPr>
        <w:t xml:space="preserve"> </w:t>
      </w:r>
    </w:p>
    <w:p w:rsidR="009F6519" w:rsidRDefault="009F6519" w:rsidP="00FB2636">
      <w:pPr>
        <w:spacing w:after="0"/>
        <w:jc w:val="both"/>
        <w:rPr>
          <w:sz w:val="22"/>
          <w:szCs w:val="27"/>
        </w:rPr>
      </w:pPr>
    </w:p>
    <w:p w:rsidR="00647DA6" w:rsidRDefault="00647DA6" w:rsidP="00FB2636">
      <w:pPr>
        <w:spacing w:after="0"/>
        <w:jc w:val="both"/>
        <w:rPr>
          <w:sz w:val="22"/>
          <w:szCs w:val="27"/>
        </w:rPr>
      </w:pPr>
    </w:p>
    <w:p w:rsidR="00647DA6" w:rsidRDefault="00647DA6" w:rsidP="00FB2636">
      <w:pPr>
        <w:spacing w:after="0"/>
        <w:jc w:val="both"/>
        <w:rPr>
          <w:sz w:val="22"/>
          <w:szCs w:val="27"/>
        </w:rPr>
      </w:pPr>
      <w:r>
        <w:rPr>
          <w:sz w:val="22"/>
          <w:szCs w:val="27"/>
        </w:rPr>
        <w:t xml:space="preserve">21. </w:t>
      </w:r>
      <w:r w:rsidR="00A83164" w:rsidRPr="00EE7E4C">
        <w:rPr>
          <w:b/>
          <w:sz w:val="22"/>
          <w:szCs w:val="27"/>
          <w:u w:val="single"/>
        </w:rPr>
        <w:t>RECOMENDACIÓN No. 21</w:t>
      </w:r>
      <w:r w:rsidR="00771B99">
        <w:rPr>
          <w:b/>
          <w:sz w:val="22"/>
          <w:szCs w:val="27"/>
          <w:u w:val="single"/>
        </w:rPr>
        <w:t xml:space="preserve"> </w:t>
      </w:r>
      <w:r w:rsidR="00771B99" w:rsidRPr="00771B99">
        <w:rPr>
          <w:b/>
          <w:sz w:val="22"/>
          <w:szCs w:val="27"/>
          <w:u w:val="single"/>
        </w:rPr>
        <w:t>MECANISMOS DE DENUNCIA E INVESTIGACIÓN. IMPUNIDAD:</w:t>
      </w:r>
      <w:r w:rsidR="003605D7" w:rsidRPr="00EE7E4C">
        <w:rPr>
          <w:b/>
          <w:sz w:val="22"/>
          <w:szCs w:val="27"/>
          <w:u w:val="single"/>
        </w:rPr>
        <w:t xml:space="preserve"> </w:t>
      </w:r>
      <w:r w:rsidR="003605D7" w:rsidRPr="00EE7E4C">
        <w:rPr>
          <w:b/>
          <w:i/>
          <w:sz w:val="22"/>
          <w:szCs w:val="27"/>
          <w:u w:val="single"/>
        </w:rPr>
        <w:t>“</w:t>
      </w:r>
      <w:r w:rsidR="0097423F" w:rsidRPr="00EE7E4C">
        <w:rPr>
          <w:b/>
          <w:i/>
          <w:sz w:val="22"/>
          <w:szCs w:val="27"/>
          <w:u w:val="single"/>
        </w:rPr>
        <w:t xml:space="preserve">El Comité expresa su preocupación por las informaciones según las cuales </w:t>
      </w:r>
      <w:r w:rsidR="00EE7E4C" w:rsidRPr="00EE7E4C">
        <w:rPr>
          <w:b/>
          <w:i/>
          <w:sz w:val="22"/>
          <w:szCs w:val="27"/>
          <w:u w:val="single"/>
        </w:rPr>
        <w:t>las denuncias de tortura y malos tratos rara vez son objeto de investigación (…)</w:t>
      </w:r>
      <w:r w:rsidR="003605D7" w:rsidRPr="00EE7E4C">
        <w:rPr>
          <w:b/>
          <w:i/>
          <w:sz w:val="22"/>
          <w:szCs w:val="27"/>
          <w:u w:val="single"/>
        </w:rPr>
        <w:t>”</w:t>
      </w:r>
      <w:r w:rsidR="00A83164" w:rsidRPr="00EE7E4C">
        <w:rPr>
          <w:b/>
          <w:i/>
          <w:sz w:val="22"/>
          <w:szCs w:val="27"/>
          <w:u w:val="single"/>
        </w:rPr>
        <w:t>.</w:t>
      </w:r>
      <w:r w:rsidR="00A83164">
        <w:rPr>
          <w:sz w:val="22"/>
          <w:szCs w:val="27"/>
        </w:rPr>
        <w:t xml:space="preserve"> </w:t>
      </w:r>
    </w:p>
    <w:p w:rsidR="00771B99" w:rsidRDefault="00771B99" w:rsidP="00771B99">
      <w:pPr>
        <w:spacing w:after="0"/>
        <w:jc w:val="both"/>
        <w:rPr>
          <w:sz w:val="22"/>
          <w:szCs w:val="27"/>
        </w:rPr>
      </w:pPr>
    </w:p>
    <w:p w:rsidR="00771B99" w:rsidRDefault="00771B99" w:rsidP="00771B99">
      <w:pPr>
        <w:spacing w:after="0"/>
        <w:jc w:val="both"/>
        <w:rPr>
          <w:sz w:val="22"/>
          <w:szCs w:val="27"/>
        </w:rPr>
      </w:pPr>
      <w:r w:rsidRPr="00771B99">
        <w:rPr>
          <w:sz w:val="22"/>
          <w:szCs w:val="27"/>
        </w:rPr>
        <w:t>La Defensoría del Pueblo ha constatado con gran preocupación en diferentes visitas de inspección que, en algunos establecimientos de reclusión del país, se han generalizado prácticas constitutivas de</w:t>
      </w:r>
      <w:r w:rsidR="009532D0">
        <w:rPr>
          <w:sz w:val="22"/>
          <w:szCs w:val="27"/>
        </w:rPr>
        <w:t xml:space="preserve">  </w:t>
      </w:r>
      <w:r w:rsidRPr="00771B99">
        <w:rPr>
          <w:sz w:val="22"/>
          <w:szCs w:val="27"/>
        </w:rPr>
        <w:t xml:space="preserve"> tortura y tratos crueles, inhumanos y degradantes, las cuales no son denunciadas por las víctimas en razón al temor fundado de ser sujetos de represalias. No son pocos los casos en que los internos han declarado bajo la gravedad del juramento que fueron aislados, golpeados durante varios días, roseados con gas pimenta e incluso sometidos a choques eléctricos por parte del personal del guardia; conductas que, como es lógico, comprometen la responsabilidad penal y disciplinaria de sus autores. </w:t>
      </w:r>
    </w:p>
    <w:p w:rsidR="00771B99" w:rsidRPr="00771B99" w:rsidRDefault="00771B99" w:rsidP="00771B99">
      <w:pPr>
        <w:spacing w:after="0"/>
        <w:jc w:val="both"/>
        <w:rPr>
          <w:sz w:val="22"/>
          <w:szCs w:val="27"/>
        </w:rPr>
      </w:pPr>
    </w:p>
    <w:p w:rsidR="00771B99" w:rsidRPr="00771B99" w:rsidRDefault="00771B99" w:rsidP="00771B99">
      <w:pPr>
        <w:spacing w:after="0"/>
        <w:jc w:val="both"/>
        <w:rPr>
          <w:sz w:val="22"/>
          <w:szCs w:val="27"/>
        </w:rPr>
      </w:pPr>
      <w:r w:rsidRPr="00771B99">
        <w:rPr>
          <w:sz w:val="22"/>
          <w:szCs w:val="27"/>
        </w:rPr>
        <w:t>En razón a estas lamentables conductas, la Defensoría creó el MECANISMO DE DENUNCIA DE ACTOS DE TORTURA, CASTIGOS Y TRATAMIENTOS CRUELES, INHUMANOS O DEGRADANTES. CASO: CÁRCEL TRAMACUA DE VALLEDUPAR, cuyo propósito es visibilizar la práctica de torturas en las cárceles del país y establecer rutas efectivas de comunicación que permitan su efectiva investigación y sanción oportuna por parte de las autoridades competentes.</w:t>
      </w:r>
    </w:p>
    <w:p w:rsidR="00771B99" w:rsidRDefault="00771B99" w:rsidP="00771B99">
      <w:pPr>
        <w:spacing w:after="0"/>
        <w:jc w:val="both"/>
        <w:rPr>
          <w:sz w:val="22"/>
          <w:szCs w:val="27"/>
        </w:rPr>
      </w:pPr>
    </w:p>
    <w:p w:rsidR="00771B99" w:rsidRPr="00B96112" w:rsidRDefault="00771B99" w:rsidP="00771B99">
      <w:pPr>
        <w:spacing w:after="0"/>
        <w:jc w:val="both"/>
        <w:rPr>
          <w:b/>
          <w:sz w:val="22"/>
          <w:szCs w:val="27"/>
        </w:rPr>
      </w:pPr>
      <w:r w:rsidRPr="00B96112">
        <w:rPr>
          <w:b/>
          <w:sz w:val="22"/>
          <w:szCs w:val="27"/>
        </w:rPr>
        <w:t>a. ¿Qué es?</w:t>
      </w:r>
    </w:p>
    <w:p w:rsidR="00771B99" w:rsidRPr="00771B99" w:rsidRDefault="00771B99" w:rsidP="00771B99">
      <w:pPr>
        <w:spacing w:after="0"/>
        <w:jc w:val="both"/>
        <w:rPr>
          <w:sz w:val="22"/>
          <w:szCs w:val="27"/>
        </w:rPr>
      </w:pPr>
      <w:r w:rsidRPr="00771B99">
        <w:rPr>
          <w:sz w:val="22"/>
          <w:szCs w:val="27"/>
        </w:rPr>
        <w:t xml:space="preserve">Es un sistema interinstitucional que permite a las personas privadas de la libertad y, a sus familiares, realizar denuncias sobre posibles actos constitutivos de tortura, tratos crueles inhumanos y degradantes, cometidos al interior de los establecimientos de reclusión.  </w:t>
      </w:r>
    </w:p>
    <w:p w:rsidR="00771B99" w:rsidRPr="00B96112" w:rsidRDefault="00771B99" w:rsidP="00771B99">
      <w:pPr>
        <w:spacing w:after="0"/>
        <w:jc w:val="both"/>
        <w:rPr>
          <w:b/>
          <w:sz w:val="22"/>
          <w:szCs w:val="27"/>
        </w:rPr>
      </w:pPr>
    </w:p>
    <w:p w:rsidR="00771B99" w:rsidRPr="00B96112" w:rsidRDefault="00B96112" w:rsidP="00771B99">
      <w:pPr>
        <w:spacing w:after="0"/>
        <w:jc w:val="both"/>
        <w:rPr>
          <w:b/>
          <w:sz w:val="22"/>
          <w:szCs w:val="27"/>
        </w:rPr>
      </w:pPr>
      <w:r>
        <w:rPr>
          <w:b/>
          <w:sz w:val="22"/>
          <w:szCs w:val="27"/>
        </w:rPr>
        <w:t>b</w:t>
      </w:r>
      <w:r w:rsidR="00771B99" w:rsidRPr="00B96112">
        <w:rPr>
          <w:b/>
          <w:sz w:val="22"/>
          <w:szCs w:val="27"/>
        </w:rPr>
        <w:t xml:space="preserve">. Descripción:  </w:t>
      </w:r>
    </w:p>
    <w:p w:rsidR="00771B99" w:rsidRPr="00771B99" w:rsidRDefault="00771B99" w:rsidP="00771B99">
      <w:pPr>
        <w:spacing w:after="0"/>
        <w:jc w:val="both"/>
        <w:rPr>
          <w:sz w:val="22"/>
          <w:szCs w:val="27"/>
        </w:rPr>
      </w:pPr>
      <w:r w:rsidRPr="00771B99">
        <w:rPr>
          <w:sz w:val="22"/>
          <w:szCs w:val="27"/>
        </w:rPr>
        <w:t xml:space="preserve">Identificados los obstáculos que impedían las denuncias, se consideró necesario  generar mecanismos de denuncia directos, esto es, sin la intervención de las </w:t>
      </w:r>
      <w:r w:rsidRPr="00771B99">
        <w:rPr>
          <w:sz w:val="22"/>
          <w:szCs w:val="27"/>
        </w:rPr>
        <w:lastRenderedPageBreak/>
        <w:t xml:space="preserve">autoridades carcelarias, así como realizar seguimiento a la garantía de los derechos de las personas denunciantes,  y articular a las instituciones para el abordaje integral de los hechos. En particular, se ideó un mecanismo de acción conjunta de los distintos entes de control, que se explicará detalladamente más adelante, mediante el cual cada entidad fiscalizaba la acción de sus pares, lo que garantizaba la efectiva asistencia a la población privada de la libertad y mayor celeridad en la investigación de los hechos denunciados.   </w:t>
      </w:r>
    </w:p>
    <w:p w:rsidR="00771B99" w:rsidRPr="00771B99" w:rsidRDefault="00771B99" w:rsidP="00771B99">
      <w:pPr>
        <w:spacing w:after="0"/>
        <w:jc w:val="both"/>
        <w:rPr>
          <w:sz w:val="22"/>
          <w:szCs w:val="27"/>
        </w:rPr>
      </w:pPr>
      <w:r w:rsidRPr="00771B99">
        <w:rPr>
          <w:sz w:val="22"/>
          <w:szCs w:val="27"/>
        </w:rPr>
        <w:t>A partir de este diagnóstico y de la propuesta de la Defensoría, se adelantó un trabajo de articulación interinstitucional a nivel regional y nacional con la Procuraduría General de la Nación, el Instituto Nacional de Medicina Legal, el INPEC y la Fiscalía General de la Nación, con quienes se implementó un plan de intervención y manejo de los casos, que comprende desde la intervención inmediata al momento de los hechos hasta un seguimiento interinstitucional con la participación de los internos.</w:t>
      </w:r>
    </w:p>
    <w:p w:rsidR="00771B99" w:rsidRPr="00771B99" w:rsidRDefault="00771B99" w:rsidP="00771B99">
      <w:pPr>
        <w:spacing w:after="0"/>
        <w:jc w:val="both"/>
        <w:rPr>
          <w:sz w:val="22"/>
          <w:szCs w:val="27"/>
        </w:rPr>
      </w:pPr>
    </w:p>
    <w:p w:rsidR="00771B99" w:rsidRDefault="00B96112" w:rsidP="00771B99">
      <w:pPr>
        <w:spacing w:after="0"/>
        <w:jc w:val="both"/>
        <w:rPr>
          <w:b/>
          <w:sz w:val="22"/>
          <w:szCs w:val="27"/>
        </w:rPr>
      </w:pPr>
      <w:r w:rsidRPr="00B96112">
        <w:rPr>
          <w:b/>
          <w:sz w:val="22"/>
          <w:szCs w:val="27"/>
        </w:rPr>
        <w:t>c</w:t>
      </w:r>
      <w:r w:rsidR="00771B99" w:rsidRPr="00B96112">
        <w:rPr>
          <w:b/>
          <w:sz w:val="22"/>
          <w:szCs w:val="27"/>
        </w:rPr>
        <w:t>. ¿Cómo se activa el mecanismo?</w:t>
      </w:r>
    </w:p>
    <w:p w:rsidR="00B96112" w:rsidRPr="00B96112" w:rsidRDefault="00B96112" w:rsidP="00771B99">
      <w:pPr>
        <w:spacing w:after="0"/>
        <w:jc w:val="both"/>
        <w:rPr>
          <w:b/>
          <w:sz w:val="22"/>
          <w:szCs w:val="27"/>
        </w:rPr>
      </w:pPr>
    </w:p>
    <w:p w:rsidR="00771B99" w:rsidRDefault="00771B99" w:rsidP="00771B99">
      <w:pPr>
        <w:spacing w:after="0"/>
        <w:jc w:val="both"/>
        <w:rPr>
          <w:sz w:val="22"/>
          <w:szCs w:val="27"/>
        </w:rPr>
      </w:pPr>
      <w:r w:rsidRPr="00771B99">
        <w:rPr>
          <w:sz w:val="22"/>
          <w:szCs w:val="27"/>
        </w:rPr>
        <w:t>El proceso inicia con la radicación formal de una denuncia, la cual puede ser interpuesta por las personas privadas de la libertad y sus familiares, en la   Defensoría del Pueblo y la Procuraduría General de la Nación a través de 4 medios diferentes: (i) buzones de denuncia instalados en los patios de la cárcel, (ii) correos electrónicos de las diversas entidades (conocidos por los internos), (iii) teléfonos de contacto y (iv) entrevistas personales en el centro de reclusión. Esta información fue suministrada a todos los internos del establecimiento desde el mes de julio de 2015, a través de volantes informativos repartidos a cada uno de las 1.500 personas privadas de la libertad en la cárcel “La Tramacúa” de Valledupar.</w:t>
      </w:r>
    </w:p>
    <w:p w:rsidR="00B96112" w:rsidRPr="00771B99" w:rsidRDefault="00B96112" w:rsidP="00771B99">
      <w:pPr>
        <w:spacing w:after="0"/>
        <w:jc w:val="both"/>
        <w:rPr>
          <w:sz w:val="22"/>
          <w:szCs w:val="27"/>
        </w:rPr>
      </w:pPr>
    </w:p>
    <w:p w:rsidR="00771B99" w:rsidRPr="00771B99" w:rsidRDefault="00771B99" w:rsidP="00771B99">
      <w:pPr>
        <w:spacing w:after="0"/>
        <w:jc w:val="both"/>
        <w:rPr>
          <w:sz w:val="22"/>
          <w:szCs w:val="27"/>
        </w:rPr>
      </w:pPr>
      <w:r w:rsidRPr="00771B99">
        <w:rPr>
          <w:sz w:val="22"/>
          <w:szCs w:val="27"/>
        </w:rPr>
        <w:t>Posterior a ello, y si la urgencia del caso lo amerita, se requiere al Instituto Nacional de Medicina Legal para que realice una valoración médico legal de las lesiones que pudo causar la agresión en contra del interno. El equipo de trabajo decide si el hecho denunciado constituye o no un acto de tortura, si ello es así se remite de manera inmediata a la Procuraduría y a la Fiscalía para que inicien las investigaciones correspondientes. Si el caso no constituye formalmente un acto de tortura o se trata de una petición de otra índole (atención en salud, atención jurídica etc.) la petición es remitida de manera inmediata a las autoridades competentes. El seguimiento a cada uno de los procesos continúa hasta que se obtiene una decisión en la que se sancione penal y/o disciplinariamente al funcionario o si lo amerita se archive la denuncia. Con el objeto de tener una mayor claridad respecto del funcionamiento de mecanismo nos permitimos anexar el flujograma que detalla la estructura del mecanismo</w:t>
      </w:r>
    </w:p>
    <w:p w:rsidR="00771B99" w:rsidRPr="00771B99" w:rsidRDefault="00771B99" w:rsidP="00771B99">
      <w:pPr>
        <w:spacing w:after="0"/>
        <w:jc w:val="both"/>
        <w:rPr>
          <w:sz w:val="22"/>
          <w:szCs w:val="27"/>
        </w:rPr>
      </w:pPr>
      <w:r w:rsidRPr="00771B99">
        <w:rPr>
          <w:sz w:val="22"/>
          <w:szCs w:val="27"/>
        </w:rPr>
        <w:t xml:space="preserve">Semanalmente representantes de las referidas entidades asisten a la cárcel para recepcionar las quejas que radicaron los internos en el trascurso de la semana, posterior a ello, las mismas son repartidas entre las entidades públicas para darle el </w:t>
      </w:r>
      <w:r w:rsidRPr="00771B99">
        <w:rPr>
          <w:sz w:val="22"/>
          <w:szCs w:val="27"/>
        </w:rPr>
        <w:lastRenderedPageBreak/>
        <w:t>trámite correspondiente. Adicional a ello, mensualmente las delegadas nacionales de la Defensoría y de la Procuraduría realizan una reunión con todas las instituciones y los representantes de derechos humanos de cada una de las torres.  Cada una de las entidades explica las gestiones adelantadas con los casos recibidos, así como de las acciones que se han comprometido para atacar los problemas estructurales que han conllevado a las prácticas objeto del mecanismo.</w:t>
      </w:r>
    </w:p>
    <w:p w:rsidR="00771B99" w:rsidRPr="00771B99" w:rsidRDefault="00771B99" w:rsidP="00771B99">
      <w:pPr>
        <w:spacing w:after="0"/>
        <w:jc w:val="both"/>
        <w:rPr>
          <w:sz w:val="22"/>
          <w:szCs w:val="27"/>
        </w:rPr>
      </w:pPr>
    </w:p>
    <w:p w:rsidR="00771B99" w:rsidRPr="00B96112" w:rsidRDefault="00771B99" w:rsidP="00771B99">
      <w:pPr>
        <w:spacing w:after="0"/>
        <w:jc w:val="both"/>
        <w:rPr>
          <w:b/>
          <w:sz w:val="22"/>
          <w:szCs w:val="27"/>
        </w:rPr>
      </w:pPr>
      <w:r w:rsidRPr="00B96112">
        <w:rPr>
          <w:b/>
          <w:sz w:val="22"/>
          <w:szCs w:val="27"/>
        </w:rPr>
        <w:t>e. Efectos positivos y resultados de impacto:</w:t>
      </w:r>
    </w:p>
    <w:p w:rsidR="00771B99" w:rsidRDefault="00771B99" w:rsidP="00771B99">
      <w:pPr>
        <w:spacing w:after="0"/>
        <w:jc w:val="both"/>
        <w:rPr>
          <w:sz w:val="22"/>
          <w:szCs w:val="27"/>
        </w:rPr>
      </w:pPr>
      <w:r w:rsidRPr="00771B99">
        <w:rPr>
          <w:sz w:val="22"/>
          <w:szCs w:val="27"/>
        </w:rPr>
        <w:t xml:space="preserve">El éxito del mecanismo de denuncia contra actos de tortura, tratos crueles inhumanos y degradantes en la cárcel “La Tramacúa” de Valledupar ha sido contundente. Es válido afirmar que las torturas físicas disminuyeron sustancialmente, hasta el punto que al día de hoy los tratos crueles inhumanos y degradantes constituyen una práctica casi extinta al interior del penal. </w:t>
      </w:r>
    </w:p>
    <w:p w:rsidR="00B96112" w:rsidRPr="00771B99" w:rsidRDefault="00B96112" w:rsidP="00771B99">
      <w:pPr>
        <w:spacing w:after="0"/>
        <w:jc w:val="both"/>
        <w:rPr>
          <w:sz w:val="22"/>
          <w:szCs w:val="27"/>
        </w:rPr>
      </w:pPr>
    </w:p>
    <w:p w:rsidR="00771B99" w:rsidRDefault="00771B99" w:rsidP="00771B99">
      <w:pPr>
        <w:spacing w:after="0"/>
        <w:jc w:val="both"/>
        <w:rPr>
          <w:sz w:val="22"/>
          <w:szCs w:val="27"/>
        </w:rPr>
      </w:pPr>
      <w:r w:rsidRPr="00771B99">
        <w:rPr>
          <w:sz w:val="22"/>
          <w:szCs w:val="27"/>
        </w:rPr>
        <w:t xml:space="preserve">Sin embargo, como se explicó anteriormente, una de las principales razones que motivaron la creación del mecanismo era –precisamente- la inexistencia de cifras oficiales que pudieran dimensionar cuantitativamente los actos de tortura al interior de la cárcel. En consecuencia, no es posible suministrar una cifra exacta en la disminución de las cifras de tortura, ello no significa de forma alguna que los logros alcanzados no sean significativos y que estos aberrantes actos estén casi erradicados en el establecimiento. </w:t>
      </w:r>
    </w:p>
    <w:p w:rsidR="00B96112" w:rsidRPr="00771B99" w:rsidRDefault="00B96112" w:rsidP="00771B99">
      <w:pPr>
        <w:spacing w:after="0"/>
        <w:jc w:val="both"/>
        <w:rPr>
          <w:sz w:val="22"/>
          <w:szCs w:val="27"/>
        </w:rPr>
      </w:pPr>
    </w:p>
    <w:p w:rsidR="00771B99" w:rsidRPr="00771B99" w:rsidRDefault="00771B99" w:rsidP="00771B99">
      <w:pPr>
        <w:spacing w:after="0"/>
        <w:jc w:val="both"/>
        <w:rPr>
          <w:sz w:val="22"/>
          <w:szCs w:val="27"/>
        </w:rPr>
      </w:pPr>
      <w:r w:rsidRPr="00771B99">
        <w:rPr>
          <w:sz w:val="22"/>
          <w:szCs w:val="27"/>
        </w:rPr>
        <w:t xml:space="preserve">Como claramente se puede concluir, el panorama previo a la creación e implementación del mecanismo era desolador, no parecía existir una respuesta efectiva del estado para intervenir y erradicar estos aterradores actos de tortura en la cárcel “La </w:t>
      </w:r>
      <w:proofErr w:type="spellStart"/>
      <w:r w:rsidRPr="00771B99">
        <w:rPr>
          <w:sz w:val="22"/>
          <w:szCs w:val="27"/>
        </w:rPr>
        <w:t>Tramacua</w:t>
      </w:r>
      <w:proofErr w:type="spellEnd"/>
      <w:r w:rsidRPr="00771B99">
        <w:rPr>
          <w:sz w:val="22"/>
          <w:szCs w:val="27"/>
        </w:rPr>
        <w:t xml:space="preserve">” de Valledupar. Sin embargo, el mecanismo de denuncia resultó ser un medio eficaz para intervenir en el establecimiento, con el inquebrantable objetivo de lograr visibilizar esta problemática y erradicar los actos de tortura al interior del centro de reclusión.  </w:t>
      </w:r>
    </w:p>
    <w:p w:rsidR="00771B99" w:rsidRPr="00771B99" w:rsidRDefault="00771B99" w:rsidP="00771B99">
      <w:pPr>
        <w:spacing w:after="0"/>
        <w:jc w:val="both"/>
        <w:rPr>
          <w:sz w:val="22"/>
          <w:szCs w:val="27"/>
        </w:rPr>
      </w:pPr>
    </w:p>
    <w:p w:rsidR="00B96112" w:rsidRDefault="00771B99" w:rsidP="00771B99">
      <w:pPr>
        <w:spacing w:after="0"/>
        <w:jc w:val="both"/>
        <w:rPr>
          <w:b/>
          <w:sz w:val="22"/>
          <w:szCs w:val="27"/>
        </w:rPr>
      </w:pPr>
      <w:r w:rsidRPr="00B96112">
        <w:rPr>
          <w:b/>
          <w:sz w:val="22"/>
          <w:szCs w:val="27"/>
        </w:rPr>
        <w:t xml:space="preserve">e. Posibilidad de réplica:  </w:t>
      </w:r>
    </w:p>
    <w:p w:rsidR="00771B99" w:rsidRPr="00B96112" w:rsidRDefault="00771B99" w:rsidP="00771B99">
      <w:pPr>
        <w:spacing w:after="0"/>
        <w:jc w:val="both"/>
        <w:rPr>
          <w:b/>
          <w:sz w:val="22"/>
          <w:szCs w:val="27"/>
        </w:rPr>
      </w:pPr>
      <w:r w:rsidRPr="00B96112">
        <w:rPr>
          <w:b/>
          <w:sz w:val="22"/>
          <w:szCs w:val="27"/>
        </w:rPr>
        <w:t xml:space="preserve">        </w:t>
      </w:r>
    </w:p>
    <w:p w:rsidR="00771B99" w:rsidRDefault="00771B99" w:rsidP="00771B99">
      <w:pPr>
        <w:spacing w:after="0"/>
        <w:jc w:val="both"/>
        <w:rPr>
          <w:sz w:val="22"/>
          <w:szCs w:val="27"/>
        </w:rPr>
      </w:pPr>
      <w:r w:rsidRPr="00771B99">
        <w:rPr>
          <w:sz w:val="22"/>
          <w:szCs w:val="27"/>
        </w:rPr>
        <w:t xml:space="preserve">El mecanismo contra la tortura es fácilmente replicable –en tantos centros de reclusión como se considere necesario- En conclusión, el potencial de auto-réplica dentro de la Defensoría del Pueblo es evidente, pues basta con designar más personal y recursos para el que el mecanismo pueda ser aplicado en todo el país, situación que, sin lugar a dudas, tendrá un resultado positivo en un corto plazo y permitirá que estos lamentables vejámenes se eliminen de todas las cárceles colombianas.    </w:t>
      </w:r>
    </w:p>
    <w:p w:rsidR="001A1512" w:rsidRDefault="001A1512" w:rsidP="00771B99">
      <w:pPr>
        <w:spacing w:after="0"/>
        <w:jc w:val="both"/>
        <w:rPr>
          <w:sz w:val="22"/>
          <w:szCs w:val="27"/>
        </w:rPr>
      </w:pPr>
    </w:p>
    <w:p w:rsidR="001A1512" w:rsidRDefault="001A1512" w:rsidP="00771B99">
      <w:pPr>
        <w:spacing w:after="0"/>
        <w:jc w:val="both"/>
        <w:rPr>
          <w:sz w:val="22"/>
          <w:szCs w:val="27"/>
        </w:rPr>
      </w:pPr>
    </w:p>
    <w:p w:rsidR="001A1512" w:rsidRPr="000D499A" w:rsidRDefault="001A1512" w:rsidP="001A1512">
      <w:pPr>
        <w:pStyle w:val="ListParagraph"/>
        <w:rPr>
          <w:rFonts w:cs="Arial"/>
          <w:sz w:val="22"/>
        </w:rPr>
      </w:pPr>
      <w:bookmarkStart w:id="6" w:name="_Toc434301104"/>
      <w:bookmarkStart w:id="7" w:name="_Toc434307374"/>
      <w:bookmarkEnd w:id="6"/>
      <w:bookmarkEnd w:id="7"/>
    </w:p>
    <w:sectPr w:rsidR="001A1512" w:rsidRPr="000D499A" w:rsidSect="00F14D3F">
      <w:headerReference w:type="default" r:id="rId15"/>
      <w:footerReference w:type="default" r:id="rId16"/>
      <w:pgSz w:w="12240" w:h="15840"/>
      <w:pgMar w:top="2269" w:right="1183" w:bottom="1417" w:left="2410" w:header="708" w:footer="2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D2A" w:rsidRDefault="00260D2A">
      <w:pPr>
        <w:spacing w:after="0" w:line="240" w:lineRule="auto"/>
      </w:pPr>
      <w:r>
        <w:separator/>
      </w:r>
    </w:p>
  </w:endnote>
  <w:endnote w:type="continuationSeparator" w:id="0">
    <w:p w:rsidR="00260D2A" w:rsidRDefault="00260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A2A" w:rsidRPr="00002794" w:rsidRDefault="001C0A2A" w:rsidP="00F14D3F">
    <w:pPr>
      <w:tabs>
        <w:tab w:val="center" w:pos="4419"/>
        <w:tab w:val="right" w:pos="8838"/>
      </w:tabs>
      <w:spacing w:after="0" w:line="240" w:lineRule="auto"/>
      <w:jc w:val="center"/>
      <w:rPr>
        <w:sz w:val="16"/>
        <w:szCs w:val="16"/>
        <w:lang w:val="pt-BR"/>
      </w:rPr>
    </w:pPr>
    <w:hyperlink r:id="rId1" w:history="1">
      <w:r w:rsidRPr="00002794">
        <w:rPr>
          <w:sz w:val="16"/>
          <w:szCs w:val="16"/>
          <w:lang w:val="pt-BR"/>
        </w:rPr>
        <w:t>www.defensoria.gov.co</w:t>
      </w:r>
    </w:hyperlink>
    <w:r w:rsidRPr="00002794">
      <w:rPr>
        <w:sz w:val="16"/>
        <w:szCs w:val="16"/>
        <w:lang w:val="pt-BR"/>
      </w:rPr>
      <w:t xml:space="preserve"> -</w:t>
    </w:r>
    <w:proofErr w:type="gramStart"/>
    <w:r w:rsidRPr="00002794">
      <w:rPr>
        <w:sz w:val="16"/>
        <w:szCs w:val="16"/>
        <w:lang w:val="pt-BR"/>
      </w:rPr>
      <w:t xml:space="preserve">  </w:t>
    </w:r>
    <w:proofErr w:type="gramEnd"/>
    <w:r w:rsidRPr="00002794">
      <w:rPr>
        <w:sz w:val="16"/>
        <w:szCs w:val="16"/>
        <w:lang w:val="pt-BR"/>
      </w:rPr>
      <w:t xml:space="preserve">E-mail: </w:t>
    </w:r>
    <w:hyperlink r:id="rId2" w:history="1">
      <w:r w:rsidRPr="00002794">
        <w:rPr>
          <w:sz w:val="16"/>
          <w:szCs w:val="16"/>
          <w:lang w:val="pt-BR"/>
        </w:rPr>
        <w:t>atencionciudadano@defensoria.gov.co</w:t>
      </w:r>
    </w:hyperlink>
  </w:p>
  <w:p w:rsidR="001C0A2A" w:rsidRDefault="001C0A2A" w:rsidP="00F14D3F">
    <w:pPr>
      <w:tabs>
        <w:tab w:val="center" w:pos="4419"/>
        <w:tab w:val="right" w:pos="8838"/>
      </w:tabs>
      <w:spacing w:after="0" w:line="240" w:lineRule="auto"/>
      <w:jc w:val="center"/>
      <w:rPr>
        <w:sz w:val="16"/>
        <w:szCs w:val="16"/>
      </w:rPr>
    </w:pPr>
    <w:r w:rsidRPr="00855D33">
      <w:rPr>
        <w:sz w:val="16"/>
        <w:szCs w:val="16"/>
      </w:rPr>
      <w:t xml:space="preserve">PQRSDF: </w:t>
    </w:r>
    <w:hyperlink r:id="rId3" w:history="1">
      <w:r w:rsidRPr="00855D33">
        <w:rPr>
          <w:sz w:val="16"/>
          <w:szCs w:val="16"/>
        </w:rPr>
        <w:t>buzon.pqrsdf@defensoria.gov.co</w:t>
      </w:r>
    </w:hyperlink>
    <w:r w:rsidRPr="00855D33">
      <w:rPr>
        <w:sz w:val="16"/>
        <w:szCs w:val="16"/>
      </w:rPr>
      <w:t xml:space="preserve"> </w:t>
    </w:r>
    <w:r>
      <w:rPr>
        <w:sz w:val="16"/>
        <w:szCs w:val="16"/>
      </w:rPr>
      <w:t>–</w:t>
    </w:r>
    <w:r w:rsidRPr="00855D33">
      <w:rPr>
        <w:sz w:val="16"/>
        <w:szCs w:val="16"/>
      </w:rPr>
      <w:t xml:space="preserve"> </w:t>
    </w:r>
    <w:r>
      <w:rPr>
        <w:sz w:val="16"/>
        <w:szCs w:val="16"/>
      </w:rPr>
      <w:t>carrera 9 16 21</w:t>
    </w:r>
    <w:r w:rsidRPr="00855D33">
      <w:rPr>
        <w:sz w:val="16"/>
        <w:szCs w:val="16"/>
      </w:rPr>
      <w:t xml:space="preserve"> Bogotá - Colombia  -  PBX: (571) 314 73 00 </w:t>
    </w:r>
  </w:p>
  <w:p w:rsidR="001C0A2A" w:rsidRPr="00B70F9E" w:rsidRDefault="001C0A2A" w:rsidP="00F14D3F">
    <w:pPr>
      <w:jc w:val="center"/>
      <w:rPr>
        <w:sz w:val="10"/>
        <w:szCs w:val="10"/>
        <w:lang w:val="es-ES"/>
      </w:rPr>
    </w:pPr>
    <w:r>
      <w:rPr>
        <w:sz w:val="12"/>
        <w:szCs w:val="12"/>
        <w:lang w:val="es-ES"/>
      </w:rPr>
      <w:t xml:space="preserve">Código: </w:t>
    </w:r>
    <w:r w:rsidRPr="00C20592">
      <w:rPr>
        <w:sz w:val="12"/>
        <w:szCs w:val="12"/>
        <w:lang w:val="es-ES"/>
      </w:rPr>
      <w:t>AD-</w:t>
    </w:r>
    <w:r>
      <w:rPr>
        <w:sz w:val="12"/>
        <w:szCs w:val="12"/>
        <w:lang w:val="es-ES"/>
      </w:rPr>
      <w:t>P06-</w:t>
    </w:r>
    <w:r w:rsidRPr="00C20592">
      <w:rPr>
        <w:sz w:val="12"/>
        <w:szCs w:val="12"/>
        <w:lang w:val="es-ES"/>
      </w:rPr>
      <w:t>F-20  -   VERSIÓN: 0</w:t>
    </w:r>
    <w:r>
      <w:rPr>
        <w:sz w:val="12"/>
        <w:szCs w:val="12"/>
        <w:lang w:val="es-ES"/>
      </w:rPr>
      <w:t>2</w:t>
    </w:r>
    <w:r w:rsidRPr="00C20592">
      <w:rPr>
        <w:sz w:val="12"/>
        <w:szCs w:val="12"/>
        <w:lang w:val="es-ES"/>
      </w:rPr>
      <w:t xml:space="preserve">  -   Fecha de aprobación</w:t>
    </w:r>
    <w:proofErr w:type="gramStart"/>
    <w:r w:rsidRPr="00C20592">
      <w:rPr>
        <w:sz w:val="12"/>
        <w:szCs w:val="12"/>
        <w:lang w:val="es-ES"/>
      </w:rPr>
      <w:t>:</w:t>
    </w:r>
    <w:r w:rsidRPr="0055493C">
      <w:rPr>
        <w:sz w:val="10"/>
        <w:szCs w:val="10"/>
        <w:lang w:val="es-ES"/>
      </w:rPr>
      <w:t xml:space="preserve"> </w:t>
    </w:r>
    <w:r>
      <w:rPr>
        <w:sz w:val="10"/>
        <w:szCs w:val="10"/>
        <w:lang w:val="es-ES"/>
      </w:rPr>
      <w:t xml:space="preserve"> 21</w:t>
    </w:r>
    <w:proofErr w:type="gramEnd"/>
    <w:r>
      <w:rPr>
        <w:sz w:val="10"/>
        <w:szCs w:val="10"/>
        <w:lang w:val="es-ES"/>
      </w:rPr>
      <w:t>/01</w:t>
    </w:r>
    <w:r w:rsidRPr="0055493C">
      <w:rPr>
        <w:sz w:val="10"/>
        <w:szCs w:val="10"/>
        <w:lang w:val="es-ES"/>
      </w:rPr>
      <w:t>201</w:t>
    </w:r>
    <w:r>
      <w:rPr>
        <w:sz w:val="10"/>
        <w:szCs w:val="10"/>
        <w:lang w:val="es-ES"/>
      </w:rPr>
      <w:t>6</w:t>
    </w:r>
    <w:r>
      <w:rPr>
        <w:sz w:val="16"/>
        <w:szCs w:val="16"/>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D2A" w:rsidRDefault="00260D2A">
      <w:pPr>
        <w:spacing w:after="0" w:line="240" w:lineRule="auto"/>
      </w:pPr>
      <w:r>
        <w:separator/>
      </w:r>
    </w:p>
  </w:footnote>
  <w:footnote w:type="continuationSeparator" w:id="0">
    <w:p w:rsidR="00260D2A" w:rsidRDefault="00260D2A">
      <w:pPr>
        <w:spacing w:after="0" w:line="240" w:lineRule="auto"/>
      </w:pPr>
      <w:r>
        <w:continuationSeparator/>
      </w:r>
    </w:p>
  </w:footnote>
  <w:footnote w:id="1">
    <w:p w:rsidR="001C0A2A" w:rsidRPr="000007CA" w:rsidRDefault="001C0A2A" w:rsidP="008170ED">
      <w:pPr>
        <w:pStyle w:val="FootnoteText"/>
        <w:rPr>
          <w:i/>
          <w:sz w:val="18"/>
        </w:rPr>
      </w:pPr>
      <w:r w:rsidRPr="00BA726B">
        <w:rPr>
          <w:rStyle w:val="FootnoteReference"/>
          <w:i/>
          <w:sz w:val="18"/>
        </w:rPr>
        <w:footnoteRef/>
      </w:r>
      <w:r w:rsidRPr="00BA726B">
        <w:rPr>
          <w:i/>
          <w:sz w:val="18"/>
        </w:rPr>
        <w:t xml:space="preserve"> </w:t>
      </w:r>
      <w:r w:rsidRPr="000007CA">
        <w:rPr>
          <w:i/>
          <w:sz w:val="16"/>
        </w:rPr>
        <w:t xml:space="preserve">Cifras suministradas por la Subdirección de Atención en Salud del INPEC. 03/05/2016. </w:t>
      </w:r>
    </w:p>
  </w:footnote>
  <w:footnote w:id="2">
    <w:p w:rsidR="001C0A2A" w:rsidRPr="00F12245" w:rsidRDefault="001C0A2A" w:rsidP="008170ED">
      <w:pPr>
        <w:pStyle w:val="FootnoteText"/>
        <w:rPr>
          <w:i/>
          <w:sz w:val="18"/>
          <w:szCs w:val="18"/>
        </w:rPr>
      </w:pPr>
      <w:r w:rsidRPr="00F12245">
        <w:rPr>
          <w:rStyle w:val="FootnoteReference"/>
          <w:i/>
          <w:sz w:val="18"/>
          <w:szCs w:val="18"/>
        </w:rPr>
        <w:footnoteRef/>
      </w:r>
      <w:r w:rsidRPr="00F12245">
        <w:rPr>
          <w:i/>
          <w:sz w:val="18"/>
          <w:szCs w:val="18"/>
        </w:rPr>
        <w:t xml:space="preserve"> Fuente: Series Históricas INPEC: </w:t>
      </w:r>
      <w:r w:rsidRPr="00F12245">
        <w:rPr>
          <w:rFonts w:cs="Arial"/>
          <w:i/>
          <w:sz w:val="18"/>
          <w:szCs w:val="18"/>
        </w:rPr>
        <w:t>http://www.inpec.gov.co/portal/page/portal/Inpec/Institucion/Estad%EDsticas/Estadisticas/Estad%EDsticas</w:t>
      </w:r>
      <w:r w:rsidRPr="00F12245">
        <w:rPr>
          <w:i/>
          <w:sz w:val="18"/>
          <w:szCs w:val="18"/>
        </w:rPr>
        <w:t xml:space="preserve"> </w:t>
      </w:r>
    </w:p>
  </w:footnote>
  <w:footnote w:id="3">
    <w:p w:rsidR="001C0A2A" w:rsidRPr="006A4564" w:rsidRDefault="001C0A2A">
      <w:pPr>
        <w:pStyle w:val="FootnoteText"/>
      </w:pPr>
      <w:r>
        <w:rPr>
          <w:rStyle w:val="FootnoteReference"/>
        </w:rPr>
        <w:footnoteRef/>
      </w:r>
      <w:r>
        <w:t xml:space="preserve"> Población privada de la libertad</w:t>
      </w:r>
    </w:p>
  </w:footnote>
  <w:footnote w:id="4">
    <w:p w:rsidR="001C0A2A" w:rsidRPr="004731EF" w:rsidRDefault="001C0A2A">
      <w:pPr>
        <w:pStyle w:val="FootnoteText"/>
        <w:rPr>
          <w:lang w:val="es-CO"/>
        </w:rPr>
      </w:pPr>
      <w:r>
        <w:rPr>
          <w:rStyle w:val="FootnoteReference"/>
        </w:rPr>
        <w:footnoteRef/>
      </w:r>
      <w:r>
        <w:t xml:space="preserve"> </w:t>
      </w:r>
      <w:r w:rsidRPr="004731EF">
        <w:rPr>
          <w:i/>
          <w:sz w:val="16"/>
          <w:lang w:val="es-CO"/>
        </w:rPr>
        <w:t>Se anexa I</w:t>
      </w:r>
      <w:r>
        <w:rPr>
          <w:i/>
          <w:sz w:val="16"/>
          <w:lang w:val="es-CO"/>
        </w:rPr>
        <w:t>nforme de la Regional Santander de la visita a URIS y Estaciones de Policía.</w:t>
      </w:r>
    </w:p>
  </w:footnote>
  <w:footnote w:id="5">
    <w:p w:rsidR="001C0A2A" w:rsidRPr="00A83E83" w:rsidRDefault="001C0A2A">
      <w:pPr>
        <w:pStyle w:val="FootnoteText"/>
        <w:rPr>
          <w:lang w:val="es-CO"/>
        </w:rPr>
      </w:pPr>
      <w:r>
        <w:rPr>
          <w:rStyle w:val="FootnoteReference"/>
        </w:rPr>
        <w:footnoteRef/>
      </w:r>
      <w:r>
        <w:t xml:space="preserve"> </w:t>
      </w:r>
      <w:r w:rsidRPr="00A83E83">
        <w:rPr>
          <w:i/>
          <w:sz w:val="16"/>
          <w:lang w:val="es-CO"/>
        </w:rPr>
        <w:t>Se anexa los informes de las visitas a URIS y Estaciones de la ciudad de Bogotá.</w:t>
      </w:r>
      <w:r w:rsidRPr="00A83E83">
        <w:rPr>
          <w:sz w:val="16"/>
          <w:lang w:val="es-CO"/>
        </w:rPr>
        <w:t xml:space="preserve"> </w:t>
      </w:r>
    </w:p>
  </w:footnote>
  <w:footnote w:id="6">
    <w:p w:rsidR="005237DD" w:rsidRPr="0093634C" w:rsidRDefault="005237DD" w:rsidP="005237DD">
      <w:pPr>
        <w:pStyle w:val="FootnoteText"/>
        <w:rPr>
          <w:sz w:val="18"/>
          <w:szCs w:val="18"/>
        </w:rPr>
      </w:pPr>
      <w:r w:rsidRPr="0093634C">
        <w:rPr>
          <w:rStyle w:val="FootnoteReference"/>
          <w:sz w:val="18"/>
          <w:szCs w:val="18"/>
        </w:rPr>
        <w:footnoteRef/>
      </w:r>
      <w:r>
        <w:rPr>
          <w:sz w:val="18"/>
          <w:szCs w:val="18"/>
        </w:rPr>
        <w:t xml:space="preserve">  </w:t>
      </w:r>
      <w:r w:rsidRPr="00F94889">
        <w:rPr>
          <w:i/>
          <w:sz w:val="16"/>
          <w:szCs w:val="18"/>
        </w:rPr>
        <w:t xml:space="preserve">Instituto Nacional de Medicina Legal y Ciencias Forenses (2016). </w:t>
      </w:r>
      <w:proofErr w:type="spellStart"/>
      <w:r w:rsidRPr="00F94889">
        <w:rPr>
          <w:i/>
          <w:sz w:val="16"/>
          <w:szCs w:val="18"/>
        </w:rPr>
        <w:t>Forensis</w:t>
      </w:r>
      <w:proofErr w:type="spellEnd"/>
      <w:r w:rsidRPr="00F94889">
        <w:rPr>
          <w:i/>
          <w:sz w:val="16"/>
          <w:szCs w:val="18"/>
        </w:rPr>
        <w:t xml:space="preserve"> 2015. Bogotá D.C.</w:t>
      </w:r>
      <w:r w:rsidRPr="00F94889">
        <w:rPr>
          <w:sz w:val="16"/>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A2A" w:rsidRDefault="001C0A2A" w:rsidP="00F14D3F">
    <w:pPr>
      <w:pStyle w:val="Header"/>
      <w:tabs>
        <w:tab w:val="clear" w:pos="8838"/>
        <w:tab w:val="right" w:pos="8647"/>
      </w:tabs>
    </w:pPr>
    <w:r>
      <w:rPr>
        <w:noProof/>
        <w:lang w:val="en-GB" w:eastAsia="en-GB"/>
      </w:rPr>
      <w:drawing>
        <wp:anchor distT="0" distB="0" distL="114300" distR="114300" simplePos="0" relativeHeight="251659264" behindDoc="1" locked="0" layoutInCell="1" allowOverlap="1" wp14:anchorId="3FA7C2AF" wp14:editId="21E48446">
          <wp:simplePos x="0" y="0"/>
          <wp:positionH relativeFrom="column">
            <wp:posOffset>-1524635</wp:posOffset>
          </wp:positionH>
          <wp:positionV relativeFrom="paragraph">
            <wp:posOffset>-476885</wp:posOffset>
          </wp:positionV>
          <wp:extent cx="7773670" cy="10071735"/>
          <wp:effectExtent l="0" t="0" r="0" b="5715"/>
          <wp:wrapNone/>
          <wp:docPr id="1" name="Imagen 1" descr="4_1_3membreteGeneral2015-01-03-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4_1_3membreteGeneral2015-01-03-03.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3670" cy="100717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F43C9"/>
    <w:multiLevelType w:val="hybridMultilevel"/>
    <w:tmpl w:val="8EEEAD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A366A3A"/>
    <w:multiLevelType w:val="hybridMultilevel"/>
    <w:tmpl w:val="E1A292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3A85A78"/>
    <w:multiLevelType w:val="hybridMultilevel"/>
    <w:tmpl w:val="BF128C8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70A1455"/>
    <w:multiLevelType w:val="hybridMultilevel"/>
    <w:tmpl w:val="6C4AD77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8163B30"/>
    <w:multiLevelType w:val="hybridMultilevel"/>
    <w:tmpl w:val="AD5290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8412FA8"/>
    <w:multiLevelType w:val="hybridMultilevel"/>
    <w:tmpl w:val="D55CB5FE"/>
    <w:lvl w:ilvl="0" w:tplc="8422AE96">
      <w:numFmt w:val="bullet"/>
      <w:lvlText w:val="-"/>
      <w:lvlJc w:val="left"/>
      <w:pPr>
        <w:ind w:left="720" w:hanging="360"/>
      </w:pPr>
      <w:rPr>
        <w:rFonts w:ascii="Trebuchet MS" w:eastAsia="Calibri" w:hAnsi="Trebuchet MS"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C9F47C1"/>
    <w:multiLevelType w:val="hybridMultilevel"/>
    <w:tmpl w:val="66380216"/>
    <w:lvl w:ilvl="0" w:tplc="5550556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F564D58"/>
    <w:multiLevelType w:val="hybridMultilevel"/>
    <w:tmpl w:val="23F272B8"/>
    <w:lvl w:ilvl="0" w:tplc="8422AE96">
      <w:numFmt w:val="bullet"/>
      <w:lvlText w:val="-"/>
      <w:lvlJc w:val="left"/>
      <w:pPr>
        <w:ind w:left="720" w:hanging="360"/>
      </w:pPr>
      <w:rPr>
        <w:rFonts w:ascii="Trebuchet MS" w:eastAsia="Calibri" w:hAnsi="Trebuchet MS"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065756C"/>
    <w:multiLevelType w:val="hybridMultilevel"/>
    <w:tmpl w:val="6D84E162"/>
    <w:lvl w:ilvl="0" w:tplc="8422AE96">
      <w:numFmt w:val="bullet"/>
      <w:lvlText w:val="-"/>
      <w:lvlJc w:val="left"/>
      <w:pPr>
        <w:ind w:left="720" w:hanging="360"/>
      </w:pPr>
      <w:rPr>
        <w:rFonts w:ascii="Trebuchet MS" w:eastAsia="Calibri" w:hAnsi="Trebuchet MS"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4A63AC3"/>
    <w:multiLevelType w:val="hybridMultilevel"/>
    <w:tmpl w:val="F67821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C1F637A"/>
    <w:multiLevelType w:val="hybridMultilevel"/>
    <w:tmpl w:val="91DC3836"/>
    <w:lvl w:ilvl="0" w:tplc="D3A04CD4">
      <w:start w:val="1"/>
      <w:numFmt w:val="lowerRoman"/>
      <w:lvlText w:val="(%1)"/>
      <w:lvlJc w:val="left"/>
      <w:pPr>
        <w:ind w:left="720" w:hanging="360"/>
      </w:pPr>
      <w:rPr>
        <w:rFonts w:ascii="Trebuchet MS" w:eastAsia="Times New Roman" w:hAnsi="Trebuchet MS" w:cs="Times New Roman"/>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CCF3B63"/>
    <w:multiLevelType w:val="hybridMultilevel"/>
    <w:tmpl w:val="917A65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DF00034"/>
    <w:multiLevelType w:val="hybridMultilevel"/>
    <w:tmpl w:val="9C2022A2"/>
    <w:lvl w:ilvl="0" w:tplc="0C0A0001">
      <w:start w:val="1"/>
      <w:numFmt w:val="bullet"/>
      <w:lvlText w:val=""/>
      <w:lvlJc w:val="left"/>
      <w:pPr>
        <w:ind w:left="1080" w:hanging="720"/>
      </w:pPr>
      <w:rPr>
        <w:rFonts w:ascii="Symbol" w:hAnsi="Symbo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2E330E1E"/>
    <w:multiLevelType w:val="hybridMultilevel"/>
    <w:tmpl w:val="4CB67B3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2E7D3BCA"/>
    <w:multiLevelType w:val="hybridMultilevel"/>
    <w:tmpl w:val="46F6B190"/>
    <w:lvl w:ilvl="0" w:tplc="7000176C">
      <w:start w:val="1"/>
      <w:numFmt w:val="decimal"/>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34642345"/>
    <w:multiLevelType w:val="hybridMultilevel"/>
    <w:tmpl w:val="E1AC35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6E7059C"/>
    <w:multiLevelType w:val="hybridMultilevel"/>
    <w:tmpl w:val="59A0C858"/>
    <w:lvl w:ilvl="0" w:tplc="F1A277B8">
      <w:start w:val="1"/>
      <w:numFmt w:val="decimal"/>
      <w:lvlText w:val="%1."/>
      <w:lvlJc w:val="left"/>
      <w:pPr>
        <w:ind w:left="785" w:hanging="360"/>
      </w:pPr>
      <w:rPr>
        <w:rFonts w:ascii="Trebuchet MS" w:eastAsia="Calibri" w:hAnsi="Trebuchet MS" w:cs="Times New Roman"/>
      </w:rPr>
    </w:lvl>
    <w:lvl w:ilvl="1" w:tplc="240A0003" w:tentative="1">
      <w:start w:val="1"/>
      <w:numFmt w:val="bullet"/>
      <w:lvlText w:val="o"/>
      <w:lvlJc w:val="left"/>
      <w:pPr>
        <w:ind w:left="1505" w:hanging="360"/>
      </w:pPr>
      <w:rPr>
        <w:rFonts w:ascii="Courier New" w:hAnsi="Courier New" w:cs="Courier New" w:hint="default"/>
      </w:rPr>
    </w:lvl>
    <w:lvl w:ilvl="2" w:tplc="240A0005" w:tentative="1">
      <w:start w:val="1"/>
      <w:numFmt w:val="bullet"/>
      <w:lvlText w:val=""/>
      <w:lvlJc w:val="left"/>
      <w:pPr>
        <w:ind w:left="2225" w:hanging="360"/>
      </w:pPr>
      <w:rPr>
        <w:rFonts w:ascii="Wingdings" w:hAnsi="Wingdings" w:hint="default"/>
      </w:rPr>
    </w:lvl>
    <w:lvl w:ilvl="3" w:tplc="240A0001" w:tentative="1">
      <w:start w:val="1"/>
      <w:numFmt w:val="bullet"/>
      <w:lvlText w:val=""/>
      <w:lvlJc w:val="left"/>
      <w:pPr>
        <w:ind w:left="2945" w:hanging="360"/>
      </w:pPr>
      <w:rPr>
        <w:rFonts w:ascii="Symbol" w:hAnsi="Symbol" w:hint="default"/>
      </w:rPr>
    </w:lvl>
    <w:lvl w:ilvl="4" w:tplc="240A0003" w:tentative="1">
      <w:start w:val="1"/>
      <w:numFmt w:val="bullet"/>
      <w:lvlText w:val="o"/>
      <w:lvlJc w:val="left"/>
      <w:pPr>
        <w:ind w:left="3665" w:hanging="360"/>
      </w:pPr>
      <w:rPr>
        <w:rFonts w:ascii="Courier New" w:hAnsi="Courier New" w:cs="Courier New" w:hint="default"/>
      </w:rPr>
    </w:lvl>
    <w:lvl w:ilvl="5" w:tplc="240A0005" w:tentative="1">
      <w:start w:val="1"/>
      <w:numFmt w:val="bullet"/>
      <w:lvlText w:val=""/>
      <w:lvlJc w:val="left"/>
      <w:pPr>
        <w:ind w:left="4385" w:hanging="360"/>
      </w:pPr>
      <w:rPr>
        <w:rFonts w:ascii="Wingdings" w:hAnsi="Wingdings" w:hint="default"/>
      </w:rPr>
    </w:lvl>
    <w:lvl w:ilvl="6" w:tplc="240A0001" w:tentative="1">
      <w:start w:val="1"/>
      <w:numFmt w:val="bullet"/>
      <w:lvlText w:val=""/>
      <w:lvlJc w:val="left"/>
      <w:pPr>
        <w:ind w:left="5105" w:hanging="360"/>
      </w:pPr>
      <w:rPr>
        <w:rFonts w:ascii="Symbol" w:hAnsi="Symbol" w:hint="default"/>
      </w:rPr>
    </w:lvl>
    <w:lvl w:ilvl="7" w:tplc="240A0003" w:tentative="1">
      <w:start w:val="1"/>
      <w:numFmt w:val="bullet"/>
      <w:lvlText w:val="o"/>
      <w:lvlJc w:val="left"/>
      <w:pPr>
        <w:ind w:left="5825" w:hanging="360"/>
      </w:pPr>
      <w:rPr>
        <w:rFonts w:ascii="Courier New" w:hAnsi="Courier New" w:cs="Courier New" w:hint="default"/>
      </w:rPr>
    </w:lvl>
    <w:lvl w:ilvl="8" w:tplc="240A0005" w:tentative="1">
      <w:start w:val="1"/>
      <w:numFmt w:val="bullet"/>
      <w:lvlText w:val=""/>
      <w:lvlJc w:val="left"/>
      <w:pPr>
        <w:ind w:left="6545" w:hanging="360"/>
      </w:pPr>
      <w:rPr>
        <w:rFonts w:ascii="Wingdings" w:hAnsi="Wingdings" w:hint="default"/>
      </w:rPr>
    </w:lvl>
  </w:abstractNum>
  <w:abstractNum w:abstractNumId="17">
    <w:nsid w:val="37C839E0"/>
    <w:multiLevelType w:val="hybridMultilevel"/>
    <w:tmpl w:val="981CD2D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38FF5389"/>
    <w:multiLevelType w:val="hybridMultilevel"/>
    <w:tmpl w:val="FB4C3B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CE55B00"/>
    <w:multiLevelType w:val="hybridMultilevel"/>
    <w:tmpl w:val="774078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44372900"/>
    <w:multiLevelType w:val="hybridMultilevel"/>
    <w:tmpl w:val="0E7CF5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458377F4"/>
    <w:multiLevelType w:val="hybridMultilevel"/>
    <w:tmpl w:val="A2CA92F2"/>
    <w:lvl w:ilvl="0" w:tplc="F164201E">
      <w:start w:val="1"/>
      <w:numFmt w:val="decimal"/>
      <w:suff w:val="space"/>
      <w:lvlText w:val="%1."/>
      <w:lvlJc w:val="left"/>
      <w:rPr>
        <w:rFonts w:cs="Times New Roman" w:hint="default"/>
        <w:b w:val="0"/>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nsid w:val="47B1101F"/>
    <w:multiLevelType w:val="hybridMultilevel"/>
    <w:tmpl w:val="FA60C4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8A2409C"/>
    <w:multiLevelType w:val="hybridMultilevel"/>
    <w:tmpl w:val="DB0259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CB21314"/>
    <w:multiLevelType w:val="hybridMultilevel"/>
    <w:tmpl w:val="44DC3C18"/>
    <w:lvl w:ilvl="0" w:tplc="2562A83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5149253F"/>
    <w:multiLevelType w:val="hybridMultilevel"/>
    <w:tmpl w:val="5434B4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35F2D86"/>
    <w:multiLevelType w:val="hybridMultilevel"/>
    <w:tmpl w:val="5D0E34B2"/>
    <w:lvl w:ilvl="0" w:tplc="8422AE96">
      <w:numFmt w:val="bullet"/>
      <w:lvlText w:val="-"/>
      <w:lvlJc w:val="left"/>
      <w:pPr>
        <w:ind w:left="720" w:hanging="360"/>
      </w:pPr>
      <w:rPr>
        <w:rFonts w:ascii="Trebuchet MS" w:eastAsia="Calibri" w:hAnsi="Trebuchet MS"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3E000F9"/>
    <w:multiLevelType w:val="multilevel"/>
    <w:tmpl w:val="DEC848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2160" w:hanging="1800"/>
      </w:pPr>
      <w:rPr>
        <w:rFonts w:hint="default"/>
        <w:sz w:val="22"/>
      </w:rPr>
    </w:lvl>
    <w:lvl w:ilvl="8">
      <w:start w:val="1"/>
      <w:numFmt w:val="decimal"/>
      <w:isLgl/>
      <w:lvlText w:val="%1.%2.%3.%4.%5.%6.%7.%8.%9"/>
      <w:lvlJc w:val="left"/>
      <w:pPr>
        <w:ind w:left="2160" w:hanging="1800"/>
      </w:pPr>
      <w:rPr>
        <w:rFonts w:hint="default"/>
        <w:sz w:val="22"/>
      </w:rPr>
    </w:lvl>
  </w:abstractNum>
  <w:abstractNum w:abstractNumId="28">
    <w:nsid w:val="551671A8"/>
    <w:multiLevelType w:val="hybridMultilevel"/>
    <w:tmpl w:val="836663A2"/>
    <w:lvl w:ilvl="0" w:tplc="EC38A278">
      <w:start w:val="5"/>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BA646FA"/>
    <w:multiLevelType w:val="hybridMultilevel"/>
    <w:tmpl w:val="111A81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09B717C"/>
    <w:multiLevelType w:val="hybridMultilevel"/>
    <w:tmpl w:val="AE3CAE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0CA7F0A"/>
    <w:multiLevelType w:val="hybridMultilevel"/>
    <w:tmpl w:val="6652E314"/>
    <w:lvl w:ilvl="0" w:tplc="8422AE96">
      <w:numFmt w:val="bullet"/>
      <w:lvlText w:val="-"/>
      <w:lvlJc w:val="left"/>
      <w:pPr>
        <w:ind w:left="720" w:hanging="360"/>
      </w:pPr>
      <w:rPr>
        <w:rFonts w:ascii="Trebuchet MS" w:eastAsia="Calibri" w:hAnsi="Trebuchet MS"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52C0C9F"/>
    <w:multiLevelType w:val="hybridMultilevel"/>
    <w:tmpl w:val="0400C3E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nsid w:val="739D2397"/>
    <w:multiLevelType w:val="multilevel"/>
    <w:tmpl w:val="B2923130"/>
    <w:lvl w:ilvl="0">
      <w:start w:val="1"/>
      <w:numFmt w:val="upperRoman"/>
      <w:pStyle w:val="Heading1"/>
      <w:lvlText w:val="%1."/>
      <w:lvlJc w:val="right"/>
      <w:pPr>
        <w:ind w:left="1000" w:hanging="432"/>
      </w:pPr>
      <w:rPr>
        <w:b/>
      </w:rPr>
    </w:lvl>
    <w:lvl w:ilvl="1">
      <w:start w:val="1"/>
      <w:numFmt w:val="bullet"/>
      <w:pStyle w:val="Heading2"/>
      <w:lvlText w:val=""/>
      <w:lvlJc w:val="left"/>
      <w:pPr>
        <w:ind w:left="576" w:hanging="576"/>
      </w:pPr>
      <w:rPr>
        <w:rFonts w:ascii="Symbol" w:hAnsi="Symbol" w:hint="default"/>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4">
    <w:nsid w:val="76420E20"/>
    <w:multiLevelType w:val="hybridMultilevel"/>
    <w:tmpl w:val="A98A95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76CA6FD1"/>
    <w:multiLevelType w:val="hybridMultilevel"/>
    <w:tmpl w:val="E53258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7C3B2664"/>
    <w:multiLevelType w:val="hybridMultilevel"/>
    <w:tmpl w:val="FFD2E33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nsid w:val="7DEA4556"/>
    <w:multiLevelType w:val="hybridMultilevel"/>
    <w:tmpl w:val="7812BC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2"/>
  </w:num>
  <w:num w:numId="2">
    <w:abstractNumId w:val="29"/>
  </w:num>
  <w:num w:numId="3">
    <w:abstractNumId w:val="37"/>
  </w:num>
  <w:num w:numId="4">
    <w:abstractNumId w:val="16"/>
  </w:num>
  <w:num w:numId="5">
    <w:abstractNumId w:val="13"/>
  </w:num>
  <w:num w:numId="6">
    <w:abstractNumId w:val="35"/>
  </w:num>
  <w:num w:numId="7">
    <w:abstractNumId w:val="36"/>
  </w:num>
  <w:num w:numId="8">
    <w:abstractNumId w:val="10"/>
  </w:num>
  <w:num w:numId="9">
    <w:abstractNumId w:val="24"/>
  </w:num>
  <w:num w:numId="10">
    <w:abstractNumId w:val="11"/>
  </w:num>
  <w:num w:numId="11">
    <w:abstractNumId w:val="3"/>
  </w:num>
  <w:num w:numId="12">
    <w:abstractNumId w:val="14"/>
  </w:num>
  <w:num w:numId="13">
    <w:abstractNumId w:val="21"/>
  </w:num>
  <w:num w:numId="14">
    <w:abstractNumId w:val="34"/>
  </w:num>
  <w:num w:numId="15">
    <w:abstractNumId w:val="6"/>
  </w:num>
  <w:num w:numId="16">
    <w:abstractNumId w:val="27"/>
  </w:num>
  <w:num w:numId="17">
    <w:abstractNumId w:val="32"/>
  </w:num>
  <w:num w:numId="18">
    <w:abstractNumId w:val="25"/>
  </w:num>
  <w:num w:numId="19">
    <w:abstractNumId w:val="7"/>
  </w:num>
  <w:num w:numId="20">
    <w:abstractNumId w:val="26"/>
  </w:num>
  <w:num w:numId="21">
    <w:abstractNumId w:val="5"/>
  </w:num>
  <w:num w:numId="22">
    <w:abstractNumId w:val="33"/>
  </w:num>
  <w:num w:numId="23">
    <w:abstractNumId w:val="12"/>
  </w:num>
  <w:num w:numId="24">
    <w:abstractNumId w:val="23"/>
  </w:num>
  <w:num w:numId="25">
    <w:abstractNumId w:val="8"/>
  </w:num>
  <w:num w:numId="26">
    <w:abstractNumId w:val="31"/>
  </w:num>
  <w:num w:numId="27">
    <w:abstractNumId w:val="17"/>
  </w:num>
  <w:num w:numId="28">
    <w:abstractNumId w:val="1"/>
  </w:num>
  <w:num w:numId="29">
    <w:abstractNumId w:val="0"/>
  </w:num>
  <w:num w:numId="30">
    <w:abstractNumId w:val="15"/>
  </w:num>
  <w:num w:numId="31">
    <w:abstractNumId w:val="28"/>
  </w:num>
  <w:num w:numId="32">
    <w:abstractNumId w:val="30"/>
  </w:num>
  <w:num w:numId="33">
    <w:abstractNumId w:val="4"/>
  </w:num>
  <w:num w:numId="34">
    <w:abstractNumId w:val="9"/>
  </w:num>
  <w:num w:numId="35">
    <w:abstractNumId w:val="20"/>
  </w:num>
  <w:num w:numId="36">
    <w:abstractNumId w:val="19"/>
  </w:num>
  <w:num w:numId="37">
    <w:abstractNumId w:val="2"/>
  </w:num>
  <w:num w:numId="38">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pt-BR" w:vendorID="64" w:dllVersion="131078" w:nlCheck="1" w:checkStyle="0"/>
  <w:activeWritingStyle w:appName="MSWord" w:lang="es-CO"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F03"/>
    <w:rsid w:val="000007CA"/>
    <w:rsid w:val="00000FD2"/>
    <w:rsid w:val="00002794"/>
    <w:rsid w:val="00003526"/>
    <w:rsid w:val="00004CC9"/>
    <w:rsid w:val="00011B04"/>
    <w:rsid w:val="000125DF"/>
    <w:rsid w:val="00013FA9"/>
    <w:rsid w:val="000175F3"/>
    <w:rsid w:val="00022F91"/>
    <w:rsid w:val="000277BD"/>
    <w:rsid w:val="00030BD5"/>
    <w:rsid w:val="00037A7C"/>
    <w:rsid w:val="0004400A"/>
    <w:rsid w:val="00044936"/>
    <w:rsid w:val="00045FF6"/>
    <w:rsid w:val="000469A6"/>
    <w:rsid w:val="000533FD"/>
    <w:rsid w:val="00057621"/>
    <w:rsid w:val="0006037B"/>
    <w:rsid w:val="000619F2"/>
    <w:rsid w:val="00065618"/>
    <w:rsid w:val="00080DBF"/>
    <w:rsid w:val="00082DC0"/>
    <w:rsid w:val="00082DC6"/>
    <w:rsid w:val="00085998"/>
    <w:rsid w:val="00087BA5"/>
    <w:rsid w:val="00091830"/>
    <w:rsid w:val="00095502"/>
    <w:rsid w:val="00096CD1"/>
    <w:rsid w:val="00096D5F"/>
    <w:rsid w:val="000A01A4"/>
    <w:rsid w:val="000A0958"/>
    <w:rsid w:val="000A105A"/>
    <w:rsid w:val="000A268E"/>
    <w:rsid w:val="000B1A9A"/>
    <w:rsid w:val="000B3FB9"/>
    <w:rsid w:val="000B6653"/>
    <w:rsid w:val="000C6A13"/>
    <w:rsid w:val="000C6DD9"/>
    <w:rsid w:val="000C7BB7"/>
    <w:rsid w:val="000D499A"/>
    <w:rsid w:val="000D5744"/>
    <w:rsid w:val="000D671C"/>
    <w:rsid w:val="000D6DF3"/>
    <w:rsid w:val="000E1453"/>
    <w:rsid w:val="000F3D33"/>
    <w:rsid w:val="000F789C"/>
    <w:rsid w:val="0010364E"/>
    <w:rsid w:val="001044F0"/>
    <w:rsid w:val="00105BA4"/>
    <w:rsid w:val="00111741"/>
    <w:rsid w:val="001159A6"/>
    <w:rsid w:val="0011643B"/>
    <w:rsid w:val="00116F92"/>
    <w:rsid w:val="001237FE"/>
    <w:rsid w:val="00130E3D"/>
    <w:rsid w:val="0013111A"/>
    <w:rsid w:val="00135D8F"/>
    <w:rsid w:val="00142CE5"/>
    <w:rsid w:val="0014575E"/>
    <w:rsid w:val="00147DE7"/>
    <w:rsid w:val="0015058E"/>
    <w:rsid w:val="00152BB0"/>
    <w:rsid w:val="00154F58"/>
    <w:rsid w:val="001575A9"/>
    <w:rsid w:val="00161E97"/>
    <w:rsid w:val="00162CDF"/>
    <w:rsid w:val="00166486"/>
    <w:rsid w:val="0016671A"/>
    <w:rsid w:val="001700A0"/>
    <w:rsid w:val="001828E4"/>
    <w:rsid w:val="001876E0"/>
    <w:rsid w:val="00187FB0"/>
    <w:rsid w:val="00191FB4"/>
    <w:rsid w:val="001966D7"/>
    <w:rsid w:val="001A0B2A"/>
    <w:rsid w:val="001A1512"/>
    <w:rsid w:val="001A55AE"/>
    <w:rsid w:val="001A6A9B"/>
    <w:rsid w:val="001B2AC5"/>
    <w:rsid w:val="001C0A2A"/>
    <w:rsid w:val="001C0B62"/>
    <w:rsid w:val="001C130D"/>
    <w:rsid w:val="001C1FD9"/>
    <w:rsid w:val="001C4033"/>
    <w:rsid w:val="001C5402"/>
    <w:rsid w:val="001D0805"/>
    <w:rsid w:val="001D0C90"/>
    <w:rsid w:val="001D4BA5"/>
    <w:rsid w:val="001D69EA"/>
    <w:rsid w:val="001E293E"/>
    <w:rsid w:val="001E3475"/>
    <w:rsid w:val="001E6A93"/>
    <w:rsid w:val="001E7570"/>
    <w:rsid w:val="001F2616"/>
    <w:rsid w:val="001F2712"/>
    <w:rsid w:val="001F5DD4"/>
    <w:rsid w:val="00204B1D"/>
    <w:rsid w:val="0022170B"/>
    <w:rsid w:val="00222A9D"/>
    <w:rsid w:val="002257FC"/>
    <w:rsid w:val="00225971"/>
    <w:rsid w:val="00225EFB"/>
    <w:rsid w:val="00236392"/>
    <w:rsid w:val="00237EC2"/>
    <w:rsid w:val="00243A1A"/>
    <w:rsid w:val="002445C5"/>
    <w:rsid w:val="00251640"/>
    <w:rsid w:val="00252446"/>
    <w:rsid w:val="0025273A"/>
    <w:rsid w:val="00254D3F"/>
    <w:rsid w:val="00260D2A"/>
    <w:rsid w:val="00263B4B"/>
    <w:rsid w:val="00267E20"/>
    <w:rsid w:val="00275775"/>
    <w:rsid w:val="00283F95"/>
    <w:rsid w:val="00291F3C"/>
    <w:rsid w:val="0029323C"/>
    <w:rsid w:val="00294360"/>
    <w:rsid w:val="00294BFF"/>
    <w:rsid w:val="002961ED"/>
    <w:rsid w:val="00296F7F"/>
    <w:rsid w:val="002A0194"/>
    <w:rsid w:val="002A117E"/>
    <w:rsid w:val="002A1488"/>
    <w:rsid w:val="002A18AF"/>
    <w:rsid w:val="002A4BCD"/>
    <w:rsid w:val="002A4C96"/>
    <w:rsid w:val="002A517B"/>
    <w:rsid w:val="002C4A2B"/>
    <w:rsid w:val="002C713F"/>
    <w:rsid w:val="002C75ED"/>
    <w:rsid w:val="002D5847"/>
    <w:rsid w:val="002D5D7B"/>
    <w:rsid w:val="002E3D95"/>
    <w:rsid w:val="002E5308"/>
    <w:rsid w:val="002F3D8B"/>
    <w:rsid w:val="002F7DE6"/>
    <w:rsid w:val="00304FCC"/>
    <w:rsid w:val="0031011A"/>
    <w:rsid w:val="003108F1"/>
    <w:rsid w:val="00314D6D"/>
    <w:rsid w:val="00316A21"/>
    <w:rsid w:val="00320369"/>
    <w:rsid w:val="00321582"/>
    <w:rsid w:val="003231D0"/>
    <w:rsid w:val="003356E9"/>
    <w:rsid w:val="00341753"/>
    <w:rsid w:val="00343F64"/>
    <w:rsid w:val="003444C0"/>
    <w:rsid w:val="0034709B"/>
    <w:rsid w:val="0034782F"/>
    <w:rsid w:val="00351899"/>
    <w:rsid w:val="00351F4A"/>
    <w:rsid w:val="00353891"/>
    <w:rsid w:val="003605D7"/>
    <w:rsid w:val="00360C50"/>
    <w:rsid w:val="00364CD9"/>
    <w:rsid w:val="00367706"/>
    <w:rsid w:val="00367A42"/>
    <w:rsid w:val="00372252"/>
    <w:rsid w:val="003727EE"/>
    <w:rsid w:val="003738E6"/>
    <w:rsid w:val="00375124"/>
    <w:rsid w:val="00376081"/>
    <w:rsid w:val="003867B9"/>
    <w:rsid w:val="00387B41"/>
    <w:rsid w:val="00392290"/>
    <w:rsid w:val="003A0D23"/>
    <w:rsid w:val="003A11B9"/>
    <w:rsid w:val="003A1568"/>
    <w:rsid w:val="003A5623"/>
    <w:rsid w:val="003B0967"/>
    <w:rsid w:val="003B3255"/>
    <w:rsid w:val="003C3826"/>
    <w:rsid w:val="003C5281"/>
    <w:rsid w:val="003E0989"/>
    <w:rsid w:val="003E4AE8"/>
    <w:rsid w:val="003F51F2"/>
    <w:rsid w:val="0040246B"/>
    <w:rsid w:val="00403516"/>
    <w:rsid w:val="0041200B"/>
    <w:rsid w:val="00413C8C"/>
    <w:rsid w:val="00414C53"/>
    <w:rsid w:val="00417C11"/>
    <w:rsid w:val="004209AF"/>
    <w:rsid w:val="004300D7"/>
    <w:rsid w:val="00431B81"/>
    <w:rsid w:val="004502E1"/>
    <w:rsid w:val="004517E1"/>
    <w:rsid w:val="004521FD"/>
    <w:rsid w:val="00452656"/>
    <w:rsid w:val="00454285"/>
    <w:rsid w:val="00456971"/>
    <w:rsid w:val="004608A7"/>
    <w:rsid w:val="0046544B"/>
    <w:rsid w:val="00470924"/>
    <w:rsid w:val="004731EF"/>
    <w:rsid w:val="00477DB5"/>
    <w:rsid w:val="00481448"/>
    <w:rsid w:val="00486193"/>
    <w:rsid w:val="00486337"/>
    <w:rsid w:val="00487481"/>
    <w:rsid w:val="004A27E3"/>
    <w:rsid w:val="004A5B30"/>
    <w:rsid w:val="004A6F98"/>
    <w:rsid w:val="004B0391"/>
    <w:rsid w:val="004B1BC3"/>
    <w:rsid w:val="004B4517"/>
    <w:rsid w:val="004B5BCF"/>
    <w:rsid w:val="004B6762"/>
    <w:rsid w:val="004C197F"/>
    <w:rsid w:val="004C2993"/>
    <w:rsid w:val="004C63DC"/>
    <w:rsid w:val="004D2F25"/>
    <w:rsid w:val="004D45C6"/>
    <w:rsid w:val="004D62F5"/>
    <w:rsid w:val="004D7466"/>
    <w:rsid w:val="004D769C"/>
    <w:rsid w:val="004E00D9"/>
    <w:rsid w:val="004E14C5"/>
    <w:rsid w:val="004E15E2"/>
    <w:rsid w:val="004E3FF0"/>
    <w:rsid w:val="004E6533"/>
    <w:rsid w:val="004F3219"/>
    <w:rsid w:val="00501C9C"/>
    <w:rsid w:val="00504806"/>
    <w:rsid w:val="00507A30"/>
    <w:rsid w:val="005122E7"/>
    <w:rsid w:val="0051247E"/>
    <w:rsid w:val="005125DA"/>
    <w:rsid w:val="005146CC"/>
    <w:rsid w:val="005237DD"/>
    <w:rsid w:val="00526AE1"/>
    <w:rsid w:val="00536087"/>
    <w:rsid w:val="00541FAE"/>
    <w:rsid w:val="00552288"/>
    <w:rsid w:val="0055236D"/>
    <w:rsid w:val="00552EC6"/>
    <w:rsid w:val="005532A4"/>
    <w:rsid w:val="005541B0"/>
    <w:rsid w:val="00556F15"/>
    <w:rsid w:val="00563DFF"/>
    <w:rsid w:val="0056403D"/>
    <w:rsid w:val="0056579D"/>
    <w:rsid w:val="005708E0"/>
    <w:rsid w:val="00571A27"/>
    <w:rsid w:val="00577985"/>
    <w:rsid w:val="005824C0"/>
    <w:rsid w:val="00585D88"/>
    <w:rsid w:val="00586C3F"/>
    <w:rsid w:val="005900EB"/>
    <w:rsid w:val="0059071D"/>
    <w:rsid w:val="005948D4"/>
    <w:rsid w:val="00594F73"/>
    <w:rsid w:val="0059615A"/>
    <w:rsid w:val="005A035F"/>
    <w:rsid w:val="005A2B11"/>
    <w:rsid w:val="005A2B92"/>
    <w:rsid w:val="005A50DA"/>
    <w:rsid w:val="005B20F8"/>
    <w:rsid w:val="005B2B7E"/>
    <w:rsid w:val="005B51CC"/>
    <w:rsid w:val="005B7533"/>
    <w:rsid w:val="005C3366"/>
    <w:rsid w:val="005C479E"/>
    <w:rsid w:val="005C4B30"/>
    <w:rsid w:val="005C599E"/>
    <w:rsid w:val="005D2B3E"/>
    <w:rsid w:val="005D33C2"/>
    <w:rsid w:val="005D62A2"/>
    <w:rsid w:val="005E4BF1"/>
    <w:rsid w:val="005E5E77"/>
    <w:rsid w:val="005F206C"/>
    <w:rsid w:val="00603A12"/>
    <w:rsid w:val="006074FA"/>
    <w:rsid w:val="00617AB4"/>
    <w:rsid w:val="00617DAF"/>
    <w:rsid w:val="00621D6D"/>
    <w:rsid w:val="006224EF"/>
    <w:rsid w:val="006237B7"/>
    <w:rsid w:val="0062454C"/>
    <w:rsid w:val="00627ADA"/>
    <w:rsid w:val="00630630"/>
    <w:rsid w:val="00635423"/>
    <w:rsid w:val="006416C3"/>
    <w:rsid w:val="0064685C"/>
    <w:rsid w:val="00647DA6"/>
    <w:rsid w:val="00651552"/>
    <w:rsid w:val="00651FD5"/>
    <w:rsid w:val="0065246D"/>
    <w:rsid w:val="00657DCE"/>
    <w:rsid w:val="006610F9"/>
    <w:rsid w:val="00664761"/>
    <w:rsid w:val="00670401"/>
    <w:rsid w:val="00670E44"/>
    <w:rsid w:val="00672664"/>
    <w:rsid w:val="00672CF7"/>
    <w:rsid w:val="00674547"/>
    <w:rsid w:val="006770E9"/>
    <w:rsid w:val="00680B26"/>
    <w:rsid w:val="0068539C"/>
    <w:rsid w:val="006860BE"/>
    <w:rsid w:val="00690A68"/>
    <w:rsid w:val="006920BD"/>
    <w:rsid w:val="006A07AC"/>
    <w:rsid w:val="006A1449"/>
    <w:rsid w:val="006A2400"/>
    <w:rsid w:val="006A4564"/>
    <w:rsid w:val="006A4928"/>
    <w:rsid w:val="006A74A9"/>
    <w:rsid w:val="006B0C1F"/>
    <w:rsid w:val="006B4DDE"/>
    <w:rsid w:val="006C4BA5"/>
    <w:rsid w:val="006C4D62"/>
    <w:rsid w:val="006C60FB"/>
    <w:rsid w:val="006C7B16"/>
    <w:rsid w:val="006E0194"/>
    <w:rsid w:val="006E3480"/>
    <w:rsid w:val="006E4F76"/>
    <w:rsid w:val="006F25B7"/>
    <w:rsid w:val="006F5FD2"/>
    <w:rsid w:val="006F72C9"/>
    <w:rsid w:val="007006B5"/>
    <w:rsid w:val="007028BD"/>
    <w:rsid w:val="007028C7"/>
    <w:rsid w:val="00703103"/>
    <w:rsid w:val="00705AE6"/>
    <w:rsid w:val="00707569"/>
    <w:rsid w:val="00712C7B"/>
    <w:rsid w:val="007140BC"/>
    <w:rsid w:val="007151C7"/>
    <w:rsid w:val="00721BA9"/>
    <w:rsid w:val="0072338B"/>
    <w:rsid w:val="007265F8"/>
    <w:rsid w:val="007344E3"/>
    <w:rsid w:val="00743F03"/>
    <w:rsid w:val="00750114"/>
    <w:rsid w:val="007501EF"/>
    <w:rsid w:val="007550F1"/>
    <w:rsid w:val="00755D3C"/>
    <w:rsid w:val="00760E53"/>
    <w:rsid w:val="0076481D"/>
    <w:rsid w:val="007654DE"/>
    <w:rsid w:val="00767E3A"/>
    <w:rsid w:val="00771B99"/>
    <w:rsid w:val="0077326A"/>
    <w:rsid w:val="007771A0"/>
    <w:rsid w:val="00782DCC"/>
    <w:rsid w:val="00783A1A"/>
    <w:rsid w:val="0078416B"/>
    <w:rsid w:val="0078570E"/>
    <w:rsid w:val="007A250D"/>
    <w:rsid w:val="007A4552"/>
    <w:rsid w:val="007A73C9"/>
    <w:rsid w:val="007B2F28"/>
    <w:rsid w:val="007B33B0"/>
    <w:rsid w:val="007B4CA3"/>
    <w:rsid w:val="007B7117"/>
    <w:rsid w:val="007C7689"/>
    <w:rsid w:val="007D09CB"/>
    <w:rsid w:val="007D7F7C"/>
    <w:rsid w:val="007E3806"/>
    <w:rsid w:val="007E4AF6"/>
    <w:rsid w:val="007F0403"/>
    <w:rsid w:val="007F1448"/>
    <w:rsid w:val="007F2052"/>
    <w:rsid w:val="007F3D3B"/>
    <w:rsid w:val="007F6044"/>
    <w:rsid w:val="007F7235"/>
    <w:rsid w:val="00804D2D"/>
    <w:rsid w:val="008160A9"/>
    <w:rsid w:val="00816B51"/>
    <w:rsid w:val="00816D6C"/>
    <w:rsid w:val="008170ED"/>
    <w:rsid w:val="008174C4"/>
    <w:rsid w:val="0082504D"/>
    <w:rsid w:val="00833CA3"/>
    <w:rsid w:val="008373BA"/>
    <w:rsid w:val="00844CDC"/>
    <w:rsid w:val="0084526F"/>
    <w:rsid w:val="00852104"/>
    <w:rsid w:val="00852BD1"/>
    <w:rsid w:val="00857625"/>
    <w:rsid w:val="008578F8"/>
    <w:rsid w:val="00860112"/>
    <w:rsid w:val="00864A20"/>
    <w:rsid w:val="00866A67"/>
    <w:rsid w:val="00870298"/>
    <w:rsid w:val="00871323"/>
    <w:rsid w:val="0087715E"/>
    <w:rsid w:val="008771D3"/>
    <w:rsid w:val="00881CB2"/>
    <w:rsid w:val="00881D38"/>
    <w:rsid w:val="00884566"/>
    <w:rsid w:val="008848B9"/>
    <w:rsid w:val="008861B3"/>
    <w:rsid w:val="00886BD3"/>
    <w:rsid w:val="008902DB"/>
    <w:rsid w:val="00890DAC"/>
    <w:rsid w:val="0089434F"/>
    <w:rsid w:val="008957F5"/>
    <w:rsid w:val="00897529"/>
    <w:rsid w:val="00897BEA"/>
    <w:rsid w:val="008A5E63"/>
    <w:rsid w:val="008A689A"/>
    <w:rsid w:val="008B11E8"/>
    <w:rsid w:val="008B3D34"/>
    <w:rsid w:val="008B4ACF"/>
    <w:rsid w:val="008C08F0"/>
    <w:rsid w:val="008C1E79"/>
    <w:rsid w:val="008C291B"/>
    <w:rsid w:val="008C31EA"/>
    <w:rsid w:val="008C708E"/>
    <w:rsid w:val="008D00A9"/>
    <w:rsid w:val="008D00C4"/>
    <w:rsid w:val="008D262F"/>
    <w:rsid w:val="008D57B3"/>
    <w:rsid w:val="008D5D1D"/>
    <w:rsid w:val="008D63E1"/>
    <w:rsid w:val="008E0475"/>
    <w:rsid w:val="008E7E65"/>
    <w:rsid w:val="008F1254"/>
    <w:rsid w:val="008F1BE7"/>
    <w:rsid w:val="008F231B"/>
    <w:rsid w:val="008F2D56"/>
    <w:rsid w:val="008F3FA1"/>
    <w:rsid w:val="009015EF"/>
    <w:rsid w:val="009078F4"/>
    <w:rsid w:val="00910EC6"/>
    <w:rsid w:val="009169E2"/>
    <w:rsid w:val="0092089A"/>
    <w:rsid w:val="00924116"/>
    <w:rsid w:val="00924B81"/>
    <w:rsid w:val="00926391"/>
    <w:rsid w:val="009272A5"/>
    <w:rsid w:val="00927568"/>
    <w:rsid w:val="009354C8"/>
    <w:rsid w:val="009407FF"/>
    <w:rsid w:val="009414EA"/>
    <w:rsid w:val="009416BB"/>
    <w:rsid w:val="00944117"/>
    <w:rsid w:val="00946D6D"/>
    <w:rsid w:val="00947B14"/>
    <w:rsid w:val="00951A11"/>
    <w:rsid w:val="009532D0"/>
    <w:rsid w:val="00953C06"/>
    <w:rsid w:val="009577AA"/>
    <w:rsid w:val="00961356"/>
    <w:rsid w:val="009626C2"/>
    <w:rsid w:val="009641F6"/>
    <w:rsid w:val="00964355"/>
    <w:rsid w:val="0096445D"/>
    <w:rsid w:val="00967070"/>
    <w:rsid w:val="009736C8"/>
    <w:rsid w:val="0097423F"/>
    <w:rsid w:val="00974324"/>
    <w:rsid w:val="00974AA0"/>
    <w:rsid w:val="00976146"/>
    <w:rsid w:val="00980C17"/>
    <w:rsid w:val="00981EDC"/>
    <w:rsid w:val="009823EA"/>
    <w:rsid w:val="0098334B"/>
    <w:rsid w:val="00990B53"/>
    <w:rsid w:val="00997BDC"/>
    <w:rsid w:val="009A0A55"/>
    <w:rsid w:val="009A60B9"/>
    <w:rsid w:val="009A68ED"/>
    <w:rsid w:val="009C1666"/>
    <w:rsid w:val="009C217D"/>
    <w:rsid w:val="009D3403"/>
    <w:rsid w:val="009D6033"/>
    <w:rsid w:val="009D6217"/>
    <w:rsid w:val="009E1594"/>
    <w:rsid w:val="009E2044"/>
    <w:rsid w:val="009E416D"/>
    <w:rsid w:val="009F1450"/>
    <w:rsid w:val="009F2628"/>
    <w:rsid w:val="009F34F5"/>
    <w:rsid w:val="009F380F"/>
    <w:rsid w:val="009F6519"/>
    <w:rsid w:val="009F6E8E"/>
    <w:rsid w:val="00A0390A"/>
    <w:rsid w:val="00A05907"/>
    <w:rsid w:val="00A070BD"/>
    <w:rsid w:val="00A101AA"/>
    <w:rsid w:val="00A10467"/>
    <w:rsid w:val="00A11268"/>
    <w:rsid w:val="00A118CC"/>
    <w:rsid w:val="00A1234F"/>
    <w:rsid w:val="00A12975"/>
    <w:rsid w:val="00A14C5C"/>
    <w:rsid w:val="00A20DDF"/>
    <w:rsid w:val="00A21E06"/>
    <w:rsid w:val="00A23A93"/>
    <w:rsid w:val="00A32412"/>
    <w:rsid w:val="00A331F7"/>
    <w:rsid w:val="00A33ADF"/>
    <w:rsid w:val="00A33E53"/>
    <w:rsid w:val="00A3456B"/>
    <w:rsid w:val="00A35CD9"/>
    <w:rsid w:val="00A415B9"/>
    <w:rsid w:val="00A4326F"/>
    <w:rsid w:val="00A51F89"/>
    <w:rsid w:val="00A61FB7"/>
    <w:rsid w:val="00A62E25"/>
    <w:rsid w:val="00A64726"/>
    <w:rsid w:val="00A65AC5"/>
    <w:rsid w:val="00A6648E"/>
    <w:rsid w:val="00A71B88"/>
    <w:rsid w:val="00A73E83"/>
    <w:rsid w:val="00A75D27"/>
    <w:rsid w:val="00A7731D"/>
    <w:rsid w:val="00A83164"/>
    <w:rsid w:val="00A83E83"/>
    <w:rsid w:val="00A845F2"/>
    <w:rsid w:val="00A9182E"/>
    <w:rsid w:val="00A92ACE"/>
    <w:rsid w:val="00A948D6"/>
    <w:rsid w:val="00AA0E9D"/>
    <w:rsid w:val="00AA7F58"/>
    <w:rsid w:val="00AB0571"/>
    <w:rsid w:val="00AB26BF"/>
    <w:rsid w:val="00AC3034"/>
    <w:rsid w:val="00AC747C"/>
    <w:rsid w:val="00AD133A"/>
    <w:rsid w:val="00AD3273"/>
    <w:rsid w:val="00AD35C8"/>
    <w:rsid w:val="00AD5434"/>
    <w:rsid w:val="00AD6A5C"/>
    <w:rsid w:val="00AD72B5"/>
    <w:rsid w:val="00AE051C"/>
    <w:rsid w:val="00AE0722"/>
    <w:rsid w:val="00AE2DFB"/>
    <w:rsid w:val="00AE3229"/>
    <w:rsid w:val="00AF108F"/>
    <w:rsid w:val="00AF5DAB"/>
    <w:rsid w:val="00B010E8"/>
    <w:rsid w:val="00B03FA0"/>
    <w:rsid w:val="00B06867"/>
    <w:rsid w:val="00B12D17"/>
    <w:rsid w:val="00B1477E"/>
    <w:rsid w:val="00B15BC3"/>
    <w:rsid w:val="00B23A5F"/>
    <w:rsid w:val="00B23FB1"/>
    <w:rsid w:val="00B25E95"/>
    <w:rsid w:val="00B27ADA"/>
    <w:rsid w:val="00B32007"/>
    <w:rsid w:val="00B33B04"/>
    <w:rsid w:val="00B35D43"/>
    <w:rsid w:val="00B400BB"/>
    <w:rsid w:val="00B42A7A"/>
    <w:rsid w:val="00B54A7B"/>
    <w:rsid w:val="00B61C1C"/>
    <w:rsid w:val="00B76222"/>
    <w:rsid w:val="00B76259"/>
    <w:rsid w:val="00B8311F"/>
    <w:rsid w:val="00B90CE9"/>
    <w:rsid w:val="00B95C6C"/>
    <w:rsid w:val="00B96112"/>
    <w:rsid w:val="00B966B3"/>
    <w:rsid w:val="00BA1F39"/>
    <w:rsid w:val="00BA2E76"/>
    <w:rsid w:val="00BA726B"/>
    <w:rsid w:val="00BA7496"/>
    <w:rsid w:val="00BB165E"/>
    <w:rsid w:val="00BB2C73"/>
    <w:rsid w:val="00BB31B3"/>
    <w:rsid w:val="00BB3A00"/>
    <w:rsid w:val="00BB3CFD"/>
    <w:rsid w:val="00BB7D33"/>
    <w:rsid w:val="00BC078C"/>
    <w:rsid w:val="00BC1402"/>
    <w:rsid w:val="00BD46D3"/>
    <w:rsid w:val="00BD5600"/>
    <w:rsid w:val="00BD7B0A"/>
    <w:rsid w:val="00BF1A2F"/>
    <w:rsid w:val="00BF1CE2"/>
    <w:rsid w:val="00BF2378"/>
    <w:rsid w:val="00BF4006"/>
    <w:rsid w:val="00BF5639"/>
    <w:rsid w:val="00C01F99"/>
    <w:rsid w:val="00C01FDE"/>
    <w:rsid w:val="00C06AC7"/>
    <w:rsid w:val="00C1521D"/>
    <w:rsid w:val="00C16AAF"/>
    <w:rsid w:val="00C20FDF"/>
    <w:rsid w:val="00C22C67"/>
    <w:rsid w:val="00C25EBA"/>
    <w:rsid w:val="00C33011"/>
    <w:rsid w:val="00C452E1"/>
    <w:rsid w:val="00C60B2D"/>
    <w:rsid w:val="00C61A56"/>
    <w:rsid w:val="00C6290B"/>
    <w:rsid w:val="00C636DF"/>
    <w:rsid w:val="00C64C7C"/>
    <w:rsid w:val="00C73520"/>
    <w:rsid w:val="00C7583D"/>
    <w:rsid w:val="00C80244"/>
    <w:rsid w:val="00C825B0"/>
    <w:rsid w:val="00C8286E"/>
    <w:rsid w:val="00C8371D"/>
    <w:rsid w:val="00C859C5"/>
    <w:rsid w:val="00C8719F"/>
    <w:rsid w:val="00C90B41"/>
    <w:rsid w:val="00C943EF"/>
    <w:rsid w:val="00C97DF5"/>
    <w:rsid w:val="00CA0372"/>
    <w:rsid w:val="00CA358C"/>
    <w:rsid w:val="00CA5D1F"/>
    <w:rsid w:val="00CA6E28"/>
    <w:rsid w:val="00CB35E7"/>
    <w:rsid w:val="00CB369B"/>
    <w:rsid w:val="00CC0DD6"/>
    <w:rsid w:val="00CE63B8"/>
    <w:rsid w:val="00CE70B9"/>
    <w:rsid w:val="00CF14C9"/>
    <w:rsid w:val="00D044BC"/>
    <w:rsid w:val="00D147F0"/>
    <w:rsid w:val="00D26C33"/>
    <w:rsid w:val="00D30A0F"/>
    <w:rsid w:val="00D41E53"/>
    <w:rsid w:val="00D42741"/>
    <w:rsid w:val="00D469F9"/>
    <w:rsid w:val="00D50A70"/>
    <w:rsid w:val="00D51146"/>
    <w:rsid w:val="00D5476C"/>
    <w:rsid w:val="00D5786B"/>
    <w:rsid w:val="00D60662"/>
    <w:rsid w:val="00D61300"/>
    <w:rsid w:val="00D61F10"/>
    <w:rsid w:val="00D65BE2"/>
    <w:rsid w:val="00D66376"/>
    <w:rsid w:val="00D718DD"/>
    <w:rsid w:val="00D7662A"/>
    <w:rsid w:val="00D926E8"/>
    <w:rsid w:val="00D932D8"/>
    <w:rsid w:val="00D97C49"/>
    <w:rsid w:val="00DA13E2"/>
    <w:rsid w:val="00DA1E40"/>
    <w:rsid w:val="00DA348A"/>
    <w:rsid w:val="00DA5F46"/>
    <w:rsid w:val="00DA66BC"/>
    <w:rsid w:val="00DB4ED6"/>
    <w:rsid w:val="00DB7CB9"/>
    <w:rsid w:val="00DC16FF"/>
    <w:rsid w:val="00DC319C"/>
    <w:rsid w:val="00DC4463"/>
    <w:rsid w:val="00DC6ABC"/>
    <w:rsid w:val="00DD0CC2"/>
    <w:rsid w:val="00DD3489"/>
    <w:rsid w:val="00DD38CD"/>
    <w:rsid w:val="00DD4DDF"/>
    <w:rsid w:val="00DD5588"/>
    <w:rsid w:val="00DD660A"/>
    <w:rsid w:val="00DD7A64"/>
    <w:rsid w:val="00DE0FD2"/>
    <w:rsid w:val="00DE7F03"/>
    <w:rsid w:val="00DF07D2"/>
    <w:rsid w:val="00E04E2C"/>
    <w:rsid w:val="00E12F6C"/>
    <w:rsid w:val="00E14801"/>
    <w:rsid w:val="00E2669D"/>
    <w:rsid w:val="00E36006"/>
    <w:rsid w:val="00E362E5"/>
    <w:rsid w:val="00E41CBF"/>
    <w:rsid w:val="00E43293"/>
    <w:rsid w:val="00E44C9C"/>
    <w:rsid w:val="00E46E4F"/>
    <w:rsid w:val="00E545CD"/>
    <w:rsid w:val="00E54B3B"/>
    <w:rsid w:val="00E550D7"/>
    <w:rsid w:val="00E570B0"/>
    <w:rsid w:val="00E61E65"/>
    <w:rsid w:val="00E62AE0"/>
    <w:rsid w:val="00E662D1"/>
    <w:rsid w:val="00E72450"/>
    <w:rsid w:val="00E80A6E"/>
    <w:rsid w:val="00E8169F"/>
    <w:rsid w:val="00E86B0F"/>
    <w:rsid w:val="00E90164"/>
    <w:rsid w:val="00E9579C"/>
    <w:rsid w:val="00E9617C"/>
    <w:rsid w:val="00E978FE"/>
    <w:rsid w:val="00EA1EFE"/>
    <w:rsid w:val="00EA5109"/>
    <w:rsid w:val="00EA6D75"/>
    <w:rsid w:val="00EA71CC"/>
    <w:rsid w:val="00EA723B"/>
    <w:rsid w:val="00EB0240"/>
    <w:rsid w:val="00EB0E16"/>
    <w:rsid w:val="00EB1433"/>
    <w:rsid w:val="00EB173E"/>
    <w:rsid w:val="00EB27C9"/>
    <w:rsid w:val="00EB5B53"/>
    <w:rsid w:val="00EC07EC"/>
    <w:rsid w:val="00EC16F5"/>
    <w:rsid w:val="00EC4753"/>
    <w:rsid w:val="00EC495C"/>
    <w:rsid w:val="00EC52DC"/>
    <w:rsid w:val="00EC7EA7"/>
    <w:rsid w:val="00ED3BB5"/>
    <w:rsid w:val="00ED4C54"/>
    <w:rsid w:val="00ED5619"/>
    <w:rsid w:val="00EE0C1E"/>
    <w:rsid w:val="00EE2284"/>
    <w:rsid w:val="00EE2630"/>
    <w:rsid w:val="00EE7E4C"/>
    <w:rsid w:val="00EF0705"/>
    <w:rsid w:val="00EF0739"/>
    <w:rsid w:val="00EF2CA7"/>
    <w:rsid w:val="00EF3F76"/>
    <w:rsid w:val="00EF4D64"/>
    <w:rsid w:val="00EF57CF"/>
    <w:rsid w:val="00F04EBE"/>
    <w:rsid w:val="00F057A7"/>
    <w:rsid w:val="00F06AAC"/>
    <w:rsid w:val="00F07E50"/>
    <w:rsid w:val="00F10FB8"/>
    <w:rsid w:val="00F12245"/>
    <w:rsid w:val="00F13712"/>
    <w:rsid w:val="00F14D3F"/>
    <w:rsid w:val="00F15068"/>
    <w:rsid w:val="00F1510F"/>
    <w:rsid w:val="00F1758C"/>
    <w:rsid w:val="00F22601"/>
    <w:rsid w:val="00F23447"/>
    <w:rsid w:val="00F23B3B"/>
    <w:rsid w:val="00F32894"/>
    <w:rsid w:val="00F32958"/>
    <w:rsid w:val="00F34480"/>
    <w:rsid w:val="00F35B11"/>
    <w:rsid w:val="00F36AE3"/>
    <w:rsid w:val="00F41F47"/>
    <w:rsid w:val="00F450B9"/>
    <w:rsid w:val="00F46FF8"/>
    <w:rsid w:val="00F47DF4"/>
    <w:rsid w:val="00F52DBC"/>
    <w:rsid w:val="00F53B70"/>
    <w:rsid w:val="00F70EA4"/>
    <w:rsid w:val="00F7232C"/>
    <w:rsid w:val="00F76284"/>
    <w:rsid w:val="00F76D43"/>
    <w:rsid w:val="00F816EA"/>
    <w:rsid w:val="00F81830"/>
    <w:rsid w:val="00F87CC7"/>
    <w:rsid w:val="00F9086C"/>
    <w:rsid w:val="00F94889"/>
    <w:rsid w:val="00F96962"/>
    <w:rsid w:val="00F975CD"/>
    <w:rsid w:val="00F97DDB"/>
    <w:rsid w:val="00FA3F80"/>
    <w:rsid w:val="00FB2636"/>
    <w:rsid w:val="00FB51D9"/>
    <w:rsid w:val="00FB7B30"/>
    <w:rsid w:val="00FC466E"/>
    <w:rsid w:val="00FD25E5"/>
    <w:rsid w:val="00FD5049"/>
    <w:rsid w:val="00FD5589"/>
    <w:rsid w:val="00FD6B9F"/>
    <w:rsid w:val="00FE71F6"/>
    <w:rsid w:val="00FE773E"/>
    <w:rsid w:val="00FF1B71"/>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F03"/>
    <w:pPr>
      <w:spacing w:after="200" w:line="276" w:lineRule="auto"/>
    </w:pPr>
    <w:rPr>
      <w:rFonts w:ascii="Trebuchet MS" w:eastAsia="Calibri" w:hAnsi="Trebuchet MS" w:cs="Times New Roman"/>
      <w:sz w:val="20"/>
      <w:lang w:val="es-ES_tradnl"/>
    </w:rPr>
  </w:style>
  <w:style w:type="paragraph" w:styleId="Heading1">
    <w:name w:val="heading 1"/>
    <w:basedOn w:val="Normal"/>
    <w:next w:val="Normal"/>
    <w:link w:val="Heading1Char"/>
    <w:uiPriority w:val="9"/>
    <w:unhideWhenUsed/>
    <w:qFormat/>
    <w:rsid w:val="00263B4B"/>
    <w:pPr>
      <w:numPr>
        <w:numId w:val="22"/>
      </w:numPr>
      <w:spacing w:before="360" w:after="40"/>
      <w:outlineLvl w:val="0"/>
    </w:pPr>
    <w:rPr>
      <w:rFonts w:ascii="Cambria" w:eastAsia="Times New Roman" w:hAnsi="Cambria"/>
      <w:smallCaps/>
      <w:color w:val="17365D"/>
      <w:spacing w:val="5"/>
      <w:sz w:val="32"/>
      <w:szCs w:val="32"/>
      <w:lang w:val="es-ES"/>
    </w:rPr>
  </w:style>
  <w:style w:type="paragraph" w:styleId="Heading2">
    <w:name w:val="heading 2"/>
    <w:basedOn w:val="Normal"/>
    <w:next w:val="Normal"/>
    <w:link w:val="Heading2Char"/>
    <w:autoRedefine/>
    <w:uiPriority w:val="9"/>
    <w:unhideWhenUsed/>
    <w:qFormat/>
    <w:rsid w:val="00263B4B"/>
    <w:pPr>
      <w:numPr>
        <w:ilvl w:val="1"/>
        <w:numId w:val="22"/>
      </w:numPr>
      <w:spacing w:after="0" w:line="240" w:lineRule="auto"/>
      <w:jc w:val="both"/>
      <w:outlineLvl w:val="1"/>
    </w:pPr>
    <w:rPr>
      <w:rFonts w:eastAsia="Times New Roman" w:cs="Tahoma"/>
      <w:b/>
      <w:sz w:val="24"/>
      <w:szCs w:val="28"/>
      <w:lang w:val="es-ES"/>
    </w:rPr>
  </w:style>
  <w:style w:type="paragraph" w:styleId="Heading3">
    <w:name w:val="heading 3"/>
    <w:basedOn w:val="Normal"/>
    <w:next w:val="Normal"/>
    <w:link w:val="Heading3Char"/>
    <w:uiPriority w:val="9"/>
    <w:unhideWhenUsed/>
    <w:qFormat/>
    <w:rsid w:val="00263B4B"/>
    <w:pPr>
      <w:numPr>
        <w:ilvl w:val="2"/>
        <w:numId w:val="22"/>
      </w:numPr>
      <w:spacing w:after="0"/>
      <w:outlineLvl w:val="2"/>
    </w:pPr>
    <w:rPr>
      <w:rFonts w:ascii="Cambria" w:eastAsia="Times New Roman" w:hAnsi="Cambria"/>
      <w:color w:val="17365D"/>
      <w:spacing w:val="5"/>
      <w:sz w:val="24"/>
      <w:szCs w:val="24"/>
      <w:lang w:val="es-ES"/>
    </w:rPr>
  </w:style>
  <w:style w:type="paragraph" w:styleId="Heading4">
    <w:name w:val="heading 4"/>
    <w:basedOn w:val="Normal"/>
    <w:next w:val="Normal"/>
    <w:link w:val="Heading4Char"/>
    <w:uiPriority w:val="9"/>
    <w:semiHidden/>
    <w:unhideWhenUsed/>
    <w:qFormat/>
    <w:rsid w:val="00263B4B"/>
    <w:pPr>
      <w:numPr>
        <w:ilvl w:val="3"/>
        <w:numId w:val="22"/>
      </w:numPr>
      <w:spacing w:after="0"/>
      <w:outlineLvl w:val="3"/>
    </w:pPr>
    <w:rPr>
      <w:rFonts w:ascii="Cambria" w:eastAsia="Times New Roman" w:hAnsi="Cambria"/>
      <w:color w:val="365F91"/>
      <w:sz w:val="22"/>
      <w:lang w:val="es-ES"/>
    </w:rPr>
  </w:style>
  <w:style w:type="paragraph" w:styleId="Heading5">
    <w:name w:val="heading 5"/>
    <w:basedOn w:val="Normal"/>
    <w:next w:val="Normal"/>
    <w:link w:val="Heading5Char"/>
    <w:uiPriority w:val="9"/>
    <w:semiHidden/>
    <w:unhideWhenUsed/>
    <w:qFormat/>
    <w:rsid w:val="00263B4B"/>
    <w:pPr>
      <w:numPr>
        <w:ilvl w:val="4"/>
        <w:numId w:val="22"/>
      </w:numPr>
      <w:spacing w:after="0"/>
      <w:outlineLvl w:val="4"/>
    </w:pPr>
    <w:rPr>
      <w:rFonts w:ascii="Calibri" w:eastAsia="Times New Roman" w:hAnsi="Calibri"/>
      <w:i/>
      <w:iCs/>
      <w:color w:val="365F91"/>
      <w:sz w:val="22"/>
      <w:lang w:val="es-ES"/>
    </w:rPr>
  </w:style>
  <w:style w:type="paragraph" w:styleId="Heading6">
    <w:name w:val="heading 6"/>
    <w:basedOn w:val="Normal"/>
    <w:next w:val="Normal"/>
    <w:link w:val="Heading6Char"/>
    <w:uiPriority w:val="9"/>
    <w:semiHidden/>
    <w:unhideWhenUsed/>
    <w:qFormat/>
    <w:rsid w:val="00263B4B"/>
    <w:pPr>
      <w:numPr>
        <w:ilvl w:val="5"/>
        <w:numId w:val="22"/>
      </w:numPr>
      <w:spacing w:after="0"/>
      <w:outlineLvl w:val="5"/>
    </w:pPr>
    <w:rPr>
      <w:rFonts w:ascii="Calibri" w:eastAsia="Times New Roman" w:hAnsi="Calibri"/>
      <w:b/>
      <w:bCs/>
      <w:color w:val="365F91"/>
      <w:szCs w:val="20"/>
      <w:lang w:val="es-ES"/>
    </w:rPr>
  </w:style>
  <w:style w:type="paragraph" w:styleId="Heading7">
    <w:name w:val="heading 7"/>
    <w:basedOn w:val="Normal"/>
    <w:next w:val="Normal"/>
    <w:link w:val="Heading7Char"/>
    <w:uiPriority w:val="9"/>
    <w:semiHidden/>
    <w:unhideWhenUsed/>
    <w:qFormat/>
    <w:rsid w:val="00263B4B"/>
    <w:pPr>
      <w:numPr>
        <w:ilvl w:val="6"/>
        <w:numId w:val="22"/>
      </w:numPr>
      <w:spacing w:after="0"/>
      <w:outlineLvl w:val="6"/>
    </w:pPr>
    <w:rPr>
      <w:rFonts w:ascii="Calibri" w:eastAsia="Times New Roman" w:hAnsi="Calibri"/>
      <w:b/>
      <w:bCs/>
      <w:i/>
      <w:iCs/>
      <w:color w:val="365F91"/>
      <w:szCs w:val="20"/>
      <w:lang w:val="es-ES"/>
    </w:rPr>
  </w:style>
  <w:style w:type="paragraph" w:styleId="Heading8">
    <w:name w:val="heading 8"/>
    <w:basedOn w:val="Normal"/>
    <w:next w:val="Normal"/>
    <w:link w:val="Heading8Char"/>
    <w:uiPriority w:val="9"/>
    <w:semiHidden/>
    <w:unhideWhenUsed/>
    <w:qFormat/>
    <w:rsid w:val="00263B4B"/>
    <w:pPr>
      <w:numPr>
        <w:ilvl w:val="7"/>
        <w:numId w:val="22"/>
      </w:numPr>
      <w:spacing w:after="0"/>
      <w:outlineLvl w:val="7"/>
    </w:pPr>
    <w:rPr>
      <w:rFonts w:ascii="Calibri" w:eastAsia="Times New Roman" w:hAnsi="Calibri"/>
      <w:b/>
      <w:bCs/>
      <w:color w:val="943634"/>
      <w:szCs w:val="20"/>
      <w:lang w:val="es-ES"/>
    </w:rPr>
  </w:style>
  <w:style w:type="paragraph" w:styleId="Heading9">
    <w:name w:val="heading 9"/>
    <w:basedOn w:val="Normal"/>
    <w:next w:val="Normal"/>
    <w:link w:val="Heading9Char"/>
    <w:uiPriority w:val="9"/>
    <w:semiHidden/>
    <w:unhideWhenUsed/>
    <w:qFormat/>
    <w:rsid w:val="00263B4B"/>
    <w:pPr>
      <w:numPr>
        <w:ilvl w:val="8"/>
        <w:numId w:val="22"/>
      </w:numPr>
      <w:spacing w:after="0"/>
      <w:outlineLvl w:val="8"/>
    </w:pPr>
    <w:rPr>
      <w:rFonts w:ascii="Calibri" w:eastAsia="Times New Roman" w:hAnsi="Calibri"/>
      <w:b/>
      <w:bCs/>
      <w:i/>
      <w:iCs/>
      <w:color w:val="943634"/>
      <w:sz w:val="18"/>
      <w:szCs w:val="18"/>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7F03"/>
    <w:pPr>
      <w:tabs>
        <w:tab w:val="center" w:pos="4419"/>
        <w:tab w:val="right" w:pos="8838"/>
      </w:tabs>
      <w:spacing w:after="0" w:line="240" w:lineRule="auto"/>
    </w:pPr>
  </w:style>
  <w:style w:type="character" w:customStyle="1" w:styleId="HeaderChar">
    <w:name w:val="Header Char"/>
    <w:basedOn w:val="DefaultParagraphFont"/>
    <w:link w:val="Header"/>
    <w:uiPriority w:val="99"/>
    <w:rsid w:val="00DE7F03"/>
    <w:rPr>
      <w:rFonts w:ascii="Trebuchet MS" w:eastAsia="Calibri" w:hAnsi="Trebuchet MS" w:cs="Times New Roman"/>
      <w:sz w:val="20"/>
    </w:rPr>
  </w:style>
  <w:style w:type="paragraph" w:styleId="ListParagraph">
    <w:name w:val="List Paragraph"/>
    <w:basedOn w:val="Normal"/>
    <w:link w:val="ListParagraphChar"/>
    <w:uiPriority w:val="34"/>
    <w:qFormat/>
    <w:rsid w:val="00DE7F03"/>
    <w:pPr>
      <w:ind w:left="720"/>
      <w:contextualSpacing/>
    </w:pPr>
  </w:style>
  <w:style w:type="paragraph" w:styleId="FootnoteText">
    <w:name w:val="footnote text"/>
    <w:aliases w:val="Footnote Text Char Char Char Char Char,Footnote Text Char Char Char Char,Ref. de nota al pie1,FA Fu,Footnote Text Char Char Char,Footnote Text Char,Footnote Text Char Char Char Char Char Char Char Char,Footnote referenc,Footnote reference"/>
    <w:basedOn w:val="Normal"/>
    <w:link w:val="FootnoteTextChar1"/>
    <w:uiPriority w:val="99"/>
    <w:unhideWhenUsed/>
    <w:qFormat/>
    <w:rsid w:val="0059615A"/>
    <w:pPr>
      <w:spacing w:after="0" w:line="240" w:lineRule="auto"/>
    </w:pPr>
    <w:rPr>
      <w:szCs w:val="20"/>
    </w:rPr>
  </w:style>
  <w:style w:type="character" w:customStyle="1" w:styleId="FootnoteTextChar1">
    <w:name w:val="Footnote Text Char1"/>
    <w:aliases w:val="Footnote Text Char Char Char Char Char Char,Footnote Text Char Char Char Char Char1,Ref. de nota al pie1 Char,FA Fu Char,Footnote Text Char Char Char Char1,Footnote Text Char Char,Footnote referenc Char,Footnote reference Char"/>
    <w:basedOn w:val="DefaultParagraphFont"/>
    <w:link w:val="FootnoteText"/>
    <w:uiPriority w:val="99"/>
    <w:rsid w:val="0059615A"/>
    <w:rPr>
      <w:rFonts w:ascii="Trebuchet MS" w:eastAsia="Calibri" w:hAnsi="Trebuchet MS" w:cs="Times New Roman"/>
      <w:sz w:val="20"/>
      <w:szCs w:val="20"/>
    </w:rPr>
  </w:style>
  <w:style w:type="character" w:styleId="FootnoteReference">
    <w:name w:val="footnote reference"/>
    <w:aliases w:val="Texto de nota al pie,referencia nota al pie,Footnotes refss,Appel note de bas de page,Footnote number,BVI fnr,4_G,16 Point,Superscript 6 Point,Texto nota al pie,Footnote Reference Char3,Footnote Reference Char1 Char,Ref. de nota al,R"/>
    <w:basedOn w:val="DefaultParagraphFont"/>
    <w:uiPriority w:val="99"/>
    <w:unhideWhenUsed/>
    <w:rsid w:val="0059615A"/>
    <w:rPr>
      <w:vertAlign w:val="superscript"/>
    </w:rPr>
  </w:style>
  <w:style w:type="character" w:customStyle="1" w:styleId="apple-converted-space">
    <w:name w:val="apple-converted-space"/>
    <w:basedOn w:val="DefaultParagraphFont"/>
    <w:rsid w:val="00096D5F"/>
  </w:style>
  <w:style w:type="paragraph" w:customStyle="1" w:styleId="cuerpo">
    <w:name w:val="cuerpo"/>
    <w:basedOn w:val="Normal"/>
    <w:rsid w:val="00507A30"/>
    <w:pPr>
      <w:spacing w:before="100" w:beforeAutospacing="1" w:after="100" w:afterAutospacing="1" w:line="240" w:lineRule="auto"/>
    </w:pPr>
    <w:rPr>
      <w:rFonts w:ascii="Times New Roman" w:eastAsia="Times New Roman" w:hAnsi="Times New Roman"/>
      <w:sz w:val="24"/>
      <w:szCs w:val="24"/>
      <w:lang w:val="es-ES" w:eastAsia="es-ES"/>
    </w:rPr>
  </w:style>
  <w:style w:type="character" w:customStyle="1" w:styleId="ttulo1car">
    <w:name w:val="ttulo1car"/>
    <w:basedOn w:val="DefaultParagraphFont"/>
    <w:rsid w:val="00507A30"/>
  </w:style>
  <w:style w:type="paragraph" w:styleId="NormalWeb">
    <w:name w:val="Normal (Web)"/>
    <w:basedOn w:val="Normal"/>
    <w:uiPriority w:val="99"/>
    <w:unhideWhenUsed/>
    <w:rsid w:val="00EB0E16"/>
    <w:pPr>
      <w:spacing w:before="100" w:beforeAutospacing="1" w:after="100" w:afterAutospacing="1" w:line="240" w:lineRule="auto"/>
    </w:pPr>
    <w:rPr>
      <w:rFonts w:ascii="Times New Roman" w:eastAsia="Times New Roman" w:hAnsi="Times New Roman"/>
      <w:sz w:val="24"/>
      <w:szCs w:val="24"/>
      <w:lang w:val="es-ES" w:eastAsia="es-ES"/>
    </w:rPr>
  </w:style>
  <w:style w:type="paragraph" w:styleId="BalloonText">
    <w:name w:val="Balloon Text"/>
    <w:basedOn w:val="Normal"/>
    <w:link w:val="BalloonTextChar"/>
    <w:uiPriority w:val="99"/>
    <w:semiHidden/>
    <w:unhideWhenUsed/>
    <w:rsid w:val="000619F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19F2"/>
    <w:rPr>
      <w:rFonts w:ascii="Lucida Grande" w:eastAsia="Calibri" w:hAnsi="Lucida Grande" w:cs="Lucida Grande"/>
      <w:sz w:val="18"/>
      <w:szCs w:val="18"/>
      <w:lang w:val="es-ES_tradnl"/>
    </w:rPr>
  </w:style>
  <w:style w:type="character" w:styleId="CommentReference">
    <w:name w:val="annotation reference"/>
    <w:basedOn w:val="DefaultParagraphFont"/>
    <w:uiPriority w:val="99"/>
    <w:semiHidden/>
    <w:unhideWhenUsed/>
    <w:rsid w:val="000619F2"/>
    <w:rPr>
      <w:sz w:val="18"/>
      <w:szCs w:val="18"/>
    </w:rPr>
  </w:style>
  <w:style w:type="paragraph" w:styleId="CommentText">
    <w:name w:val="annotation text"/>
    <w:basedOn w:val="Normal"/>
    <w:link w:val="CommentTextChar"/>
    <w:uiPriority w:val="99"/>
    <w:semiHidden/>
    <w:unhideWhenUsed/>
    <w:rsid w:val="000619F2"/>
    <w:pPr>
      <w:spacing w:line="240" w:lineRule="auto"/>
    </w:pPr>
    <w:rPr>
      <w:sz w:val="24"/>
      <w:szCs w:val="24"/>
    </w:rPr>
  </w:style>
  <w:style w:type="character" w:customStyle="1" w:styleId="CommentTextChar">
    <w:name w:val="Comment Text Char"/>
    <w:basedOn w:val="DefaultParagraphFont"/>
    <w:link w:val="CommentText"/>
    <w:uiPriority w:val="99"/>
    <w:semiHidden/>
    <w:rsid w:val="000619F2"/>
    <w:rPr>
      <w:rFonts w:ascii="Trebuchet MS" w:eastAsia="Calibri" w:hAnsi="Trebuchet MS" w:cs="Times New Roman"/>
      <w:sz w:val="24"/>
      <w:szCs w:val="24"/>
      <w:lang w:val="es-ES_tradnl"/>
    </w:rPr>
  </w:style>
  <w:style w:type="paragraph" w:styleId="CommentSubject">
    <w:name w:val="annotation subject"/>
    <w:basedOn w:val="CommentText"/>
    <w:next w:val="CommentText"/>
    <w:link w:val="CommentSubjectChar"/>
    <w:uiPriority w:val="99"/>
    <w:semiHidden/>
    <w:unhideWhenUsed/>
    <w:rsid w:val="000619F2"/>
    <w:rPr>
      <w:b/>
      <w:bCs/>
      <w:sz w:val="20"/>
      <w:szCs w:val="20"/>
    </w:rPr>
  </w:style>
  <w:style w:type="character" w:customStyle="1" w:styleId="CommentSubjectChar">
    <w:name w:val="Comment Subject Char"/>
    <w:basedOn w:val="CommentTextChar"/>
    <w:link w:val="CommentSubject"/>
    <w:uiPriority w:val="99"/>
    <w:semiHidden/>
    <w:rsid w:val="000619F2"/>
    <w:rPr>
      <w:rFonts w:ascii="Trebuchet MS" w:eastAsia="Calibri" w:hAnsi="Trebuchet MS" w:cs="Times New Roman"/>
      <w:b/>
      <w:bCs/>
      <w:sz w:val="20"/>
      <w:szCs w:val="20"/>
      <w:lang w:val="es-ES_tradnl"/>
    </w:rPr>
  </w:style>
  <w:style w:type="paragraph" w:styleId="Footer">
    <w:name w:val="footer"/>
    <w:basedOn w:val="Normal"/>
    <w:link w:val="FooterChar"/>
    <w:uiPriority w:val="99"/>
    <w:unhideWhenUsed/>
    <w:rsid w:val="00BB3CFD"/>
    <w:pPr>
      <w:tabs>
        <w:tab w:val="center" w:pos="4252"/>
        <w:tab w:val="right" w:pos="8504"/>
      </w:tabs>
      <w:spacing w:after="0" w:line="240" w:lineRule="auto"/>
    </w:pPr>
  </w:style>
  <w:style w:type="character" w:customStyle="1" w:styleId="FooterChar">
    <w:name w:val="Footer Char"/>
    <w:basedOn w:val="DefaultParagraphFont"/>
    <w:link w:val="Footer"/>
    <w:uiPriority w:val="99"/>
    <w:rsid w:val="00BB3CFD"/>
    <w:rPr>
      <w:rFonts w:ascii="Trebuchet MS" w:eastAsia="Calibri" w:hAnsi="Trebuchet MS" w:cs="Times New Roman"/>
      <w:sz w:val="20"/>
      <w:lang w:val="es-ES_tradnl"/>
    </w:rPr>
  </w:style>
  <w:style w:type="table" w:styleId="TableGrid">
    <w:name w:val="Table Grid"/>
    <w:basedOn w:val="TableNormal"/>
    <w:uiPriority w:val="39"/>
    <w:rsid w:val="007857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7DF4"/>
    <w:pPr>
      <w:autoSpaceDE w:val="0"/>
      <w:autoSpaceDN w:val="0"/>
      <w:adjustRightInd w:val="0"/>
      <w:spacing w:after="0" w:line="240" w:lineRule="auto"/>
    </w:pPr>
    <w:rPr>
      <w:rFonts w:ascii="Trebuchet MS" w:hAnsi="Trebuchet MS" w:cs="Trebuchet MS"/>
      <w:color w:val="000000"/>
      <w:sz w:val="24"/>
      <w:szCs w:val="24"/>
    </w:rPr>
  </w:style>
  <w:style w:type="character" w:styleId="Emphasis">
    <w:name w:val="Emphasis"/>
    <w:basedOn w:val="DefaultParagraphFont"/>
    <w:uiPriority w:val="20"/>
    <w:qFormat/>
    <w:rsid w:val="00F47DF4"/>
    <w:rPr>
      <w:i/>
      <w:iCs/>
    </w:rPr>
  </w:style>
  <w:style w:type="character" w:styleId="Hyperlink">
    <w:name w:val="Hyperlink"/>
    <w:basedOn w:val="DefaultParagraphFont"/>
    <w:uiPriority w:val="99"/>
    <w:unhideWhenUsed/>
    <w:rsid w:val="00F47DF4"/>
    <w:rPr>
      <w:color w:val="0563C1" w:themeColor="hyperlink"/>
      <w:u w:val="single"/>
    </w:rPr>
  </w:style>
  <w:style w:type="character" w:styleId="Strong">
    <w:name w:val="Strong"/>
    <w:basedOn w:val="DefaultParagraphFont"/>
    <w:uiPriority w:val="22"/>
    <w:qFormat/>
    <w:rsid w:val="00341753"/>
    <w:rPr>
      <w:b/>
      <w:bCs/>
    </w:rPr>
  </w:style>
  <w:style w:type="paragraph" w:customStyle="1" w:styleId="cita">
    <w:name w:val="cita"/>
    <w:basedOn w:val="Normal"/>
    <w:link w:val="citaCar"/>
    <w:qFormat/>
    <w:rsid w:val="007006B5"/>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citaCar">
    <w:name w:val="cita Car"/>
    <w:link w:val="cita"/>
    <w:locked/>
    <w:rsid w:val="00910EC6"/>
    <w:rPr>
      <w:rFonts w:ascii="Times New Roman" w:eastAsia="Times New Roman" w:hAnsi="Times New Roman" w:cs="Times New Roman"/>
      <w:sz w:val="24"/>
      <w:szCs w:val="24"/>
      <w:lang w:eastAsia="es-CO"/>
    </w:rPr>
  </w:style>
  <w:style w:type="paragraph" w:customStyle="1" w:styleId="xmsonormal">
    <w:name w:val="x_msonormal"/>
    <w:basedOn w:val="Normal"/>
    <w:rsid w:val="00A7731D"/>
    <w:pPr>
      <w:spacing w:before="100" w:beforeAutospacing="1" w:after="100" w:afterAutospacing="1" w:line="240" w:lineRule="auto"/>
    </w:pPr>
    <w:rPr>
      <w:rFonts w:ascii="Times New Roman" w:eastAsia="Times New Roman" w:hAnsi="Times New Roman"/>
      <w:sz w:val="24"/>
      <w:szCs w:val="24"/>
      <w:lang w:val="es-CO" w:eastAsia="es-CO"/>
    </w:rPr>
  </w:style>
  <w:style w:type="paragraph" w:customStyle="1" w:styleId="xmsolistparagraph">
    <w:name w:val="x_msolistparagraph"/>
    <w:basedOn w:val="Normal"/>
    <w:rsid w:val="00A7731D"/>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Listavistosa-nfasis1Car">
    <w:name w:val="Lista vistosa - Énfasis 1 Car"/>
    <w:link w:val="ColorfulList-Accent1"/>
    <w:uiPriority w:val="34"/>
    <w:locked/>
    <w:rsid w:val="00A7731D"/>
    <w:rPr>
      <w:rFonts w:ascii="Times New Roman" w:eastAsia="Times New Roman" w:hAnsi="Times New Roman"/>
      <w:sz w:val="24"/>
      <w:szCs w:val="24"/>
    </w:rPr>
  </w:style>
  <w:style w:type="table" w:styleId="ColorfulList-Accent1">
    <w:name w:val="Colorful List Accent 1"/>
    <w:basedOn w:val="TableNormal"/>
    <w:link w:val="Listavistosa-nfasis1Car"/>
    <w:uiPriority w:val="34"/>
    <w:semiHidden/>
    <w:unhideWhenUsed/>
    <w:rsid w:val="00A7731D"/>
    <w:pPr>
      <w:spacing w:after="0" w:line="240" w:lineRule="auto"/>
    </w:pPr>
    <w:rPr>
      <w:rFonts w:ascii="Times New Roman" w:eastAsia="Times New Roman" w:hAnsi="Times New Roman"/>
      <w:sz w:val="24"/>
      <w:szCs w:val="24"/>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character" w:customStyle="1" w:styleId="Heading1Char">
    <w:name w:val="Heading 1 Char"/>
    <w:basedOn w:val="DefaultParagraphFont"/>
    <w:link w:val="Heading1"/>
    <w:uiPriority w:val="9"/>
    <w:rsid w:val="00263B4B"/>
    <w:rPr>
      <w:rFonts w:ascii="Cambria" w:eastAsia="Times New Roman" w:hAnsi="Cambria" w:cs="Times New Roman"/>
      <w:smallCaps/>
      <w:color w:val="17365D"/>
      <w:spacing w:val="5"/>
      <w:sz w:val="32"/>
      <w:szCs w:val="32"/>
      <w:lang w:val="es-ES"/>
    </w:rPr>
  </w:style>
  <w:style w:type="character" w:customStyle="1" w:styleId="Heading2Char">
    <w:name w:val="Heading 2 Char"/>
    <w:basedOn w:val="DefaultParagraphFont"/>
    <w:link w:val="Heading2"/>
    <w:uiPriority w:val="9"/>
    <w:rsid w:val="00263B4B"/>
    <w:rPr>
      <w:rFonts w:ascii="Trebuchet MS" w:eastAsia="Times New Roman" w:hAnsi="Trebuchet MS" w:cs="Tahoma"/>
      <w:b/>
      <w:sz w:val="24"/>
      <w:szCs w:val="28"/>
      <w:lang w:val="es-ES"/>
    </w:rPr>
  </w:style>
  <w:style w:type="character" w:customStyle="1" w:styleId="Heading3Char">
    <w:name w:val="Heading 3 Char"/>
    <w:basedOn w:val="DefaultParagraphFont"/>
    <w:link w:val="Heading3"/>
    <w:uiPriority w:val="9"/>
    <w:rsid w:val="00263B4B"/>
    <w:rPr>
      <w:rFonts w:ascii="Cambria" w:eastAsia="Times New Roman" w:hAnsi="Cambria" w:cs="Times New Roman"/>
      <w:color w:val="17365D"/>
      <w:spacing w:val="5"/>
      <w:sz w:val="24"/>
      <w:szCs w:val="24"/>
      <w:lang w:val="es-ES"/>
    </w:rPr>
  </w:style>
  <w:style w:type="character" w:customStyle="1" w:styleId="Heading4Char">
    <w:name w:val="Heading 4 Char"/>
    <w:basedOn w:val="DefaultParagraphFont"/>
    <w:link w:val="Heading4"/>
    <w:uiPriority w:val="9"/>
    <w:semiHidden/>
    <w:rsid w:val="00263B4B"/>
    <w:rPr>
      <w:rFonts w:ascii="Cambria" w:eastAsia="Times New Roman" w:hAnsi="Cambria" w:cs="Times New Roman"/>
      <w:color w:val="365F91"/>
      <w:lang w:val="es-ES"/>
    </w:rPr>
  </w:style>
  <w:style w:type="character" w:customStyle="1" w:styleId="Heading5Char">
    <w:name w:val="Heading 5 Char"/>
    <w:basedOn w:val="DefaultParagraphFont"/>
    <w:link w:val="Heading5"/>
    <w:uiPriority w:val="9"/>
    <w:semiHidden/>
    <w:rsid w:val="00263B4B"/>
    <w:rPr>
      <w:rFonts w:ascii="Calibri" w:eastAsia="Times New Roman" w:hAnsi="Calibri" w:cs="Times New Roman"/>
      <w:i/>
      <w:iCs/>
      <w:color w:val="365F91"/>
      <w:lang w:val="es-ES"/>
    </w:rPr>
  </w:style>
  <w:style w:type="character" w:customStyle="1" w:styleId="Heading6Char">
    <w:name w:val="Heading 6 Char"/>
    <w:basedOn w:val="DefaultParagraphFont"/>
    <w:link w:val="Heading6"/>
    <w:uiPriority w:val="9"/>
    <w:semiHidden/>
    <w:rsid w:val="00263B4B"/>
    <w:rPr>
      <w:rFonts w:ascii="Calibri" w:eastAsia="Times New Roman" w:hAnsi="Calibri" w:cs="Times New Roman"/>
      <w:b/>
      <w:bCs/>
      <w:color w:val="365F91"/>
      <w:sz w:val="20"/>
      <w:szCs w:val="20"/>
      <w:lang w:val="es-ES"/>
    </w:rPr>
  </w:style>
  <w:style w:type="character" w:customStyle="1" w:styleId="Heading7Char">
    <w:name w:val="Heading 7 Char"/>
    <w:basedOn w:val="DefaultParagraphFont"/>
    <w:link w:val="Heading7"/>
    <w:uiPriority w:val="9"/>
    <w:semiHidden/>
    <w:rsid w:val="00263B4B"/>
    <w:rPr>
      <w:rFonts w:ascii="Calibri" w:eastAsia="Times New Roman" w:hAnsi="Calibri" w:cs="Times New Roman"/>
      <w:b/>
      <w:bCs/>
      <w:i/>
      <w:iCs/>
      <w:color w:val="365F91"/>
      <w:sz w:val="20"/>
      <w:szCs w:val="20"/>
      <w:lang w:val="es-ES"/>
    </w:rPr>
  </w:style>
  <w:style w:type="character" w:customStyle="1" w:styleId="Heading8Char">
    <w:name w:val="Heading 8 Char"/>
    <w:basedOn w:val="DefaultParagraphFont"/>
    <w:link w:val="Heading8"/>
    <w:uiPriority w:val="9"/>
    <w:semiHidden/>
    <w:rsid w:val="00263B4B"/>
    <w:rPr>
      <w:rFonts w:ascii="Calibri" w:eastAsia="Times New Roman" w:hAnsi="Calibri" w:cs="Times New Roman"/>
      <w:b/>
      <w:bCs/>
      <w:color w:val="943634"/>
      <w:sz w:val="20"/>
      <w:szCs w:val="20"/>
      <w:lang w:val="es-ES"/>
    </w:rPr>
  </w:style>
  <w:style w:type="character" w:customStyle="1" w:styleId="Heading9Char">
    <w:name w:val="Heading 9 Char"/>
    <w:basedOn w:val="DefaultParagraphFont"/>
    <w:link w:val="Heading9"/>
    <w:uiPriority w:val="9"/>
    <w:semiHidden/>
    <w:rsid w:val="00263B4B"/>
    <w:rPr>
      <w:rFonts w:ascii="Calibri" w:eastAsia="Times New Roman" w:hAnsi="Calibri" w:cs="Times New Roman"/>
      <w:b/>
      <w:bCs/>
      <w:i/>
      <w:iCs/>
      <w:color w:val="943634"/>
      <w:sz w:val="18"/>
      <w:szCs w:val="18"/>
      <w:lang w:val="es-ES"/>
    </w:rPr>
  </w:style>
  <w:style w:type="character" w:styleId="IntenseEmphasis">
    <w:name w:val="Intense Emphasis"/>
    <w:uiPriority w:val="21"/>
    <w:qFormat/>
    <w:rsid w:val="00263B4B"/>
    <w:rPr>
      <w:b/>
      <w:bCs/>
      <w:i/>
      <w:iCs/>
      <w:color w:val="4F81BD"/>
    </w:rPr>
  </w:style>
  <w:style w:type="character" w:customStyle="1" w:styleId="ListParagraphChar">
    <w:name w:val="List Paragraph Char"/>
    <w:link w:val="ListParagraph"/>
    <w:uiPriority w:val="34"/>
    <w:locked/>
    <w:rsid w:val="00263B4B"/>
    <w:rPr>
      <w:rFonts w:ascii="Trebuchet MS" w:eastAsia="Calibri" w:hAnsi="Trebuchet MS" w:cs="Times New Roman"/>
      <w:sz w:val="20"/>
      <w:lang w:val="es-ES_tradnl"/>
    </w:rPr>
  </w:style>
  <w:style w:type="table" w:styleId="LightShading">
    <w:name w:val="Light Shading"/>
    <w:basedOn w:val="TableNormal"/>
    <w:uiPriority w:val="60"/>
    <w:rsid w:val="00F1224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
    <w:name w:val="Light Grid"/>
    <w:basedOn w:val="TableNormal"/>
    <w:uiPriority w:val="62"/>
    <w:rsid w:val="00F1224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EndnoteText">
    <w:name w:val="endnote text"/>
    <w:basedOn w:val="Normal"/>
    <w:link w:val="EndnoteTextChar"/>
    <w:uiPriority w:val="99"/>
    <w:semiHidden/>
    <w:unhideWhenUsed/>
    <w:rsid w:val="0056579D"/>
    <w:pPr>
      <w:spacing w:after="0" w:line="240" w:lineRule="auto"/>
    </w:pPr>
    <w:rPr>
      <w:szCs w:val="20"/>
    </w:rPr>
  </w:style>
  <w:style w:type="character" w:customStyle="1" w:styleId="EndnoteTextChar">
    <w:name w:val="Endnote Text Char"/>
    <w:basedOn w:val="DefaultParagraphFont"/>
    <w:link w:val="EndnoteText"/>
    <w:uiPriority w:val="99"/>
    <w:semiHidden/>
    <w:rsid w:val="0056579D"/>
    <w:rPr>
      <w:rFonts w:ascii="Trebuchet MS" w:eastAsia="Calibri" w:hAnsi="Trebuchet MS" w:cs="Times New Roman"/>
      <w:sz w:val="20"/>
      <w:szCs w:val="20"/>
      <w:lang w:val="es-ES_tradnl"/>
    </w:rPr>
  </w:style>
  <w:style w:type="character" w:styleId="EndnoteReference">
    <w:name w:val="endnote reference"/>
    <w:basedOn w:val="DefaultParagraphFont"/>
    <w:uiPriority w:val="99"/>
    <w:semiHidden/>
    <w:unhideWhenUsed/>
    <w:rsid w:val="0056579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F03"/>
    <w:pPr>
      <w:spacing w:after="200" w:line="276" w:lineRule="auto"/>
    </w:pPr>
    <w:rPr>
      <w:rFonts w:ascii="Trebuchet MS" w:eastAsia="Calibri" w:hAnsi="Trebuchet MS" w:cs="Times New Roman"/>
      <w:sz w:val="20"/>
      <w:lang w:val="es-ES_tradnl"/>
    </w:rPr>
  </w:style>
  <w:style w:type="paragraph" w:styleId="Heading1">
    <w:name w:val="heading 1"/>
    <w:basedOn w:val="Normal"/>
    <w:next w:val="Normal"/>
    <w:link w:val="Heading1Char"/>
    <w:uiPriority w:val="9"/>
    <w:unhideWhenUsed/>
    <w:qFormat/>
    <w:rsid w:val="00263B4B"/>
    <w:pPr>
      <w:numPr>
        <w:numId w:val="22"/>
      </w:numPr>
      <w:spacing w:before="360" w:after="40"/>
      <w:outlineLvl w:val="0"/>
    </w:pPr>
    <w:rPr>
      <w:rFonts w:ascii="Cambria" w:eastAsia="Times New Roman" w:hAnsi="Cambria"/>
      <w:smallCaps/>
      <w:color w:val="17365D"/>
      <w:spacing w:val="5"/>
      <w:sz w:val="32"/>
      <w:szCs w:val="32"/>
      <w:lang w:val="es-ES"/>
    </w:rPr>
  </w:style>
  <w:style w:type="paragraph" w:styleId="Heading2">
    <w:name w:val="heading 2"/>
    <w:basedOn w:val="Normal"/>
    <w:next w:val="Normal"/>
    <w:link w:val="Heading2Char"/>
    <w:autoRedefine/>
    <w:uiPriority w:val="9"/>
    <w:unhideWhenUsed/>
    <w:qFormat/>
    <w:rsid w:val="00263B4B"/>
    <w:pPr>
      <w:numPr>
        <w:ilvl w:val="1"/>
        <w:numId w:val="22"/>
      </w:numPr>
      <w:spacing w:after="0" w:line="240" w:lineRule="auto"/>
      <w:jc w:val="both"/>
      <w:outlineLvl w:val="1"/>
    </w:pPr>
    <w:rPr>
      <w:rFonts w:eastAsia="Times New Roman" w:cs="Tahoma"/>
      <w:b/>
      <w:sz w:val="24"/>
      <w:szCs w:val="28"/>
      <w:lang w:val="es-ES"/>
    </w:rPr>
  </w:style>
  <w:style w:type="paragraph" w:styleId="Heading3">
    <w:name w:val="heading 3"/>
    <w:basedOn w:val="Normal"/>
    <w:next w:val="Normal"/>
    <w:link w:val="Heading3Char"/>
    <w:uiPriority w:val="9"/>
    <w:unhideWhenUsed/>
    <w:qFormat/>
    <w:rsid w:val="00263B4B"/>
    <w:pPr>
      <w:numPr>
        <w:ilvl w:val="2"/>
        <w:numId w:val="22"/>
      </w:numPr>
      <w:spacing w:after="0"/>
      <w:outlineLvl w:val="2"/>
    </w:pPr>
    <w:rPr>
      <w:rFonts w:ascii="Cambria" w:eastAsia="Times New Roman" w:hAnsi="Cambria"/>
      <w:color w:val="17365D"/>
      <w:spacing w:val="5"/>
      <w:sz w:val="24"/>
      <w:szCs w:val="24"/>
      <w:lang w:val="es-ES"/>
    </w:rPr>
  </w:style>
  <w:style w:type="paragraph" w:styleId="Heading4">
    <w:name w:val="heading 4"/>
    <w:basedOn w:val="Normal"/>
    <w:next w:val="Normal"/>
    <w:link w:val="Heading4Char"/>
    <w:uiPriority w:val="9"/>
    <w:semiHidden/>
    <w:unhideWhenUsed/>
    <w:qFormat/>
    <w:rsid w:val="00263B4B"/>
    <w:pPr>
      <w:numPr>
        <w:ilvl w:val="3"/>
        <w:numId w:val="22"/>
      </w:numPr>
      <w:spacing w:after="0"/>
      <w:outlineLvl w:val="3"/>
    </w:pPr>
    <w:rPr>
      <w:rFonts w:ascii="Cambria" w:eastAsia="Times New Roman" w:hAnsi="Cambria"/>
      <w:color w:val="365F91"/>
      <w:sz w:val="22"/>
      <w:lang w:val="es-ES"/>
    </w:rPr>
  </w:style>
  <w:style w:type="paragraph" w:styleId="Heading5">
    <w:name w:val="heading 5"/>
    <w:basedOn w:val="Normal"/>
    <w:next w:val="Normal"/>
    <w:link w:val="Heading5Char"/>
    <w:uiPriority w:val="9"/>
    <w:semiHidden/>
    <w:unhideWhenUsed/>
    <w:qFormat/>
    <w:rsid w:val="00263B4B"/>
    <w:pPr>
      <w:numPr>
        <w:ilvl w:val="4"/>
        <w:numId w:val="22"/>
      </w:numPr>
      <w:spacing w:after="0"/>
      <w:outlineLvl w:val="4"/>
    </w:pPr>
    <w:rPr>
      <w:rFonts w:ascii="Calibri" w:eastAsia="Times New Roman" w:hAnsi="Calibri"/>
      <w:i/>
      <w:iCs/>
      <w:color w:val="365F91"/>
      <w:sz w:val="22"/>
      <w:lang w:val="es-ES"/>
    </w:rPr>
  </w:style>
  <w:style w:type="paragraph" w:styleId="Heading6">
    <w:name w:val="heading 6"/>
    <w:basedOn w:val="Normal"/>
    <w:next w:val="Normal"/>
    <w:link w:val="Heading6Char"/>
    <w:uiPriority w:val="9"/>
    <w:semiHidden/>
    <w:unhideWhenUsed/>
    <w:qFormat/>
    <w:rsid w:val="00263B4B"/>
    <w:pPr>
      <w:numPr>
        <w:ilvl w:val="5"/>
        <w:numId w:val="22"/>
      </w:numPr>
      <w:spacing w:after="0"/>
      <w:outlineLvl w:val="5"/>
    </w:pPr>
    <w:rPr>
      <w:rFonts w:ascii="Calibri" w:eastAsia="Times New Roman" w:hAnsi="Calibri"/>
      <w:b/>
      <w:bCs/>
      <w:color w:val="365F91"/>
      <w:szCs w:val="20"/>
      <w:lang w:val="es-ES"/>
    </w:rPr>
  </w:style>
  <w:style w:type="paragraph" w:styleId="Heading7">
    <w:name w:val="heading 7"/>
    <w:basedOn w:val="Normal"/>
    <w:next w:val="Normal"/>
    <w:link w:val="Heading7Char"/>
    <w:uiPriority w:val="9"/>
    <w:semiHidden/>
    <w:unhideWhenUsed/>
    <w:qFormat/>
    <w:rsid w:val="00263B4B"/>
    <w:pPr>
      <w:numPr>
        <w:ilvl w:val="6"/>
        <w:numId w:val="22"/>
      </w:numPr>
      <w:spacing w:after="0"/>
      <w:outlineLvl w:val="6"/>
    </w:pPr>
    <w:rPr>
      <w:rFonts w:ascii="Calibri" w:eastAsia="Times New Roman" w:hAnsi="Calibri"/>
      <w:b/>
      <w:bCs/>
      <w:i/>
      <w:iCs/>
      <w:color w:val="365F91"/>
      <w:szCs w:val="20"/>
      <w:lang w:val="es-ES"/>
    </w:rPr>
  </w:style>
  <w:style w:type="paragraph" w:styleId="Heading8">
    <w:name w:val="heading 8"/>
    <w:basedOn w:val="Normal"/>
    <w:next w:val="Normal"/>
    <w:link w:val="Heading8Char"/>
    <w:uiPriority w:val="9"/>
    <w:semiHidden/>
    <w:unhideWhenUsed/>
    <w:qFormat/>
    <w:rsid w:val="00263B4B"/>
    <w:pPr>
      <w:numPr>
        <w:ilvl w:val="7"/>
        <w:numId w:val="22"/>
      </w:numPr>
      <w:spacing w:after="0"/>
      <w:outlineLvl w:val="7"/>
    </w:pPr>
    <w:rPr>
      <w:rFonts w:ascii="Calibri" w:eastAsia="Times New Roman" w:hAnsi="Calibri"/>
      <w:b/>
      <w:bCs/>
      <w:color w:val="943634"/>
      <w:szCs w:val="20"/>
      <w:lang w:val="es-ES"/>
    </w:rPr>
  </w:style>
  <w:style w:type="paragraph" w:styleId="Heading9">
    <w:name w:val="heading 9"/>
    <w:basedOn w:val="Normal"/>
    <w:next w:val="Normal"/>
    <w:link w:val="Heading9Char"/>
    <w:uiPriority w:val="9"/>
    <w:semiHidden/>
    <w:unhideWhenUsed/>
    <w:qFormat/>
    <w:rsid w:val="00263B4B"/>
    <w:pPr>
      <w:numPr>
        <w:ilvl w:val="8"/>
        <w:numId w:val="22"/>
      </w:numPr>
      <w:spacing w:after="0"/>
      <w:outlineLvl w:val="8"/>
    </w:pPr>
    <w:rPr>
      <w:rFonts w:ascii="Calibri" w:eastAsia="Times New Roman" w:hAnsi="Calibri"/>
      <w:b/>
      <w:bCs/>
      <w:i/>
      <w:iCs/>
      <w:color w:val="943634"/>
      <w:sz w:val="18"/>
      <w:szCs w:val="18"/>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7F03"/>
    <w:pPr>
      <w:tabs>
        <w:tab w:val="center" w:pos="4419"/>
        <w:tab w:val="right" w:pos="8838"/>
      </w:tabs>
      <w:spacing w:after="0" w:line="240" w:lineRule="auto"/>
    </w:pPr>
  </w:style>
  <w:style w:type="character" w:customStyle="1" w:styleId="HeaderChar">
    <w:name w:val="Header Char"/>
    <w:basedOn w:val="DefaultParagraphFont"/>
    <w:link w:val="Header"/>
    <w:uiPriority w:val="99"/>
    <w:rsid w:val="00DE7F03"/>
    <w:rPr>
      <w:rFonts w:ascii="Trebuchet MS" w:eastAsia="Calibri" w:hAnsi="Trebuchet MS" w:cs="Times New Roman"/>
      <w:sz w:val="20"/>
    </w:rPr>
  </w:style>
  <w:style w:type="paragraph" w:styleId="ListParagraph">
    <w:name w:val="List Paragraph"/>
    <w:basedOn w:val="Normal"/>
    <w:link w:val="ListParagraphChar"/>
    <w:uiPriority w:val="34"/>
    <w:qFormat/>
    <w:rsid w:val="00DE7F03"/>
    <w:pPr>
      <w:ind w:left="720"/>
      <w:contextualSpacing/>
    </w:pPr>
  </w:style>
  <w:style w:type="paragraph" w:styleId="FootnoteText">
    <w:name w:val="footnote text"/>
    <w:aliases w:val="Footnote Text Char Char Char Char Char,Footnote Text Char Char Char Char,Ref. de nota al pie1,FA Fu,Footnote Text Char Char Char,Footnote Text Char,Footnote Text Char Char Char Char Char Char Char Char,Footnote referenc,Footnote reference"/>
    <w:basedOn w:val="Normal"/>
    <w:link w:val="FootnoteTextChar1"/>
    <w:uiPriority w:val="99"/>
    <w:unhideWhenUsed/>
    <w:qFormat/>
    <w:rsid w:val="0059615A"/>
    <w:pPr>
      <w:spacing w:after="0" w:line="240" w:lineRule="auto"/>
    </w:pPr>
    <w:rPr>
      <w:szCs w:val="20"/>
    </w:rPr>
  </w:style>
  <w:style w:type="character" w:customStyle="1" w:styleId="FootnoteTextChar1">
    <w:name w:val="Footnote Text Char1"/>
    <w:aliases w:val="Footnote Text Char Char Char Char Char Char,Footnote Text Char Char Char Char Char1,Ref. de nota al pie1 Char,FA Fu Char,Footnote Text Char Char Char Char1,Footnote Text Char Char,Footnote referenc Char,Footnote reference Char"/>
    <w:basedOn w:val="DefaultParagraphFont"/>
    <w:link w:val="FootnoteText"/>
    <w:uiPriority w:val="99"/>
    <w:rsid w:val="0059615A"/>
    <w:rPr>
      <w:rFonts w:ascii="Trebuchet MS" w:eastAsia="Calibri" w:hAnsi="Trebuchet MS" w:cs="Times New Roman"/>
      <w:sz w:val="20"/>
      <w:szCs w:val="20"/>
    </w:rPr>
  </w:style>
  <w:style w:type="character" w:styleId="FootnoteReference">
    <w:name w:val="footnote reference"/>
    <w:aliases w:val="Texto de nota al pie,referencia nota al pie,Footnotes refss,Appel note de bas de page,Footnote number,BVI fnr,4_G,16 Point,Superscript 6 Point,Texto nota al pie,Footnote Reference Char3,Footnote Reference Char1 Char,Ref. de nota al,R"/>
    <w:basedOn w:val="DefaultParagraphFont"/>
    <w:uiPriority w:val="99"/>
    <w:unhideWhenUsed/>
    <w:rsid w:val="0059615A"/>
    <w:rPr>
      <w:vertAlign w:val="superscript"/>
    </w:rPr>
  </w:style>
  <w:style w:type="character" w:customStyle="1" w:styleId="apple-converted-space">
    <w:name w:val="apple-converted-space"/>
    <w:basedOn w:val="DefaultParagraphFont"/>
    <w:rsid w:val="00096D5F"/>
  </w:style>
  <w:style w:type="paragraph" w:customStyle="1" w:styleId="cuerpo">
    <w:name w:val="cuerpo"/>
    <w:basedOn w:val="Normal"/>
    <w:rsid w:val="00507A30"/>
    <w:pPr>
      <w:spacing w:before="100" w:beforeAutospacing="1" w:after="100" w:afterAutospacing="1" w:line="240" w:lineRule="auto"/>
    </w:pPr>
    <w:rPr>
      <w:rFonts w:ascii="Times New Roman" w:eastAsia="Times New Roman" w:hAnsi="Times New Roman"/>
      <w:sz w:val="24"/>
      <w:szCs w:val="24"/>
      <w:lang w:val="es-ES" w:eastAsia="es-ES"/>
    </w:rPr>
  </w:style>
  <w:style w:type="character" w:customStyle="1" w:styleId="ttulo1car">
    <w:name w:val="ttulo1car"/>
    <w:basedOn w:val="DefaultParagraphFont"/>
    <w:rsid w:val="00507A30"/>
  </w:style>
  <w:style w:type="paragraph" w:styleId="NormalWeb">
    <w:name w:val="Normal (Web)"/>
    <w:basedOn w:val="Normal"/>
    <w:uiPriority w:val="99"/>
    <w:unhideWhenUsed/>
    <w:rsid w:val="00EB0E16"/>
    <w:pPr>
      <w:spacing w:before="100" w:beforeAutospacing="1" w:after="100" w:afterAutospacing="1" w:line="240" w:lineRule="auto"/>
    </w:pPr>
    <w:rPr>
      <w:rFonts w:ascii="Times New Roman" w:eastAsia="Times New Roman" w:hAnsi="Times New Roman"/>
      <w:sz w:val="24"/>
      <w:szCs w:val="24"/>
      <w:lang w:val="es-ES" w:eastAsia="es-ES"/>
    </w:rPr>
  </w:style>
  <w:style w:type="paragraph" w:styleId="BalloonText">
    <w:name w:val="Balloon Text"/>
    <w:basedOn w:val="Normal"/>
    <w:link w:val="BalloonTextChar"/>
    <w:uiPriority w:val="99"/>
    <w:semiHidden/>
    <w:unhideWhenUsed/>
    <w:rsid w:val="000619F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19F2"/>
    <w:rPr>
      <w:rFonts w:ascii="Lucida Grande" w:eastAsia="Calibri" w:hAnsi="Lucida Grande" w:cs="Lucida Grande"/>
      <w:sz w:val="18"/>
      <w:szCs w:val="18"/>
      <w:lang w:val="es-ES_tradnl"/>
    </w:rPr>
  </w:style>
  <w:style w:type="character" w:styleId="CommentReference">
    <w:name w:val="annotation reference"/>
    <w:basedOn w:val="DefaultParagraphFont"/>
    <w:uiPriority w:val="99"/>
    <w:semiHidden/>
    <w:unhideWhenUsed/>
    <w:rsid w:val="000619F2"/>
    <w:rPr>
      <w:sz w:val="18"/>
      <w:szCs w:val="18"/>
    </w:rPr>
  </w:style>
  <w:style w:type="paragraph" w:styleId="CommentText">
    <w:name w:val="annotation text"/>
    <w:basedOn w:val="Normal"/>
    <w:link w:val="CommentTextChar"/>
    <w:uiPriority w:val="99"/>
    <w:semiHidden/>
    <w:unhideWhenUsed/>
    <w:rsid w:val="000619F2"/>
    <w:pPr>
      <w:spacing w:line="240" w:lineRule="auto"/>
    </w:pPr>
    <w:rPr>
      <w:sz w:val="24"/>
      <w:szCs w:val="24"/>
    </w:rPr>
  </w:style>
  <w:style w:type="character" w:customStyle="1" w:styleId="CommentTextChar">
    <w:name w:val="Comment Text Char"/>
    <w:basedOn w:val="DefaultParagraphFont"/>
    <w:link w:val="CommentText"/>
    <w:uiPriority w:val="99"/>
    <w:semiHidden/>
    <w:rsid w:val="000619F2"/>
    <w:rPr>
      <w:rFonts w:ascii="Trebuchet MS" w:eastAsia="Calibri" w:hAnsi="Trebuchet MS" w:cs="Times New Roman"/>
      <w:sz w:val="24"/>
      <w:szCs w:val="24"/>
      <w:lang w:val="es-ES_tradnl"/>
    </w:rPr>
  </w:style>
  <w:style w:type="paragraph" w:styleId="CommentSubject">
    <w:name w:val="annotation subject"/>
    <w:basedOn w:val="CommentText"/>
    <w:next w:val="CommentText"/>
    <w:link w:val="CommentSubjectChar"/>
    <w:uiPriority w:val="99"/>
    <w:semiHidden/>
    <w:unhideWhenUsed/>
    <w:rsid w:val="000619F2"/>
    <w:rPr>
      <w:b/>
      <w:bCs/>
      <w:sz w:val="20"/>
      <w:szCs w:val="20"/>
    </w:rPr>
  </w:style>
  <w:style w:type="character" w:customStyle="1" w:styleId="CommentSubjectChar">
    <w:name w:val="Comment Subject Char"/>
    <w:basedOn w:val="CommentTextChar"/>
    <w:link w:val="CommentSubject"/>
    <w:uiPriority w:val="99"/>
    <w:semiHidden/>
    <w:rsid w:val="000619F2"/>
    <w:rPr>
      <w:rFonts w:ascii="Trebuchet MS" w:eastAsia="Calibri" w:hAnsi="Trebuchet MS" w:cs="Times New Roman"/>
      <w:b/>
      <w:bCs/>
      <w:sz w:val="20"/>
      <w:szCs w:val="20"/>
      <w:lang w:val="es-ES_tradnl"/>
    </w:rPr>
  </w:style>
  <w:style w:type="paragraph" w:styleId="Footer">
    <w:name w:val="footer"/>
    <w:basedOn w:val="Normal"/>
    <w:link w:val="FooterChar"/>
    <w:uiPriority w:val="99"/>
    <w:unhideWhenUsed/>
    <w:rsid w:val="00BB3CFD"/>
    <w:pPr>
      <w:tabs>
        <w:tab w:val="center" w:pos="4252"/>
        <w:tab w:val="right" w:pos="8504"/>
      </w:tabs>
      <w:spacing w:after="0" w:line="240" w:lineRule="auto"/>
    </w:pPr>
  </w:style>
  <w:style w:type="character" w:customStyle="1" w:styleId="FooterChar">
    <w:name w:val="Footer Char"/>
    <w:basedOn w:val="DefaultParagraphFont"/>
    <w:link w:val="Footer"/>
    <w:uiPriority w:val="99"/>
    <w:rsid w:val="00BB3CFD"/>
    <w:rPr>
      <w:rFonts w:ascii="Trebuchet MS" w:eastAsia="Calibri" w:hAnsi="Trebuchet MS" w:cs="Times New Roman"/>
      <w:sz w:val="20"/>
      <w:lang w:val="es-ES_tradnl"/>
    </w:rPr>
  </w:style>
  <w:style w:type="table" w:styleId="TableGrid">
    <w:name w:val="Table Grid"/>
    <w:basedOn w:val="TableNormal"/>
    <w:uiPriority w:val="39"/>
    <w:rsid w:val="007857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7DF4"/>
    <w:pPr>
      <w:autoSpaceDE w:val="0"/>
      <w:autoSpaceDN w:val="0"/>
      <w:adjustRightInd w:val="0"/>
      <w:spacing w:after="0" w:line="240" w:lineRule="auto"/>
    </w:pPr>
    <w:rPr>
      <w:rFonts w:ascii="Trebuchet MS" w:hAnsi="Trebuchet MS" w:cs="Trebuchet MS"/>
      <w:color w:val="000000"/>
      <w:sz w:val="24"/>
      <w:szCs w:val="24"/>
    </w:rPr>
  </w:style>
  <w:style w:type="character" w:styleId="Emphasis">
    <w:name w:val="Emphasis"/>
    <w:basedOn w:val="DefaultParagraphFont"/>
    <w:uiPriority w:val="20"/>
    <w:qFormat/>
    <w:rsid w:val="00F47DF4"/>
    <w:rPr>
      <w:i/>
      <w:iCs/>
    </w:rPr>
  </w:style>
  <w:style w:type="character" w:styleId="Hyperlink">
    <w:name w:val="Hyperlink"/>
    <w:basedOn w:val="DefaultParagraphFont"/>
    <w:uiPriority w:val="99"/>
    <w:unhideWhenUsed/>
    <w:rsid w:val="00F47DF4"/>
    <w:rPr>
      <w:color w:val="0563C1" w:themeColor="hyperlink"/>
      <w:u w:val="single"/>
    </w:rPr>
  </w:style>
  <w:style w:type="character" w:styleId="Strong">
    <w:name w:val="Strong"/>
    <w:basedOn w:val="DefaultParagraphFont"/>
    <w:uiPriority w:val="22"/>
    <w:qFormat/>
    <w:rsid w:val="00341753"/>
    <w:rPr>
      <w:b/>
      <w:bCs/>
    </w:rPr>
  </w:style>
  <w:style w:type="paragraph" w:customStyle="1" w:styleId="cita">
    <w:name w:val="cita"/>
    <w:basedOn w:val="Normal"/>
    <w:link w:val="citaCar"/>
    <w:qFormat/>
    <w:rsid w:val="007006B5"/>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citaCar">
    <w:name w:val="cita Car"/>
    <w:link w:val="cita"/>
    <w:locked/>
    <w:rsid w:val="00910EC6"/>
    <w:rPr>
      <w:rFonts w:ascii="Times New Roman" w:eastAsia="Times New Roman" w:hAnsi="Times New Roman" w:cs="Times New Roman"/>
      <w:sz w:val="24"/>
      <w:szCs w:val="24"/>
      <w:lang w:eastAsia="es-CO"/>
    </w:rPr>
  </w:style>
  <w:style w:type="paragraph" w:customStyle="1" w:styleId="xmsonormal">
    <w:name w:val="x_msonormal"/>
    <w:basedOn w:val="Normal"/>
    <w:rsid w:val="00A7731D"/>
    <w:pPr>
      <w:spacing w:before="100" w:beforeAutospacing="1" w:after="100" w:afterAutospacing="1" w:line="240" w:lineRule="auto"/>
    </w:pPr>
    <w:rPr>
      <w:rFonts w:ascii="Times New Roman" w:eastAsia="Times New Roman" w:hAnsi="Times New Roman"/>
      <w:sz w:val="24"/>
      <w:szCs w:val="24"/>
      <w:lang w:val="es-CO" w:eastAsia="es-CO"/>
    </w:rPr>
  </w:style>
  <w:style w:type="paragraph" w:customStyle="1" w:styleId="xmsolistparagraph">
    <w:name w:val="x_msolistparagraph"/>
    <w:basedOn w:val="Normal"/>
    <w:rsid w:val="00A7731D"/>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Listavistosa-nfasis1Car">
    <w:name w:val="Lista vistosa - Énfasis 1 Car"/>
    <w:link w:val="ColorfulList-Accent1"/>
    <w:uiPriority w:val="34"/>
    <w:locked/>
    <w:rsid w:val="00A7731D"/>
    <w:rPr>
      <w:rFonts w:ascii="Times New Roman" w:eastAsia="Times New Roman" w:hAnsi="Times New Roman"/>
      <w:sz w:val="24"/>
      <w:szCs w:val="24"/>
    </w:rPr>
  </w:style>
  <w:style w:type="table" w:styleId="ColorfulList-Accent1">
    <w:name w:val="Colorful List Accent 1"/>
    <w:basedOn w:val="TableNormal"/>
    <w:link w:val="Listavistosa-nfasis1Car"/>
    <w:uiPriority w:val="34"/>
    <w:semiHidden/>
    <w:unhideWhenUsed/>
    <w:rsid w:val="00A7731D"/>
    <w:pPr>
      <w:spacing w:after="0" w:line="240" w:lineRule="auto"/>
    </w:pPr>
    <w:rPr>
      <w:rFonts w:ascii="Times New Roman" w:eastAsia="Times New Roman" w:hAnsi="Times New Roman"/>
      <w:sz w:val="24"/>
      <w:szCs w:val="24"/>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character" w:customStyle="1" w:styleId="Heading1Char">
    <w:name w:val="Heading 1 Char"/>
    <w:basedOn w:val="DefaultParagraphFont"/>
    <w:link w:val="Heading1"/>
    <w:uiPriority w:val="9"/>
    <w:rsid w:val="00263B4B"/>
    <w:rPr>
      <w:rFonts w:ascii="Cambria" w:eastAsia="Times New Roman" w:hAnsi="Cambria" w:cs="Times New Roman"/>
      <w:smallCaps/>
      <w:color w:val="17365D"/>
      <w:spacing w:val="5"/>
      <w:sz w:val="32"/>
      <w:szCs w:val="32"/>
      <w:lang w:val="es-ES"/>
    </w:rPr>
  </w:style>
  <w:style w:type="character" w:customStyle="1" w:styleId="Heading2Char">
    <w:name w:val="Heading 2 Char"/>
    <w:basedOn w:val="DefaultParagraphFont"/>
    <w:link w:val="Heading2"/>
    <w:uiPriority w:val="9"/>
    <w:rsid w:val="00263B4B"/>
    <w:rPr>
      <w:rFonts w:ascii="Trebuchet MS" w:eastAsia="Times New Roman" w:hAnsi="Trebuchet MS" w:cs="Tahoma"/>
      <w:b/>
      <w:sz w:val="24"/>
      <w:szCs w:val="28"/>
      <w:lang w:val="es-ES"/>
    </w:rPr>
  </w:style>
  <w:style w:type="character" w:customStyle="1" w:styleId="Heading3Char">
    <w:name w:val="Heading 3 Char"/>
    <w:basedOn w:val="DefaultParagraphFont"/>
    <w:link w:val="Heading3"/>
    <w:uiPriority w:val="9"/>
    <w:rsid w:val="00263B4B"/>
    <w:rPr>
      <w:rFonts w:ascii="Cambria" w:eastAsia="Times New Roman" w:hAnsi="Cambria" w:cs="Times New Roman"/>
      <w:color w:val="17365D"/>
      <w:spacing w:val="5"/>
      <w:sz w:val="24"/>
      <w:szCs w:val="24"/>
      <w:lang w:val="es-ES"/>
    </w:rPr>
  </w:style>
  <w:style w:type="character" w:customStyle="1" w:styleId="Heading4Char">
    <w:name w:val="Heading 4 Char"/>
    <w:basedOn w:val="DefaultParagraphFont"/>
    <w:link w:val="Heading4"/>
    <w:uiPriority w:val="9"/>
    <w:semiHidden/>
    <w:rsid w:val="00263B4B"/>
    <w:rPr>
      <w:rFonts w:ascii="Cambria" w:eastAsia="Times New Roman" w:hAnsi="Cambria" w:cs="Times New Roman"/>
      <w:color w:val="365F91"/>
      <w:lang w:val="es-ES"/>
    </w:rPr>
  </w:style>
  <w:style w:type="character" w:customStyle="1" w:styleId="Heading5Char">
    <w:name w:val="Heading 5 Char"/>
    <w:basedOn w:val="DefaultParagraphFont"/>
    <w:link w:val="Heading5"/>
    <w:uiPriority w:val="9"/>
    <w:semiHidden/>
    <w:rsid w:val="00263B4B"/>
    <w:rPr>
      <w:rFonts w:ascii="Calibri" w:eastAsia="Times New Roman" w:hAnsi="Calibri" w:cs="Times New Roman"/>
      <w:i/>
      <w:iCs/>
      <w:color w:val="365F91"/>
      <w:lang w:val="es-ES"/>
    </w:rPr>
  </w:style>
  <w:style w:type="character" w:customStyle="1" w:styleId="Heading6Char">
    <w:name w:val="Heading 6 Char"/>
    <w:basedOn w:val="DefaultParagraphFont"/>
    <w:link w:val="Heading6"/>
    <w:uiPriority w:val="9"/>
    <w:semiHidden/>
    <w:rsid w:val="00263B4B"/>
    <w:rPr>
      <w:rFonts w:ascii="Calibri" w:eastAsia="Times New Roman" w:hAnsi="Calibri" w:cs="Times New Roman"/>
      <w:b/>
      <w:bCs/>
      <w:color w:val="365F91"/>
      <w:sz w:val="20"/>
      <w:szCs w:val="20"/>
      <w:lang w:val="es-ES"/>
    </w:rPr>
  </w:style>
  <w:style w:type="character" w:customStyle="1" w:styleId="Heading7Char">
    <w:name w:val="Heading 7 Char"/>
    <w:basedOn w:val="DefaultParagraphFont"/>
    <w:link w:val="Heading7"/>
    <w:uiPriority w:val="9"/>
    <w:semiHidden/>
    <w:rsid w:val="00263B4B"/>
    <w:rPr>
      <w:rFonts w:ascii="Calibri" w:eastAsia="Times New Roman" w:hAnsi="Calibri" w:cs="Times New Roman"/>
      <w:b/>
      <w:bCs/>
      <w:i/>
      <w:iCs/>
      <w:color w:val="365F91"/>
      <w:sz w:val="20"/>
      <w:szCs w:val="20"/>
      <w:lang w:val="es-ES"/>
    </w:rPr>
  </w:style>
  <w:style w:type="character" w:customStyle="1" w:styleId="Heading8Char">
    <w:name w:val="Heading 8 Char"/>
    <w:basedOn w:val="DefaultParagraphFont"/>
    <w:link w:val="Heading8"/>
    <w:uiPriority w:val="9"/>
    <w:semiHidden/>
    <w:rsid w:val="00263B4B"/>
    <w:rPr>
      <w:rFonts w:ascii="Calibri" w:eastAsia="Times New Roman" w:hAnsi="Calibri" w:cs="Times New Roman"/>
      <w:b/>
      <w:bCs/>
      <w:color w:val="943634"/>
      <w:sz w:val="20"/>
      <w:szCs w:val="20"/>
      <w:lang w:val="es-ES"/>
    </w:rPr>
  </w:style>
  <w:style w:type="character" w:customStyle="1" w:styleId="Heading9Char">
    <w:name w:val="Heading 9 Char"/>
    <w:basedOn w:val="DefaultParagraphFont"/>
    <w:link w:val="Heading9"/>
    <w:uiPriority w:val="9"/>
    <w:semiHidden/>
    <w:rsid w:val="00263B4B"/>
    <w:rPr>
      <w:rFonts w:ascii="Calibri" w:eastAsia="Times New Roman" w:hAnsi="Calibri" w:cs="Times New Roman"/>
      <w:b/>
      <w:bCs/>
      <w:i/>
      <w:iCs/>
      <w:color w:val="943634"/>
      <w:sz w:val="18"/>
      <w:szCs w:val="18"/>
      <w:lang w:val="es-ES"/>
    </w:rPr>
  </w:style>
  <w:style w:type="character" w:styleId="IntenseEmphasis">
    <w:name w:val="Intense Emphasis"/>
    <w:uiPriority w:val="21"/>
    <w:qFormat/>
    <w:rsid w:val="00263B4B"/>
    <w:rPr>
      <w:b/>
      <w:bCs/>
      <w:i/>
      <w:iCs/>
      <w:color w:val="4F81BD"/>
    </w:rPr>
  </w:style>
  <w:style w:type="character" w:customStyle="1" w:styleId="ListParagraphChar">
    <w:name w:val="List Paragraph Char"/>
    <w:link w:val="ListParagraph"/>
    <w:uiPriority w:val="34"/>
    <w:locked/>
    <w:rsid w:val="00263B4B"/>
    <w:rPr>
      <w:rFonts w:ascii="Trebuchet MS" w:eastAsia="Calibri" w:hAnsi="Trebuchet MS" w:cs="Times New Roman"/>
      <w:sz w:val="20"/>
      <w:lang w:val="es-ES_tradnl"/>
    </w:rPr>
  </w:style>
  <w:style w:type="table" w:styleId="LightShading">
    <w:name w:val="Light Shading"/>
    <w:basedOn w:val="TableNormal"/>
    <w:uiPriority w:val="60"/>
    <w:rsid w:val="00F1224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
    <w:name w:val="Light Grid"/>
    <w:basedOn w:val="TableNormal"/>
    <w:uiPriority w:val="62"/>
    <w:rsid w:val="00F1224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EndnoteText">
    <w:name w:val="endnote text"/>
    <w:basedOn w:val="Normal"/>
    <w:link w:val="EndnoteTextChar"/>
    <w:uiPriority w:val="99"/>
    <w:semiHidden/>
    <w:unhideWhenUsed/>
    <w:rsid w:val="0056579D"/>
    <w:pPr>
      <w:spacing w:after="0" w:line="240" w:lineRule="auto"/>
    </w:pPr>
    <w:rPr>
      <w:szCs w:val="20"/>
    </w:rPr>
  </w:style>
  <w:style w:type="character" w:customStyle="1" w:styleId="EndnoteTextChar">
    <w:name w:val="Endnote Text Char"/>
    <w:basedOn w:val="DefaultParagraphFont"/>
    <w:link w:val="EndnoteText"/>
    <w:uiPriority w:val="99"/>
    <w:semiHidden/>
    <w:rsid w:val="0056579D"/>
    <w:rPr>
      <w:rFonts w:ascii="Trebuchet MS" w:eastAsia="Calibri" w:hAnsi="Trebuchet MS" w:cs="Times New Roman"/>
      <w:sz w:val="20"/>
      <w:szCs w:val="20"/>
      <w:lang w:val="es-ES_tradnl"/>
    </w:rPr>
  </w:style>
  <w:style w:type="character" w:styleId="EndnoteReference">
    <w:name w:val="endnote reference"/>
    <w:basedOn w:val="DefaultParagraphFont"/>
    <w:uiPriority w:val="99"/>
    <w:semiHidden/>
    <w:unhideWhenUsed/>
    <w:rsid w:val="005657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90754">
      <w:bodyDiv w:val="1"/>
      <w:marLeft w:val="0"/>
      <w:marRight w:val="0"/>
      <w:marTop w:val="0"/>
      <w:marBottom w:val="0"/>
      <w:divBdr>
        <w:top w:val="none" w:sz="0" w:space="0" w:color="auto"/>
        <w:left w:val="none" w:sz="0" w:space="0" w:color="auto"/>
        <w:bottom w:val="none" w:sz="0" w:space="0" w:color="auto"/>
        <w:right w:val="none" w:sz="0" w:space="0" w:color="auto"/>
      </w:divBdr>
    </w:div>
    <w:div w:id="96338596">
      <w:bodyDiv w:val="1"/>
      <w:marLeft w:val="0"/>
      <w:marRight w:val="0"/>
      <w:marTop w:val="0"/>
      <w:marBottom w:val="0"/>
      <w:divBdr>
        <w:top w:val="none" w:sz="0" w:space="0" w:color="auto"/>
        <w:left w:val="none" w:sz="0" w:space="0" w:color="auto"/>
        <w:bottom w:val="none" w:sz="0" w:space="0" w:color="auto"/>
        <w:right w:val="none" w:sz="0" w:space="0" w:color="auto"/>
      </w:divBdr>
    </w:div>
    <w:div w:id="98453838">
      <w:bodyDiv w:val="1"/>
      <w:marLeft w:val="0"/>
      <w:marRight w:val="0"/>
      <w:marTop w:val="0"/>
      <w:marBottom w:val="0"/>
      <w:divBdr>
        <w:top w:val="none" w:sz="0" w:space="0" w:color="auto"/>
        <w:left w:val="none" w:sz="0" w:space="0" w:color="auto"/>
        <w:bottom w:val="none" w:sz="0" w:space="0" w:color="auto"/>
        <w:right w:val="none" w:sz="0" w:space="0" w:color="auto"/>
      </w:divBdr>
    </w:div>
    <w:div w:id="163327766">
      <w:bodyDiv w:val="1"/>
      <w:marLeft w:val="0"/>
      <w:marRight w:val="0"/>
      <w:marTop w:val="0"/>
      <w:marBottom w:val="0"/>
      <w:divBdr>
        <w:top w:val="none" w:sz="0" w:space="0" w:color="auto"/>
        <w:left w:val="none" w:sz="0" w:space="0" w:color="auto"/>
        <w:bottom w:val="none" w:sz="0" w:space="0" w:color="auto"/>
        <w:right w:val="none" w:sz="0" w:space="0" w:color="auto"/>
      </w:divBdr>
    </w:div>
    <w:div w:id="164705841">
      <w:bodyDiv w:val="1"/>
      <w:marLeft w:val="0"/>
      <w:marRight w:val="0"/>
      <w:marTop w:val="0"/>
      <w:marBottom w:val="0"/>
      <w:divBdr>
        <w:top w:val="none" w:sz="0" w:space="0" w:color="auto"/>
        <w:left w:val="none" w:sz="0" w:space="0" w:color="auto"/>
        <w:bottom w:val="none" w:sz="0" w:space="0" w:color="auto"/>
        <w:right w:val="none" w:sz="0" w:space="0" w:color="auto"/>
      </w:divBdr>
    </w:div>
    <w:div w:id="215824499">
      <w:bodyDiv w:val="1"/>
      <w:marLeft w:val="0"/>
      <w:marRight w:val="0"/>
      <w:marTop w:val="0"/>
      <w:marBottom w:val="0"/>
      <w:divBdr>
        <w:top w:val="none" w:sz="0" w:space="0" w:color="auto"/>
        <w:left w:val="none" w:sz="0" w:space="0" w:color="auto"/>
        <w:bottom w:val="none" w:sz="0" w:space="0" w:color="auto"/>
        <w:right w:val="none" w:sz="0" w:space="0" w:color="auto"/>
      </w:divBdr>
    </w:div>
    <w:div w:id="316425066">
      <w:bodyDiv w:val="1"/>
      <w:marLeft w:val="0"/>
      <w:marRight w:val="0"/>
      <w:marTop w:val="0"/>
      <w:marBottom w:val="0"/>
      <w:divBdr>
        <w:top w:val="none" w:sz="0" w:space="0" w:color="auto"/>
        <w:left w:val="none" w:sz="0" w:space="0" w:color="auto"/>
        <w:bottom w:val="none" w:sz="0" w:space="0" w:color="auto"/>
        <w:right w:val="none" w:sz="0" w:space="0" w:color="auto"/>
      </w:divBdr>
    </w:div>
    <w:div w:id="363487780">
      <w:bodyDiv w:val="1"/>
      <w:marLeft w:val="0"/>
      <w:marRight w:val="0"/>
      <w:marTop w:val="0"/>
      <w:marBottom w:val="0"/>
      <w:divBdr>
        <w:top w:val="none" w:sz="0" w:space="0" w:color="auto"/>
        <w:left w:val="none" w:sz="0" w:space="0" w:color="auto"/>
        <w:bottom w:val="none" w:sz="0" w:space="0" w:color="auto"/>
        <w:right w:val="none" w:sz="0" w:space="0" w:color="auto"/>
      </w:divBdr>
    </w:div>
    <w:div w:id="371153625">
      <w:bodyDiv w:val="1"/>
      <w:marLeft w:val="0"/>
      <w:marRight w:val="0"/>
      <w:marTop w:val="0"/>
      <w:marBottom w:val="0"/>
      <w:divBdr>
        <w:top w:val="none" w:sz="0" w:space="0" w:color="auto"/>
        <w:left w:val="none" w:sz="0" w:space="0" w:color="auto"/>
        <w:bottom w:val="none" w:sz="0" w:space="0" w:color="auto"/>
        <w:right w:val="none" w:sz="0" w:space="0" w:color="auto"/>
      </w:divBdr>
    </w:div>
    <w:div w:id="399520833">
      <w:bodyDiv w:val="1"/>
      <w:marLeft w:val="0"/>
      <w:marRight w:val="0"/>
      <w:marTop w:val="0"/>
      <w:marBottom w:val="0"/>
      <w:divBdr>
        <w:top w:val="none" w:sz="0" w:space="0" w:color="auto"/>
        <w:left w:val="none" w:sz="0" w:space="0" w:color="auto"/>
        <w:bottom w:val="none" w:sz="0" w:space="0" w:color="auto"/>
        <w:right w:val="none" w:sz="0" w:space="0" w:color="auto"/>
      </w:divBdr>
    </w:div>
    <w:div w:id="453715547">
      <w:bodyDiv w:val="1"/>
      <w:marLeft w:val="0"/>
      <w:marRight w:val="0"/>
      <w:marTop w:val="0"/>
      <w:marBottom w:val="0"/>
      <w:divBdr>
        <w:top w:val="none" w:sz="0" w:space="0" w:color="auto"/>
        <w:left w:val="none" w:sz="0" w:space="0" w:color="auto"/>
        <w:bottom w:val="none" w:sz="0" w:space="0" w:color="auto"/>
        <w:right w:val="none" w:sz="0" w:space="0" w:color="auto"/>
      </w:divBdr>
    </w:div>
    <w:div w:id="492838217">
      <w:bodyDiv w:val="1"/>
      <w:marLeft w:val="0"/>
      <w:marRight w:val="0"/>
      <w:marTop w:val="0"/>
      <w:marBottom w:val="0"/>
      <w:divBdr>
        <w:top w:val="none" w:sz="0" w:space="0" w:color="auto"/>
        <w:left w:val="none" w:sz="0" w:space="0" w:color="auto"/>
        <w:bottom w:val="none" w:sz="0" w:space="0" w:color="auto"/>
        <w:right w:val="none" w:sz="0" w:space="0" w:color="auto"/>
      </w:divBdr>
    </w:div>
    <w:div w:id="503209792">
      <w:bodyDiv w:val="1"/>
      <w:marLeft w:val="0"/>
      <w:marRight w:val="0"/>
      <w:marTop w:val="0"/>
      <w:marBottom w:val="0"/>
      <w:divBdr>
        <w:top w:val="none" w:sz="0" w:space="0" w:color="auto"/>
        <w:left w:val="none" w:sz="0" w:space="0" w:color="auto"/>
        <w:bottom w:val="none" w:sz="0" w:space="0" w:color="auto"/>
        <w:right w:val="none" w:sz="0" w:space="0" w:color="auto"/>
      </w:divBdr>
    </w:div>
    <w:div w:id="563220049">
      <w:bodyDiv w:val="1"/>
      <w:marLeft w:val="0"/>
      <w:marRight w:val="0"/>
      <w:marTop w:val="0"/>
      <w:marBottom w:val="0"/>
      <w:divBdr>
        <w:top w:val="none" w:sz="0" w:space="0" w:color="auto"/>
        <w:left w:val="none" w:sz="0" w:space="0" w:color="auto"/>
        <w:bottom w:val="none" w:sz="0" w:space="0" w:color="auto"/>
        <w:right w:val="none" w:sz="0" w:space="0" w:color="auto"/>
      </w:divBdr>
    </w:div>
    <w:div w:id="577398449">
      <w:bodyDiv w:val="1"/>
      <w:marLeft w:val="0"/>
      <w:marRight w:val="0"/>
      <w:marTop w:val="0"/>
      <w:marBottom w:val="0"/>
      <w:divBdr>
        <w:top w:val="none" w:sz="0" w:space="0" w:color="auto"/>
        <w:left w:val="none" w:sz="0" w:space="0" w:color="auto"/>
        <w:bottom w:val="none" w:sz="0" w:space="0" w:color="auto"/>
        <w:right w:val="none" w:sz="0" w:space="0" w:color="auto"/>
      </w:divBdr>
    </w:div>
    <w:div w:id="663094790">
      <w:bodyDiv w:val="1"/>
      <w:marLeft w:val="0"/>
      <w:marRight w:val="0"/>
      <w:marTop w:val="0"/>
      <w:marBottom w:val="0"/>
      <w:divBdr>
        <w:top w:val="none" w:sz="0" w:space="0" w:color="auto"/>
        <w:left w:val="none" w:sz="0" w:space="0" w:color="auto"/>
        <w:bottom w:val="none" w:sz="0" w:space="0" w:color="auto"/>
        <w:right w:val="none" w:sz="0" w:space="0" w:color="auto"/>
      </w:divBdr>
    </w:div>
    <w:div w:id="664091373">
      <w:bodyDiv w:val="1"/>
      <w:marLeft w:val="0"/>
      <w:marRight w:val="0"/>
      <w:marTop w:val="0"/>
      <w:marBottom w:val="0"/>
      <w:divBdr>
        <w:top w:val="none" w:sz="0" w:space="0" w:color="auto"/>
        <w:left w:val="none" w:sz="0" w:space="0" w:color="auto"/>
        <w:bottom w:val="none" w:sz="0" w:space="0" w:color="auto"/>
        <w:right w:val="none" w:sz="0" w:space="0" w:color="auto"/>
      </w:divBdr>
    </w:div>
    <w:div w:id="685598096">
      <w:bodyDiv w:val="1"/>
      <w:marLeft w:val="0"/>
      <w:marRight w:val="0"/>
      <w:marTop w:val="0"/>
      <w:marBottom w:val="0"/>
      <w:divBdr>
        <w:top w:val="none" w:sz="0" w:space="0" w:color="auto"/>
        <w:left w:val="none" w:sz="0" w:space="0" w:color="auto"/>
        <w:bottom w:val="none" w:sz="0" w:space="0" w:color="auto"/>
        <w:right w:val="none" w:sz="0" w:space="0" w:color="auto"/>
      </w:divBdr>
    </w:div>
    <w:div w:id="694891134">
      <w:bodyDiv w:val="1"/>
      <w:marLeft w:val="0"/>
      <w:marRight w:val="0"/>
      <w:marTop w:val="0"/>
      <w:marBottom w:val="0"/>
      <w:divBdr>
        <w:top w:val="none" w:sz="0" w:space="0" w:color="auto"/>
        <w:left w:val="none" w:sz="0" w:space="0" w:color="auto"/>
        <w:bottom w:val="none" w:sz="0" w:space="0" w:color="auto"/>
        <w:right w:val="none" w:sz="0" w:space="0" w:color="auto"/>
      </w:divBdr>
    </w:div>
    <w:div w:id="851066878">
      <w:bodyDiv w:val="1"/>
      <w:marLeft w:val="0"/>
      <w:marRight w:val="0"/>
      <w:marTop w:val="0"/>
      <w:marBottom w:val="0"/>
      <w:divBdr>
        <w:top w:val="none" w:sz="0" w:space="0" w:color="auto"/>
        <w:left w:val="none" w:sz="0" w:space="0" w:color="auto"/>
        <w:bottom w:val="none" w:sz="0" w:space="0" w:color="auto"/>
        <w:right w:val="none" w:sz="0" w:space="0" w:color="auto"/>
      </w:divBdr>
    </w:div>
    <w:div w:id="853346340">
      <w:bodyDiv w:val="1"/>
      <w:marLeft w:val="0"/>
      <w:marRight w:val="0"/>
      <w:marTop w:val="0"/>
      <w:marBottom w:val="0"/>
      <w:divBdr>
        <w:top w:val="none" w:sz="0" w:space="0" w:color="auto"/>
        <w:left w:val="none" w:sz="0" w:space="0" w:color="auto"/>
        <w:bottom w:val="none" w:sz="0" w:space="0" w:color="auto"/>
        <w:right w:val="none" w:sz="0" w:space="0" w:color="auto"/>
      </w:divBdr>
    </w:div>
    <w:div w:id="889225172">
      <w:bodyDiv w:val="1"/>
      <w:marLeft w:val="0"/>
      <w:marRight w:val="0"/>
      <w:marTop w:val="0"/>
      <w:marBottom w:val="0"/>
      <w:divBdr>
        <w:top w:val="none" w:sz="0" w:space="0" w:color="auto"/>
        <w:left w:val="none" w:sz="0" w:space="0" w:color="auto"/>
        <w:bottom w:val="none" w:sz="0" w:space="0" w:color="auto"/>
        <w:right w:val="none" w:sz="0" w:space="0" w:color="auto"/>
      </w:divBdr>
    </w:div>
    <w:div w:id="937564006">
      <w:bodyDiv w:val="1"/>
      <w:marLeft w:val="0"/>
      <w:marRight w:val="0"/>
      <w:marTop w:val="0"/>
      <w:marBottom w:val="0"/>
      <w:divBdr>
        <w:top w:val="none" w:sz="0" w:space="0" w:color="auto"/>
        <w:left w:val="none" w:sz="0" w:space="0" w:color="auto"/>
        <w:bottom w:val="none" w:sz="0" w:space="0" w:color="auto"/>
        <w:right w:val="none" w:sz="0" w:space="0" w:color="auto"/>
      </w:divBdr>
    </w:div>
    <w:div w:id="953560666">
      <w:bodyDiv w:val="1"/>
      <w:marLeft w:val="0"/>
      <w:marRight w:val="0"/>
      <w:marTop w:val="0"/>
      <w:marBottom w:val="0"/>
      <w:divBdr>
        <w:top w:val="none" w:sz="0" w:space="0" w:color="auto"/>
        <w:left w:val="none" w:sz="0" w:space="0" w:color="auto"/>
        <w:bottom w:val="none" w:sz="0" w:space="0" w:color="auto"/>
        <w:right w:val="none" w:sz="0" w:space="0" w:color="auto"/>
      </w:divBdr>
    </w:div>
    <w:div w:id="1023357138">
      <w:bodyDiv w:val="1"/>
      <w:marLeft w:val="0"/>
      <w:marRight w:val="0"/>
      <w:marTop w:val="0"/>
      <w:marBottom w:val="0"/>
      <w:divBdr>
        <w:top w:val="none" w:sz="0" w:space="0" w:color="auto"/>
        <w:left w:val="none" w:sz="0" w:space="0" w:color="auto"/>
        <w:bottom w:val="none" w:sz="0" w:space="0" w:color="auto"/>
        <w:right w:val="none" w:sz="0" w:space="0" w:color="auto"/>
      </w:divBdr>
    </w:div>
    <w:div w:id="1075008668">
      <w:bodyDiv w:val="1"/>
      <w:marLeft w:val="0"/>
      <w:marRight w:val="0"/>
      <w:marTop w:val="0"/>
      <w:marBottom w:val="0"/>
      <w:divBdr>
        <w:top w:val="none" w:sz="0" w:space="0" w:color="auto"/>
        <w:left w:val="none" w:sz="0" w:space="0" w:color="auto"/>
        <w:bottom w:val="none" w:sz="0" w:space="0" w:color="auto"/>
        <w:right w:val="none" w:sz="0" w:space="0" w:color="auto"/>
      </w:divBdr>
    </w:div>
    <w:div w:id="1152061499">
      <w:bodyDiv w:val="1"/>
      <w:marLeft w:val="0"/>
      <w:marRight w:val="0"/>
      <w:marTop w:val="0"/>
      <w:marBottom w:val="0"/>
      <w:divBdr>
        <w:top w:val="none" w:sz="0" w:space="0" w:color="auto"/>
        <w:left w:val="none" w:sz="0" w:space="0" w:color="auto"/>
        <w:bottom w:val="none" w:sz="0" w:space="0" w:color="auto"/>
        <w:right w:val="none" w:sz="0" w:space="0" w:color="auto"/>
      </w:divBdr>
    </w:div>
    <w:div w:id="1167285934">
      <w:bodyDiv w:val="1"/>
      <w:marLeft w:val="0"/>
      <w:marRight w:val="0"/>
      <w:marTop w:val="0"/>
      <w:marBottom w:val="0"/>
      <w:divBdr>
        <w:top w:val="none" w:sz="0" w:space="0" w:color="auto"/>
        <w:left w:val="none" w:sz="0" w:space="0" w:color="auto"/>
        <w:bottom w:val="none" w:sz="0" w:space="0" w:color="auto"/>
        <w:right w:val="none" w:sz="0" w:space="0" w:color="auto"/>
      </w:divBdr>
    </w:div>
    <w:div w:id="1192568908">
      <w:bodyDiv w:val="1"/>
      <w:marLeft w:val="0"/>
      <w:marRight w:val="0"/>
      <w:marTop w:val="0"/>
      <w:marBottom w:val="0"/>
      <w:divBdr>
        <w:top w:val="none" w:sz="0" w:space="0" w:color="auto"/>
        <w:left w:val="none" w:sz="0" w:space="0" w:color="auto"/>
        <w:bottom w:val="none" w:sz="0" w:space="0" w:color="auto"/>
        <w:right w:val="none" w:sz="0" w:space="0" w:color="auto"/>
      </w:divBdr>
    </w:div>
    <w:div w:id="1221089920">
      <w:bodyDiv w:val="1"/>
      <w:marLeft w:val="0"/>
      <w:marRight w:val="0"/>
      <w:marTop w:val="0"/>
      <w:marBottom w:val="0"/>
      <w:divBdr>
        <w:top w:val="none" w:sz="0" w:space="0" w:color="auto"/>
        <w:left w:val="none" w:sz="0" w:space="0" w:color="auto"/>
        <w:bottom w:val="none" w:sz="0" w:space="0" w:color="auto"/>
        <w:right w:val="none" w:sz="0" w:space="0" w:color="auto"/>
      </w:divBdr>
    </w:div>
    <w:div w:id="1294603031">
      <w:bodyDiv w:val="1"/>
      <w:marLeft w:val="0"/>
      <w:marRight w:val="0"/>
      <w:marTop w:val="0"/>
      <w:marBottom w:val="0"/>
      <w:divBdr>
        <w:top w:val="none" w:sz="0" w:space="0" w:color="auto"/>
        <w:left w:val="none" w:sz="0" w:space="0" w:color="auto"/>
        <w:bottom w:val="none" w:sz="0" w:space="0" w:color="auto"/>
        <w:right w:val="none" w:sz="0" w:space="0" w:color="auto"/>
      </w:divBdr>
    </w:div>
    <w:div w:id="1321036817">
      <w:bodyDiv w:val="1"/>
      <w:marLeft w:val="0"/>
      <w:marRight w:val="0"/>
      <w:marTop w:val="0"/>
      <w:marBottom w:val="0"/>
      <w:divBdr>
        <w:top w:val="none" w:sz="0" w:space="0" w:color="auto"/>
        <w:left w:val="none" w:sz="0" w:space="0" w:color="auto"/>
        <w:bottom w:val="none" w:sz="0" w:space="0" w:color="auto"/>
        <w:right w:val="none" w:sz="0" w:space="0" w:color="auto"/>
      </w:divBdr>
    </w:div>
    <w:div w:id="1365250678">
      <w:bodyDiv w:val="1"/>
      <w:marLeft w:val="0"/>
      <w:marRight w:val="0"/>
      <w:marTop w:val="0"/>
      <w:marBottom w:val="0"/>
      <w:divBdr>
        <w:top w:val="none" w:sz="0" w:space="0" w:color="auto"/>
        <w:left w:val="none" w:sz="0" w:space="0" w:color="auto"/>
        <w:bottom w:val="none" w:sz="0" w:space="0" w:color="auto"/>
        <w:right w:val="none" w:sz="0" w:space="0" w:color="auto"/>
      </w:divBdr>
    </w:div>
    <w:div w:id="1371608517">
      <w:bodyDiv w:val="1"/>
      <w:marLeft w:val="0"/>
      <w:marRight w:val="0"/>
      <w:marTop w:val="0"/>
      <w:marBottom w:val="0"/>
      <w:divBdr>
        <w:top w:val="none" w:sz="0" w:space="0" w:color="auto"/>
        <w:left w:val="none" w:sz="0" w:space="0" w:color="auto"/>
        <w:bottom w:val="none" w:sz="0" w:space="0" w:color="auto"/>
        <w:right w:val="none" w:sz="0" w:space="0" w:color="auto"/>
      </w:divBdr>
    </w:div>
    <w:div w:id="1384794202">
      <w:bodyDiv w:val="1"/>
      <w:marLeft w:val="0"/>
      <w:marRight w:val="0"/>
      <w:marTop w:val="0"/>
      <w:marBottom w:val="0"/>
      <w:divBdr>
        <w:top w:val="none" w:sz="0" w:space="0" w:color="auto"/>
        <w:left w:val="none" w:sz="0" w:space="0" w:color="auto"/>
        <w:bottom w:val="none" w:sz="0" w:space="0" w:color="auto"/>
        <w:right w:val="none" w:sz="0" w:space="0" w:color="auto"/>
      </w:divBdr>
    </w:div>
    <w:div w:id="1577740340">
      <w:bodyDiv w:val="1"/>
      <w:marLeft w:val="0"/>
      <w:marRight w:val="0"/>
      <w:marTop w:val="0"/>
      <w:marBottom w:val="0"/>
      <w:divBdr>
        <w:top w:val="none" w:sz="0" w:space="0" w:color="auto"/>
        <w:left w:val="none" w:sz="0" w:space="0" w:color="auto"/>
        <w:bottom w:val="none" w:sz="0" w:space="0" w:color="auto"/>
        <w:right w:val="none" w:sz="0" w:space="0" w:color="auto"/>
      </w:divBdr>
    </w:div>
    <w:div w:id="1582640372">
      <w:bodyDiv w:val="1"/>
      <w:marLeft w:val="0"/>
      <w:marRight w:val="0"/>
      <w:marTop w:val="0"/>
      <w:marBottom w:val="0"/>
      <w:divBdr>
        <w:top w:val="none" w:sz="0" w:space="0" w:color="auto"/>
        <w:left w:val="none" w:sz="0" w:space="0" w:color="auto"/>
        <w:bottom w:val="none" w:sz="0" w:space="0" w:color="auto"/>
        <w:right w:val="none" w:sz="0" w:space="0" w:color="auto"/>
      </w:divBdr>
    </w:div>
    <w:div w:id="1589657956">
      <w:bodyDiv w:val="1"/>
      <w:marLeft w:val="0"/>
      <w:marRight w:val="0"/>
      <w:marTop w:val="0"/>
      <w:marBottom w:val="0"/>
      <w:divBdr>
        <w:top w:val="none" w:sz="0" w:space="0" w:color="auto"/>
        <w:left w:val="none" w:sz="0" w:space="0" w:color="auto"/>
        <w:bottom w:val="none" w:sz="0" w:space="0" w:color="auto"/>
        <w:right w:val="none" w:sz="0" w:space="0" w:color="auto"/>
      </w:divBdr>
    </w:div>
    <w:div w:id="1621301430">
      <w:bodyDiv w:val="1"/>
      <w:marLeft w:val="0"/>
      <w:marRight w:val="0"/>
      <w:marTop w:val="0"/>
      <w:marBottom w:val="0"/>
      <w:divBdr>
        <w:top w:val="none" w:sz="0" w:space="0" w:color="auto"/>
        <w:left w:val="none" w:sz="0" w:space="0" w:color="auto"/>
        <w:bottom w:val="none" w:sz="0" w:space="0" w:color="auto"/>
        <w:right w:val="none" w:sz="0" w:space="0" w:color="auto"/>
      </w:divBdr>
    </w:div>
    <w:div w:id="1693798246">
      <w:bodyDiv w:val="1"/>
      <w:marLeft w:val="0"/>
      <w:marRight w:val="0"/>
      <w:marTop w:val="0"/>
      <w:marBottom w:val="0"/>
      <w:divBdr>
        <w:top w:val="none" w:sz="0" w:space="0" w:color="auto"/>
        <w:left w:val="none" w:sz="0" w:space="0" w:color="auto"/>
        <w:bottom w:val="none" w:sz="0" w:space="0" w:color="auto"/>
        <w:right w:val="none" w:sz="0" w:space="0" w:color="auto"/>
      </w:divBdr>
    </w:div>
    <w:div w:id="1708946561">
      <w:bodyDiv w:val="1"/>
      <w:marLeft w:val="0"/>
      <w:marRight w:val="0"/>
      <w:marTop w:val="0"/>
      <w:marBottom w:val="0"/>
      <w:divBdr>
        <w:top w:val="none" w:sz="0" w:space="0" w:color="auto"/>
        <w:left w:val="none" w:sz="0" w:space="0" w:color="auto"/>
        <w:bottom w:val="none" w:sz="0" w:space="0" w:color="auto"/>
        <w:right w:val="none" w:sz="0" w:space="0" w:color="auto"/>
      </w:divBdr>
    </w:div>
    <w:div w:id="1755282381">
      <w:bodyDiv w:val="1"/>
      <w:marLeft w:val="0"/>
      <w:marRight w:val="0"/>
      <w:marTop w:val="0"/>
      <w:marBottom w:val="0"/>
      <w:divBdr>
        <w:top w:val="none" w:sz="0" w:space="0" w:color="auto"/>
        <w:left w:val="none" w:sz="0" w:space="0" w:color="auto"/>
        <w:bottom w:val="none" w:sz="0" w:space="0" w:color="auto"/>
        <w:right w:val="none" w:sz="0" w:space="0" w:color="auto"/>
      </w:divBdr>
    </w:div>
    <w:div w:id="1820610923">
      <w:bodyDiv w:val="1"/>
      <w:marLeft w:val="0"/>
      <w:marRight w:val="0"/>
      <w:marTop w:val="0"/>
      <w:marBottom w:val="0"/>
      <w:divBdr>
        <w:top w:val="none" w:sz="0" w:space="0" w:color="auto"/>
        <w:left w:val="none" w:sz="0" w:space="0" w:color="auto"/>
        <w:bottom w:val="none" w:sz="0" w:space="0" w:color="auto"/>
        <w:right w:val="none" w:sz="0" w:space="0" w:color="auto"/>
      </w:divBdr>
    </w:div>
    <w:div w:id="1838422439">
      <w:bodyDiv w:val="1"/>
      <w:marLeft w:val="0"/>
      <w:marRight w:val="0"/>
      <w:marTop w:val="0"/>
      <w:marBottom w:val="0"/>
      <w:divBdr>
        <w:top w:val="none" w:sz="0" w:space="0" w:color="auto"/>
        <w:left w:val="none" w:sz="0" w:space="0" w:color="auto"/>
        <w:bottom w:val="none" w:sz="0" w:space="0" w:color="auto"/>
        <w:right w:val="none" w:sz="0" w:space="0" w:color="auto"/>
      </w:divBdr>
    </w:div>
    <w:div w:id="1851676249">
      <w:bodyDiv w:val="1"/>
      <w:marLeft w:val="0"/>
      <w:marRight w:val="0"/>
      <w:marTop w:val="0"/>
      <w:marBottom w:val="0"/>
      <w:divBdr>
        <w:top w:val="none" w:sz="0" w:space="0" w:color="auto"/>
        <w:left w:val="none" w:sz="0" w:space="0" w:color="auto"/>
        <w:bottom w:val="none" w:sz="0" w:space="0" w:color="auto"/>
        <w:right w:val="none" w:sz="0" w:space="0" w:color="auto"/>
      </w:divBdr>
    </w:div>
    <w:div w:id="1856847793">
      <w:bodyDiv w:val="1"/>
      <w:marLeft w:val="0"/>
      <w:marRight w:val="0"/>
      <w:marTop w:val="0"/>
      <w:marBottom w:val="0"/>
      <w:divBdr>
        <w:top w:val="none" w:sz="0" w:space="0" w:color="auto"/>
        <w:left w:val="none" w:sz="0" w:space="0" w:color="auto"/>
        <w:bottom w:val="none" w:sz="0" w:space="0" w:color="auto"/>
        <w:right w:val="none" w:sz="0" w:space="0" w:color="auto"/>
      </w:divBdr>
    </w:div>
    <w:div w:id="1877422464">
      <w:bodyDiv w:val="1"/>
      <w:marLeft w:val="0"/>
      <w:marRight w:val="0"/>
      <w:marTop w:val="0"/>
      <w:marBottom w:val="0"/>
      <w:divBdr>
        <w:top w:val="none" w:sz="0" w:space="0" w:color="auto"/>
        <w:left w:val="none" w:sz="0" w:space="0" w:color="auto"/>
        <w:bottom w:val="none" w:sz="0" w:space="0" w:color="auto"/>
        <w:right w:val="none" w:sz="0" w:space="0" w:color="auto"/>
      </w:divBdr>
    </w:div>
    <w:div w:id="1885947022">
      <w:bodyDiv w:val="1"/>
      <w:marLeft w:val="0"/>
      <w:marRight w:val="0"/>
      <w:marTop w:val="0"/>
      <w:marBottom w:val="0"/>
      <w:divBdr>
        <w:top w:val="none" w:sz="0" w:space="0" w:color="auto"/>
        <w:left w:val="none" w:sz="0" w:space="0" w:color="auto"/>
        <w:bottom w:val="none" w:sz="0" w:space="0" w:color="auto"/>
        <w:right w:val="none" w:sz="0" w:space="0" w:color="auto"/>
      </w:divBdr>
    </w:div>
    <w:div w:id="1961496994">
      <w:bodyDiv w:val="1"/>
      <w:marLeft w:val="0"/>
      <w:marRight w:val="0"/>
      <w:marTop w:val="0"/>
      <w:marBottom w:val="0"/>
      <w:divBdr>
        <w:top w:val="none" w:sz="0" w:space="0" w:color="auto"/>
        <w:left w:val="none" w:sz="0" w:space="0" w:color="auto"/>
        <w:bottom w:val="none" w:sz="0" w:space="0" w:color="auto"/>
        <w:right w:val="none" w:sz="0" w:space="0" w:color="auto"/>
      </w:divBdr>
    </w:div>
    <w:div w:id="2006740326">
      <w:bodyDiv w:val="1"/>
      <w:marLeft w:val="0"/>
      <w:marRight w:val="0"/>
      <w:marTop w:val="0"/>
      <w:marBottom w:val="0"/>
      <w:divBdr>
        <w:top w:val="none" w:sz="0" w:space="0" w:color="auto"/>
        <w:left w:val="none" w:sz="0" w:space="0" w:color="auto"/>
        <w:bottom w:val="none" w:sz="0" w:space="0" w:color="auto"/>
        <w:right w:val="none" w:sz="0" w:space="0" w:color="auto"/>
      </w:divBdr>
    </w:div>
    <w:div w:id="2015186809">
      <w:bodyDiv w:val="1"/>
      <w:marLeft w:val="0"/>
      <w:marRight w:val="0"/>
      <w:marTop w:val="0"/>
      <w:marBottom w:val="0"/>
      <w:divBdr>
        <w:top w:val="none" w:sz="0" w:space="0" w:color="auto"/>
        <w:left w:val="none" w:sz="0" w:space="0" w:color="auto"/>
        <w:bottom w:val="none" w:sz="0" w:space="0" w:color="auto"/>
        <w:right w:val="none" w:sz="0" w:space="0" w:color="auto"/>
      </w:divBdr>
    </w:div>
    <w:div w:id="2130515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_rels/footer1.xml.rels><?xml version="1.0" encoding="UTF-8" standalone="yes"?>
<Relationships xmlns="http://schemas.openxmlformats.org/package/2006/relationships"><Relationship Id="rId3" Type="http://schemas.openxmlformats.org/officeDocument/2006/relationships/hyperlink" Target="mailto:buzon.pqrsdf@defensoria.gov.co" TargetMode="External"/><Relationship Id="rId2" Type="http://schemas.openxmlformats.org/officeDocument/2006/relationships/hyperlink" Target="mailto:atencionciudadano@defensoria.gov.co" TargetMode="External"/><Relationship Id="rId1" Type="http://schemas.openxmlformats.org/officeDocument/2006/relationships/hyperlink" Target="http://www.defensori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openxmlformats.org/officeDocument/2006/relationships/oleObject" Target="file:///C:\Users\emendez\Documents\MAURICIO%20CARVAJAL\CIFRAS%20INFORME%20SALUD.xlsx" TargetMode="External"/><Relationship Id="rId1" Type="http://schemas.openxmlformats.org/officeDocument/2006/relationships/themeOverride" Target="../theme/themeOverride1.xml"/><Relationship Id="rId4"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openxmlformats.org/officeDocument/2006/relationships/oleObject" Target="file:///C:\Users\emendez\Documents\MAURICIO%20CARVAJAL\CIFRAS%20INFORME%20SALUD.xlsx" TargetMode="External"/><Relationship Id="rId1" Type="http://schemas.openxmlformats.org/officeDocument/2006/relationships/themeOverride" Target="../theme/themeOverride2.xml"/><Relationship Id="rId4"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openxmlformats.org/officeDocument/2006/relationships/oleObject" Target="file:///C:\Users\emendez\Documents\MAURICIO%20CARVAJAL\CIFRAS%20INFORME%20SALUD.xlsx" TargetMode="External"/><Relationship Id="rId1" Type="http://schemas.openxmlformats.org/officeDocument/2006/relationships/themeOverride" Target="../theme/themeOverride3.xml"/><Relationship Id="rId4"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openxmlformats.org/officeDocument/2006/relationships/oleObject" Target="file:///C:\Users\emendez\Documents\MAURICIO%20CARVAJAL\CIFRAS%20INFORME%20SALUD.xlsx" TargetMode="External"/><Relationship Id="rId1" Type="http://schemas.openxmlformats.org/officeDocument/2006/relationships/themeOverride" Target="../theme/themeOverride4.xml"/><Relationship Id="rId4"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microsoft.com/office/2011/relationships/chartColorStyle" Target="colors5.xml"/><Relationship Id="rId2" Type="http://schemas.openxmlformats.org/officeDocument/2006/relationships/oleObject" Target="file:///C:\Users\hernramirez\Desktop\homicidios\2016.xlsx" TargetMode="External"/><Relationship Id="rId1" Type="http://schemas.openxmlformats.org/officeDocument/2006/relationships/themeOverride" Target="../theme/themeOverride5.xml"/><Relationship Id="rId4"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microsoft.com/office/2011/relationships/chartColorStyle" Target="colors6.xml"/><Relationship Id="rId2" Type="http://schemas.openxmlformats.org/officeDocument/2006/relationships/oleObject" Target="file:///C:\Users\hernramirez\Desktop\homicidios\2016.xlsx" TargetMode="External"/><Relationship Id="rId1" Type="http://schemas.openxmlformats.org/officeDocument/2006/relationships/themeOverride" Target="../theme/themeOverride6.xml"/><Relationship Id="rId4"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3"/>
              </a:solidFill>
              <a:ln w="19050">
                <a:solidFill>
                  <a:schemeClr val="lt1"/>
                </a:solidFill>
              </a:ln>
              <a:effectLst/>
            </c:spPr>
          </c:dPt>
          <c:dLbls>
            <c:dLbl>
              <c:idx val="0"/>
              <c:layout>
                <c:manualLayout>
                  <c:x val="-0.24084778420038544"/>
                  <c:y val="0.1450657314123944"/>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mn-lt"/>
                        <a:ea typeface="+mn-ea"/>
                        <a:cs typeface="+mn-cs"/>
                      </a:defRPr>
                    </a:pPr>
                    <a:fld id="{D5DC1245-3C4F-4B22-8150-6E852F2296A0}" type="VALUE">
                      <a:rPr lang="en-US" sz="1000" b="1"/>
                      <a:pPr>
                        <a:defRPr sz="1000" b="1" i="0" u="none" strike="noStrike" kern="1200" baseline="0">
                          <a:solidFill>
                            <a:schemeClr val="tx1">
                              <a:lumMod val="75000"/>
                              <a:lumOff val="25000"/>
                            </a:schemeClr>
                          </a:solidFill>
                          <a:latin typeface="+mn-lt"/>
                          <a:ea typeface="+mn-ea"/>
                          <a:cs typeface="+mn-cs"/>
                        </a:defRPr>
                      </a:pPr>
                      <a:t>[VALOR]</a:t>
                    </a:fld>
                    <a:endParaRPr lang="en-US" sz="1000" b="1"/>
                  </a:p>
                  <a:p>
                    <a:pPr>
                      <a:defRPr sz="1000" b="1" i="0" u="none" strike="noStrike" kern="1200" baseline="0">
                        <a:solidFill>
                          <a:schemeClr val="tx1">
                            <a:lumMod val="75000"/>
                            <a:lumOff val="25000"/>
                          </a:schemeClr>
                        </a:solidFill>
                        <a:latin typeface="+mn-lt"/>
                        <a:ea typeface="+mn-ea"/>
                        <a:cs typeface="+mn-cs"/>
                      </a:defRPr>
                    </a:pPr>
                    <a:r>
                      <a:rPr lang="en-US" sz="1000" b="1"/>
                      <a:t>(45%)</a:t>
                    </a:r>
                  </a:p>
                </c:rich>
              </c:tx>
              <c:spPr>
                <a:noFill/>
                <a:ln>
                  <a:noFill/>
                </a:ln>
                <a:effectLst/>
              </c:spPr>
              <c:showLegendKey val="0"/>
              <c:showVal val="1"/>
              <c:showCatName val="0"/>
              <c:showSerName val="0"/>
              <c:showPercent val="1"/>
              <c:showBubbleSize val="0"/>
              <c:extLst>
                <c:ext xmlns:c15="http://schemas.microsoft.com/office/drawing/2012/chart" uri="{CE6537A1-D6FC-4f65-9D91-7224C49458BB}">
                  <c15:layout>
                    <c:manualLayout>
                      <c:w val="0.19942196531791909"/>
                      <c:h val="0.27510917030567683"/>
                    </c:manualLayout>
                  </c15:layout>
                  <c15:dlblFieldTable/>
                  <c15:showDataLabelsRange val="0"/>
                </c:ext>
              </c:extLst>
            </c:dLbl>
            <c:dLbl>
              <c:idx val="1"/>
              <c:layout>
                <c:manualLayout>
                  <c:x val="0.17038535645472061"/>
                  <c:y val="-0.17252323808868869"/>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mn-lt"/>
                        <a:ea typeface="+mn-ea"/>
                        <a:cs typeface="+mn-cs"/>
                      </a:defRPr>
                    </a:pPr>
                    <a:fld id="{D812DC48-6FB0-4BDE-830C-45F74BD397EE}" type="VALUE">
                      <a:rPr lang="en-US" sz="1000" b="1"/>
                      <a:pPr>
                        <a:defRPr sz="1000" b="1" i="0" u="none" strike="noStrike" kern="1200" baseline="0">
                          <a:solidFill>
                            <a:schemeClr val="tx1">
                              <a:lumMod val="75000"/>
                              <a:lumOff val="25000"/>
                            </a:schemeClr>
                          </a:solidFill>
                          <a:latin typeface="+mn-lt"/>
                          <a:ea typeface="+mn-ea"/>
                          <a:cs typeface="+mn-cs"/>
                        </a:defRPr>
                      </a:pPr>
                      <a:t>[VALOR]</a:t>
                    </a:fld>
                    <a:r>
                      <a:rPr lang="en-US" sz="1000" b="1" baseline="0"/>
                      <a:t> (</a:t>
                    </a:r>
                    <a:fld id="{A4397FA1-AA0B-4CAA-BCE5-FEAB96881B5A}" type="PERCENTAGE">
                      <a:rPr lang="en-US" sz="1000" b="1" baseline="0"/>
                      <a:pPr>
                        <a:defRPr sz="1000" b="1" i="0" u="none" strike="noStrike" kern="1200" baseline="0">
                          <a:solidFill>
                            <a:schemeClr val="tx1">
                              <a:lumMod val="75000"/>
                              <a:lumOff val="25000"/>
                            </a:schemeClr>
                          </a:solidFill>
                          <a:latin typeface="+mn-lt"/>
                          <a:ea typeface="+mn-ea"/>
                          <a:cs typeface="+mn-cs"/>
                        </a:defRPr>
                      </a:pPr>
                      <a:t>[PORCENTAJE]</a:t>
                    </a:fld>
                    <a:r>
                      <a:rPr lang="en-US" sz="1000" b="1" baseline="0"/>
                      <a:t>)</a:t>
                    </a:r>
                  </a:p>
                </c:rich>
              </c:tx>
              <c:spPr>
                <a:noFill/>
                <a:ln>
                  <a:noFill/>
                </a:ln>
                <a:effectLst/>
              </c:spPr>
              <c:showLegendKey val="0"/>
              <c:showVal val="1"/>
              <c:showCatName val="0"/>
              <c:showSerName val="0"/>
              <c:showPercent val="1"/>
              <c:showBubbleSize val="0"/>
              <c:extLst>
                <c:ext xmlns:c15="http://schemas.microsoft.com/office/drawing/2012/chart" uri="{CE6537A1-D6FC-4f65-9D91-7224C49458BB}">
                  <c15:layout>
                    <c:manualLayout>
                      <c:w val="0.15055876685934486"/>
                      <c:h val="0.16294054946188494"/>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'Graficas Requerimientos Medicos'!$C$9:$C$10</c:f>
              <c:strCache>
                <c:ptCount val="2"/>
                <c:pt idx="0">
                  <c:v>Pendientes</c:v>
                </c:pt>
                <c:pt idx="1">
                  <c:v>Autorizadas</c:v>
                </c:pt>
              </c:strCache>
            </c:strRef>
          </c:cat>
          <c:val>
            <c:numRef>
              <c:f>'Graficas Requerimientos Medicos'!$D$9:$D$10</c:f>
              <c:numCache>
                <c:formatCode>#,##0</c:formatCode>
                <c:ptCount val="2"/>
                <c:pt idx="0">
                  <c:v>15671</c:v>
                </c:pt>
                <c:pt idx="1">
                  <c:v>19223</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69227891311273948"/>
          <c:y val="0.40012745131749361"/>
          <c:w val="0.235948295480406"/>
          <c:h val="0.15625109361329836"/>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chemeClr val="accent4">
                  <a:lumMod val="60000"/>
                  <a:lumOff val="40000"/>
                </a:schemeClr>
              </a:solidFill>
              <a:ln w="19050">
                <a:solidFill>
                  <a:schemeClr val="lt1"/>
                </a:solidFill>
              </a:ln>
              <a:effectLst/>
            </c:spPr>
          </c:dPt>
          <c:dPt>
            <c:idx val="1"/>
            <c:bubble3D val="0"/>
            <c:spPr>
              <a:solidFill>
                <a:schemeClr val="accent2"/>
              </a:solidFill>
              <a:ln w="19050">
                <a:solidFill>
                  <a:schemeClr val="lt1"/>
                </a:solidFill>
              </a:ln>
              <a:effectLst/>
            </c:spPr>
          </c:dPt>
          <c:dLbls>
            <c:dLbl>
              <c:idx val="0"/>
              <c:layout>
                <c:manualLayout>
                  <c:x val="-0.22474386822336856"/>
                  <c:y val="5.0422154412768712E-2"/>
                </c:manualLayout>
              </c:layout>
              <c:spPr>
                <a:noFill/>
                <a:ln>
                  <a:noFill/>
                </a:ln>
                <a:effectLst/>
              </c:spPr>
              <c:txPr>
                <a:bodyPr rot="0" spcFirstLastPara="1" vertOverflow="ellipsis" vert="horz" wrap="square" lIns="38100" tIns="19050" rIns="38100" bIns="19050" anchor="ctr" anchorCtr="1">
                  <a:noAutofit/>
                </a:bodyPr>
                <a:lstStyle/>
                <a:p>
                  <a:pPr>
                    <a:defRPr sz="14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15:layout>
                    <c:manualLayout>
                      <c:w val="0.14429872990014178"/>
                      <c:h val="0.13691812221624983"/>
                    </c:manualLayout>
                  </c15:layout>
                </c:ext>
              </c:extLst>
            </c:dLbl>
            <c:dLbl>
              <c:idx val="1"/>
              <c:layout>
                <c:manualLayout>
                  <c:x val="0.20223499160700298"/>
                  <c:y val="-0.18539693668428425"/>
                </c:manualLayout>
              </c:layout>
              <c:tx>
                <c:rich>
                  <a:bodyPr rot="0" spcFirstLastPara="1" vertOverflow="ellipsis" vert="horz" wrap="square" lIns="38100" tIns="19050" rIns="38100" bIns="19050" anchor="ctr" anchorCtr="1">
                    <a:noAutofit/>
                  </a:bodyPr>
                  <a:lstStyle/>
                  <a:p>
                    <a:pPr>
                      <a:defRPr sz="1400" b="1" i="0" u="none" strike="noStrike" kern="1200" baseline="0">
                        <a:solidFill>
                          <a:srgbClr val="FF0000"/>
                        </a:solidFill>
                        <a:latin typeface="+mn-lt"/>
                        <a:ea typeface="+mn-ea"/>
                        <a:cs typeface="+mn-cs"/>
                      </a:defRPr>
                    </a:pPr>
                    <a:fld id="{C8F0571F-BC73-4DC3-88A6-AF5ECA8A036B}" type="VALUE">
                      <a:rPr lang="en-US" sz="1400" b="1">
                        <a:solidFill>
                          <a:srgbClr val="FF0000"/>
                        </a:solidFill>
                      </a:rPr>
                      <a:pPr>
                        <a:defRPr sz="1400" b="1" i="0" u="none" strike="noStrike" kern="1200" baseline="0">
                          <a:solidFill>
                            <a:srgbClr val="FF0000"/>
                          </a:solidFill>
                          <a:latin typeface="+mn-lt"/>
                          <a:ea typeface="+mn-ea"/>
                          <a:cs typeface="+mn-cs"/>
                        </a:defRPr>
                      </a:pPr>
                      <a:t>[VALOR]</a:t>
                    </a:fld>
                    <a:endParaRPr lang="en-US" sz="1400" b="1">
                      <a:solidFill>
                        <a:srgbClr val="FF0000"/>
                      </a:solidFill>
                    </a:endParaRPr>
                  </a:p>
                  <a:p>
                    <a:pPr>
                      <a:defRPr sz="1400" b="1" i="0" u="none" strike="noStrike" kern="1200" baseline="0">
                        <a:solidFill>
                          <a:srgbClr val="FF0000"/>
                        </a:solidFill>
                        <a:latin typeface="+mn-lt"/>
                        <a:ea typeface="+mn-ea"/>
                        <a:cs typeface="+mn-cs"/>
                      </a:defRPr>
                    </a:pPr>
                    <a:r>
                      <a:rPr lang="en-US" sz="1400" b="1">
                        <a:solidFill>
                          <a:srgbClr val="FF0000"/>
                        </a:solidFill>
                      </a:rPr>
                      <a:t>(54%)</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0.15033000071181876"/>
                      <c:h val="0.20680545068852696"/>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'Graficas Requerimientos Medicos'!$B$21:$B$22</c:f>
              <c:strCache>
                <c:ptCount val="2"/>
                <c:pt idx="0">
                  <c:v>Cumplen</c:v>
                </c:pt>
                <c:pt idx="1">
                  <c:v>No Cumplen</c:v>
                </c:pt>
              </c:strCache>
            </c:strRef>
          </c:cat>
          <c:val>
            <c:numRef>
              <c:f>'Graficas Requerimientos Medicos'!$C$21:$C$22</c:f>
              <c:numCache>
                <c:formatCode>General</c:formatCode>
                <c:ptCount val="2"/>
                <c:pt idx="0">
                  <c:v>62</c:v>
                </c:pt>
                <c:pt idx="1">
                  <c:v>72</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70131354270371371"/>
          <c:y val="0.42187431031474187"/>
          <c:w val="0.22278237095363077"/>
          <c:h val="0.15625109361329836"/>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8703594131658403E-2"/>
          <c:y val="0.16260396516179423"/>
          <c:w val="0.58289472486459426"/>
          <c:h val="0.69786012042612322"/>
        </c:manualLayout>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5">
                  <a:lumMod val="40000"/>
                  <a:lumOff val="60000"/>
                </a:schemeClr>
              </a:solidFill>
              <a:ln w="19050">
                <a:solidFill>
                  <a:schemeClr val="lt1"/>
                </a:solidFill>
              </a:ln>
              <a:effectLst/>
            </c:spPr>
          </c:dPt>
          <c:dLbls>
            <c:dLbl>
              <c:idx val="0"/>
              <c:layout>
                <c:manualLayout>
                  <c:x val="-0.15159648522195601"/>
                  <c:y val="0.13927035937116852"/>
                </c:manualLayout>
              </c:layout>
              <c:spPr>
                <a:noFill/>
                <a:ln>
                  <a:noFill/>
                </a:ln>
                <a:effectLst/>
              </c:spPr>
              <c:txPr>
                <a:bodyPr rot="0" spcFirstLastPara="1" vertOverflow="ellipsis" vert="horz" wrap="square" lIns="38100" tIns="19050" rIns="38100" bIns="19050" anchor="ctr" anchorCtr="1">
                  <a:noAutofit/>
                </a:bodyPr>
                <a:lstStyle/>
                <a:p>
                  <a:pPr>
                    <a:defRPr sz="14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15:layout>
                    <c:manualLayout>
                      <c:w val="0.10507756095705428"/>
                      <c:h val="0.11114186851211072"/>
                    </c:manualLayout>
                  </c15:layout>
                </c:ext>
              </c:extLst>
            </c:dLbl>
            <c:dLbl>
              <c:idx val="1"/>
              <c:layout>
                <c:manualLayout>
                  <c:x val="0.18155493320002142"/>
                  <c:y val="-0.25282111362377291"/>
                </c:manualLayout>
              </c:layout>
              <c:tx>
                <c:rich>
                  <a:bodyPr rot="0" spcFirstLastPara="1" vertOverflow="ellipsis" vert="horz" wrap="square" lIns="38100" tIns="19050" rIns="38100" bIns="19050" anchor="ctr" anchorCtr="1">
                    <a:noAutofit/>
                  </a:bodyPr>
                  <a:lstStyle/>
                  <a:p>
                    <a:pPr>
                      <a:defRPr sz="1200" b="1" i="0" u="none" strike="noStrike" kern="1200" baseline="0">
                        <a:solidFill>
                          <a:srgbClr val="FF0000"/>
                        </a:solidFill>
                        <a:latin typeface="+mn-lt"/>
                        <a:ea typeface="+mn-ea"/>
                        <a:cs typeface="+mn-cs"/>
                      </a:defRPr>
                    </a:pPr>
                    <a:fld id="{E4AE0A9D-8309-48F5-B981-BF8601F9C6E0}" type="VALUE">
                      <a:rPr lang="en-US" sz="1200" b="1">
                        <a:solidFill>
                          <a:srgbClr val="FF0000"/>
                        </a:solidFill>
                      </a:rPr>
                      <a:pPr>
                        <a:defRPr sz="1200" b="1" i="0" u="none" strike="noStrike" kern="1200" baseline="0">
                          <a:solidFill>
                            <a:srgbClr val="FF0000"/>
                          </a:solidFill>
                          <a:latin typeface="+mn-lt"/>
                          <a:ea typeface="+mn-ea"/>
                          <a:cs typeface="+mn-cs"/>
                        </a:defRPr>
                      </a:pPr>
                      <a:t>[VALOR]</a:t>
                    </a:fld>
                    <a:endParaRPr lang="en-US" sz="1200" b="1">
                      <a:solidFill>
                        <a:srgbClr val="FF0000"/>
                      </a:solidFill>
                    </a:endParaRPr>
                  </a:p>
                  <a:p>
                    <a:pPr>
                      <a:defRPr sz="1200" b="1" i="0" u="none" strike="noStrike" kern="1200" baseline="0">
                        <a:solidFill>
                          <a:srgbClr val="FF0000"/>
                        </a:solidFill>
                        <a:latin typeface="+mn-lt"/>
                        <a:ea typeface="+mn-ea"/>
                        <a:cs typeface="+mn-cs"/>
                      </a:defRPr>
                    </a:pPr>
                    <a:r>
                      <a:rPr lang="en-US" sz="1200" b="1">
                        <a:solidFill>
                          <a:srgbClr val="FF0000"/>
                        </a:solidFill>
                      </a:rPr>
                      <a:t>(74%)</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0.15278738630763286"/>
                      <c:h val="0.18497161903205006"/>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'Graficas Requerimientos Medicos'!$B$40:$B$41</c:f>
              <c:strCache>
                <c:ptCount val="2"/>
                <c:pt idx="0">
                  <c:v>Cumplen</c:v>
                </c:pt>
                <c:pt idx="1">
                  <c:v>No Cumplen</c:v>
                </c:pt>
              </c:strCache>
            </c:strRef>
          </c:cat>
          <c:val>
            <c:numRef>
              <c:f>'Graficas Requerimientos Medicos'!$C$40:$C$41</c:f>
              <c:numCache>
                <c:formatCode>General</c:formatCode>
                <c:ptCount val="2"/>
                <c:pt idx="0">
                  <c:v>35</c:v>
                </c:pt>
                <c:pt idx="1">
                  <c:v>100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72023637218758063"/>
          <c:y val="0.42187432453296281"/>
          <c:w val="0.25083003352904587"/>
          <c:h val="0.15625109361329836"/>
        </c:manualLayout>
      </c:layout>
      <c:overlay val="0"/>
      <c:spPr>
        <a:noFill/>
        <a:ln>
          <a:noFill/>
        </a:ln>
        <a:effectLst/>
      </c:spPr>
      <c:txPr>
        <a:bodyPr rot="0" spcFirstLastPara="1" vertOverflow="ellipsis" vert="horz" wrap="square" anchor="ctr" anchorCtr="1"/>
        <a:lstStyle/>
        <a:p>
          <a:pPr rtl="0">
            <a:defRPr sz="9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spPr>
            <a:solidFill>
              <a:schemeClr val="accent6">
                <a:lumMod val="40000"/>
                <a:lumOff val="60000"/>
              </a:schemeClr>
            </a:solidFill>
          </c:spPr>
          <c:dPt>
            <c:idx val="0"/>
            <c:bubble3D val="0"/>
            <c:spPr>
              <a:solidFill>
                <a:schemeClr val="accent6">
                  <a:lumMod val="75000"/>
                </a:schemeClr>
              </a:solidFill>
              <a:ln w="19050">
                <a:solidFill>
                  <a:schemeClr val="lt1"/>
                </a:solidFill>
              </a:ln>
              <a:effectLst/>
            </c:spPr>
          </c:dPt>
          <c:dPt>
            <c:idx val="1"/>
            <c:bubble3D val="0"/>
            <c:spPr>
              <a:solidFill>
                <a:schemeClr val="accent6">
                  <a:lumMod val="60000"/>
                  <a:lumOff val="40000"/>
                </a:schemeClr>
              </a:solidFill>
              <a:ln w="19050">
                <a:solidFill>
                  <a:schemeClr val="lt1"/>
                </a:solidFill>
              </a:ln>
              <a:effectLst/>
            </c:spPr>
          </c:dPt>
          <c:dLbls>
            <c:dLbl>
              <c:idx val="0"/>
              <c:layout>
                <c:manualLayout>
                  <c:x val="-0.10797729088211799"/>
                  <c:y val="-0.30998651210265393"/>
                </c:manualLayout>
              </c:layout>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15:layout>
                    <c:manualLayout>
                      <c:w val="0.15202898550724639"/>
                      <c:h val="0.10564814814814814"/>
                    </c:manualLayout>
                  </c15:layout>
                </c:ext>
              </c:extLst>
            </c:dLbl>
            <c:dLbl>
              <c:idx val="1"/>
              <c:layout>
                <c:manualLayout>
                  <c:x val="7.897623530754308E-2"/>
                  <c:y val="0.14672353455818021"/>
                </c:manualLayout>
              </c:layout>
              <c:tx>
                <c:rich>
                  <a:bodyPr rot="0" spcFirstLastPara="1" vertOverflow="ellipsis" vert="horz" wrap="square" lIns="38100" tIns="19050" rIns="38100" bIns="19050" anchor="ctr" anchorCtr="1">
                    <a:noAutofit/>
                  </a:bodyPr>
                  <a:lstStyle/>
                  <a:p>
                    <a:pPr>
                      <a:defRPr sz="1050" b="1" i="0" u="none" strike="noStrike" kern="1200" baseline="0">
                        <a:solidFill>
                          <a:schemeClr val="tx1">
                            <a:lumMod val="75000"/>
                            <a:lumOff val="25000"/>
                          </a:schemeClr>
                        </a:solidFill>
                        <a:latin typeface="+mn-lt"/>
                        <a:ea typeface="+mn-ea"/>
                        <a:cs typeface="+mn-cs"/>
                      </a:defRPr>
                    </a:pPr>
                    <a:fld id="{D9F67A70-94DB-4679-B684-C83756448BDF}" type="VALUE">
                      <a:rPr lang="en-US" sz="1050" b="1"/>
                      <a:pPr>
                        <a:defRPr sz="1050" b="1" i="0" u="none" strike="noStrike" kern="1200" baseline="0">
                          <a:solidFill>
                            <a:schemeClr val="tx1">
                              <a:lumMod val="75000"/>
                              <a:lumOff val="25000"/>
                            </a:schemeClr>
                          </a:solidFill>
                          <a:latin typeface="+mn-lt"/>
                          <a:ea typeface="+mn-ea"/>
                          <a:cs typeface="+mn-cs"/>
                        </a:defRPr>
                      </a:pPr>
                      <a:t>[VALOR]</a:t>
                    </a:fld>
                    <a:endParaRPr lang="en-US" sz="1050" b="1"/>
                  </a:p>
                  <a:p>
                    <a:pPr>
                      <a:defRPr sz="1050" b="1" i="0" u="none" strike="noStrike" kern="1200" baseline="0">
                        <a:solidFill>
                          <a:schemeClr val="tx1">
                            <a:lumMod val="75000"/>
                            <a:lumOff val="25000"/>
                          </a:schemeClr>
                        </a:solidFill>
                        <a:latin typeface="+mn-lt"/>
                        <a:ea typeface="+mn-ea"/>
                        <a:cs typeface="+mn-cs"/>
                      </a:defRPr>
                    </a:pPr>
                    <a:r>
                      <a:rPr lang="en-US" sz="1050" b="1"/>
                      <a:t>(8%)</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0.13571978774392329"/>
                      <c:h val="0.16659740449110527"/>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'Graficas Requerimientos Medicos'!$B$56:$B$57</c:f>
              <c:strCache>
                <c:ptCount val="2"/>
                <c:pt idx="0">
                  <c:v>Cumplen</c:v>
                </c:pt>
                <c:pt idx="1">
                  <c:v>No Cumplen</c:v>
                </c:pt>
              </c:strCache>
            </c:strRef>
          </c:cat>
          <c:val>
            <c:numRef>
              <c:f>'Graficas Requerimientos Medicos'!$C$56:$C$57</c:f>
              <c:numCache>
                <c:formatCode>General</c:formatCode>
                <c:ptCount val="2"/>
                <c:pt idx="0">
                  <c:v>123</c:v>
                </c:pt>
                <c:pt idx="1">
                  <c:v>11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70910361748259731"/>
          <c:y val="0.42187445319335082"/>
          <c:w val="0.24512261411110595"/>
          <c:h val="0.13310294546515017"/>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s-CO"/>
              <a:t>PARTICIPACIÓN DE HOMICIDIOS INTRAMURALES POR ESTABLECIMIENTO 2016</a:t>
            </a:r>
          </a:p>
        </c:rich>
      </c:tx>
      <c:overlay val="0"/>
      <c:spPr>
        <a:noFill/>
        <a:ln>
          <a:noFill/>
        </a:ln>
        <a:effectLst/>
      </c:spPr>
    </c:title>
    <c:autoTitleDeleted val="0"/>
    <c:plotArea>
      <c:layout/>
      <c:pieChart>
        <c:varyColors val="1"/>
        <c:ser>
          <c:idx val="0"/>
          <c:order val="0"/>
          <c:tx>
            <c:strRef>
              <c:f>'homicidios intramurales'!$B$632</c:f>
              <c:strCache>
                <c:ptCount val="1"/>
              </c:strCache>
            </c:strRef>
          </c:tx>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Pt>
            <c:idx val="3"/>
            <c:bubble3D val="0"/>
            <c:spPr>
              <a:solidFill>
                <a:schemeClr val="accent4"/>
              </a:solidFill>
              <a:ln>
                <a:noFill/>
              </a:ln>
              <a:effectLst>
                <a:outerShdw blurRad="254000" sx="102000" sy="102000" algn="ctr" rotWithShape="0">
                  <a:prstClr val="black">
                    <a:alpha val="20000"/>
                  </a:prstClr>
                </a:outerShdw>
              </a:effectLst>
            </c:spPr>
          </c:dPt>
          <c:dPt>
            <c:idx val="4"/>
            <c:bubble3D val="0"/>
            <c:spPr>
              <a:solidFill>
                <a:schemeClr val="accent5"/>
              </a:solidFill>
              <a:ln>
                <a:noFill/>
              </a:ln>
              <a:effectLst>
                <a:outerShdw blurRad="254000" sx="102000" sy="102000" algn="ctr" rotWithShape="0">
                  <a:prstClr val="black">
                    <a:alpha val="20000"/>
                  </a:prstClr>
                </a:outerShdw>
              </a:effectLst>
            </c:spPr>
          </c:dPt>
          <c:dPt>
            <c:idx val="5"/>
            <c:bubble3D val="0"/>
            <c:spPr>
              <a:solidFill>
                <a:schemeClr val="accent6"/>
              </a:solidFill>
              <a:ln>
                <a:noFill/>
              </a:ln>
              <a:effectLst>
                <a:outerShdw blurRad="254000" sx="102000" sy="102000" algn="ctr" rotWithShape="0">
                  <a:prstClr val="black">
                    <a:alpha val="20000"/>
                  </a:prstClr>
                </a:outerShdw>
              </a:effectLst>
            </c:spPr>
          </c:dPt>
          <c:dLbls>
            <c:dLbl>
              <c:idx val="0"/>
              <c:layout>
                <c:manualLayout>
                  <c:x val="-5.1009631371879312E-2"/>
                  <c:y val="9.111039359792493E-2"/>
                </c:manualLayout>
              </c:layout>
              <c:dLblPos val="bestFit"/>
              <c:showLegendKey val="0"/>
              <c:showVal val="0"/>
              <c:showCatName val="0"/>
              <c:showSerName val="0"/>
              <c:showPercent val="1"/>
              <c:showBubbleSize val="0"/>
              <c:extLst>
                <c:ext xmlns:c15="http://schemas.microsoft.com/office/drawing/2012/chart" uri="{CE6537A1-D6FC-4f65-9D91-7224C49458BB}"/>
              </c:extLst>
            </c:dLbl>
            <c:dLbl>
              <c:idx val="1"/>
              <c:layout>
                <c:manualLayout>
                  <c:x val="-5.9721056979436742E-2"/>
                  <c:y val="7.2098166589035853E-2"/>
                </c:manualLayout>
              </c:layout>
              <c:dLblPos val="bestFit"/>
              <c:showLegendKey val="0"/>
              <c:showVal val="0"/>
              <c:showCatName val="0"/>
              <c:showSerName val="0"/>
              <c:showPercent val="1"/>
              <c:showBubbleSize val="0"/>
              <c:extLst>
                <c:ext xmlns:c15="http://schemas.microsoft.com/office/drawing/2012/chart" uri="{CE6537A1-D6FC-4f65-9D91-7224C49458BB}"/>
              </c:extLst>
            </c:dLbl>
            <c:dLbl>
              <c:idx val="2"/>
              <c:layout>
                <c:manualLayout>
                  <c:x val="-7.3743842718079627E-2"/>
                  <c:y val="-4.6415313858467762E-2"/>
                </c:manualLayout>
              </c:layout>
              <c:dLblPos val="bestFit"/>
              <c:showLegendKey val="0"/>
              <c:showVal val="0"/>
              <c:showCatName val="0"/>
              <c:showSerName val="0"/>
              <c:showPercent val="1"/>
              <c:showBubbleSize val="0"/>
              <c:extLst>
                <c:ext xmlns:c15="http://schemas.microsoft.com/office/drawing/2012/chart" uri="{CE6537A1-D6FC-4f65-9D91-7224C49458BB}"/>
              </c:extLst>
            </c:dLbl>
            <c:dLbl>
              <c:idx val="3"/>
              <c:layout>
                <c:manualLayout>
                  <c:x val="4.2414510233965169E-2"/>
                  <c:y val="-0.15356426173173379"/>
                </c:manualLayout>
              </c:layout>
              <c:dLblPos val="bestFit"/>
              <c:showLegendKey val="0"/>
              <c:showVal val="0"/>
              <c:showCatName val="0"/>
              <c:showSerName val="0"/>
              <c:showPercent val="1"/>
              <c:showBubbleSize val="0"/>
              <c:extLst>
                <c:ext xmlns:c15="http://schemas.microsoft.com/office/drawing/2012/chart" uri="{CE6537A1-D6FC-4f65-9D91-7224C49458BB}"/>
              </c:extLst>
            </c:dLbl>
            <c:dLbl>
              <c:idx val="4"/>
              <c:layout>
                <c:manualLayout>
                  <c:x val="6.4393294605662524E-2"/>
                  <c:y val="5.9256740223751769E-2"/>
                </c:manualLayout>
              </c:layout>
              <c:dLblPos val="bestFit"/>
              <c:showLegendKey val="0"/>
              <c:showVal val="0"/>
              <c:showCatName val="0"/>
              <c:showSerName val="0"/>
              <c:showPercent val="1"/>
              <c:showBubbleSize val="0"/>
              <c:extLst>
                <c:ext xmlns:c15="http://schemas.microsoft.com/office/drawing/2012/chart" uri="{CE6537A1-D6FC-4f65-9D91-7224C49458BB}"/>
              </c:extLst>
            </c:dLbl>
            <c:dLbl>
              <c:idx val="5"/>
              <c:layout>
                <c:manualLayout>
                  <c:x val="3.9322136329081249E-2"/>
                  <c:y val="0.10823184603635005"/>
                </c:manualLayout>
              </c:layout>
              <c:dLblPos val="bestFit"/>
              <c:showLegendKey val="0"/>
              <c:showVal val="0"/>
              <c:showCatName val="0"/>
              <c:showSerName val="0"/>
              <c:showPercent val="1"/>
              <c:showBubbleSize val="0"/>
              <c:extLst>
                <c:ext xmlns:c15="http://schemas.microsoft.com/office/drawing/2012/chart" uri="{CE6537A1-D6FC-4f65-9D91-7224C49458BB}"/>
              </c:extLst>
            </c:dLbl>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'homicidios intramurales'!$A$633:$A$638</c:f>
              <c:strCache>
                <c:ptCount val="6"/>
                <c:pt idx="0">
                  <c:v>113 COMEB</c:v>
                </c:pt>
                <c:pt idx="1">
                  <c:v>148 EPMSC Acacias</c:v>
                </c:pt>
                <c:pt idx="2">
                  <c:v>235 EPAMSCAS Popayan</c:v>
                </c:pt>
                <c:pt idx="3">
                  <c:v>242 COJAM Jamundi</c:v>
                </c:pt>
                <c:pt idx="4">
                  <c:v>303 EPMSC Cartagena</c:v>
                </c:pt>
                <c:pt idx="5">
                  <c:v>407 EPMSC Pamplona</c:v>
                </c:pt>
              </c:strCache>
            </c:strRef>
          </c:cat>
          <c:val>
            <c:numRef>
              <c:f>'homicidios intramurales'!$B$633:$B$638</c:f>
              <c:numCache>
                <c:formatCode>General</c:formatCode>
                <c:ptCount val="6"/>
                <c:pt idx="0">
                  <c:v>1</c:v>
                </c:pt>
                <c:pt idx="1">
                  <c:v>1</c:v>
                </c:pt>
                <c:pt idx="2">
                  <c:v>2</c:v>
                </c:pt>
                <c:pt idx="3">
                  <c:v>3</c:v>
                </c:pt>
                <c:pt idx="4">
                  <c:v>1</c:v>
                </c:pt>
                <c:pt idx="5">
                  <c:v>1</c:v>
                </c:pt>
              </c:numCache>
            </c:numRef>
          </c:val>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SUICIDIOS INTRAMURALES 2016</a:t>
            </a:r>
          </a:p>
        </c:rich>
      </c:tx>
      <c:overlay val="0"/>
      <c:spPr>
        <a:noFill/>
        <a:ln>
          <a:noFill/>
        </a:ln>
        <a:effectLst/>
      </c:spPr>
    </c:title>
    <c:autoTitleDeleted val="0"/>
    <c:plotArea>
      <c:layout/>
      <c:pieChart>
        <c:varyColors val="1"/>
        <c:ser>
          <c:idx val="0"/>
          <c:order val="0"/>
          <c:tx>
            <c:strRef>
              <c:f>'suicidios '!$B$1</c:f>
              <c:strCache>
                <c:ptCount val="1"/>
                <c:pt idx="0">
                  <c:v>SUICIDIOS</c:v>
                </c:pt>
              </c:strCache>
            </c:strRef>
          </c:tx>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Pt>
            <c:idx val="3"/>
            <c:bubble3D val="0"/>
            <c:spPr>
              <a:solidFill>
                <a:schemeClr val="accent4"/>
              </a:solidFill>
              <a:ln>
                <a:noFill/>
              </a:ln>
              <a:effectLst>
                <a:outerShdw blurRad="254000" sx="102000" sy="102000" algn="ctr" rotWithShape="0">
                  <a:prstClr val="black">
                    <a:alpha val="20000"/>
                  </a:prstClr>
                </a:outerShdw>
              </a:effectLst>
            </c:spPr>
          </c:dPt>
          <c:dPt>
            <c:idx val="4"/>
            <c:bubble3D val="0"/>
            <c:spPr>
              <a:solidFill>
                <a:schemeClr val="accent5"/>
              </a:solidFill>
              <a:ln>
                <a:noFill/>
              </a:ln>
              <a:effectLst>
                <a:outerShdw blurRad="254000" sx="102000" sy="102000" algn="ctr" rotWithShape="0">
                  <a:prstClr val="black">
                    <a:alpha val="20000"/>
                  </a:prstClr>
                </a:outerShdw>
              </a:effectLst>
            </c:spPr>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'suicidios '!$A$2:$A$6</c:f>
              <c:strCache>
                <c:ptCount val="5"/>
                <c:pt idx="0">
                  <c:v>113 COMEB</c:v>
                </c:pt>
                <c:pt idx="1">
                  <c:v>144 EPMSC Chaparral</c:v>
                </c:pt>
                <c:pt idx="2">
                  <c:v>219 EPMSC La Union</c:v>
                </c:pt>
                <c:pt idx="3">
                  <c:v>242 COJAM Jamundi</c:v>
                </c:pt>
                <c:pt idx="4">
                  <c:v>639 COIBA Ibague</c:v>
                </c:pt>
              </c:strCache>
            </c:strRef>
          </c:cat>
          <c:val>
            <c:numRef>
              <c:f>'suicidios '!$B$2:$B$6</c:f>
              <c:numCache>
                <c:formatCode>General</c:formatCode>
                <c:ptCount val="5"/>
                <c:pt idx="0">
                  <c:v>2</c:v>
                </c:pt>
                <c:pt idx="1">
                  <c:v>1</c:v>
                </c:pt>
                <c:pt idx="2">
                  <c:v>1</c:v>
                </c:pt>
                <c:pt idx="3">
                  <c:v>1</c:v>
                </c:pt>
                <c:pt idx="4">
                  <c:v>1</c:v>
                </c:pt>
              </c:numCache>
            </c:numRef>
          </c:val>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2">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C6A65F-B88A-4D18-B049-EF8F17EA706B}"/>
</file>

<file path=customXml/itemProps2.xml><?xml version="1.0" encoding="utf-8"?>
<ds:datastoreItem xmlns:ds="http://schemas.openxmlformats.org/officeDocument/2006/customXml" ds:itemID="{712C0544-70F4-42D0-A239-A279A76DDCE1}"/>
</file>

<file path=customXml/itemProps3.xml><?xml version="1.0" encoding="utf-8"?>
<ds:datastoreItem xmlns:ds="http://schemas.openxmlformats.org/officeDocument/2006/customXml" ds:itemID="{225FDC1A-E368-45B3-845B-6112E9383600}"/>
</file>

<file path=customXml/itemProps4.xml><?xml version="1.0" encoding="utf-8"?>
<ds:datastoreItem xmlns:ds="http://schemas.openxmlformats.org/officeDocument/2006/customXml" ds:itemID="{E64C6583-8279-4785-AB6B-7A53C6C57257}"/>
</file>

<file path=docProps/app.xml><?xml version="1.0" encoding="utf-8"?>
<Properties xmlns="http://schemas.openxmlformats.org/officeDocument/2006/extended-properties" xmlns:vt="http://schemas.openxmlformats.org/officeDocument/2006/docPropsVTypes">
  <Template>Normal.dotm</Template>
  <TotalTime>1</TotalTime>
  <Pages>32</Pages>
  <Words>9852</Words>
  <Characters>56162</Characters>
  <Application>Microsoft Office Word</Application>
  <DocSecurity>0</DocSecurity>
  <Lines>468</Lines>
  <Paragraphs>131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65883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Jimenez</dc:creator>
  <cp:lastModifiedBy>United Nations</cp:lastModifiedBy>
  <cp:revision>2</cp:revision>
  <dcterms:created xsi:type="dcterms:W3CDTF">2017-01-23T11:57:00Z</dcterms:created>
  <dcterms:modified xsi:type="dcterms:W3CDTF">2017-01-23T11:57:00Z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