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40FD" w:rsidRDefault="00DC40FD" w:rsidP="00B827FF">
      <w:pPr>
        <w:spacing w:before="120" w:after="120" w:line="240" w:lineRule="auto"/>
        <w:jc w:val="center"/>
        <w:rPr>
          <w:b/>
          <w:sz w:val="32"/>
          <w:szCs w:val="32"/>
          <w:lang w:val="fr-FR"/>
        </w:rPr>
      </w:pPr>
      <w:r>
        <w:rPr>
          <w:noProof/>
          <w:lang w:eastAsia="fr-CH"/>
        </w:rPr>
        <w:drawing>
          <wp:anchor distT="0" distB="0" distL="114300" distR="114300" simplePos="0" relativeHeight="251659264" behindDoc="0" locked="0" layoutInCell="1" allowOverlap="1" wp14:anchorId="23280305" wp14:editId="55A0D8F5">
            <wp:simplePos x="0" y="0"/>
            <wp:positionH relativeFrom="column">
              <wp:posOffset>2710180</wp:posOffset>
            </wp:positionH>
            <wp:positionV relativeFrom="paragraph">
              <wp:posOffset>-280670</wp:posOffset>
            </wp:positionV>
            <wp:extent cx="2503805" cy="368300"/>
            <wp:effectExtent l="0" t="0" r="0" b="0"/>
            <wp:wrapNone/>
            <wp:docPr id="3" name="Picture 3"/>
            <wp:cNvGraphicFramePr/>
            <a:graphic xmlns:a="http://schemas.openxmlformats.org/drawingml/2006/main">
              <a:graphicData uri="http://schemas.openxmlformats.org/drawingml/2006/picture">
                <pic:pic xmlns:pic="http://schemas.openxmlformats.org/drawingml/2006/picture">
                  <pic:nvPicPr>
                    <pic:cNvPr id="423" name="Picture 423"/>
                    <pic:cNvPicPr/>
                  </pic:nvPicPr>
                  <pic:blipFill>
                    <a:blip r:embed="rId8">
                      <a:extLst>
                        <a:ext uri="{28A0092B-C50C-407E-A947-70E740481C1C}">
                          <a14:useLocalDpi xmlns:a14="http://schemas.microsoft.com/office/drawing/2010/main" val="0"/>
                        </a:ext>
                      </a:extLst>
                    </a:blip>
                    <a:stretch>
                      <a:fillRect/>
                    </a:stretch>
                  </pic:blipFill>
                  <pic:spPr>
                    <a:xfrm>
                      <a:off x="0" y="0"/>
                      <a:ext cx="2503805" cy="368300"/>
                    </a:xfrm>
                    <a:prstGeom prst="rect">
                      <a:avLst/>
                    </a:prstGeom>
                  </pic:spPr>
                </pic:pic>
              </a:graphicData>
            </a:graphic>
            <wp14:sizeRelH relativeFrom="page">
              <wp14:pctWidth>0</wp14:pctWidth>
            </wp14:sizeRelH>
            <wp14:sizeRelV relativeFrom="page">
              <wp14:pctHeight>0</wp14:pctHeight>
            </wp14:sizeRelV>
          </wp:anchor>
        </w:drawing>
      </w:r>
      <w:r>
        <w:rPr>
          <w:noProof/>
          <w:lang w:eastAsia="fr-CH"/>
        </w:rPr>
        <w:drawing>
          <wp:anchor distT="0" distB="0" distL="114300" distR="114300" simplePos="0" relativeHeight="251658240" behindDoc="0" locked="0" layoutInCell="1" allowOverlap="1" wp14:anchorId="3EFC0B16" wp14:editId="6E79682F">
            <wp:simplePos x="0" y="0"/>
            <wp:positionH relativeFrom="column">
              <wp:posOffset>500380</wp:posOffset>
            </wp:positionH>
            <wp:positionV relativeFrom="paragraph">
              <wp:posOffset>-585470</wp:posOffset>
            </wp:positionV>
            <wp:extent cx="1619250" cy="1057275"/>
            <wp:effectExtent l="0" t="0" r="0" b="9525"/>
            <wp:wrapNone/>
            <wp:docPr id="2" name="Image 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19250" cy="1057275"/>
                    </a:xfrm>
                    <a:prstGeom prst="rect">
                      <a:avLst/>
                    </a:prstGeom>
                  </pic:spPr>
                </pic:pic>
              </a:graphicData>
            </a:graphic>
            <wp14:sizeRelH relativeFrom="page">
              <wp14:pctWidth>0</wp14:pctWidth>
            </wp14:sizeRelH>
            <wp14:sizeRelV relativeFrom="page">
              <wp14:pctHeight>0</wp14:pctHeight>
            </wp14:sizeRelV>
          </wp:anchor>
        </w:drawing>
      </w:r>
    </w:p>
    <w:p w:rsidR="00DC40FD" w:rsidRDefault="00DC40FD" w:rsidP="00B827FF">
      <w:pPr>
        <w:spacing w:before="120" w:after="120" w:line="240" w:lineRule="auto"/>
        <w:jc w:val="center"/>
        <w:rPr>
          <w:b/>
          <w:sz w:val="32"/>
          <w:szCs w:val="32"/>
          <w:lang w:val="fr-FR"/>
        </w:rPr>
      </w:pPr>
    </w:p>
    <w:p w:rsidR="00B827FF" w:rsidRPr="00B908CF" w:rsidRDefault="00B827FF" w:rsidP="00B827FF">
      <w:pPr>
        <w:spacing w:before="120" w:after="120" w:line="240" w:lineRule="auto"/>
        <w:jc w:val="center"/>
        <w:rPr>
          <w:b/>
          <w:sz w:val="32"/>
          <w:szCs w:val="32"/>
          <w:lang w:val="fr-FR"/>
        </w:rPr>
      </w:pPr>
      <w:r w:rsidRPr="00B908CF">
        <w:rPr>
          <w:b/>
          <w:sz w:val="32"/>
          <w:szCs w:val="32"/>
          <w:lang w:val="fr-FR"/>
        </w:rPr>
        <w:t xml:space="preserve">Examen du </w:t>
      </w:r>
      <w:r w:rsidR="00624BD0" w:rsidRPr="00B908CF">
        <w:rPr>
          <w:b/>
          <w:sz w:val="32"/>
          <w:szCs w:val="32"/>
          <w:lang w:val="fr-FR"/>
        </w:rPr>
        <w:t>3</w:t>
      </w:r>
      <w:r w:rsidR="00624BD0" w:rsidRPr="00B908CF">
        <w:rPr>
          <w:b/>
          <w:sz w:val="32"/>
          <w:szCs w:val="32"/>
          <w:vertAlign w:val="superscript"/>
          <w:lang w:val="fr-FR"/>
        </w:rPr>
        <w:t>ème</w:t>
      </w:r>
      <w:r w:rsidR="00624BD0" w:rsidRPr="00B908CF">
        <w:rPr>
          <w:b/>
          <w:sz w:val="32"/>
          <w:szCs w:val="32"/>
          <w:lang w:val="fr-FR"/>
        </w:rPr>
        <w:t xml:space="preserve"> </w:t>
      </w:r>
      <w:r w:rsidRPr="00B908CF">
        <w:rPr>
          <w:b/>
          <w:sz w:val="32"/>
          <w:szCs w:val="32"/>
          <w:lang w:val="fr-FR"/>
        </w:rPr>
        <w:t xml:space="preserve">rapport périodique du </w:t>
      </w:r>
      <w:r w:rsidR="00983DF4" w:rsidRPr="00B908CF">
        <w:rPr>
          <w:b/>
          <w:sz w:val="32"/>
          <w:szCs w:val="32"/>
          <w:lang w:val="fr-FR"/>
        </w:rPr>
        <w:t>Burkina Faso</w:t>
      </w:r>
      <w:r w:rsidRPr="00B908CF">
        <w:rPr>
          <w:b/>
          <w:sz w:val="32"/>
          <w:szCs w:val="32"/>
          <w:lang w:val="fr-FR"/>
        </w:rPr>
        <w:t xml:space="preserve"> par le Comité contre la Torture (CAT)</w:t>
      </w:r>
    </w:p>
    <w:p w:rsidR="00826B8C" w:rsidRDefault="00B827FF" w:rsidP="00B827FF">
      <w:pPr>
        <w:jc w:val="center"/>
        <w:rPr>
          <w:b/>
          <w:i/>
          <w:sz w:val="32"/>
          <w:szCs w:val="32"/>
          <w:lang w:val="fr-FR"/>
        </w:rPr>
      </w:pPr>
      <w:r w:rsidRPr="00B908CF">
        <w:rPr>
          <w:b/>
          <w:i/>
          <w:sz w:val="32"/>
          <w:szCs w:val="32"/>
          <w:lang w:val="fr-FR"/>
        </w:rPr>
        <w:t xml:space="preserve">Rapport alternatif conjoint – </w:t>
      </w:r>
      <w:r w:rsidR="00983DF4" w:rsidRPr="00B908CF">
        <w:rPr>
          <w:b/>
          <w:i/>
          <w:sz w:val="32"/>
          <w:szCs w:val="32"/>
          <w:lang w:val="fr-FR"/>
        </w:rPr>
        <w:t>Octobre</w:t>
      </w:r>
      <w:r w:rsidRPr="00B908CF">
        <w:rPr>
          <w:b/>
          <w:i/>
          <w:sz w:val="32"/>
          <w:szCs w:val="32"/>
          <w:lang w:val="fr-FR"/>
        </w:rPr>
        <w:t xml:space="preserve"> 2019</w:t>
      </w:r>
    </w:p>
    <w:p w:rsidR="00DC40FD" w:rsidRPr="00DC40FD" w:rsidRDefault="00DC40FD" w:rsidP="00DC40FD">
      <w:pPr>
        <w:spacing w:before="120" w:after="120" w:line="240" w:lineRule="auto"/>
        <w:jc w:val="center"/>
        <w:rPr>
          <w:b/>
          <w:i/>
          <w:lang w:val="fr-FR"/>
        </w:rPr>
      </w:pPr>
    </w:p>
    <w:p w:rsidR="00B827FF" w:rsidRPr="00DC40FD" w:rsidRDefault="00B827FF" w:rsidP="00DC40FD">
      <w:pPr>
        <w:pStyle w:val="Heading1"/>
        <w:numPr>
          <w:ilvl w:val="0"/>
          <w:numId w:val="1"/>
        </w:numPr>
        <w:spacing w:before="120" w:after="120" w:line="240" w:lineRule="auto"/>
        <w:rPr>
          <w:rFonts w:asciiTheme="minorHAnsi" w:hAnsiTheme="minorHAnsi"/>
          <w:b/>
          <w:color w:val="auto"/>
          <w:sz w:val="22"/>
          <w:szCs w:val="22"/>
          <w:lang w:val="fr-FR"/>
        </w:rPr>
      </w:pPr>
      <w:bookmarkStart w:id="0" w:name="_Toc10817323"/>
      <w:bookmarkStart w:id="1" w:name="_Toc526169853"/>
      <w:r w:rsidRPr="00DC40FD">
        <w:rPr>
          <w:rFonts w:asciiTheme="minorHAnsi" w:hAnsiTheme="minorHAnsi"/>
          <w:b/>
          <w:color w:val="auto"/>
          <w:sz w:val="22"/>
          <w:szCs w:val="22"/>
          <w:lang w:val="fr-FR"/>
        </w:rPr>
        <w:t>Auteurs du rapport</w:t>
      </w:r>
      <w:bookmarkEnd w:id="0"/>
      <w:bookmarkEnd w:id="1"/>
    </w:p>
    <w:p w:rsidR="00B827FF" w:rsidRPr="00DC40FD" w:rsidRDefault="00B827FF" w:rsidP="00DC40FD">
      <w:pPr>
        <w:spacing w:before="120" w:after="120" w:line="240" w:lineRule="auto"/>
        <w:jc w:val="both"/>
        <w:rPr>
          <w:lang w:val="fr-FR"/>
        </w:rPr>
      </w:pPr>
      <w:r w:rsidRPr="00DC40FD">
        <w:rPr>
          <w:lang w:val="fr-FR"/>
        </w:rPr>
        <w:t xml:space="preserve">Ce rapport a été préparée par la Coalition </w:t>
      </w:r>
      <w:r w:rsidR="00983DF4" w:rsidRPr="00DC40FD">
        <w:rPr>
          <w:lang w:val="fr-FR"/>
        </w:rPr>
        <w:t>Burkinabé</w:t>
      </w:r>
      <w:r w:rsidRPr="00DC40FD">
        <w:rPr>
          <w:lang w:val="fr-FR"/>
        </w:rPr>
        <w:t xml:space="preserve"> des défenseurs des droits de l’Homme (C</w:t>
      </w:r>
      <w:r w:rsidR="00983DF4" w:rsidRPr="00DC40FD">
        <w:rPr>
          <w:lang w:val="fr-FR"/>
        </w:rPr>
        <w:t>B</w:t>
      </w:r>
      <w:r w:rsidRPr="00DC40FD">
        <w:rPr>
          <w:lang w:val="fr-FR"/>
        </w:rPr>
        <w:t xml:space="preserve">DDH) sur la base d’informations fournies par les organisations </w:t>
      </w:r>
      <w:r w:rsidR="00983DF4" w:rsidRPr="00DC40FD">
        <w:rPr>
          <w:lang w:val="fr-FR"/>
        </w:rPr>
        <w:t>burkinabé</w:t>
      </w:r>
      <w:r w:rsidRPr="00DC40FD">
        <w:rPr>
          <w:lang w:val="fr-FR"/>
        </w:rPr>
        <w:t xml:space="preserve"> membres de la coalition sur le suivi des recommandations des mécanismes onusiens, avec le soutien du Service international pour les droits de l’Homme (</w:t>
      </w:r>
      <w:hyperlink r:id="rId10" w:history="1">
        <w:r w:rsidRPr="00DC40FD">
          <w:rPr>
            <w:rStyle w:val="Hyperlink"/>
            <w:lang w:val="fr-FR"/>
          </w:rPr>
          <w:t>www.ishr.ch</w:t>
        </w:r>
      </w:hyperlink>
      <w:r w:rsidRPr="00DC40FD">
        <w:rPr>
          <w:lang w:val="fr-FR"/>
        </w:rPr>
        <w:t xml:space="preserve">).  </w:t>
      </w:r>
    </w:p>
    <w:p w:rsidR="00B827FF" w:rsidRPr="00DC40FD" w:rsidRDefault="00AD7CB2" w:rsidP="00DC40FD">
      <w:pPr>
        <w:pStyle w:val="ListParagraph"/>
        <w:numPr>
          <w:ilvl w:val="0"/>
          <w:numId w:val="2"/>
        </w:numPr>
        <w:spacing w:before="120" w:after="120" w:line="240" w:lineRule="auto"/>
        <w:jc w:val="both"/>
        <w:rPr>
          <w:lang w:val="fr-FR"/>
        </w:rPr>
      </w:pPr>
      <w:r w:rsidRPr="00DC40FD">
        <w:rPr>
          <w:lang w:val="fr-FR"/>
        </w:rPr>
        <w:t>La Coalition Burkinabè des Défenseurs des Droits Humains (CBDDH) regroupe une vingtaine d’organisations de la société civile exerçant dans le domaine des droits humains. La CBDDH représente la section burkinabè du Réseau Ouest Africain des Défenseurs des Droits Humains (ROADDH). Depuis sa création, elle s’est notamment investie dans la protection et la défense des droits des défenseurs des droits humains, notamment des plus vulnérables. C’est à ce titre que la CBDDH s’est impliquée dans le processus d’élaboration et d’adoption de la loi de protection des défenseurs des droits humains au Burkina Faso qui fut adoptée le 27 juin 2017.</w:t>
      </w:r>
      <w:r w:rsidR="00B827FF" w:rsidRPr="00DC40FD">
        <w:rPr>
          <w:lang w:val="fr-FR"/>
        </w:rPr>
        <w:t xml:space="preserve"> </w:t>
      </w:r>
    </w:p>
    <w:p w:rsidR="00B827FF" w:rsidRPr="00DC40FD" w:rsidRDefault="00B827FF" w:rsidP="00DC40FD">
      <w:pPr>
        <w:pStyle w:val="ListParagraph"/>
        <w:numPr>
          <w:ilvl w:val="0"/>
          <w:numId w:val="2"/>
        </w:numPr>
        <w:spacing w:before="120" w:after="120" w:line="240" w:lineRule="auto"/>
        <w:jc w:val="both"/>
        <w:rPr>
          <w:lang w:val="fr-FR"/>
        </w:rPr>
      </w:pPr>
      <w:r w:rsidRPr="00DC40FD">
        <w:rPr>
          <w:lang w:val="fr-FR"/>
        </w:rPr>
        <w:t xml:space="preserve">ISHR est une ONG internationale basée à Genève et ayant des bureaux à New York et Abidjan, qui travaille pour la reconnaissance et la protection des défenseurs et défenseures des droits humains, par le renforcement de capacités, du plaidoyer et du contentieux auprès des organismes internationaux de protection des droits humains. </w:t>
      </w:r>
    </w:p>
    <w:p w:rsidR="00B827FF" w:rsidRPr="00DC40FD" w:rsidRDefault="00B827FF" w:rsidP="00DC40FD">
      <w:pPr>
        <w:pStyle w:val="ListParagraph"/>
        <w:spacing w:before="120" w:after="120" w:line="240" w:lineRule="auto"/>
        <w:jc w:val="both"/>
        <w:rPr>
          <w:lang w:val="fr-FR"/>
        </w:rPr>
      </w:pPr>
    </w:p>
    <w:p w:rsidR="00B827FF" w:rsidRPr="00DC40FD" w:rsidRDefault="00B827FF" w:rsidP="00DC40FD">
      <w:pPr>
        <w:spacing w:before="120" w:after="120" w:line="240" w:lineRule="auto"/>
        <w:jc w:val="both"/>
        <w:rPr>
          <w:lang w:val="fr-FR"/>
        </w:rPr>
      </w:pPr>
      <w:r w:rsidRPr="00DC40FD">
        <w:rPr>
          <w:lang w:val="fr-FR"/>
        </w:rPr>
        <w:t>Contacts :</w:t>
      </w:r>
    </w:p>
    <w:tbl>
      <w:tblPr>
        <w:tblW w:w="8815" w:type="dxa"/>
        <w:tblLook w:val="04A0" w:firstRow="1" w:lastRow="0" w:firstColumn="1" w:lastColumn="0" w:noHBand="0" w:noVBand="1"/>
      </w:tblPr>
      <w:tblGrid>
        <w:gridCol w:w="4395"/>
        <w:gridCol w:w="4420"/>
      </w:tblGrid>
      <w:tr w:rsidR="00B827FF" w:rsidRPr="00DC40FD" w:rsidTr="00B827FF">
        <w:trPr>
          <w:trHeight w:val="284"/>
        </w:trPr>
        <w:tc>
          <w:tcPr>
            <w:tcW w:w="4395" w:type="dxa"/>
            <w:hideMark/>
          </w:tcPr>
          <w:p w:rsidR="00B827FF" w:rsidRPr="00DC40FD" w:rsidRDefault="00B827FF" w:rsidP="00DC40FD">
            <w:pPr>
              <w:spacing w:before="120" w:after="120" w:line="240" w:lineRule="auto"/>
              <w:rPr>
                <w:rFonts w:cs="Calibri"/>
                <w:lang w:val="fr-FR"/>
              </w:rPr>
            </w:pPr>
            <w:r w:rsidRPr="00DC40FD">
              <w:rPr>
                <w:rFonts w:cs="Calibri"/>
                <w:b/>
                <w:lang w:val="fr-FR"/>
              </w:rPr>
              <w:t>C</w:t>
            </w:r>
            <w:r w:rsidR="00256347" w:rsidRPr="00DC40FD">
              <w:rPr>
                <w:rFonts w:cs="Calibri"/>
                <w:b/>
                <w:lang w:val="fr-FR"/>
              </w:rPr>
              <w:t>B</w:t>
            </w:r>
            <w:r w:rsidRPr="00DC40FD">
              <w:rPr>
                <w:rFonts w:cs="Calibri"/>
                <w:b/>
                <w:lang w:val="fr-FR"/>
              </w:rPr>
              <w:t>DDH</w:t>
            </w:r>
            <w:r w:rsidRPr="00DC40FD">
              <w:rPr>
                <w:rFonts w:cs="Calibri"/>
                <w:b/>
                <w:lang w:val="fr-FR"/>
              </w:rPr>
              <w:br/>
            </w:r>
            <w:r w:rsidR="00235133" w:rsidRPr="00DC40FD">
              <w:rPr>
                <w:rFonts w:cs="Calibri"/>
                <w:lang w:val="fr-FR"/>
              </w:rPr>
              <w:t>Florence Ouattara</w:t>
            </w:r>
          </w:p>
          <w:p w:rsidR="00865EEF" w:rsidRPr="00DC40FD" w:rsidRDefault="00087EE3" w:rsidP="00DC40FD">
            <w:pPr>
              <w:spacing w:before="120" w:after="120" w:line="240" w:lineRule="auto"/>
              <w:rPr>
                <w:rFonts w:cs="Calibri"/>
                <w:lang w:val="fr-FR"/>
              </w:rPr>
            </w:pPr>
            <w:hyperlink r:id="rId11" w:history="1">
              <w:r w:rsidR="00256347" w:rsidRPr="00DC40FD">
                <w:rPr>
                  <w:rStyle w:val="Hyperlink"/>
                  <w:rFonts w:cs="Calibri"/>
                  <w:lang w:val="fr-FR"/>
                </w:rPr>
                <w:t>florencek_ouattara@yahoo.fr</w:t>
              </w:r>
            </w:hyperlink>
            <w:r w:rsidR="00256347" w:rsidRPr="00DC40FD">
              <w:rPr>
                <w:rFonts w:cs="Calibri"/>
                <w:lang w:val="fr-FR"/>
              </w:rPr>
              <w:t xml:space="preserve"> </w:t>
            </w:r>
          </w:p>
          <w:p w:rsidR="00B827FF" w:rsidRPr="00DC40FD" w:rsidRDefault="00B827FF" w:rsidP="00DC40FD">
            <w:pPr>
              <w:spacing w:before="120" w:after="120" w:line="240" w:lineRule="auto"/>
              <w:rPr>
                <w:rFonts w:cs="Calibri"/>
                <w:lang w:val="fr-FR"/>
              </w:rPr>
            </w:pPr>
            <w:r w:rsidRPr="00DC40FD">
              <w:rPr>
                <w:rFonts w:cs="Calibri"/>
                <w:lang w:val="fr-FR"/>
              </w:rPr>
              <w:t xml:space="preserve">Tél : </w:t>
            </w:r>
            <w:r w:rsidR="00061E5D" w:rsidRPr="00DC40FD">
              <w:rPr>
                <w:rFonts w:cs="Calibri"/>
                <w:lang w:val="fr-FR"/>
              </w:rPr>
              <w:t>+226 70 24 96 91/ 76 44 47 51</w:t>
            </w:r>
            <w:r w:rsidRPr="00DC40FD">
              <w:rPr>
                <w:rFonts w:cs="Calibri"/>
                <w:lang w:val="fr-FR"/>
              </w:rPr>
              <w:t xml:space="preserve">  </w:t>
            </w:r>
          </w:p>
          <w:p w:rsidR="00B827FF" w:rsidRPr="00DC40FD" w:rsidRDefault="00B827FF" w:rsidP="00DC40FD">
            <w:pPr>
              <w:spacing w:before="120" w:after="120" w:line="240" w:lineRule="auto"/>
              <w:rPr>
                <w:rFonts w:cs="Calibri"/>
                <w:lang w:val="fr-FR"/>
              </w:rPr>
            </w:pPr>
          </w:p>
        </w:tc>
        <w:tc>
          <w:tcPr>
            <w:tcW w:w="4420" w:type="dxa"/>
            <w:hideMark/>
          </w:tcPr>
          <w:p w:rsidR="00865EEF" w:rsidRPr="00DC40FD" w:rsidRDefault="00B827FF" w:rsidP="00DC40FD">
            <w:pPr>
              <w:spacing w:before="120" w:after="120" w:line="240" w:lineRule="auto"/>
              <w:rPr>
                <w:rFonts w:cs="Calibri"/>
                <w:b/>
                <w:lang w:val="fr-FR"/>
              </w:rPr>
            </w:pPr>
            <w:r w:rsidRPr="00DC40FD">
              <w:rPr>
                <w:rFonts w:cs="Calibri"/>
                <w:b/>
                <w:lang w:val="fr-FR"/>
              </w:rPr>
              <w:t>ISHR</w:t>
            </w:r>
          </w:p>
          <w:p w:rsidR="00B827FF" w:rsidRPr="00DC40FD" w:rsidRDefault="00865EEF" w:rsidP="00DC40FD">
            <w:pPr>
              <w:spacing w:before="120" w:after="120" w:line="240" w:lineRule="auto"/>
              <w:rPr>
                <w:rFonts w:cs="Calibri"/>
                <w:lang w:val="fr-FR"/>
              </w:rPr>
            </w:pPr>
            <w:r w:rsidRPr="00DC40FD">
              <w:rPr>
                <w:rFonts w:cs="Calibri"/>
                <w:lang w:val="fr-FR"/>
              </w:rPr>
              <w:t>Adélaïde Etong Kame</w:t>
            </w:r>
            <w:r w:rsidR="00B827FF" w:rsidRPr="00DC40FD">
              <w:rPr>
                <w:rFonts w:cs="Calibri"/>
                <w:b/>
                <w:lang w:val="fr-FR"/>
              </w:rPr>
              <w:br/>
            </w:r>
            <w:hyperlink r:id="rId12" w:history="1">
              <w:r w:rsidRPr="00DC40FD">
                <w:rPr>
                  <w:rStyle w:val="Hyperlink"/>
                  <w:rFonts w:cs="Calibri"/>
                  <w:lang w:val="fr-FR"/>
                </w:rPr>
                <w:t>a.etong@ishr.ch</w:t>
              </w:r>
            </w:hyperlink>
            <w:r w:rsidRPr="00DC40FD">
              <w:rPr>
                <w:rFonts w:cs="Calibri"/>
                <w:lang w:val="fr-FR"/>
              </w:rPr>
              <w:t xml:space="preserve"> </w:t>
            </w:r>
          </w:p>
          <w:p w:rsidR="00B827FF" w:rsidRPr="00DC40FD" w:rsidRDefault="00B827FF" w:rsidP="00DC40FD">
            <w:pPr>
              <w:spacing w:before="120" w:after="120" w:line="240" w:lineRule="auto"/>
              <w:rPr>
                <w:rFonts w:cs="Calibri"/>
                <w:lang w:val="fr-FR"/>
              </w:rPr>
            </w:pPr>
            <w:r w:rsidRPr="00DC40FD">
              <w:rPr>
                <w:rFonts w:cs="Calibri"/>
                <w:lang w:val="fr-FR"/>
              </w:rPr>
              <w:t>Tel: (41) 22919217</w:t>
            </w:r>
          </w:p>
        </w:tc>
      </w:tr>
    </w:tbl>
    <w:p w:rsidR="00C5738A" w:rsidRPr="00DC40FD" w:rsidRDefault="00C5738A" w:rsidP="00DC40FD">
      <w:pPr>
        <w:spacing w:before="120" w:after="120" w:line="240" w:lineRule="auto"/>
        <w:rPr>
          <w:lang w:val="en-GB"/>
        </w:rPr>
      </w:pPr>
    </w:p>
    <w:p w:rsidR="00C5738A" w:rsidRPr="00DC40FD" w:rsidRDefault="004B0CB1" w:rsidP="00DC40FD">
      <w:pPr>
        <w:spacing w:before="120" w:after="120" w:line="240" w:lineRule="auto"/>
        <w:jc w:val="both"/>
        <w:rPr>
          <w:b/>
          <w:u w:val="single"/>
          <w:lang w:val="fr-FR"/>
        </w:rPr>
      </w:pPr>
      <w:r w:rsidRPr="00DC40FD">
        <w:rPr>
          <w:b/>
          <w:u w:val="single"/>
          <w:lang w:val="fr-FR"/>
        </w:rPr>
        <w:t>C</w:t>
      </w:r>
      <w:r w:rsidR="00C5738A" w:rsidRPr="00DC40FD">
        <w:rPr>
          <w:b/>
          <w:u w:val="single"/>
          <w:lang w:val="fr-FR"/>
        </w:rPr>
        <w:t>ontext</w:t>
      </w:r>
      <w:r w:rsidR="00D90DDC" w:rsidRPr="00DC40FD">
        <w:rPr>
          <w:b/>
          <w:u w:val="single"/>
          <w:lang w:val="fr-FR"/>
        </w:rPr>
        <w:t>e</w:t>
      </w:r>
      <w:r w:rsidR="00713DF5" w:rsidRPr="00DC40FD">
        <w:rPr>
          <w:b/>
          <w:u w:val="single"/>
          <w:lang w:val="fr-FR"/>
        </w:rPr>
        <w:t xml:space="preserve"> et mise en œuvre du CAT au Burkina Faso</w:t>
      </w:r>
    </w:p>
    <w:p w:rsidR="004E1FAF" w:rsidRDefault="004E1FAF" w:rsidP="00DC40FD">
      <w:pPr>
        <w:spacing w:before="120" w:after="120" w:line="240" w:lineRule="auto"/>
        <w:jc w:val="both"/>
        <w:rPr>
          <w:i/>
          <w:lang w:val="fr-FR"/>
        </w:rPr>
      </w:pPr>
    </w:p>
    <w:p w:rsidR="00D462D3" w:rsidRPr="00DC40FD" w:rsidRDefault="00D462D3" w:rsidP="00DC40FD">
      <w:pPr>
        <w:spacing w:before="120" w:after="120" w:line="240" w:lineRule="auto"/>
        <w:jc w:val="both"/>
        <w:rPr>
          <w:i/>
          <w:lang w:val="fr-FR"/>
        </w:rPr>
      </w:pPr>
      <w:r w:rsidRPr="00DC40FD">
        <w:rPr>
          <w:i/>
          <w:lang w:val="fr-FR"/>
        </w:rPr>
        <w:t>Article 2</w:t>
      </w:r>
    </w:p>
    <w:p w:rsidR="00D462D3" w:rsidRPr="00DC40FD" w:rsidRDefault="00D462D3" w:rsidP="00DC40FD">
      <w:pPr>
        <w:spacing w:before="120" w:after="120" w:line="240" w:lineRule="auto"/>
        <w:jc w:val="both"/>
        <w:rPr>
          <w:lang w:val="fr-FR"/>
        </w:rPr>
      </w:pPr>
      <w:r w:rsidRPr="00DC40FD">
        <w:rPr>
          <w:i/>
          <w:lang w:val="fr-FR"/>
        </w:rPr>
        <w:t>Tout Etat partie prend des mesures législatives, administratives, judiciaires et autres mesures efficaces pour empêcher que des actes de torture soient commis dans tout territoire sous sa juridiction.</w:t>
      </w:r>
    </w:p>
    <w:p w:rsidR="0055774E" w:rsidRPr="00DC40FD" w:rsidRDefault="0055774E" w:rsidP="00DC40FD">
      <w:pPr>
        <w:spacing w:before="120" w:after="120" w:line="240" w:lineRule="auto"/>
        <w:jc w:val="both"/>
        <w:rPr>
          <w:lang w:val="fr-FR"/>
        </w:rPr>
      </w:pPr>
      <w:r w:rsidRPr="00DC40FD">
        <w:rPr>
          <w:lang w:val="fr-FR"/>
        </w:rPr>
        <w:t xml:space="preserve">Le Burkina Faso a ratifié la Convention contre la </w:t>
      </w:r>
      <w:r w:rsidR="004B0CB1" w:rsidRPr="00DC40FD">
        <w:rPr>
          <w:lang w:val="fr-FR"/>
        </w:rPr>
        <w:t>torture et autres peines ou traitements cruels, inhumains ou dégradants</w:t>
      </w:r>
      <w:r w:rsidRPr="00DC40FD">
        <w:rPr>
          <w:lang w:val="fr-FR"/>
        </w:rPr>
        <w:t xml:space="preserve"> </w:t>
      </w:r>
      <w:r w:rsidR="004B0CB1" w:rsidRPr="00DC40FD">
        <w:rPr>
          <w:lang w:val="fr-FR"/>
        </w:rPr>
        <w:t xml:space="preserve">le 4 janvier 1999 et son protocole facultatif </w:t>
      </w:r>
      <w:r w:rsidRPr="00DC40FD">
        <w:rPr>
          <w:lang w:val="fr-FR"/>
        </w:rPr>
        <w:t xml:space="preserve">le 7 juillet 2010. En </w:t>
      </w:r>
      <w:r w:rsidR="004B0CB1" w:rsidRPr="00DC40FD">
        <w:rPr>
          <w:lang w:val="fr-FR"/>
        </w:rPr>
        <w:t xml:space="preserve">outre, </w:t>
      </w:r>
      <w:r w:rsidRPr="00DC40FD">
        <w:rPr>
          <w:lang w:val="fr-FR"/>
        </w:rPr>
        <w:t xml:space="preserve">l’article 151 de la Constitution </w:t>
      </w:r>
      <w:r w:rsidR="004B0CB1" w:rsidRPr="00DC40FD">
        <w:rPr>
          <w:lang w:val="fr-FR"/>
        </w:rPr>
        <w:t xml:space="preserve">du Burkina Faso donne une valeur supérieure à </w:t>
      </w:r>
      <w:r w:rsidRPr="00DC40FD">
        <w:rPr>
          <w:lang w:val="fr-FR"/>
        </w:rPr>
        <w:t>la Convention</w:t>
      </w:r>
      <w:r w:rsidR="004B0CB1" w:rsidRPr="00DC40FD">
        <w:rPr>
          <w:lang w:val="fr-FR"/>
        </w:rPr>
        <w:t xml:space="preserve"> par </w:t>
      </w:r>
      <w:r w:rsidR="00F543DF" w:rsidRPr="00DC40FD">
        <w:rPr>
          <w:lang w:val="fr-FR"/>
        </w:rPr>
        <w:t>rapport aux lois nationales et celle</w:t>
      </w:r>
      <w:r w:rsidR="004B0CB1" w:rsidRPr="00DC40FD">
        <w:rPr>
          <w:lang w:val="fr-FR"/>
        </w:rPr>
        <w:t xml:space="preserve">-ci </w:t>
      </w:r>
      <w:r w:rsidR="00F543DF" w:rsidRPr="00DC40FD">
        <w:rPr>
          <w:lang w:val="fr-FR"/>
        </w:rPr>
        <w:t>peut être invoquée</w:t>
      </w:r>
      <w:r w:rsidRPr="00DC40FD">
        <w:rPr>
          <w:lang w:val="fr-FR"/>
        </w:rPr>
        <w:t xml:space="preserve"> directement devant les institutions </w:t>
      </w:r>
      <w:r w:rsidR="004B0CB1" w:rsidRPr="00DC40FD">
        <w:rPr>
          <w:lang w:val="fr-FR"/>
        </w:rPr>
        <w:t xml:space="preserve">nationales </w:t>
      </w:r>
      <w:r w:rsidRPr="00DC40FD">
        <w:rPr>
          <w:lang w:val="fr-FR"/>
        </w:rPr>
        <w:t>compétentes.</w:t>
      </w:r>
    </w:p>
    <w:p w:rsidR="00F41840" w:rsidRPr="00DC40FD" w:rsidRDefault="004B0CB1" w:rsidP="00DC40FD">
      <w:pPr>
        <w:spacing w:before="120" w:after="120" w:line="240" w:lineRule="auto"/>
        <w:jc w:val="both"/>
        <w:rPr>
          <w:lang w:val="fr-FR"/>
        </w:rPr>
      </w:pPr>
      <w:r w:rsidRPr="00DC40FD">
        <w:rPr>
          <w:lang w:val="fr-FR"/>
        </w:rPr>
        <w:t>Dans le but d’</w:t>
      </w:r>
      <w:r w:rsidR="0055774E" w:rsidRPr="00DC40FD">
        <w:rPr>
          <w:lang w:val="fr-FR"/>
        </w:rPr>
        <w:t xml:space="preserve">intégrer les dispositions de </w:t>
      </w:r>
      <w:r w:rsidRPr="00DC40FD">
        <w:rPr>
          <w:lang w:val="fr-FR"/>
        </w:rPr>
        <w:t>ladite</w:t>
      </w:r>
      <w:r w:rsidR="0055774E" w:rsidRPr="00DC40FD">
        <w:rPr>
          <w:lang w:val="fr-FR"/>
        </w:rPr>
        <w:t xml:space="preserve"> Convention, l</w:t>
      </w:r>
      <w:r w:rsidR="00F141D8" w:rsidRPr="00DC40FD">
        <w:rPr>
          <w:lang w:val="fr-FR"/>
        </w:rPr>
        <w:t xml:space="preserve">e 27 Mai 2014 le Burkina Faso adoptait </w:t>
      </w:r>
      <w:r w:rsidR="00D542F2" w:rsidRPr="00DC40FD">
        <w:rPr>
          <w:lang w:val="fr-FR"/>
        </w:rPr>
        <w:t xml:space="preserve">la loi </w:t>
      </w:r>
      <w:hyperlink r:id="rId13" w:history="1">
        <w:r w:rsidR="00D542F2" w:rsidRPr="00DC40FD">
          <w:rPr>
            <w:rStyle w:val="Hyperlink"/>
            <w:lang w:val="fr-FR"/>
          </w:rPr>
          <w:t>N°022-2014/AN portant prévention et répression de la torture et des pratiques assimilées</w:t>
        </w:r>
      </w:hyperlink>
      <w:r w:rsidR="00EF035C">
        <w:rPr>
          <w:rStyle w:val="FootnoteReference"/>
          <w:color w:val="0070C0"/>
          <w:u w:val="single"/>
          <w:lang w:val="fr-FR"/>
        </w:rPr>
        <w:footnoteReference w:id="1"/>
      </w:r>
      <w:r w:rsidR="006A53EE" w:rsidRPr="00DC40FD">
        <w:rPr>
          <w:lang w:val="fr-FR"/>
        </w:rPr>
        <w:t xml:space="preserve">. </w:t>
      </w:r>
      <w:r w:rsidR="00ED10BA" w:rsidRPr="00DC40FD">
        <w:rPr>
          <w:lang w:val="fr-FR"/>
        </w:rPr>
        <w:t xml:space="preserve">S’en </w:t>
      </w:r>
      <w:r w:rsidR="00EA2BD0">
        <w:rPr>
          <w:lang w:val="fr-FR"/>
        </w:rPr>
        <w:t xml:space="preserve">est </w:t>
      </w:r>
      <w:r w:rsidR="00ED10BA" w:rsidRPr="00DC40FD">
        <w:rPr>
          <w:lang w:val="fr-FR"/>
        </w:rPr>
        <w:t xml:space="preserve">suivi le </w:t>
      </w:r>
      <w:r w:rsidR="008E4B04" w:rsidRPr="00DC40FD">
        <w:rPr>
          <w:lang w:val="fr-FR"/>
        </w:rPr>
        <w:t xml:space="preserve">31 Mai 2018 l’adoption de la loi </w:t>
      </w:r>
      <w:hyperlink r:id="rId14" w:history="1">
        <w:r w:rsidR="008E4B04" w:rsidRPr="00DC40FD">
          <w:rPr>
            <w:rStyle w:val="Hyperlink"/>
            <w:lang w:val="fr-FR"/>
          </w:rPr>
          <w:t>N°025-2018/AN portant sur le Code pénal</w:t>
        </w:r>
      </w:hyperlink>
      <w:r w:rsidR="00965022">
        <w:rPr>
          <w:rStyle w:val="FootnoteReference"/>
          <w:color w:val="0070C0"/>
          <w:u w:val="single"/>
          <w:lang w:val="fr-FR"/>
        </w:rPr>
        <w:footnoteReference w:id="2"/>
      </w:r>
      <w:r w:rsidR="008E4B04" w:rsidRPr="00DC40FD">
        <w:rPr>
          <w:lang w:val="fr-FR"/>
        </w:rPr>
        <w:t xml:space="preserve">. Ces deux lois constituent au Burkina Faso la base juridique criminalisant tout acte de torture. </w:t>
      </w:r>
    </w:p>
    <w:p w:rsidR="00F41840" w:rsidRPr="00DC40FD" w:rsidRDefault="00F41840" w:rsidP="00DC40FD">
      <w:pPr>
        <w:spacing w:before="120" w:after="120" w:line="240" w:lineRule="auto"/>
        <w:jc w:val="both"/>
        <w:rPr>
          <w:lang w:val="fr-FR"/>
        </w:rPr>
      </w:pPr>
      <w:r w:rsidRPr="00DC40FD">
        <w:rPr>
          <w:lang w:val="fr-FR"/>
        </w:rPr>
        <w:t xml:space="preserve">La loi n° 060-2009/AN du 17 décembre 2009 portant répression d’actes de terrorisme au Burkina Faso et son modificatif </w:t>
      </w:r>
      <w:hyperlink r:id="rId15" w:history="1">
        <w:r w:rsidRPr="00DC40FD">
          <w:rPr>
            <w:rStyle w:val="Hyperlink"/>
            <w:lang w:val="fr-FR"/>
          </w:rPr>
          <w:t>n°084-2015/CNT du 17 décembre 2015</w:t>
        </w:r>
      </w:hyperlink>
      <w:r w:rsidR="00153D28">
        <w:rPr>
          <w:rStyle w:val="FootnoteReference"/>
          <w:color w:val="0070C0"/>
          <w:u w:val="single"/>
          <w:lang w:val="fr-FR"/>
        </w:rPr>
        <w:footnoteReference w:id="3"/>
      </w:r>
      <w:r w:rsidRPr="00DC40FD">
        <w:rPr>
          <w:lang w:val="fr-FR"/>
        </w:rPr>
        <w:t xml:space="preserve"> encadre</w:t>
      </w:r>
      <w:r w:rsidR="00BE3AED">
        <w:rPr>
          <w:lang w:val="fr-FR"/>
        </w:rPr>
        <w:t>nt</w:t>
      </w:r>
      <w:r w:rsidRPr="00DC40FD">
        <w:rPr>
          <w:lang w:val="fr-FR"/>
        </w:rPr>
        <w:t xml:space="preserve"> la lutte contre le terrorisme au Burkina Faso. Néanmoins, les forces de défense et de sécurité exploitent cette loi et utilisent la torture sur des populations de certaines localités en vue d’obtenir des aveux ou des informations utiles pour leurs investigations. Ces pratiques sont courantes dans la région du Sahel qui enregistre le plus grand nombre d’attaques terroristes, et ayant causé plusieurs pertes en vie des f</w:t>
      </w:r>
      <w:r w:rsidR="00D9022D" w:rsidRPr="00DC40FD">
        <w:rPr>
          <w:lang w:val="fr-FR"/>
        </w:rPr>
        <w:t>orces de défense et de sécurité</w:t>
      </w:r>
      <w:r w:rsidR="006F634D">
        <w:rPr>
          <w:rStyle w:val="FootnoteReference"/>
          <w:lang w:val="fr-FR"/>
        </w:rPr>
        <w:footnoteReference w:id="4"/>
      </w:r>
      <w:r w:rsidR="00D9022D" w:rsidRPr="00DC40FD">
        <w:rPr>
          <w:lang w:val="fr-FR"/>
        </w:rPr>
        <w:t>.</w:t>
      </w:r>
    </w:p>
    <w:p w:rsidR="00F41840" w:rsidRPr="00DC40FD" w:rsidRDefault="001929E9" w:rsidP="00DC40FD">
      <w:pPr>
        <w:spacing w:before="120" w:after="120" w:line="240" w:lineRule="auto"/>
        <w:jc w:val="both"/>
        <w:rPr>
          <w:lang w:val="fr-FR"/>
        </w:rPr>
      </w:pPr>
      <w:r w:rsidRPr="00DC40FD">
        <w:rPr>
          <w:lang w:val="fr-FR"/>
        </w:rPr>
        <w:t xml:space="preserve">De plus, l’Etat s’est doté en Juin 2017 </w:t>
      </w:r>
      <w:r w:rsidR="00400C41">
        <w:rPr>
          <w:lang w:val="fr-FR"/>
        </w:rPr>
        <w:t>de la</w:t>
      </w:r>
      <w:r w:rsidR="0043092C" w:rsidRPr="00DC40FD">
        <w:rPr>
          <w:lang w:val="fr-FR"/>
        </w:rPr>
        <w:t xml:space="preserve"> </w:t>
      </w:r>
      <w:hyperlink r:id="rId16" w:history="1">
        <w:r w:rsidR="0043092C" w:rsidRPr="00DC40FD">
          <w:rPr>
            <w:rStyle w:val="Hyperlink"/>
            <w:lang w:val="fr-FR"/>
          </w:rPr>
          <w:t>loi N°039-2017/AN portant protection des défenseurs des droits humains au Burkina Faso</w:t>
        </w:r>
      </w:hyperlink>
      <w:r w:rsidR="00400C41">
        <w:rPr>
          <w:rStyle w:val="FootnoteReference"/>
          <w:color w:val="0070C0"/>
          <w:u w:val="single"/>
          <w:lang w:val="fr-FR"/>
        </w:rPr>
        <w:footnoteReference w:id="5"/>
      </w:r>
      <w:r w:rsidRPr="00DC40FD">
        <w:rPr>
          <w:lang w:val="fr-FR"/>
        </w:rPr>
        <w:t xml:space="preserve">. Cette loi garantie notamment </w:t>
      </w:r>
      <w:r w:rsidR="00F41840" w:rsidRPr="00DC40FD">
        <w:rPr>
          <w:lang w:val="fr-FR"/>
        </w:rPr>
        <w:t xml:space="preserve">au défenseur une protection de l’Etat contre tout acte de torture à travers son article 12, </w:t>
      </w:r>
      <w:r w:rsidR="00D66E44" w:rsidRPr="00DC40FD">
        <w:rPr>
          <w:lang w:val="fr-FR"/>
        </w:rPr>
        <w:t xml:space="preserve">l’interdiction d’extrader un défenseur vers un pays où il serait susceptible de subir des actes de torture (article </w:t>
      </w:r>
      <w:r w:rsidR="00F41840" w:rsidRPr="00DC40FD">
        <w:rPr>
          <w:lang w:val="fr-FR"/>
        </w:rPr>
        <w:t>15</w:t>
      </w:r>
      <w:r w:rsidR="00D66E44" w:rsidRPr="00DC40FD">
        <w:rPr>
          <w:lang w:val="fr-FR"/>
        </w:rPr>
        <w:t xml:space="preserve">) et prévoit un emprisonnement de </w:t>
      </w:r>
      <w:r w:rsidR="00567F52" w:rsidRPr="00DC40FD">
        <w:rPr>
          <w:lang w:val="fr-FR"/>
        </w:rPr>
        <w:t>trois à cinq ans pour tout acte</w:t>
      </w:r>
      <w:r w:rsidR="00D66E44" w:rsidRPr="00DC40FD">
        <w:rPr>
          <w:lang w:val="fr-FR"/>
        </w:rPr>
        <w:t xml:space="preserve"> de torture à l’encontre d’un défenseur (article</w:t>
      </w:r>
      <w:r w:rsidR="00F41840" w:rsidRPr="00DC40FD">
        <w:rPr>
          <w:lang w:val="fr-FR"/>
        </w:rPr>
        <w:t xml:space="preserve"> 24</w:t>
      </w:r>
      <w:r w:rsidRPr="00DC40FD">
        <w:rPr>
          <w:lang w:val="fr-FR"/>
        </w:rPr>
        <w:t>)</w:t>
      </w:r>
      <w:r w:rsidR="009E7150" w:rsidRPr="00DC40FD">
        <w:rPr>
          <w:lang w:val="fr-FR"/>
        </w:rPr>
        <w:t xml:space="preserve">. </w:t>
      </w:r>
      <w:r w:rsidR="00A967B6" w:rsidRPr="00DC40FD">
        <w:rPr>
          <w:lang w:val="fr-FR"/>
        </w:rPr>
        <w:t>Néanmoins, à traver</w:t>
      </w:r>
      <w:r w:rsidR="001863B8">
        <w:rPr>
          <w:lang w:val="fr-FR"/>
        </w:rPr>
        <w:t>s l’article 16 de cette l</w:t>
      </w:r>
      <w:r w:rsidR="00A967B6" w:rsidRPr="00DC40FD">
        <w:rPr>
          <w:lang w:val="fr-FR"/>
        </w:rPr>
        <w:t xml:space="preserve">oi, il est possible pour l’Etat de refouler ou expulser un défenseur au nom </w:t>
      </w:r>
      <w:proofErr w:type="gramStart"/>
      <w:r w:rsidR="00A967B6" w:rsidRPr="00DC40FD">
        <w:rPr>
          <w:lang w:val="fr-FR"/>
        </w:rPr>
        <w:t>de la sécurité intérieur</w:t>
      </w:r>
      <w:proofErr w:type="gramEnd"/>
      <w:r w:rsidR="00A967B6" w:rsidRPr="00DC40FD">
        <w:rPr>
          <w:lang w:val="fr-FR"/>
        </w:rPr>
        <w:t xml:space="preserve"> du pays. Une disposition allant à l’encontre de l’article 3 de la Convention prévoyant </w:t>
      </w:r>
      <w:proofErr w:type="gramStart"/>
      <w:r w:rsidR="00A967B6" w:rsidRPr="00DC40FD">
        <w:rPr>
          <w:lang w:val="fr-FR"/>
        </w:rPr>
        <w:t>qu</w:t>
      </w:r>
      <w:r w:rsidR="004E4C43" w:rsidRPr="00DC40FD">
        <w:rPr>
          <w:lang w:val="fr-FR"/>
        </w:rPr>
        <w:t>’ «</w:t>
      </w:r>
      <w:proofErr w:type="gramEnd"/>
      <w:r w:rsidR="00A967B6" w:rsidRPr="00DC40FD">
        <w:rPr>
          <w:lang w:val="fr-FR"/>
        </w:rPr>
        <w:t> aucun Etat partie n'expulsera, ne refoulera, ni n'extradera une personne vers un autre Etat où il y a des motifs sérieux de croire qu'elle risque d'être soumise à la torture ».</w:t>
      </w:r>
    </w:p>
    <w:p w:rsidR="00713DF5" w:rsidRPr="00DC40FD" w:rsidRDefault="00713DF5" w:rsidP="00DC40FD">
      <w:pPr>
        <w:spacing w:before="120" w:after="120" w:line="240" w:lineRule="auto"/>
        <w:jc w:val="both"/>
        <w:rPr>
          <w:lang w:val="fr-FR"/>
        </w:rPr>
      </w:pPr>
      <w:r w:rsidRPr="00DC40FD">
        <w:rPr>
          <w:lang w:val="fr-FR"/>
        </w:rPr>
        <w:t xml:space="preserve">Depuis lors, un mécanisme de protection des défenseurs doit être mis en place pour garantir la mise en œuvre de la loi, notamment pour protéger les défenseurs </w:t>
      </w:r>
      <w:r w:rsidR="00D9022D" w:rsidRPr="00DC40FD">
        <w:rPr>
          <w:lang w:val="fr-FR"/>
        </w:rPr>
        <w:t>à l’encontre de tout acte</w:t>
      </w:r>
      <w:r w:rsidR="00027D7A" w:rsidRPr="00DC40FD">
        <w:rPr>
          <w:lang w:val="fr-FR"/>
        </w:rPr>
        <w:t xml:space="preserve"> de torture. Néanmoins ce mécanisme, devant être légalement logé au sein de la Commission Nationale des droits de l’homme peine à être totalement opérationnel</w:t>
      </w:r>
      <w:r w:rsidR="006623D6">
        <w:rPr>
          <w:rStyle w:val="FootnoteReference"/>
          <w:lang w:val="fr-FR"/>
        </w:rPr>
        <w:footnoteReference w:id="6"/>
      </w:r>
      <w:r w:rsidR="00027D7A" w:rsidRPr="00DC40FD">
        <w:rPr>
          <w:lang w:val="fr-FR"/>
        </w:rPr>
        <w:t xml:space="preserve">. </w:t>
      </w:r>
    </w:p>
    <w:p w:rsidR="004E1FAF" w:rsidRDefault="004E1FAF" w:rsidP="00DC40FD">
      <w:pPr>
        <w:spacing w:before="120" w:after="120" w:line="240" w:lineRule="auto"/>
        <w:jc w:val="both"/>
        <w:rPr>
          <w:i/>
          <w:lang w:val="fr-FR"/>
        </w:rPr>
      </w:pPr>
    </w:p>
    <w:p w:rsidR="00372D83" w:rsidRPr="00DC40FD" w:rsidRDefault="00372D83" w:rsidP="00DC40FD">
      <w:pPr>
        <w:spacing w:before="120" w:after="120" w:line="240" w:lineRule="auto"/>
        <w:jc w:val="both"/>
        <w:rPr>
          <w:i/>
          <w:lang w:val="fr-FR"/>
        </w:rPr>
      </w:pPr>
      <w:r w:rsidRPr="00DC40FD">
        <w:rPr>
          <w:i/>
          <w:lang w:val="fr-FR"/>
        </w:rPr>
        <w:t>Article 4</w:t>
      </w:r>
    </w:p>
    <w:p w:rsidR="00372D83" w:rsidRPr="00DC40FD" w:rsidRDefault="00372D83" w:rsidP="00DC40FD">
      <w:pPr>
        <w:spacing w:before="120" w:after="120" w:line="240" w:lineRule="auto"/>
        <w:jc w:val="both"/>
        <w:rPr>
          <w:lang w:val="fr-FR"/>
        </w:rPr>
      </w:pPr>
      <w:r w:rsidRPr="00DC40FD">
        <w:rPr>
          <w:i/>
          <w:lang w:val="fr-FR"/>
        </w:rPr>
        <w:t>Tout Etat partie veille à ce que tous les actes de torture constituent des infractions au regard de son droit pénal. Il en est de même de la tentative de pratiquer la torture ou de tout acte commis par n'importe quelle personne qui constitue une complicité ou une participation à l'acte de torture.</w:t>
      </w:r>
    </w:p>
    <w:p w:rsidR="004E4C43" w:rsidRPr="00DC40FD" w:rsidRDefault="004E4C43" w:rsidP="00DC40FD">
      <w:pPr>
        <w:spacing w:before="120" w:after="120" w:line="240" w:lineRule="auto"/>
        <w:jc w:val="both"/>
        <w:rPr>
          <w:lang w:val="fr-FR"/>
        </w:rPr>
      </w:pPr>
      <w:r w:rsidRPr="00DC40FD">
        <w:rPr>
          <w:lang w:val="fr-FR"/>
        </w:rPr>
        <w:t xml:space="preserve">Le 1er juin 2018, le Burkina Faso a adopté  la  </w:t>
      </w:r>
      <w:hyperlink r:id="rId17" w:history="1">
        <w:r w:rsidR="000F4FB4" w:rsidRPr="00DC40FD">
          <w:rPr>
            <w:rStyle w:val="Hyperlink"/>
            <w:lang w:val="fr-FR"/>
          </w:rPr>
          <w:t>l</w:t>
        </w:r>
        <w:r w:rsidRPr="00DC40FD">
          <w:rPr>
            <w:rStyle w:val="Hyperlink"/>
            <w:lang w:val="fr-FR"/>
          </w:rPr>
          <w:t>oi N°026-2018/AN portant réglementation générale du renseignement au Burkina Faso</w:t>
        </w:r>
      </w:hyperlink>
      <w:r w:rsidR="004E1FAF">
        <w:rPr>
          <w:rStyle w:val="FootnoteReference"/>
          <w:color w:val="0070C0"/>
          <w:u w:val="single"/>
          <w:lang w:val="fr-FR"/>
        </w:rPr>
        <w:footnoteReference w:id="7"/>
      </w:r>
      <w:r w:rsidR="000F4FB4" w:rsidRPr="00DC40FD">
        <w:rPr>
          <w:lang w:val="fr-FR"/>
        </w:rPr>
        <w:t>. En l’état, cette loi</w:t>
      </w:r>
      <w:r w:rsidRPr="00DC40FD">
        <w:rPr>
          <w:lang w:val="fr-FR"/>
        </w:rPr>
        <w:t xml:space="preserve"> </w:t>
      </w:r>
      <w:r w:rsidR="000F4FB4" w:rsidRPr="00DC40FD">
        <w:rPr>
          <w:lang w:val="fr-FR"/>
        </w:rPr>
        <w:t>est susceptible de favoriser les abus et/garantir l’impunité. L’article 18 prévoit par exemple que</w:t>
      </w:r>
      <w:r w:rsidR="00B34109" w:rsidRPr="00DC40FD">
        <w:rPr>
          <w:lang w:val="fr-FR"/>
        </w:rPr>
        <w:t xml:space="preserve"> « sont</w:t>
      </w:r>
      <w:r w:rsidR="000F4FB4" w:rsidRPr="00DC40FD">
        <w:rPr>
          <w:lang w:val="fr-FR"/>
        </w:rPr>
        <w:t xml:space="preserve"> </w:t>
      </w:r>
      <w:r w:rsidRPr="00DC40FD">
        <w:rPr>
          <w:lang w:val="fr-FR"/>
        </w:rPr>
        <w:t>exemptés de peine</w:t>
      </w:r>
      <w:r w:rsidR="000F4FB4" w:rsidRPr="00DC40FD">
        <w:rPr>
          <w:lang w:val="fr-FR"/>
        </w:rPr>
        <w:t xml:space="preserve"> </w:t>
      </w:r>
      <w:r w:rsidRPr="00DC40FD">
        <w:rPr>
          <w:lang w:val="fr-FR"/>
        </w:rPr>
        <w:t>les</w:t>
      </w:r>
      <w:r w:rsidR="000F4FB4" w:rsidRPr="00DC40FD">
        <w:rPr>
          <w:lang w:val="fr-FR"/>
        </w:rPr>
        <w:t xml:space="preserve"> </w:t>
      </w:r>
      <w:r w:rsidRPr="00DC40FD">
        <w:rPr>
          <w:lang w:val="fr-FR"/>
        </w:rPr>
        <w:t xml:space="preserve">agents </w:t>
      </w:r>
      <w:r w:rsidR="00B34109" w:rsidRPr="00DC40FD">
        <w:rPr>
          <w:lang w:val="fr-FR"/>
        </w:rPr>
        <w:t>de renseignement qui, dans</w:t>
      </w:r>
      <w:r w:rsidRPr="00DC40FD">
        <w:rPr>
          <w:lang w:val="fr-FR"/>
        </w:rPr>
        <w:t xml:space="preserve"> le cadre de leurs missions, commettent des</w:t>
      </w:r>
      <w:r w:rsidR="000F4FB4" w:rsidRPr="00DC40FD">
        <w:rPr>
          <w:lang w:val="fr-FR"/>
        </w:rPr>
        <w:t xml:space="preserve"> </w:t>
      </w:r>
      <w:r w:rsidRPr="00DC40FD">
        <w:rPr>
          <w:lang w:val="fr-FR"/>
        </w:rPr>
        <w:t xml:space="preserve">infractions qui sont absolument nécessaires afin d’assurer l’efficacité de la mission </w:t>
      </w:r>
      <w:r w:rsidR="00B34109" w:rsidRPr="00DC40FD">
        <w:rPr>
          <w:lang w:val="fr-FR"/>
        </w:rPr>
        <w:t>ou de garantir</w:t>
      </w:r>
      <w:r w:rsidRPr="00DC40FD">
        <w:rPr>
          <w:lang w:val="fr-FR"/>
        </w:rPr>
        <w:t xml:space="preserve"> leur propre sécurité ou celle d’autres personnes liées à l’accomplissement de cette mission</w:t>
      </w:r>
      <w:r w:rsidR="002A13D7" w:rsidRPr="00DC40FD">
        <w:rPr>
          <w:lang w:val="fr-FR"/>
        </w:rPr>
        <w:t xml:space="preserve"> </w:t>
      </w:r>
      <w:r w:rsidRPr="00DC40FD">
        <w:rPr>
          <w:lang w:val="fr-FR"/>
        </w:rPr>
        <w:t xml:space="preserve">».  </w:t>
      </w:r>
      <w:r w:rsidR="00B34109" w:rsidRPr="00DC40FD">
        <w:rPr>
          <w:lang w:val="fr-FR"/>
        </w:rPr>
        <w:t>Cette disposition est dans</w:t>
      </w:r>
      <w:r w:rsidR="00372D83" w:rsidRPr="00DC40FD">
        <w:rPr>
          <w:lang w:val="fr-FR"/>
        </w:rPr>
        <w:t xml:space="preserve"> son essence </w:t>
      </w:r>
      <w:r w:rsidR="00B34109" w:rsidRPr="00DC40FD">
        <w:rPr>
          <w:lang w:val="fr-FR"/>
        </w:rPr>
        <w:t>contraire à l’article</w:t>
      </w:r>
      <w:r w:rsidRPr="00DC40FD">
        <w:rPr>
          <w:lang w:val="fr-FR"/>
        </w:rPr>
        <w:t xml:space="preserve"> 4 de la Convention ainsi</w:t>
      </w:r>
      <w:r w:rsidR="00B34109" w:rsidRPr="00DC40FD">
        <w:rPr>
          <w:lang w:val="fr-FR"/>
        </w:rPr>
        <w:t xml:space="preserve"> </w:t>
      </w:r>
      <w:r w:rsidRPr="00DC40FD">
        <w:rPr>
          <w:lang w:val="fr-FR"/>
        </w:rPr>
        <w:t xml:space="preserve">qu’à l’article 2 </w:t>
      </w:r>
      <w:r w:rsidR="00372D83" w:rsidRPr="00DC40FD">
        <w:rPr>
          <w:lang w:val="fr-FR"/>
        </w:rPr>
        <w:t xml:space="preserve">alinéa 2 </w:t>
      </w:r>
      <w:r w:rsidRPr="00DC40FD">
        <w:rPr>
          <w:lang w:val="fr-FR"/>
        </w:rPr>
        <w:t xml:space="preserve">qui </w:t>
      </w:r>
      <w:r w:rsidR="00372D83" w:rsidRPr="00DC40FD">
        <w:rPr>
          <w:lang w:val="fr-FR"/>
        </w:rPr>
        <w:t>prévoit qu</w:t>
      </w:r>
      <w:proofErr w:type="gramStart"/>
      <w:r w:rsidR="00372D83" w:rsidRPr="00DC40FD">
        <w:rPr>
          <w:lang w:val="fr-FR"/>
        </w:rPr>
        <w:t>’</w:t>
      </w:r>
      <w:r w:rsidRPr="00DC40FD">
        <w:rPr>
          <w:lang w:val="fr-FR"/>
        </w:rPr>
        <w:t>«aucune</w:t>
      </w:r>
      <w:proofErr w:type="gramEnd"/>
      <w:r w:rsidRPr="00DC40FD">
        <w:rPr>
          <w:lang w:val="fr-FR"/>
        </w:rPr>
        <w:t xml:space="preserve"> circonstance exceptionnelle, quelle qu'elle soit, qu'il s'agisse de  l'état  de  guerre  ou  de  menace  de  guerre,  d'instabilité  politique  intérieure  ou  de  tout  autre  état d'exception, ne peut être invoquée pour justifier la torture»</w:t>
      </w:r>
      <w:r w:rsidR="00372D83" w:rsidRPr="00DC40FD">
        <w:rPr>
          <w:lang w:val="fr-FR"/>
        </w:rPr>
        <w:t xml:space="preserve">. </w:t>
      </w:r>
    </w:p>
    <w:p w:rsidR="00A77799" w:rsidRPr="00DC40FD" w:rsidRDefault="00A77799" w:rsidP="00DC40FD">
      <w:pPr>
        <w:spacing w:before="120" w:after="120" w:line="240" w:lineRule="auto"/>
        <w:jc w:val="both"/>
        <w:rPr>
          <w:i/>
          <w:lang w:val="fr-FR"/>
        </w:rPr>
      </w:pPr>
      <w:r w:rsidRPr="00DC40FD">
        <w:rPr>
          <w:i/>
          <w:lang w:val="fr-FR"/>
        </w:rPr>
        <w:t>Article 17 (Protocole facultatif se rapportant à la Convention contre la torture et autres peines ou traitements cruels, inhumains ou dégradants)</w:t>
      </w:r>
    </w:p>
    <w:p w:rsidR="00A77799" w:rsidRPr="00DC40FD" w:rsidRDefault="00A77799" w:rsidP="00DC40FD">
      <w:pPr>
        <w:spacing w:before="120" w:after="120" w:line="240" w:lineRule="auto"/>
        <w:jc w:val="both"/>
        <w:rPr>
          <w:lang w:val="fr-FR"/>
        </w:rPr>
      </w:pPr>
      <w:r w:rsidRPr="00DC40FD">
        <w:rPr>
          <w:i/>
          <w:lang w:val="fr-FR"/>
        </w:rPr>
        <w:t>Chaque État Partie administre, désigne ou met en place au plus tard un an après l’entrée en vigueur ou la ratification du présent Protocole, ou son adhésion audit Protocole, un ou plusieurs mécanismes nationaux de prévention indépendants en vue de prévenir la torture à l’échelon national. Les mécanismes mis en place par des entités décentralisées pourront être désignés comme mécanismes nationaux de prévention aux fins du présent Protocole, s’ils sont conformes à ses dispositions.</w:t>
      </w:r>
    </w:p>
    <w:p w:rsidR="00713DF5" w:rsidRPr="00DC40FD" w:rsidRDefault="00A77799" w:rsidP="00DC40FD">
      <w:pPr>
        <w:spacing w:before="120" w:after="120" w:line="240" w:lineRule="auto"/>
        <w:jc w:val="both"/>
        <w:rPr>
          <w:lang w:val="fr-FR"/>
        </w:rPr>
      </w:pPr>
      <w:r w:rsidRPr="00DC40FD">
        <w:rPr>
          <w:lang w:val="fr-FR"/>
        </w:rPr>
        <w:t xml:space="preserve">Conformément à l’obligation issue de l’article 17 du Protocole facultatif à la Convention, légalement reportée au Chapitre 4 de la loi contre la torture adoptée en 2014, l’Etat se doit de mettre en place un Observatoire National de Prévention de la Torture. Cependant, depuis l’adoption de ladite loi, cet Observatoire n’a pas encore vu le jour. En effet, les différents projets de décrets essentiels à sa mise en place fonctionnelle et opérationnelle n’ont à ce jour pas encore été adoptés. Ils permettraient notamment de déterminer sa composition, son fonctionnement ainsi que son organisation.  </w:t>
      </w:r>
    </w:p>
    <w:p w:rsidR="0041101A" w:rsidRDefault="0041101A" w:rsidP="00DC40FD">
      <w:pPr>
        <w:spacing w:before="120" w:after="120" w:line="240" w:lineRule="auto"/>
        <w:jc w:val="both"/>
        <w:rPr>
          <w:b/>
          <w:u w:val="single"/>
          <w:lang w:val="fr-FR"/>
        </w:rPr>
      </w:pPr>
    </w:p>
    <w:p w:rsidR="004B0CB1" w:rsidRPr="00DC40FD" w:rsidRDefault="004B0CB1" w:rsidP="00DC40FD">
      <w:pPr>
        <w:spacing w:before="120" w:after="120" w:line="240" w:lineRule="auto"/>
        <w:jc w:val="both"/>
        <w:rPr>
          <w:b/>
          <w:u w:val="single"/>
          <w:lang w:val="fr-FR"/>
        </w:rPr>
      </w:pPr>
      <w:r w:rsidRPr="00DC40FD">
        <w:rPr>
          <w:b/>
          <w:u w:val="single"/>
          <w:lang w:val="fr-FR"/>
        </w:rPr>
        <w:t>Situation des défenseurs</w:t>
      </w:r>
    </w:p>
    <w:p w:rsidR="00EF494C" w:rsidRPr="00DC40FD" w:rsidRDefault="00165E66" w:rsidP="00DC40FD">
      <w:pPr>
        <w:spacing w:before="120" w:after="120" w:line="240" w:lineRule="auto"/>
        <w:jc w:val="both"/>
        <w:rPr>
          <w:lang w:val="fr-FR"/>
        </w:rPr>
      </w:pPr>
      <w:r w:rsidRPr="00DC40FD">
        <w:rPr>
          <w:lang w:val="fr-FR"/>
        </w:rPr>
        <w:t>Malgré de nombreuses avancées juridiques, de nombreuses violations de la Convention continuent d’être commises notamment à l’égard des défenseurs des droits humains.</w:t>
      </w:r>
    </w:p>
    <w:p w:rsidR="00017C56" w:rsidRPr="00F303FB" w:rsidRDefault="00017C56" w:rsidP="00DC40FD">
      <w:pPr>
        <w:spacing w:before="120" w:after="120" w:line="240" w:lineRule="auto"/>
        <w:jc w:val="both"/>
        <w:rPr>
          <w:lang w:val="fr-FR"/>
        </w:rPr>
      </w:pPr>
      <w:r w:rsidRPr="00DC40FD">
        <w:rPr>
          <w:lang w:val="fr-FR"/>
        </w:rPr>
        <w:t xml:space="preserve">La situation sécuritaire met en veille tous les instruments de protection et des engagements de l’Etat </w:t>
      </w:r>
      <w:r w:rsidRPr="00F303FB">
        <w:rPr>
          <w:lang w:val="fr-FR"/>
        </w:rPr>
        <w:t>en matière de respect des droits des défenseurs des droits humains :</w:t>
      </w:r>
    </w:p>
    <w:p w:rsidR="00017C56" w:rsidRPr="00F303FB" w:rsidRDefault="00017C56" w:rsidP="00DC40FD">
      <w:pPr>
        <w:pStyle w:val="ListParagraph"/>
        <w:numPr>
          <w:ilvl w:val="0"/>
          <w:numId w:val="4"/>
        </w:numPr>
        <w:spacing w:before="120" w:after="120" w:line="240" w:lineRule="auto"/>
        <w:jc w:val="both"/>
        <w:rPr>
          <w:lang w:val="fr-FR"/>
        </w:rPr>
      </w:pPr>
      <w:r w:rsidRPr="00F303FB">
        <w:rPr>
          <w:lang w:val="fr-FR"/>
        </w:rPr>
        <w:t>L’Etat d’urgence est de vigueur dans six régions d</w:t>
      </w:r>
      <w:r w:rsidR="00500E03" w:rsidRPr="00F303FB">
        <w:rPr>
          <w:lang w:val="fr-FR"/>
        </w:rPr>
        <w:t>es</w:t>
      </w:r>
      <w:r w:rsidR="00567F52" w:rsidRPr="00F303FB">
        <w:rPr>
          <w:lang w:val="fr-FR"/>
        </w:rPr>
        <w:t xml:space="preserve"> treize que compte le Burkina</w:t>
      </w:r>
      <w:r w:rsidR="0041101A" w:rsidRPr="00F303FB">
        <w:rPr>
          <w:rStyle w:val="FootnoteReference"/>
          <w:lang w:val="fr-FR"/>
        </w:rPr>
        <w:footnoteReference w:id="8"/>
      </w:r>
      <w:r w:rsidR="00567F52" w:rsidRPr="00F303FB">
        <w:rPr>
          <w:lang w:val="fr-FR"/>
        </w:rPr>
        <w:t xml:space="preserve"> </w:t>
      </w:r>
      <w:r w:rsidRPr="00F303FB">
        <w:rPr>
          <w:lang w:val="fr-FR"/>
        </w:rPr>
        <w:t xml:space="preserve">il permet aux </w:t>
      </w:r>
      <w:r w:rsidR="008B0490">
        <w:rPr>
          <w:lang w:val="fr-FR"/>
        </w:rPr>
        <w:t>forces de sécurité</w:t>
      </w:r>
      <w:r w:rsidRPr="00F303FB">
        <w:rPr>
          <w:lang w:val="fr-FR"/>
        </w:rPr>
        <w:t xml:space="preserve"> d’opérer en toute liberté pour lutter contre le terrorisme qui met à mal la paix, la stabilité et la cohésion sociale</w:t>
      </w:r>
      <w:r w:rsidR="00C00718">
        <w:rPr>
          <w:lang w:val="fr-FR"/>
        </w:rPr>
        <w:t>.</w:t>
      </w:r>
      <w:r w:rsidR="007200DF">
        <w:rPr>
          <w:lang w:val="fr-FR"/>
        </w:rPr>
        <w:t xml:space="preserve"> On compte actuellement </w:t>
      </w:r>
      <w:r w:rsidRPr="00F303FB">
        <w:rPr>
          <w:lang w:val="fr-FR"/>
        </w:rPr>
        <w:t>250 000</w:t>
      </w:r>
      <w:r w:rsidR="007200DF">
        <w:rPr>
          <w:lang w:val="fr-FR"/>
        </w:rPr>
        <w:t xml:space="preserve"> déplacés internes</w:t>
      </w:r>
      <w:r w:rsidR="007200DF">
        <w:rPr>
          <w:rStyle w:val="FootnoteReference"/>
          <w:lang w:val="fr-FR"/>
        </w:rPr>
        <w:footnoteReference w:id="9"/>
      </w:r>
      <w:r w:rsidRPr="00F303FB">
        <w:rPr>
          <w:lang w:val="fr-FR"/>
        </w:rPr>
        <w:t xml:space="preserve"> dont 80% de femmes et d’enfants.</w:t>
      </w:r>
    </w:p>
    <w:p w:rsidR="00017C56" w:rsidRPr="00F303FB" w:rsidRDefault="001565F1" w:rsidP="00DC40FD">
      <w:pPr>
        <w:pStyle w:val="ListParagraph"/>
        <w:numPr>
          <w:ilvl w:val="0"/>
          <w:numId w:val="4"/>
        </w:numPr>
        <w:spacing w:before="120" w:after="120" w:line="240" w:lineRule="auto"/>
        <w:jc w:val="both"/>
        <w:rPr>
          <w:lang w:val="fr-FR"/>
        </w:rPr>
      </w:pPr>
      <w:r>
        <w:rPr>
          <w:lang w:val="fr-FR"/>
        </w:rPr>
        <w:t>Le</w:t>
      </w:r>
      <w:r w:rsidR="00017C56" w:rsidRPr="00F303FB">
        <w:rPr>
          <w:lang w:val="fr-FR"/>
        </w:rPr>
        <w:t xml:space="preserve"> nouveau code pénal qui amenuise la liberté d’exp</w:t>
      </w:r>
      <w:r w:rsidR="00AC445F">
        <w:rPr>
          <w:lang w:val="fr-FR"/>
        </w:rPr>
        <w:t>ression, un recul démocratique. Ainsi, n</w:t>
      </w:r>
      <w:r w:rsidR="00017C56" w:rsidRPr="00F303FB">
        <w:rPr>
          <w:lang w:val="fr-FR"/>
        </w:rPr>
        <w:t xml:space="preserve">ul </w:t>
      </w:r>
      <w:r w:rsidR="00AC445F">
        <w:rPr>
          <w:lang w:val="fr-FR"/>
        </w:rPr>
        <w:t>n’est censé diffuser d</w:t>
      </w:r>
      <w:r w:rsidR="00017C56" w:rsidRPr="00F303FB">
        <w:rPr>
          <w:lang w:val="fr-FR"/>
        </w:rPr>
        <w:t xml:space="preserve">es informations sur </w:t>
      </w:r>
      <w:r w:rsidR="00AC445F">
        <w:rPr>
          <w:lang w:val="fr-FR"/>
        </w:rPr>
        <w:t>les opérations militaires</w:t>
      </w:r>
      <w:r w:rsidR="00017C56" w:rsidRPr="00F303FB">
        <w:rPr>
          <w:lang w:val="fr-FR"/>
        </w:rPr>
        <w:t xml:space="preserve"> sans autori</w:t>
      </w:r>
      <w:r w:rsidR="00866D8D" w:rsidRPr="00F303FB">
        <w:rPr>
          <w:lang w:val="fr-FR"/>
        </w:rPr>
        <w:t>sation spécifique des autorités</w:t>
      </w:r>
      <w:r w:rsidR="00AC445F">
        <w:rPr>
          <w:rStyle w:val="FootnoteReference"/>
          <w:lang w:val="fr-FR"/>
        </w:rPr>
        <w:footnoteReference w:id="10"/>
      </w:r>
      <w:r w:rsidR="00866D8D" w:rsidRPr="00F303FB">
        <w:rPr>
          <w:lang w:val="fr-FR"/>
        </w:rPr>
        <w:t xml:space="preserve"> </w:t>
      </w:r>
      <w:r w:rsidR="00AB00F6">
        <w:rPr>
          <w:lang w:val="fr-FR"/>
        </w:rPr>
        <w:t>.</w:t>
      </w:r>
    </w:p>
    <w:p w:rsidR="00017C56" w:rsidRPr="00F303FB" w:rsidRDefault="00017C56" w:rsidP="00DC40FD">
      <w:pPr>
        <w:pStyle w:val="ListParagraph"/>
        <w:numPr>
          <w:ilvl w:val="0"/>
          <w:numId w:val="4"/>
        </w:numPr>
        <w:spacing w:before="120" w:after="120" w:line="240" w:lineRule="auto"/>
        <w:jc w:val="both"/>
        <w:rPr>
          <w:lang w:val="fr-FR"/>
        </w:rPr>
      </w:pPr>
      <w:r w:rsidRPr="00F303FB">
        <w:rPr>
          <w:lang w:val="fr-FR"/>
        </w:rPr>
        <w:t xml:space="preserve">La mise en veille de la loi de protection des défenseurs des droits humains, </w:t>
      </w:r>
      <w:r w:rsidR="003A547A">
        <w:rPr>
          <w:lang w:val="fr-FR"/>
        </w:rPr>
        <w:t xml:space="preserve">qui laisse à désirer </w:t>
      </w:r>
      <w:r w:rsidRPr="00F303FB">
        <w:rPr>
          <w:lang w:val="fr-FR"/>
        </w:rPr>
        <w:t>faute de consensus dans le choix du mécanisme de mise en œuvre</w:t>
      </w:r>
      <w:r w:rsidR="00826B8C" w:rsidRPr="00F303FB">
        <w:rPr>
          <w:lang w:val="fr-FR"/>
        </w:rPr>
        <w:t>.</w:t>
      </w:r>
    </w:p>
    <w:p w:rsidR="00826B8C" w:rsidRPr="00F303FB" w:rsidRDefault="00826B8C" w:rsidP="00DC40FD">
      <w:pPr>
        <w:spacing w:before="120" w:after="120" w:line="240" w:lineRule="auto"/>
        <w:jc w:val="both"/>
        <w:rPr>
          <w:lang w:val="fr-FR"/>
        </w:rPr>
      </w:pPr>
      <w:r w:rsidRPr="00F303FB">
        <w:rPr>
          <w:lang w:val="fr-FR"/>
        </w:rPr>
        <w:t>Assassinat</w:t>
      </w:r>
      <w:r w:rsidR="00491B60">
        <w:rPr>
          <w:lang w:val="fr-FR"/>
        </w:rPr>
        <w:t>s</w:t>
      </w:r>
      <w:r w:rsidRPr="00F303FB">
        <w:rPr>
          <w:lang w:val="fr-FR"/>
        </w:rPr>
        <w:t xml:space="preserve"> de défenseurs des droits humains</w:t>
      </w:r>
      <w:r w:rsidR="00491B60">
        <w:rPr>
          <w:lang w:val="fr-FR"/>
        </w:rPr>
        <w:t> :</w:t>
      </w:r>
      <w:r w:rsidRPr="00F303FB">
        <w:rPr>
          <w:lang w:val="fr-FR"/>
        </w:rPr>
        <w:t xml:space="preserve"> </w:t>
      </w:r>
    </w:p>
    <w:p w:rsidR="00826B8C" w:rsidRPr="00F303FB" w:rsidRDefault="00826B8C" w:rsidP="00D60877">
      <w:pPr>
        <w:pStyle w:val="ListParagraph"/>
        <w:numPr>
          <w:ilvl w:val="0"/>
          <w:numId w:val="5"/>
        </w:numPr>
        <w:spacing w:before="120" w:after="120" w:line="240" w:lineRule="auto"/>
        <w:jc w:val="both"/>
        <w:rPr>
          <w:lang w:val="fr-FR"/>
        </w:rPr>
      </w:pPr>
      <w:r w:rsidRPr="00F303FB">
        <w:rPr>
          <w:lang w:val="fr-FR"/>
        </w:rPr>
        <w:t>Deux membres de l’Organisation Démocratique de la Jeunesse (ODJ)</w:t>
      </w:r>
      <w:r w:rsidR="00D60877" w:rsidRPr="003E12E3">
        <w:rPr>
          <w:lang w:val="fr-CH"/>
        </w:rPr>
        <w:t xml:space="preserve"> </w:t>
      </w:r>
      <w:r w:rsidR="00D60877" w:rsidRPr="00D60877">
        <w:rPr>
          <w:lang w:val="fr-FR"/>
        </w:rPr>
        <w:t xml:space="preserve">BALIMA Hama et CISSE </w:t>
      </w:r>
      <w:proofErr w:type="spellStart"/>
      <w:r w:rsidR="00D60877" w:rsidRPr="00D60877">
        <w:rPr>
          <w:lang w:val="fr-FR"/>
        </w:rPr>
        <w:t>Fahadou</w:t>
      </w:r>
      <w:proofErr w:type="spellEnd"/>
      <w:r w:rsidR="00D60877">
        <w:rPr>
          <w:lang w:val="fr-FR"/>
        </w:rPr>
        <w:t>,</w:t>
      </w:r>
      <w:r w:rsidRPr="00F303FB">
        <w:rPr>
          <w:lang w:val="fr-FR"/>
        </w:rPr>
        <w:t xml:space="preserve"> assassinés le 31 Mai 2019, </w:t>
      </w:r>
      <w:r w:rsidR="00491B60">
        <w:rPr>
          <w:lang w:val="fr-FR"/>
        </w:rPr>
        <w:t xml:space="preserve">qui travaillaient </w:t>
      </w:r>
      <w:r w:rsidR="00491B60" w:rsidRPr="00491B60">
        <w:rPr>
          <w:lang w:val="fr-CH"/>
        </w:rPr>
        <w:t>pour le contrôle par les populations des ressources naturelles (l’or notamment)</w:t>
      </w:r>
      <w:r w:rsidR="00491B60">
        <w:rPr>
          <w:rStyle w:val="FootnoteReference"/>
          <w:lang w:val="fr-CH"/>
        </w:rPr>
        <w:footnoteReference w:id="11"/>
      </w:r>
    </w:p>
    <w:p w:rsidR="00826B8C" w:rsidRPr="00F303FB" w:rsidRDefault="00826B8C" w:rsidP="00DC40FD">
      <w:pPr>
        <w:pStyle w:val="ListParagraph"/>
        <w:numPr>
          <w:ilvl w:val="0"/>
          <w:numId w:val="5"/>
        </w:numPr>
        <w:spacing w:before="120" w:after="120" w:line="240" w:lineRule="auto"/>
        <w:jc w:val="both"/>
        <w:rPr>
          <w:lang w:val="fr-FR"/>
        </w:rPr>
      </w:pPr>
      <w:r w:rsidRPr="00F303FB">
        <w:rPr>
          <w:lang w:val="fr-FR"/>
        </w:rPr>
        <w:t>Assassinat du président provincial d</w:t>
      </w:r>
      <w:r w:rsidR="00527E70" w:rsidRPr="00F303FB">
        <w:rPr>
          <w:lang w:val="fr-FR"/>
        </w:rPr>
        <w:t xml:space="preserve">u </w:t>
      </w:r>
      <w:proofErr w:type="spellStart"/>
      <w:r w:rsidR="00527E70" w:rsidRPr="00F303FB">
        <w:rPr>
          <w:lang w:val="fr-FR"/>
        </w:rPr>
        <w:t>Kadiogo</w:t>
      </w:r>
      <w:proofErr w:type="spellEnd"/>
      <w:r w:rsidR="00527E70" w:rsidRPr="00F303FB">
        <w:rPr>
          <w:lang w:val="fr-FR"/>
        </w:rPr>
        <w:t xml:space="preserve"> d</w:t>
      </w:r>
      <w:r w:rsidRPr="00F303FB">
        <w:rPr>
          <w:lang w:val="fr-FR"/>
        </w:rPr>
        <w:t>e la Ligue des consommateurs</w:t>
      </w:r>
      <w:r w:rsidR="00527E70" w:rsidRPr="00F303FB">
        <w:rPr>
          <w:lang w:val="fr-FR"/>
        </w:rPr>
        <w:t xml:space="preserve"> Serge Horace BAMBARA au Sahel</w:t>
      </w:r>
      <w:r w:rsidR="003E12E3">
        <w:rPr>
          <w:rStyle w:val="FootnoteReference"/>
          <w:lang w:val="fr-FR"/>
        </w:rPr>
        <w:footnoteReference w:id="12"/>
      </w:r>
      <w:r w:rsidR="00527E70" w:rsidRPr="00F303FB">
        <w:rPr>
          <w:lang w:val="fr-FR"/>
        </w:rPr>
        <w:t xml:space="preserve"> </w:t>
      </w:r>
    </w:p>
    <w:p w:rsidR="00826B8C" w:rsidRPr="00F303FB" w:rsidRDefault="00826B8C" w:rsidP="00DC40FD">
      <w:pPr>
        <w:spacing w:before="120" w:after="120" w:line="240" w:lineRule="auto"/>
        <w:jc w:val="both"/>
        <w:rPr>
          <w:lang w:val="fr-FR"/>
        </w:rPr>
      </w:pPr>
      <w:r w:rsidRPr="00F303FB">
        <w:rPr>
          <w:lang w:val="fr-FR"/>
        </w:rPr>
        <w:t>Défenseurs en prison :</w:t>
      </w:r>
    </w:p>
    <w:p w:rsidR="00826B8C" w:rsidRDefault="00666D12" w:rsidP="00680C3B">
      <w:pPr>
        <w:pStyle w:val="ListParagraph"/>
        <w:numPr>
          <w:ilvl w:val="0"/>
          <w:numId w:val="10"/>
        </w:numPr>
        <w:spacing w:before="120" w:after="120" w:line="240" w:lineRule="auto"/>
        <w:jc w:val="both"/>
        <w:rPr>
          <w:lang w:val="fr-FR"/>
        </w:rPr>
      </w:pPr>
      <w:r w:rsidRPr="00680C3B">
        <w:rPr>
          <w:lang w:val="fr-FR"/>
        </w:rPr>
        <w:t xml:space="preserve">Barry </w:t>
      </w:r>
      <w:proofErr w:type="spellStart"/>
      <w:r w:rsidRPr="00680C3B">
        <w:rPr>
          <w:lang w:val="fr-FR"/>
        </w:rPr>
        <w:t>Rasmané</w:t>
      </w:r>
      <w:proofErr w:type="spellEnd"/>
      <w:r w:rsidR="00BE2BDD" w:rsidRPr="00680C3B">
        <w:rPr>
          <w:lang w:val="fr-FR"/>
        </w:rPr>
        <w:t xml:space="preserve"> est militant du Mouvement </w:t>
      </w:r>
      <w:r w:rsidRPr="00680C3B">
        <w:rPr>
          <w:lang w:val="fr-FR"/>
        </w:rPr>
        <w:t>Citoyen</w:t>
      </w:r>
      <w:r w:rsidR="00BE2BDD" w:rsidRPr="00680C3B">
        <w:rPr>
          <w:lang w:val="fr-FR"/>
        </w:rPr>
        <w:t>s</w:t>
      </w:r>
      <w:r w:rsidRPr="00680C3B">
        <w:rPr>
          <w:lang w:val="fr-FR"/>
        </w:rPr>
        <w:t xml:space="preserve"> Conscient</w:t>
      </w:r>
      <w:r w:rsidR="00BE2BDD" w:rsidRPr="00680C3B">
        <w:rPr>
          <w:lang w:val="fr-FR"/>
        </w:rPr>
        <w:t>s</w:t>
      </w:r>
      <w:r w:rsidR="001C0C78" w:rsidRPr="00680C3B">
        <w:rPr>
          <w:lang w:val="fr-FR"/>
        </w:rPr>
        <w:t> et</w:t>
      </w:r>
      <w:r w:rsidRPr="00680C3B">
        <w:rPr>
          <w:lang w:val="fr-FR"/>
        </w:rPr>
        <w:t xml:space="preserve"> a participé à l’atelier sur le mécanisme de suivi et de mis</w:t>
      </w:r>
      <w:r w:rsidR="001C0C78" w:rsidRPr="00680C3B">
        <w:rPr>
          <w:lang w:val="fr-FR"/>
        </w:rPr>
        <w:t>e</w:t>
      </w:r>
      <w:r w:rsidRPr="00680C3B">
        <w:rPr>
          <w:lang w:val="fr-FR"/>
        </w:rPr>
        <w:t xml:space="preserve"> en œuvre de la loi de protection des défenseurs des droits humain qui s’est tenu le 19 et 20 Février 2019</w:t>
      </w:r>
      <w:r w:rsidR="00A231E6" w:rsidRPr="00680C3B">
        <w:rPr>
          <w:lang w:val="fr-FR"/>
        </w:rPr>
        <w:t xml:space="preserve"> à</w:t>
      </w:r>
      <w:r w:rsidR="003B05E7" w:rsidRPr="00680C3B">
        <w:rPr>
          <w:lang w:val="fr-FR"/>
        </w:rPr>
        <w:t xml:space="preserve"> O</w:t>
      </w:r>
      <w:r w:rsidR="00A231E6" w:rsidRPr="00680C3B">
        <w:rPr>
          <w:lang w:val="fr-FR"/>
        </w:rPr>
        <w:t>uagadougou</w:t>
      </w:r>
      <w:r w:rsidRPr="00680C3B">
        <w:rPr>
          <w:lang w:val="fr-FR"/>
        </w:rPr>
        <w:t>, organisé par la CBDDH et la CNDH en partenariat avec ISHR</w:t>
      </w:r>
      <w:r w:rsidR="00CA3CF6">
        <w:rPr>
          <w:rStyle w:val="FootnoteReference"/>
          <w:lang w:val="fr-FR"/>
        </w:rPr>
        <w:footnoteReference w:id="13"/>
      </w:r>
      <w:r w:rsidRPr="00680C3B">
        <w:rPr>
          <w:lang w:val="fr-FR"/>
        </w:rPr>
        <w:t>.</w:t>
      </w:r>
      <w:r w:rsidR="00680C3B">
        <w:rPr>
          <w:lang w:val="fr-FR"/>
        </w:rPr>
        <w:t xml:space="preserve"> Assurant le suivi des violations de droits humains dans le Nord du pays, il a été arrêté et détenu, vraisemblablement en lien avec ses activités de défense des droits humains</w:t>
      </w:r>
      <w:r w:rsidR="00680C3B">
        <w:rPr>
          <w:rStyle w:val="FootnoteReference"/>
          <w:lang w:val="fr-FR"/>
        </w:rPr>
        <w:footnoteReference w:id="14"/>
      </w:r>
      <w:r w:rsidR="00680C3B">
        <w:rPr>
          <w:lang w:val="fr-FR"/>
        </w:rPr>
        <w:t>.</w:t>
      </w:r>
    </w:p>
    <w:p w:rsidR="005521B9" w:rsidRDefault="005521B9" w:rsidP="005521B9">
      <w:pPr>
        <w:spacing w:before="120" w:after="120" w:line="240" w:lineRule="auto"/>
        <w:jc w:val="both"/>
        <w:rPr>
          <w:lang w:val="fr-FR"/>
        </w:rPr>
      </w:pPr>
      <w:r>
        <w:rPr>
          <w:lang w:val="fr-FR"/>
        </w:rPr>
        <w:t>Menaces envers les défenseurs :</w:t>
      </w:r>
    </w:p>
    <w:p w:rsidR="00086B87" w:rsidRPr="00086B87" w:rsidRDefault="00086B87" w:rsidP="00086B87">
      <w:pPr>
        <w:pStyle w:val="ListParagraph"/>
        <w:numPr>
          <w:ilvl w:val="0"/>
          <w:numId w:val="10"/>
        </w:numPr>
        <w:spacing w:before="120" w:after="120" w:line="240" w:lineRule="auto"/>
        <w:jc w:val="both"/>
        <w:rPr>
          <w:lang w:val="fr-FR"/>
        </w:rPr>
      </w:pPr>
      <w:r>
        <w:rPr>
          <w:lang w:val="fr-FR"/>
        </w:rPr>
        <w:t>Plusieurs organisations de défense des droits humains, notamment Human Rights Watch</w:t>
      </w:r>
      <w:r w:rsidR="00152114">
        <w:rPr>
          <w:rStyle w:val="FootnoteReference"/>
          <w:lang w:val="fr-FR"/>
        </w:rPr>
        <w:footnoteReference w:id="15"/>
      </w:r>
      <w:r>
        <w:rPr>
          <w:lang w:val="fr-FR"/>
        </w:rPr>
        <w:t xml:space="preserve">, document de manière détaillée les violations en </w:t>
      </w:r>
      <w:r w:rsidR="00152114">
        <w:rPr>
          <w:lang w:val="fr-FR"/>
        </w:rPr>
        <w:t>lien avec les opérations anti-djihadistes menées notamment dans le Nord du pays. Ces opérations visent en particulier certai</w:t>
      </w:r>
      <w:r w:rsidR="00A76591">
        <w:rPr>
          <w:lang w:val="fr-FR"/>
        </w:rPr>
        <w:t>ns groupes ethniques tels que les peuls</w:t>
      </w:r>
      <w:r w:rsidR="00A76591">
        <w:rPr>
          <w:rStyle w:val="FootnoteReference"/>
          <w:lang w:val="fr-FR"/>
        </w:rPr>
        <w:footnoteReference w:id="16"/>
      </w:r>
      <w:r w:rsidR="00A76591">
        <w:rPr>
          <w:lang w:val="fr-FR"/>
        </w:rPr>
        <w:t xml:space="preserve">. </w:t>
      </w:r>
      <w:r w:rsidR="0057488C">
        <w:rPr>
          <w:lang w:val="fr-FR"/>
        </w:rPr>
        <w:t xml:space="preserve">Les défenseurs issus de ces communautés se retrouvent visés au même titre que les citoyens ordinaires, et des mesures de représailles </w:t>
      </w:r>
      <w:r w:rsidR="00597621">
        <w:rPr>
          <w:lang w:val="fr-FR"/>
        </w:rPr>
        <w:t>sont</w:t>
      </w:r>
      <w:r w:rsidR="0057488C">
        <w:rPr>
          <w:lang w:val="fr-FR"/>
        </w:rPr>
        <w:t xml:space="preserve"> commises envers des défenseurs, </w:t>
      </w:r>
      <w:r w:rsidR="00597621">
        <w:rPr>
          <w:lang w:val="fr-FR"/>
        </w:rPr>
        <w:t>bien que les auteurs ne puissent présentement</w:t>
      </w:r>
      <w:r w:rsidR="0057488C">
        <w:rPr>
          <w:lang w:val="fr-FR"/>
        </w:rPr>
        <w:t xml:space="preserve"> préciser les circonstances ou l’identité </w:t>
      </w:r>
      <w:r w:rsidR="00845E65">
        <w:rPr>
          <w:lang w:val="fr-FR"/>
        </w:rPr>
        <w:t xml:space="preserve">des victimes, de par les risques qui pèsent sur leurs épaules et celles de leurs proches. </w:t>
      </w:r>
    </w:p>
    <w:p w:rsidR="005521B9" w:rsidRPr="005521B9" w:rsidRDefault="005521B9" w:rsidP="005521B9">
      <w:pPr>
        <w:spacing w:before="120" w:after="120" w:line="240" w:lineRule="auto"/>
        <w:jc w:val="both"/>
        <w:rPr>
          <w:lang w:val="fr-FR"/>
        </w:rPr>
      </w:pPr>
    </w:p>
    <w:p w:rsidR="00C5738A" w:rsidRPr="00DC40FD" w:rsidRDefault="00C5738A" w:rsidP="00DC40FD">
      <w:pPr>
        <w:spacing w:before="120" w:after="120" w:line="240" w:lineRule="auto"/>
        <w:jc w:val="both"/>
        <w:rPr>
          <w:b/>
          <w:u w:val="single"/>
          <w:lang w:val="fr-FR"/>
        </w:rPr>
      </w:pPr>
      <w:r w:rsidRPr="00DC40FD">
        <w:rPr>
          <w:b/>
          <w:u w:val="single"/>
          <w:lang w:val="fr-FR"/>
        </w:rPr>
        <w:t>Recomm</w:t>
      </w:r>
      <w:r w:rsidR="00876969" w:rsidRPr="00DC40FD">
        <w:rPr>
          <w:b/>
          <w:u w:val="single"/>
          <w:lang w:val="fr-FR"/>
        </w:rPr>
        <w:t>a</w:t>
      </w:r>
      <w:r w:rsidRPr="00DC40FD">
        <w:rPr>
          <w:b/>
          <w:u w:val="single"/>
          <w:lang w:val="fr-FR"/>
        </w:rPr>
        <w:t>ndations</w:t>
      </w:r>
    </w:p>
    <w:p w:rsidR="0033400D" w:rsidRPr="00DC40FD" w:rsidRDefault="0033400D" w:rsidP="00DC40FD">
      <w:pPr>
        <w:spacing w:before="120" w:after="120" w:line="240" w:lineRule="auto"/>
        <w:jc w:val="both"/>
        <w:rPr>
          <w:lang w:val="fr-FR"/>
        </w:rPr>
      </w:pPr>
      <w:r w:rsidRPr="00DC40FD">
        <w:rPr>
          <w:lang w:val="fr-FR"/>
        </w:rPr>
        <w:t xml:space="preserve">Au vu de ces différents éléments, la Coalition </w:t>
      </w:r>
      <w:r w:rsidR="00713DF5" w:rsidRPr="00DC40FD">
        <w:rPr>
          <w:lang w:val="fr-FR"/>
        </w:rPr>
        <w:t>Burkinabé</w:t>
      </w:r>
      <w:r w:rsidRPr="00DC40FD">
        <w:rPr>
          <w:lang w:val="fr-FR"/>
        </w:rPr>
        <w:t xml:space="preserve"> des Défenseurs des Droits humains et le Service International des Droits de l’Homme (ISHR) </w:t>
      </w:r>
      <w:r w:rsidR="000D3793" w:rsidRPr="00DC40FD">
        <w:rPr>
          <w:lang w:val="fr-FR"/>
        </w:rPr>
        <w:t xml:space="preserve">appellent le Comité </w:t>
      </w:r>
      <w:r w:rsidRPr="00DC40FD">
        <w:rPr>
          <w:lang w:val="fr-FR"/>
        </w:rPr>
        <w:t xml:space="preserve">à </w:t>
      </w:r>
      <w:r w:rsidR="000D3793" w:rsidRPr="00DC40FD">
        <w:rPr>
          <w:lang w:val="fr-FR"/>
        </w:rPr>
        <w:t xml:space="preserve">recommander à </w:t>
      </w:r>
      <w:r w:rsidRPr="00DC40FD">
        <w:rPr>
          <w:lang w:val="fr-FR"/>
        </w:rPr>
        <w:t xml:space="preserve">l’Etat du </w:t>
      </w:r>
      <w:r w:rsidR="00713DF5" w:rsidRPr="00DC40FD">
        <w:rPr>
          <w:lang w:val="fr-FR"/>
        </w:rPr>
        <w:t>Burkina Faso</w:t>
      </w:r>
      <w:r w:rsidRPr="00DC40FD">
        <w:rPr>
          <w:lang w:val="fr-FR"/>
        </w:rPr>
        <w:t xml:space="preserve"> de</w:t>
      </w:r>
      <w:r w:rsidR="0065109B" w:rsidRPr="00DC40FD">
        <w:rPr>
          <w:lang w:val="fr-FR"/>
        </w:rPr>
        <w:t> :</w:t>
      </w:r>
    </w:p>
    <w:p w:rsidR="00FD3884" w:rsidRPr="00DC40FD" w:rsidRDefault="00230CA2" w:rsidP="00DC40FD">
      <w:pPr>
        <w:pStyle w:val="ListParagraph"/>
        <w:numPr>
          <w:ilvl w:val="0"/>
          <w:numId w:val="6"/>
        </w:numPr>
        <w:spacing w:before="120" w:after="120" w:line="240" w:lineRule="auto"/>
        <w:jc w:val="both"/>
        <w:rPr>
          <w:lang w:val="fr-FR"/>
        </w:rPr>
      </w:pPr>
      <w:r w:rsidRPr="00DC40FD">
        <w:rPr>
          <w:lang w:val="fr-FR"/>
        </w:rPr>
        <w:t>Rendre pleinement opérationnel le mécanisme de protection des défenseur</w:t>
      </w:r>
      <w:r w:rsidR="009928F3">
        <w:rPr>
          <w:lang w:val="fr-FR"/>
        </w:rPr>
        <w:t>.e</w:t>
      </w:r>
      <w:r w:rsidRPr="00DC40FD">
        <w:rPr>
          <w:lang w:val="fr-FR"/>
        </w:rPr>
        <w:t xml:space="preserve">s des droits humains ainsi que l’Observatoire National de Prévention de la </w:t>
      </w:r>
      <w:r w:rsidR="006623EC" w:rsidRPr="00DC40FD">
        <w:rPr>
          <w:lang w:val="fr-FR"/>
        </w:rPr>
        <w:t>Torture ;</w:t>
      </w:r>
    </w:p>
    <w:p w:rsidR="002F7E97" w:rsidRPr="00DC40FD" w:rsidRDefault="0065109B" w:rsidP="00DC40FD">
      <w:pPr>
        <w:pStyle w:val="ListParagraph"/>
        <w:numPr>
          <w:ilvl w:val="0"/>
          <w:numId w:val="6"/>
        </w:numPr>
        <w:spacing w:before="120" w:after="120" w:line="240" w:lineRule="auto"/>
        <w:jc w:val="both"/>
        <w:rPr>
          <w:lang w:val="fr-FR"/>
        </w:rPr>
      </w:pPr>
      <w:r w:rsidRPr="00DC40FD">
        <w:rPr>
          <w:lang w:val="fr-FR"/>
        </w:rPr>
        <w:t xml:space="preserve">S’assurer que des enquêtes effectives, crédibles et impartiales soient menées sur toutes les allégations de torture et de mauvais traitements à l’encontre des </w:t>
      </w:r>
      <w:r w:rsidR="00EF494C" w:rsidRPr="00DC40FD">
        <w:rPr>
          <w:lang w:val="fr-FR"/>
        </w:rPr>
        <w:t>défenseur</w:t>
      </w:r>
      <w:r w:rsidR="009928F3">
        <w:rPr>
          <w:lang w:val="fr-FR"/>
        </w:rPr>
        <w:t>.e</w:t>
      </w:r>
      <w:r w:rsidR="00EF494C" w:rsidRPr="00DC40FD">
        <w:rPr>
          <w:lang w:val="fr-FR"/>
        </w:rPr>
        <w:t>s</w:t>
      </w:r>
      <w:r w:rsidR="003B3D5D">
        <w:rPr>
          <w:lang w:val="fr-FR"/>
        </w:rPr>
        <w:t xml:space="preserve"> et veiller</w:t>
      </w:r>
      <w:r w:rsidRPr="00DC40FD">
        <w:rPr>
          <w:lang w:val="fr-FR"/>
        </w:rPr>
        <w:t xml:space="preserve"> à ce que les auteurs soient tenus responsables de leurs actes ;</w:t>
      </w:r>
    </w:p>
    <w:p w:rsidR="006623EC" w:rsidRPr="00DC40FD" w:rsidRDefault="006623EC" w:rsidP="00DC40FD">
      <w:pPr>
        <w:pStyle w:val="ListParagraph"/>
        <w:numPr>
          <w:ilvl w:val="0"/>
          <w:numId w:val="6"/>
        </w:numPr>
        <w:spacing w:before="120" w:after="120" w:line="240" w:lineRule="auto"/>
        <w:jc w:val="both"/>
        <w:rPr>
          <w:lang w:val="fr-FR"/>
        </w:rPr>
      </w:pPr>
      <w:r w:rsidRPr="00DC40FD">
        <w:rPr>
          <w:lang w:val="fr-FR"/>
        </w:rPr>
        <w:t>Amender ou supprimer les articles 18 de la loi portant règlementation générale du renseignement au Burkina Faso et 16 de la loi portant protection des défenseur</w:t>
      </w:r>
      <w:r w:rsidR="00D954B3">
        <w:rPr>
          <w:lang w:val="fr-FR"/>
        </w:rPr>
        <w:t>.e</w:t>
      </w:r>
      <w:r w:rsidRPr="00DC40FD">
        <w:rPr>
          <w:lang w:val="fr-FR"/>
        </w:rPr>
        <w:t>s des droits humains au Burkina Faso ;</w:t>
      </w:r>
    </w:p>
    <w:p w:rsidR="00500E03" w:rsidRPr="00DC40FD" w:rsidRDefault="00500E03" w:rsidP="00DC40FD">
      <w:pPr>
        <w:pStyle w:val="ListParagraph"/>
        <w:numPr>
          <w:ilvl w:val="0"/>
          <w:numId w:val="8"/>
        </w:numPr>
        <w:spacing w:before="120" w:after="120" w:line="240" w:lineRule="auto"/>
        <w:jc w:val="both"/>
        <w:rPr>
          <w:lang w:val="fr-FR"/>
        </w:rPr>
      </w:pPr>
      <w:r w:rsidRPr="00DC40FD">
        <w:rPr>
          <w:lang w:val="fr-FR"/>
        </w:rPr>
        <w:t>Encadrer l’action des groupes d’autodéfense au Burkina Faso</w:t>
      </w:r>
      <w:r w:rsidR="00220893">
        <w:rPr>
          <w:lang w:val="fr-FR"/>
        </w:rPr>
        <w:t> ;</w:t>
      </w:r>
    </w:p>
    <w:p w:rsidR="00500E03" w:rsidRPr="00DC40FD" w:rsidRDefault="00500E03" w:rsidP="00DC40FD">
      <w:pPr>
        <w:pStyle w:val="ListParagraph"/>
        <w:numPr>
          <w:ilvl w:val="0"/>
          <w:numId w:val="8"/>
        </w:numPr>
        <w:spacing w:before="120" w:after="120" w:line="240" w:lineRule="auto"/>
        <w:jc w:val="both"/>
        <w:rPr>
          <w:lang w:val="fr-FR"/>
        </w:rPr>
      </w:pPr>
      <w:r w:rsidRPr="00DC40FD">
        <w:rPr>
          <w:lang w:val="fr-FR"/>
        </w:rPr>
        <w:t xml:space="preserve">Diligenter </w:t>
      </w:r>
      <w:r w:rsidR="00220893">
        <w:rPr>
          <w:lang w:val="fr-FR"/>
        </w:rPr>
        <w:t>des</w:t>
      </w:r>
      <w:r w:rsidRPr="00DC40FD">
        <w:rPr>
          <w:lang w:val="fr-FR"/>
        </w:rPr>
        <w:t xml:space="preserve"> enquête</w:t>
      </w:r>
      <w:r w:rsidR="00220893">
        <w:rPr>
          <w:lang w:val="fr-FR"/>
        </w:rPr>
        <w:t>s promptes et impartiales</w:t>
      </w:r>
      <w:r w:rsidRPr="00DC40FD">
        <w:rPr>
          <w:lang w:val="fr-FR"/>
        </w:rPr>
        <w:t xml:space="preserve"> sur les cas </w:t>
      </w:r>
      <w:r w:rsidR="00BE76C9" w:rsidRPr="00DC40FD">
        <w:rPr>
          <w:lang w:val="fr-FR"/>
        </w:rPr>
        <w:t xml:space="preserve">d’assassinat </w:t>
      </w:r>
      <w:r w:rsidR="00220893">
        <w:rPr>
          <w:lang w:val="fr-FR"/>
        </w:rPr>
        <w:t xml:space="preserve">ou menaces </w:t>
      </w:r>
      <w:r w:rsidR="009A42B4">
        <w:rPr>
          <w:lang w:val="fr-FR"/>
        </w:rPr>
        <w:t xml:space="preserve">et intimidations </w:t>
      </w:r>
      <w:r w:rsidR="00220893">
        <w:rPr>
          <w:lang w:val="fr-FR"/>
        </w:rPr>
        <w:t>envers</w:t>
      </w:r>
      <w:r w:rsidR="00BE76C9" w:rsidRPr="00DC40FD">
        <w:rPr>
          <w:lang w:val="fr-FR"/>
        </w:rPr>
        <w:t xml:space="preserve"> </w:t>
      </w:r>
      <w:r w:rsidR="00376A1C">
        <w:rPr>
          <w:lang w:val="fr-FR"/>
        </w:rPr>
        <w:t>l</w:t>
      </w:r>
      <w:r w:rsidRPr="00DC40FD">
        <w:rPr>
          <w:lang w:val="fr-FR"/>
        </w:rPr>
        <w:t>es défenseur</w:t>
      </w:r>
      <w:r w:rsidR="00DF6395">
        <w:rPr>
          <w:lang w:val="fr-FR"/>
        </w:rPr>
        <w:t>.e</w:t>
      </w:r>
      <w:r w:rsidR="00023D86">
        <w:rPr>
          <w:lang w:val="fr-FR"/>
        </w:rPr>
        <w:t>s des droits humains ;</w:t>
      </w:r>
    </w:p>
    <w:p w:rsidR="00270ABE" w:rsidRPr="00DC40FD" w:rsidRDefault="00270ABE" w:rsidP="00DC40FD">
      <w:pPr>
        <w:pStyle w:val="ListParagraph"/>
        <w:numPr>
          <w:ilvl w:val="0"/>
          <w:numId w:val="8"/>
        </w:numPr>
        <w:spacing w:before="120" w:after="120" w:line="240" w:lineRule="auto"/>
        <w:jc w:val="both"/>
        <w:rPr>
          <w:lang w:val="fr-FR"/>
        </w:rPr>
      </w:pPr>
      <w:r w:rsidRPr="00DC40FD">
        <w:rPr>
          <w:lang w:val="fr-FR"/>
        </w:rPr>
        <w:t>Assurer la formation en droits humains d</w:t>
      </w:r>
      <w:r w:rsidR="00023D86">
        <w:rPr>
          <w:lang w:val="fr-FR"/>
        </w:rPr>
        <w:t>es FDS lors des crises internes ;</w:t>
      </w:r>
    </w:p>
    <w:p w:rsidR="00AF461F" w:rsidRPr="00DC40FD" w:rsidRDefault="00AF461F" w:rsidP="00DC40FD">
      <w:pPr>
        <w:pStyle w:val="ListParagraph"/>
        <w:numPr>
          <w:ilvl w:val="0"/>
          <w:numId w:val="8"/>
        </w:numPr>
        <w:spacing w:before="120" w:after="120" w:line="240" w:lineRule="auto"/>
        <w:jc w:val="both"/>
        <w:rPr>
          <w:lang w:val="fr-FR"/>
        </w:rPr>
      </w:pPr>
      <w:r w:rsidRPr="00DC40FD">
        <w:rPr>
          <w:lang w:val="fr-FR"/>
        </w:rPr>
        <w:t xml:space="preserve">Veiller au respect de la règlementation sur le port et la détention des armes par les </w:t>
      </w:r>
      <w:proofErr w:type="spellStart"/>
      <w:r w:rsidRPr="00DC40FD">
        <w:rPr>
          <w:lang w:val="fr-FR"/>
        </w:rPr>
        <w:t>citoyen</w:t>
      </w:r>
      <w:r w:rsidR="00EF5333">
        <w:rPr>
          <w:lang w:val="fr-FR"/>
        </w:rPr>
        <w:t>.ne</w:t>
      </w:r>
      <w:r w:rsidR="00023D86">
        <w:rPr>
          <w:lang w:val="fr-FR"/>
        </w:rPr>
        <w:t>s</w:t>
      </w:r>
      <w:proofErr w:type="spellEnd"/>
      <w:r w:rsidR="00023D86">
        <w:rPr>
          <w:lang w:val="fr-FR"/>
        </w:rPr>
        <w:t xml:space="preserve"> au Burkina Faso ;</w:t>
      </w:r>
    </w:p>
    <w:p w:rsidR="00C6048F" w:rsidRPr="00DC40FD" w:rsidRDefault="00122C40" w:rsidP="00DC40FD">
      <w:pPr>
        <w:pStyle w:val="ListParagraph"/>
        <w:numPr>
          <w:ilvl w:val="0"/>
          <w:numId w:val="8"/>
        </w:numPr>
        <w:spacing w:before="120" w:after="120" w:line="240" w:lineRule="auto"/>
        <w:jc w:val="both"/>
        <w:rPr>
          <w:lang w:val="fr-FR"/>
        </w:rPr>
      </w:pPr>
      <w:r w:rsidRPr="00DC40FD">
        <w:rPr>
          <w:lang w:val="fr-FR"/>
        </w:rPr>
        <w:t xml:space="preserve">Promouvoir la déclaration sur les défenseurs </w:t>
      </w:r>
      <w:proofErr w:type="gramStart"/>
      <w:r w:rsidRPr="00DC40FD">
        <w:rPr>
          <w:lang w:val="fr-FR"/>
        </w:rPr>
        <w:t>des droits humains adoptée</w:t>
      </w:r>
      <w:proofErr w:type="gramEnd"/>
      <w:r w:rsidRPr="00DC40FD">
        <w:rPr>
          <w:lang w:val="fr-FR"/>
        </w:rPr>
        <w:t xml:space="preserve"> en 1998 par l’Assemblée Générale des Nations</w:t>
      </w:r>
      <w:r w:rsidR="00EF5333">
        <w:rPr>
          <w:lang w:val="fr-FR"/>
        </w:rPr>
        <w:t xml:space="preserve"> Unies</w:t>
      </w:r>
      <w:r w:rsidRPr="00DC40FD">
        <w:rPr>
          <w:lang w:val="fr-FR"/>
        </w:rPr>
        <w:t>.</w:t>
      </w:r>
    </w:p>
    <w:p w:rsidR="0010556B" w:rsidRPr="00DC40FD" w:rsidRDefault="0010556B" w:rsidP="00DC40FD">
      <w:pPr>
        <w:pStyle w:val="ListParagraph"/>
        <w:spacing w:before="120" w:after="120" w:line="240" w:lineRule="auto"/>
        <w:jc w:val="both"/>
        <w:rPr>
          <w:lang w:val="fr-FR"/>
        </w:rPr>
      </w:pPr>
    </w:p>
    <w:sectPr w:rsidR="0010556B" w:rsidRPr="00DC40FD" w:rsidSect="00DC40FD">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EE3" w:rsidRDefault="00087EE3" w:rsidP="00B827FF">
      <w:pPr>
        <w:spacing w:after="0" w:line="240" w:lineRule="auto"/>
      </w:pPr>
      <w:r>
        <w:separator/>
      </w:r>
    </w:p>
  </w:endnote>
  <w:endnote w:type="continuationSeparator" w:id="0">
    <w:p w:rsidR="00087EE3" w:rsidRDefault="00087EE3" w:rsidP="00B82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0781184"/>
      <w:docPartObj>
        <w:docPartGallery w:val="Page Numbers (Bottom of Page)"/>
        <w:docPartUnique/>
      </w:docPartObj>
    </w:sdtPr>
    <w:sdtEndPr/>
    <w:sdtContent>
      <w:sdt>
        <w:sdtPr>
          <w:id w:val="-1769616900"/>
          <w:docPartObj>
            <w:docPartGallery w:val="Page Numbers (Top of Page)"/>
            <w:docPartUnique/>
          </w:docPartObj>
        </w:sdtPr>
        <w:sdtEndPr/>
        <w:sdtContent>
          <w:p w:rsidR="00BC4453" w:rsidRPr="00BC4453" w:rsidRDefault="00BC4453">
            <w:pPr>
              <w:pStyle w:val="Footer"/>
              <w:jc w:val="right"/>
            </w:pPr>
            <w:r w:rsidRPr="00BC4453">
              <w:rPr>
                <w:bCs/>
                <w:sz w:val="24"/>
                <w:szCs w:val="24"/>
              </w:rPr>
              <w:fldChar w:fldCharType="begin"/>
            </w:r>
            <w:r w:rsidRPr="00BC4453">
              <w:rPr>
                <w:bCs/>
              </w:rPr>
              <w:instrText xml:space="preserve"> PAGE </w:instrText>
            </w:r>
            <w:r w:rsidRPr="00BC4453">
              <w:rPr>
                <w:bCs/>
                <w:sz w:val="24"/>
                <w:szCs w:val="24"/>
              </w:rPr>
              <w:fldChar w:fldCharType="separate"/>
            </w:r>
            <w:r w:rsidR="006D3E17">
              <w:rPr>
                <w:bCs/>
                <w:noProof/>
              </w:rPr>
              <w:t>1</w:t>
            </w:r>
            <w:r w:rsidRPr="00BC4453">
              <w:rPr>
                <w:bCs/>
                <w:sz w:val="24"/>
                <w:szCs w:val="24"/>
              </w:rPr>
              <w:fldChar w:fldCharType="end"/>
            </w:r>
            <w:r w:rsidRPr="00BC4453">
              <w:t xml:space="preserve"> / </w:t>
            </w:r>
            <w:r w:rsidRPr="00BC4453">
              <w:rPr>
                <w:bCs/>
                <w:sz w:val="24"/>
                <w:szCs w:val="24"/>
              </w:rPr>
              <w:fldChar w:fldCharType="begin"/>
            </w:r>
            <w:r w:rsidRPr="00BC4453">
              <w:rPr>
                <w:bCs/>
              </w:rPr>
              <w:instrText xml:space="preserve"> NUMPAGES  </w:instrText>
            </w:r>
            <w:r w:rsidRPr="00BC4453">
              <w:rPr>
                <w:bCs/>
                <w:sz w:val="24"/>
                <w:szCs w:val="24"/>
              </w:rPr>
              <w:fldChar w:fldCharType="separate"/>
            </w:r>
            <w:r w:rsidR="006D3E17">
              <w:rPr>
                <w:bCs/>
                <w:noProof/>
              </w:rPr>
              <w:t>4</w:t>
            </w:r>
            <w:r w:rsidRPr="00BC4453">
              <w:rPr>
                <w:bCs/>
                <w:sz w:val="24"/>
                <w:szCs w:val="24"/>
              </w:rPr>
              <w:fldChar w:fldCharType="end"/>
            </w:r>
          </w:p>
        </w:sdtContent>
      </w:sdt>
    </w:sdtContent>
  </w:sdt>
  <w:p w:rsidR="00BC4453" w:rsidRPr="00BC4453" w:rsidRDefault="00BC44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EE3" w:rsidRDefault="00087EE3" w:rsidP="00B827FF">
      <w:pPr>
        <w:spacing w:after="0" w:line="240" w:lineRule="auto"/>
      </w:pPr>
      <w:r>
        <w:separator/>
      </w:r>
    </w:p>
  </w:footnote>
  <w:footnote w:type="continuationSeparator" w:id="0">
    <w:p w:rsidR="00087EE3" w:rsidRDefault="00087EE3" w:rsidP="00B827FF">
      <w:pPr>
        <w:spacing w:after="0" w:line="240" w:lineRule="auto"/>
      </w:pPr>
      <w:r>
        <w:continuationSeparator/>
      </w:r>
    </w:p>
  </w:footnote>
  <w:footnote w:id="1">
    <w:p w:rsidR="00EF035C" w:rsidRDefault="00EF035C">
      <w:pPr>
        <w:pStyle w:val="FootnoteText"/>
      </w:pPr>
      <w:r>
        <w:rPr>
          <w:rStyle w:val="FootnoteReference"/>
        </w:rPr>
        <w:footnoteRef/>
      </w:r>
      <w:r>
        <w:t xml:space="preserve"> </w:t>
      </w:r>
      <w:hyperlink r:id="rId1" w:history="1">
        <w:r w:rsidR="001D55DA" w:rsidRPr="00CB7C24">
          <w:rPr>
            <w:rStyle w:val="Hyperlink"/>
          </w:rPr>
          <w:t>http://bit.ly/2BcpZ0h</w:t>
        </w:r>
      </w:hyperlink>
      <w:r w:rsidR="001D55DA">
        <w:t xml:space="preserve"> </w:t>
      </w:r>
    </w:p>
  </w:footnote>
  <w:footnote w:id="2">
    <w:p w:rsidR="00965022" w:rsidRDefault="00965022">
      <w:pPr>
        <w:pStyle w:val="FootnoteText"/>
      </w:pPr>
      <w:r>
        <w:rPr>
          <w:rStyle w:val="FootnoteReference"/>
        </w:rPr>
        <w:footnoteRef/>
      </w:r>
      <w:r>
        <w:t xml:space="preserve"> </w:t>
      </w:r>
      <w:hyperlink r:id="rId2" w:history="1">
        <w:r w:rsidRPr="00CB7C24">
          <w:rPr>
            <w:rStyle w:val="Hyperlink"/>
          </w:rPr>
          <w:t>https://www.refworld.org/docid/3ae6b5cc0.html</w:t>
        </w:r>
      </w:hyperlink>
      <w:r>
        <w:t xml:space="preserve"> </w:t>
      </w:r>
    </w:p>
  </w:footnote>
  <w:footnote w:id="3">
    <w:p w:rsidR="00153D28" w:rsidRDefault="00153D28">
      <w:pPr>
        <w:pStyle w:val="FootnoteText"/>
      </w:pPr>
      <w:r>
        <w:rPr>
          <w:rStyle w:val="FootnoteReference"/>
        </w:rPr>
        <w:footnoteRef/>
      </w:r>
      <w:r>
        <w:t xml:space="preserve"> </w:t>
      </w:r>
      <w:hyperlink r:id="rId3" w:history="1">
        <w:r w:rsidRPr="00CB7C24">
          <w:rPr>
            <w:rStyle w:val="Hyperlink"/>
          </w:rPr>
          <w:t>https://www.refworld.org/topic,50ffbce5220,50ffbce5226,5d42bd514,0,,,BFA.html</w:t>
        </w:r>
      </w:hyperlink>
      <w:r>
        <w:t xml:space="preserve"> </w:t>
      </w:r>
    </w:p>
  </w:footnote>
  <w:footnote w:id="4">
    <w:p w:rsidR="006F634D" w:rsidRDefault="006F634D">
      <w:pPr>
        <w:pStyle w:val="FootnoteText"/>
      </w:pPr>
      <w:r>
        <w:rPr>
          <w:rStyle w:val="FootnoteReference"/>
        </w:rPr>
        <w:footnoteRef/>
      </w:r>
      <w:r>
        <w:t xml:space="preserve"> </w:t>
      </w:r>
      <w:r w:rsidRPr="006F634D">
        <w:rPr>
          <w:szCs w:val="22"/>
          <w:lang w:val="fr-FR"/>
        </w:rPr>
        <w:t xml:space="preserve">Communiqué de </w:t>
      </w:r>
      <w:r>
        <w:rPr>
          <w:szCs w:val="22"/>
          <w:lang w:val="fr-FR"/>
        </w:rPr>
        <w:t xml:space="preserve">presse du MBDHP du 13 mars 2019 </w:t>
      </w:r>
      <w:hyperlink r:id="rId4" w:history="1">
        <w:r w:rsidRPr="00CB7C24">
          <w:rPr>
            <w:rStyle w:val="Hyperlink"/>
            <w:szCs w:val="22"/>
            <w:lang w:val="fr-FR"/>
          </w:rPr>
          <w:t>https://lefaso.net/spip.php?article88525</w:t>
        </w:r>
      </w:hyperlink>
      <w:r>
        <w:rPr>
          <w:szCs w:val="22"/>
          <w:lang w:val="fr-FR"/>
        </w:rPr>
        <w:t xml:space="preserve"> </w:t>
      </w:r>
    </w:p>
  </w:footnote>
  <w:footnote w:id="5">
    <w:p w:rsidR="00400C41" w:rsidRDefault="00400C41">
      <w:pPr>
        <w:pStyle w:val="FootnoteText"/>
      </w:pPr>
      <w:r>
        <w:rPr>
          <w:rStyle w:val="FootnoteReference"/>
        </w:rPr>
        <w:footnoteRef/>
      </w:r>
      <w:r>
        <w:t xml:space="preserve"> </w:t>
      </w:r>
      <w:hyperlink r:id="rId5" w:history="1">
        <w:r w:rsidRPr="00CB7C24">
          <w:rPr>
            <w:rStyle w:val="Hyperlink"/>
          </w:rPr>
          <w:t>https://lavoixdujuristebf.files.wordpress.com/2018/02/loi_039-2017_defenseurs_droits_humains.pdf</w:t>
        </w:r>
      </w:hyperlink>
      <w:r>
        <w:t xml:space="preserve"> </w:t>
      </w:r>
    </w:p>
  </w:footnote>
  <w:footnote w:id="6">
    <w:p w:rsidR="006623D6" w:rsidRDefault="006623D6">
      <w:pPr>
        <w:pStyle w:val="FootnoteText"/>
      </w:pPr>
      <w:r>
        <w:rPr>
          <w:rStyle w:val="FootnoteReference"/>
        </w:rPr>
        <w:footnoteRef/>
      </w:r>
      <w:r>
        <w:t xml:space="preserve"> Voir </w:t>
      </w:r>
      <w:hyperlink r:id="rId6" w:history="1">
        <w:r w:rsidRPr="00CB7C24">
          <w:rPr>
            <w:rStyle w:val="Hyperlink"/>
          </w:rPr>
          <w:t>http://bit.ly/2BcLNZH</w:t>
        </w:r>
      </w:hyperlink>
      <w:r>
        <w:t xml:space="preserve"> </w:t>
      </w:r>
    </w:p>
  </w:footnote>
  <w:footnote w:id="7">
    <w:p w:rsidR="004E1FAF" w:rsidRDefault="004E1FAF">
      <w:pPr>
        <w:pStyle w:val="FootnoteText"/>
      </w:pPr>
      <w:r>
        <w:rPr>
          <w:rStyle w:val="FootnoteReference"/>
        </w:rPr>
        <w:footnoteRef/>
      </w:r>
      <w:r>
        <w:t xml:space="preserve"> </w:t>
      </w:r>
      <w:hyperlink r:id="rId7" w:history="1">
        <w:r w:rsidRPr="00CB7C24">
          <w:rPr>
            <w:rStyle w:val="Hyperlink"/>
          </w:rPr>
          <w:t>http://bit.ly/2BbTBLe</w:t>
        </w:r>
      </w:hyperlink>
      <w:r>
        <w:t xml:space="preserve"> </w:t>
      </w:r>
    </w:p>
  </w:footnote>
  <w:footnote w:id="8">
    <w:p w:rsidR="0041101A" w:rsidRDefault="0041101A">
      <w:pPr>
        <w:pStyle w:val="FootnoteText"/>
      </w:pPr>
      <w:r>
        <w:rPr>
          <w:rStyle w:val="FootnoteReference"/>
        </w:rPr>
        <w:footnoteRef/>
      </w:r>
      <w:r>
        <w:t xml:space="preserve"> </w:t>
      </w:r>
      <w:hyperlink r:id="rId8" w:history="1">
        <w:r w:rsidRPr="00CB7C24">
          <w:rPr>
            <w:rStyle w:val="Hyperlink"/>
          </w:rPr>
          <w:t>https://lefaso.net/spip.php?article90714</w:t>
        </w:r>
      </w:hyperlink>
      <w:r>
        <w:t xml:space="preserve"> </w:t>
      </w:r>
    </w:p>
  </w:footnote>
  <w:footnote w:id="9">
    <w:p w:rsidR="007200DF" w:rsidRDefault="007200DF">
      <w:pPr>
        <w:pStyle w:val="FootnoteText"/>
      </w:pPr>
      <w:r>
        <w:rPr>
          <w:rStyle w:val="FootnoteReference"/>
        </w:rPr>
        <w:footnoteRef/>
      </w:r>
      <w:r>
        <w:t xml:space="preserve"> </w:t>
      </w:r>
      <w:hyperlink r:id="rId9" w:history="1">
        <w:r w:rsidRPr="00CB7C24">
          <w:rPr>
            <w:rStyle w:val="Hyperlink"/>
          </w:rPr>
          <w:t>https://lefaso.net/spip.php?article91597</w:t>
        </w:r>
      </w:hyperlink>
      <w:r>
        <w:t xml:space="preserve"> </w:t>
      </w:r>
    </w:p>
  </w:footnote>
  <w:footnote w:id="10">
    <w:p w:rsidR="00AC445F" w:rsidRDefault="00AC445F">
      <w:pPr>
        <w:pStyle w:val="FootnoteText"/>
      </w:pPr>
      <w:r>
        <w:rPr>
          <w:rStyle w:val="FootnoteReference"/>
        </w:rPr>
        <w:footnoteRef/>
      </w:r>
      <w:r>
        <w:t xml:space="preserve"> </w:t>
      </w:r>
      <w:hyperlink r:id="rId10" w:history="1">
        <w:r w:rsidRPr="00CB7C24">
          <w:rPr>
            <w:rStyle w:val="Hyperlink"/>
          </w:rPr>
          <w:t>https://www.amnesty.org/fr/latest/news/2019/06/burkina-faso-le-nouveau-code-pourrait-conduire/</w:t>
        </w:r>
      </w:hyperlink>
      <w:r>
        <w:t xml:space="preserve"> </w:t>
      </w:r>
    </w:p>
  </w:footnote>
  <w:footnote w:id="11">
    <w:p w:rsidR="00491B60" w:rsidRDefault="00491B60">
      <w:pPr>
        <w:pStyle w:val="FootnoteText"/>
      </w:pPr>
      <w:r>
        <w:rPr>
          <w:rStyle w:val="FootnoteReference"/>
        </w:rPr>
        <w:footnoteRef/>
      </w:r>
      <w:r>
        <w:t xml:space="preserve"> </w:t>
      </w:r>
      <w:hyperlink r:id="rId11" w:history="1">
        <w:r w:rsidRPr="00CB7C24">
          <w:rPr>
            <w:rStyle w:val="Hyperlink"/>
          </w:rPr>
          <w:t>https://lefaso.net/spip.php?article90545</w:t>
        </w:r>
      </w:hyperlink>
      <w:r>
        <w:t xml:space="preserve"> </w:t>
      </w:r>
    </w:p>
  </w:footnote>
  <w:footnote w:id="12">
    <w:p w:rsidR="003E12E3" w:rsidRDefault="003E12E3">
      <w:pPr>
        <w:pStyle w:val="FootnoteText"/>
      </w:pPr>
      <w:r>
        <w:rPr>
          <w:rStyle w:val="FootnoteReference"/>
        </w:rPr>
        <w:footnoteRef/>
      </w:r>
      <w:r>
        <w:t xml:space="preserve"> </w:t>
      </w:r>
      <w:hyperlink r:id="rId12" w:history="1">
        <w:r w:rsidRPr="00CB7C24">
          <w:rPr>
            <w:rStyle w:val="Hyperlink"/>
          </w:rPr>
          <w:t>https://netafrique.net/6395261190-2/</w:t>
        </w:r>
      </w:hyperlink>
      <w:r>
        <w:t xml:space="preserve"> </w:t>
      </w:r>
    </w:p>
  </w:footnote>
  <w:footnote w:id="13">
    <w:p w:rsidR="00CA3CF6" w:rsidRDefault="00CA3CF6">
      <w:pPr>
        <w:pStyle w:val="FootnoteText"/>
      </w:pPr>
      <w:r>
        <w:rPr>
          <w:rStyle w:val="FootnoteReference"/>
        </w:rPr>
        <w:footnoteRef/>
      </w:r>
      <w:r>
        <w:t xml:space="preserve"> </w:t>
      </w:r>
      <w:hyperlink r:id="rId13" w:history="1">
        <w:r w:rsidRPr="00CB7C24">
          <w:rPr>
            <w:rStyle w:val="Hyperlink"/>
          </w:rPr>
          <w:t>http://ishr.ch/news/burkina-faso-create-mechanism-protect-defenders-and-monitor-implementation-law</w:t>
        </w:r>
      </w:hyperlink>
      <w:r>
        <w:t xml:space="preserve"> </w:t>
      </w:r>
    </w:p>
  </w:footnote>
  <w:footnote w:id="14">
    <w:p w:rsidR="00680C3B" w:rsidRDefault="00680C3B">
      <w:pPr>
        <w:pStyle w:val="FootnoteText"/>
      </w:pPr>
      <w:r>
        <w:rPr>
          <w:rStyle w:val="FootnoteReference"/>
        </w:rPr>
        <w:footnoteRef/>
      </w:r>
      <w:r>
        <w:t xml:space="preserve"> </w:t>
      </w:r>
      <w:hyperlink r:id="rId14" w:history="1">
        <w:r>
          <w:rPr>
            <w:rStyle w:val="Hyperlink"/>
          </w:rPr>
          <w:t>http://www.touteinfo.com/spip.php?article1478</w:t>
        </w:r>
      </w:hyperlink>
      <w:r>
        <w:t xml:space="preserve"> </w:t>
      </w:r>
    </w:p>
  </w:footnote>
  <w:footnote w:id="15">
    <w:p w:rsidR="00152114" w:rsidRDefault="00152114">
      <w:pPr>
        <w:pStyle w:val="FootnoteText"/>
      </w:pPr>
      <w:r>
        <w:rPr>
          <w:rStyle w:val="FootnoteReference"/>
        </w:rPr>
        <w:footnoteRef/>
      </w:r>
      <w:r>
        <w:t xml:space="preserve"> Voir notamment </w:t>
      </w:r>
      <w:hyperlink r:id="rId15" w:history="1">
        <w:r>
          <w:rPr>
            <w:rStyle w:val="Hyperlink"/>
          </w:rPr>
          <w:t>https://www.hrw.org/fr/news/2018/05/21/burkina-faso-meurtres-et-abus-commis-dans-le-conflit-du-sahel</w:t>
        </w:r>
      </w:hyperlink>
      <w:r>
        <w:t xml:space="preserve"> </w:t>
      </w:r>
    </w:p>
  </w:footnote>
  <w:footnote w:id="16">
    <w:p w:rsidR="00A76591" w:rsidRDefault="00A76591">
      <w:pPr>
        <w:pStyle w:val="FootnoteText"/>
      </w:pPr>
      <w:r>
        <w:rPr>
          <w:rStyle w:val="FootnoteReference"/>
        </w:rPr>
        <w:footnoteRef/>
      </w:r>
      <w:r>
        <w:t xml:space="preserve"> </w:t>
      </w:r>
      <w:hyperlink r:id="rId16" w:history="1">
        <w:r>
          <w:rPr>
            <w:rStyle w:val="Hyperlink"/>
          </w:rPr>
          <w:t>https://www.lemonde.fr/afrique/article/2019/09/25/c-etaient-nos-militaires-au-burkina-des-rescapes-peuls-accusent-l-armee_6013043_3212.html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48F" w:rsidRDefault="00C6048F">
    <w:pPr>
      <w:pStyle w:val="Header"/>
    </w:pPr>
    <w:r>
      <w:t xml:space="preserve">                                     </w:t>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678E8"/>
    <w:multiLevelType w:val="hybridMultilevel"/>
    <w:tmpl w:val="28A8340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D192612"/>
    <w:multiLevelType w:val="hybridMultilevel"/>
    <w:tmpl w:val="8C5621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C03511"/>
    <w:multiLevelType w:val="hybridMultilevel"/>
    <w:tmpl w:val="510EE2CE"/>
    <w:lvl w:ilvl="0" w:tplc="49A261D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E95EB8"/>
    <w:multiLevelType w:val="hybridMultilevel"/>
    <w:tmpl w:val="187A5AC8"/>
    <w:lvl w:ilvl="0" w:tplc="21C6126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9F0647"/>
    <w:multiLevelType w:val="hybridMultilevel"/>
    <w:tmpl w:val="F9FA7E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3623C9"/>
    <w:multiLevelType w:val="hybridMultilevel"/>
    <w:tmpl w:val="367245E2"/>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950E73"/>
    <w:multiLevelType w:val="hybridMultilevel"/>
    <w:tmpl w:val="DD4687F0"/>
    <w:lvl w:ilvl="0" w:tplc="100C000F">
      <w:start w:val="1"/>
      <w:numFmt w:val="decimal"/>
      <w:lvlText w:val="%1."/>
      <w:lvlJc w:val="left"/>
      <w:pPr>
        <w:ind w:left="720" w:hanging="360"/>
      </w:pPr>
    </w:lvl>
    <w:lvl w:ilvl="1" w:tplc="100C0001">
      <w:start w:val="1"/>
      <w:numFmt w:val="bullet"/>
      <w:lvlText w:val=""/>
      <w:lvlJc w:val="left"/>
      <w:pPr>
        <w:ind w:left="1440" w:hanging="360"/>
      </w:pPr>
      <w:rPr>
        <w:rFonts w:ascii="Symbol" w:hAnsi="Symbol" w:hint="default"/>
      </w:r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7" w15:restartNumberingAfterBreak="0">
    <w:nsid w:val="4FCF095F"/>
    <w:multiLevelType w:val="hybridMultilevel"/>
    <w:tmpl w:val="87CE5D86"/>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8" w15:restartNumberingAfterBreak="0">
    <w:nsid w:val="797E25A2"/>
    <w:multiLevelType w:val="hybridMultilevel"/>
    <w:tmpl w:val="E8E09DAE"/>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2"/>
  </w:num>
  <w:num w:numId="5">
    <w:abstractNumId w:val="1"/>
  </w:num>
  <w:num w:numId="6">
    <w:abstractNumId w:val="8"/>
  </w:num>
  <w:num w:numId="7">
    <w:abstractNumId w:val="4"/>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7FF"/>
    <w:rsid w:val="00001828"/>
    <w:rsid w:val="00001C0B"/>
    <w:rsid w:val="0000536B"/>
    <w:rsid w:val="00017C56"/>
    <w:rsid w:val="00023D86"/>
    <w:rsid w:val="00027D7A"/>
    <w:rsid w:val="00061E5D"/>
    <w:rsid w:val="00086546"/>
    <w:rsid w:val="00086B87"/>
    <w:rsid w:val="00087EE3"/>
    <w:rsid w:val="000D3793"/>
    <w:rsid w:val="000F4FB4"/>
    <w:rsid w:val="0010556B"/>
    <w:rsid w:val="001117F1"/>
    <w:rsid w:val="00122C40"/>
    <w:rsid w:val="00152114"/>
    <w:rsid w:val="00153D28"/>
    <w:rsid w:val="001565F1"/>
    <w:rsid w:val="00165E66"/>
    <w:rsid w:val="001863B8"/>
    <w:rsid w:val="001929E9"/>
    <w:rsid w:val="001A71EA"/>
    <w:rsid w:val="001B4F12"/>
    <w:rsid w:val="001C0C78"/>
    <w:rsid w:val="001D55DA"/>
    <w:rsid w:val="00202F5C"/>
    <w:rsid w:val="00220893"/>
    <w:rsid w:val="00230CA2"/>
    <w:rsid w:val="00235133"/>
    <w:rsid w:val="0024221E"/>
    <w:rsid w:val="00256347"/>
    <w:rsid w:val="00270ABE"/>
    <w:rsid w:val="002A13D7"/>
    <w:rsid w:val="002A3668"/>
    <w:rsid w:val="002C569B"/>
    <w:rsid w:val="002F7E97"/>
    <w:rsid w:val="00303063"/>
    <w:rsid w:val="0033400D"/>
    <w:rsid w:val="00372D83"/>
    <w:rsid w:val="00376A1C"/>
    <w:rsid w:val="003A547A"/>
    <w:rsid w:val="003B05E7"/>
    <w:rsid w:val="003B3D5D"/>
    <w:rsid w:val="003C5636"/>
    <w:rsid w:val="003D5612"/>
    <w:rsid w:val="003E12E3"/>
    <w:rsid w:val="00400261"/>
    <w:rsid w:val="00400C41"/>
    <w:rsid w:val="0041101A"/>
    <w:rsid w:val="0043092C"/>
    <w:rsid w:val="004334EE"/>
    <w:rsid w:val="00483FEC"/>
    <w:rsid w:val="00491B60"/>
    <w:rsid w:val="0049299B"/>
    <w:rsid w:val="004B0CB1"/>
    <w:rsid w:val="004E1FAF"/>
    <w:rsid w:val="004E4C43"/>
    <w:rsid w:val="004E5CF0"/>
    <w:rsid w:val="00500E03"/>
    <w:rsid w:val="00527E70"/>
    <w:rsid w:val="005314A1"/>
    <w:rsid w:val="005521B9"/>
    <w:rsid w:val="0055774E"/>
    <w:rsid w:val="00566273"/>
    <w:rsid w:val="00567F52"/>
    <w:rsid w:val="0057488C"/>
    <w:rsid w:val="00597621"/>
    <w:rsid w:val="005F0670"/>
    <w:rsid w:val="00624BD0"/>
    <w:rsid w:val="0065109B"/>
    <w:rsid w:val="006570CA"/>
    <w:rsid w:val="006623D6"/>
    <w:rsid w:val="006623EC"/>
    <w:rsid w:val="00666D12"/>
    <w:rsid w:val="00680C3B"/>
    <w:rsid w:val="006A53EE"/>
    <w:rsid w:val="006C1F71"/>
    <w:rsid w:val="006C7628"/>
    <w:rsid w:val="006D3E17"/>
    <w:rsid w:val="006F52CD"/>
    <w:rsid w:val="006F634D"/>
    <w:rsid w:val="00706943"/>
    <w:rsid w:val="00713DF5"/>
    <w:rsid w:val="007200DF"/>
    <w:rsid w:val="007558C5"/>
    <w:rsid w:val="008136EF"/>
    <w:rsid w:val="00826B8C"/>
    <w:rsid w:val="00845E65"/>
    <w:rsid w:val="00865EEF"/>
    <w:rsid w:val="00866D8D"/>
    <w:rsid w:val="00876969"/>
    <w:rsid w:val="008B0490"/>
    <w:rsid w:val="008E4B04"/>
    <w:rsid w:val="00924693"/>
    <w:rsid w:val="00965022"/>
    <w:rsid w:val="00983DF4"/>
    <w:rsid w:val="009928F3"/>
    <w:rsid w:val="009A42B4"/>
    <w:rsid w:val="009E7150"/>
    <w:rsid w:val="00A10D4C"/>
    <w:rsid w:val="00A231E6"/>
    <w:rsid w:val="00A2372C"/>
    <w:rsid w:val="00A50302"/>
    <w:rsid w:val="00A76591"/>
    <w:rsid w:val="00A77799"/>
    <w:rsid w:val="00A82002"/>
    <w:rsid w:val="00A967B6"/>
    <w:rsid w:val="00AB00F6"/>
    <w:rsid w:val="00AC445F"/>
    <w:rsid w:val="00AC5739"/>
    <w:rsid w:val="00AD7CB2"/>
    <w:rsid w:val="00AF461F"/>
    <w:rsid w:val="00AF7234"/>
    <w:rsid w:val="00B34109"/>
    <w:rsid w:val="00B563D3"/>
    <w:rsid w:val="00B827FF"/>
    <w:rsid w:val="00B908CF"/>
    <w:rsid w:val="00BC4453"/>
    <w:rsid w:val="00BC5472"/>
    <w:rsid w:val="00BD0516"/>
    <w:rsid w:val="00BE2BDD"/>
    <w:rsid w:val="00BE3AED"/>
    <w:rsid w:val="00BE5FBC"/>
    <w:rsid w:val="00BE76C9"/>
    <w:rsid w:val="00C00718"/>
    <w:rsid w:val="00C408DB"/>
    <w:rsid w:val="00C5738A"/>
    <w:rsid w:val="00C6048F"/>
    <w:rsid w:val="00CA3CF6"/>
    <w:rsid w:val="00CF6BD1"/>
    <w:rsid w:val="00D462D3"/>
    <w:rsid w:val="00D542F2"/>
    <w:rsid w:val="00D60877"/>
    <w:rsid w:val="00D66E44"/>
    <w:rsid w:val="00D9022D"/>
    <w:rsid w:val="00D90DDC"/>
    <w:rsid w:val="00D954B3"/>
    <w:rsid w:val="00DC40FD"/>
    <w:rsid w:val="00DF6395"/>
    <w:rsid w:val="00E07FEF"/>
    <w:rsid w:val="00E572ED"/>
    <w:rsid w:val="00EA2BD0"/>
    <w:rsid w:val="00ED10BA"/>
    <w:rsid w:val="00EF035C"/>
    <w:rsid w:val="00EF494C"/>
    <w:rsid w:val="00EF5333"/>
    <w:rsid w:val="00F05643"/>
    <w:rsid w:val="00F141D8"/>
    <w:rsid w:val="00F303FB"/>
    <w:rsid w:val="00F41840"/>
    <w:rsid w:val="00F543DF"/>
    <w:rsid w:val="00F75607"/>
    <w:rsid w:val="00FC0CAE"/>
    <w:rsid w:val="00FC4E12"/>
    <w:rsid w:val="00FD3884"/>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28D68A"/>
  <w15:chartTrackingRefBased/>
  <w15:docId w15:val="{C799760E-CE95-4EB5-85D9-7496215F5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27FF"/>
    <w:pPr>
      <w:spacing w:line="256" w:lineRule="auto"/>
    </w:pPr>
    <w:rPr>
      <w:lang w:val="fr-CH"/>
    </w:rPr>
  </w:style>
  <w:style w:type="paragraph" w:styleId="Heading1">
    <w:name w:val="heading 1"/>
    <w:basedOn w:val="Normal"/>
    <w:next w:val="Normal"/>
    <w:link w:val="Heading1Char"/>
    <w:uiPriority w:val="9"/>
    <w:qFormat/>
    <w:rsid w:val="00B827F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777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72D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27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27FF"/>
  </w:style>
  <w:style w:type="paragraph" w:styleId="Footer">
    <w:name w:val="footer"/>
    <w:basedOn w:val="Normal"/>
    <w:link w:val="FooterChar"/>
    <w:uiPriority w:val="99"/>
    <w:unhideWhenUsed/>
    <w:rsid w:val="00B827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27FF"/>
  </w:style>
  <w:style w:type="character" w:customStyle="1" w:styleId="Heading1Char">
    <w:name w:val="Heading 1 Char"/>
    <w:basedOn w:val="DefaultParagraphFont"/>
    <w:link w:val="Heading1"/>
    <w:uiPriority w:val="9"/>
    <w:rsid w:val="00B827FF"/>
    <w:rPr>
      <w:rFonts w:asciiTheme="majorHAnsi" w:eastAsiaTheme="majorEastAsia" w:hAnsiTheme="majorHAnsi" w:cstheme="majorBidi"/>
      <w:color w:val="2F5496" w:themeColor="accent1" w:themeShade="BF"/>
      <w:sz w:val="32"/>
      <w:szCs w:val="32"/>
      <w:lang w:val="fr-CH"/>
    </w:rPr>
  </w:style>
  <w:style w:type="character" w:styleId="Hyperlink">
    <w:name w:val="Hyperlink"/>
    <w:basedOn w:val="DefaultParagraphFont"/>
    <w:uiPriority w:val="99"/>
    <w:unhideWhenUsed/>
    <w:rsid w:val="00B827FF"/>
    <w:rPr>
      <w:color w:val="0070C0"/>
      <w:u w:val="single"/>
    </w:rPr>
  </w:style>
  <w:style w:type="character" w:customStyle="1" w:styleId="ListParagraphChar">
    <w:name w:val="List Paragraph Char"/>
    <w:aliases w:val="References Char,Liste couleur - Accent 11 Char,List Paragraph (numbered (a)) Char,Paragraphe de liste1 Char"/>
    <w:link w:val="ListParagraph"/>
    <w:uiPriority w:val="34"/>
    <w:locked/>
    <w:rsid w:val="00B827FF"/>
  </w:style>
  <w:style w:type="paragraph" w:styleId="ListParagraph">
    <w:name w:val="List Paragraph"/>
    <w:aliases w:val="References,Liste couleur - Accent 11,List Paragraph (numbered (a)),Paragraphe de liste1"/>
    <w:basedOn w:val="Normal"/>
    <w:link w:val="ListParagraphChar"/>
    <w:uiPriority w:val="34"/>
    <w:qFormat/>
    <w:rsid w:val="00B827FF"/>
    <w:pPr>
      <w:ind w:left="720"/>
      <w:contextualSpacing/>
    </w:pPr>
    <w:rPr>
      <w:lang w:val="en-GB"/>
    </w:rPr>
  </w:style>
  <w:style w:type="character" w:customStyle="1" w:styleId="UnresolvedMention">
    <w:name w:val="Unresolved Mention"/>
    <w:basedOn w:val="DefaultParagraphFont"/>
    <w:uiPriority w:val="99"/>
    <w:semiHidden/>
    <w:unhideWhenUsed/>
    <w:rsid w:val="00706943"/>
    <w:rPr>
      <w:color w:val="605E5C"/>
      <w:shd w:val="clear" w:color="auto" w:fill="E1DFDD"/>
    </w:rPr>
  </w:style>
  <w:style w:type="character" w:styleId="CommentReference">
    <w:name w:val="annotation reference"/>
    <w:basedOn w:val="DefaultParagraphFont"/>
    <w:uiPriority w:val="99"/>
    <w:semiHidden/>
    <w:unhideWhenUsed/>
    <w:rsid w:val="00BE5FBC"/>
    <w:rPr>
      <w:sz w:val="16"/>
      <w:szCs w:val="16"/>
    </w:rPr>
  </w:style>
  <w:style w:type="paragraph" w:styleId="CommentText">
    <w:name w:val="annotation text"/>
    <w:basedOn w:val="Normal"/>
    <w:link w:val="CommentTextChar"/>
    <w:uiPriority w:val="99"/>
    <w:semiHidden/>
    <w:unhideWhenUsed/>
    <w:rsid w:val="00BE5FBC"/>
    <w:pPr>
      <w:spacing w:line="240" w:lineRule="auto"/>
    </w:pPr>
    <w:rPr>
      <w:sz w:val="20"/>
      <w:szCs w:val="20"/>
    </w:rPr>
  </w:style>
  <w:style w:type="character" w:customStyle="1" w:styleId="CommentTextChar">
    <w:name w:val="Comment Text Char"/>
    <w:basedOn w:val="DefaultParagraphFont"/>
    <w:link w:val="CommentText"/>
    <w:uiPriority w:val="99"/>
    <w:semiHidden/>
    <w:rsid w:val="00BE5FBC"/>
    <w:rPr>
      <w:sz w:val="20"/>
      <w:szCs w:val="20"/>
      <w:lang w:val="fr-CH"/>
    </w:rPr>
  </w:style>
  <w:style w:type="paragraph" w:styleId="CommentSubject">
    <w:name w:val="annotation subject"/>
    <w:basedOn w:val="CommentText"/>
    <w:next w:val="CommentText"/>
    <w:link w:val="CommentSubjectChar"/>
    <w:uiPriority w:val="99"/>
    <w:semiHidden/>
    <w:unhideWhenUsed/>
    <w:rsid w:val="00BE5FBC"/>
    <w:rPr>
      <w:b/>
      <w:bCs/>
    </w:rPr>
  </w:style>
  <w:style w:type="character" w:customStyle="1" w:styleId="CommentSubjectChar">
    <w:name w:val="Comment Subject Char"/>
    <w:basedOn w:val="CommentTextChar"/>
    <w:link w:val="CommentSubject"/>
    <w:uiPriority w:val="99"/>
    <w:semiHidden/>
    <w:rsid w:val="00BE5FBC"/>
    <w:rPr>
      <w:b/>
      <w:bCs/>
      <w:sz w:val="20"/>
      <w:szCs w:val="20"/>
      <w:lang w:val="fr-CH"/>
    </w:rPr>
  </w:style>
  <w:style w:type="paragraph" w:styleId="BalloonText">
    <w:name w:val="Balloon Text"/>
    <w:basedOn w:val="Normal"/>
    <w:link w:val="BalloonTextChar"/>
    <w:uiPriority w:val="99"/>
    <w:semiHidden/>
    <w:unhideWhenUsed/>
    <w:rsid w:val="00BE5F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5FBC"/>
    <w:rPr>
      <w:rFonts w:ascii="Segoe UI" w:hAnsi="Segoe UI" w:cs="Segoe UI"/>
      <w:sz w:val="18"/>
      <w:szCs w:val="18"/>
      <w:lang w:val="fr-CH"/>
    </w:rPr>
  </w:style>
  <w:style w:type="character" w:styleId="FollowedHyperlink">
    <w:name w:val="FollowedHyperlink"/>
    <w:basedOn w:val="DefaultParagraphFont"/>
    <w:uiPriority w:val="99"/>
    <w:semiHidden/>
    <w:unhideWhenUsed/>
    <w:rsid w:val="00F41840"/>
    <w:rPr>
      <w:color w:val="954F72" w:themeColor="followedHyperlink"/>
      <w:u w:val="single"/>
    </w:rPr>
  </w:style>
  <w:style w:type="character" w:customStyle="1" w:styleId="Heading3Char">
    <w:name w:val="Heading 3 Char"/>
    <w:basedOn w:val="DefaultParagraphFont"/>
    <w:link w:val="Heading3"/>
    <w:uiPriority w:val="9"/>
    <w:semiHidden/>
    <w:rsid w:val="00372D83"/>
    <w:rPr>
      <w:rFonts w:asciiTheme="majorHAnsi" w:eastAsiaTheme="majorEastAsia" w:hAnsiTheme="majorHAnsi" w:cstheme="majorBidi"/>
      <w:color w:val="1F3763" w:themeColor="accent1" w:themeShade="7F"/>
      <w:sz w:val="24"/>
      <w:szCs w:val="24"/>
      <w:lang w:val="fr-CH"/>
    </w:rPr>
  </w:style>
  <w:style w:type="character" w:customStyle="1" w:styleId="Heading2Char">
    <w:name w:val="Heading 2 Char"/>
    <w:basedOn w:val="DefaultParagraphFont"/>
    <w:link w:val="Heading2"/>
    <w:uiPriority w:val="9"/>
    <w:semiHidden/>
    <w:rsid w:val="00A77799"/>
    <w:rPr>
      <w:rFonts w:asciiTheme="majorHAnsi" w:eastAsiaTheme="majorEastAsia" w:hAnsiTheme="majorHAnsi" w:cstheme="majorBidi"/>
      <w:color w:val="2F5496" w:themeColor="accent1" w:themeShade="BF"/>
      <w:sz w:val="26"/>
      <w:szCs w:val="26"/>
      <w:lang w:val="fr-CH"/>
    </w:rPr>
  </w:style>
  <w:style w:type="paragraph" w:styleId="FootnoteText">
    <w:name w:val="footnote text"/>
    <w:basedOn w:val="Normal"/>
    <w:link w:val="FootnoteTextChar"/>
    <w:uiPriority w:val="99"/>
    <w:semiHidden/>
    <w:unhideWhenUsed/>
    <w:rsid w:val="00EF035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035C"/>
    <w:rPr>
      <w:sz w:val="20"/>
      <w:szCs w:val="20"/>
      <w:lang w:val="fr-CH"/>
    </w:rPr>
  </w:style>
  <w:style w:type="character" w:styleId="FootnoteReference">
    <w:name w:val="footnote reference"/>
    <w:basedOn w:val="DefaultParagraphFont"/>
    <w:uiPriority w:val="99"/>
    <w:semiHidden/>
    <w:unhideWhenUsed/>
    <w:rsid w:val="00EF03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0311">
      <w:bodyDiv w:val="1"/>
      <w:marLeft w:val="0"/>
      <w:marRight w:val="0"/>
      <w:marTop w:val="0"/>
      <w:marBottom w:val="0"/>
      <w:divBdr>
        <w:top w:val="none" w:sz="0" w:space="0" w:color="auto"/>
        <w:left w:val="none" w:sz="0" w:space="0" w:color="auto"/>
        <w:bottom w:val="none" w:sz="0" w:space="0" w:color="auto"/>
        <w:right w:val="none" w:sz="0" w:space="0" w:color="auto"/>
      </w:divBdr>
    </w:div>
    <w:div w:id="113721958">
      <w:bodyDiv w:val="1"/>
      <w:marLeft w:val="0"/>
      <w:marRight w:val="0"/>
      <w:marTop w:val="0"/>
      <w:marBottom w:val="0"/>
      <w:divBdr>
        <w:top w:val="none" w:sz="0" w:space="0" w:color="auto"/>
        <w:left w:val="none" w:sz="0" w:space="0" w:color="auto"/>
        <w:bottom w:val="none" w:sz="0" w:space="0" w:color="auto"/>
        <w:right w:val="none" w:sz="0" w:space="0" w:color="auto"/>
      </w:divBdr>
    </w:div>
    <w:div w:id="815299821">
      <w:bodyDiv w:val="1"/>
      <w:marLeft w:val="0"/>
      <w:marRight w:val="0"/>
      <w:marTop w:val="0"/>
      <w:marBottom w:val="0"/>
      <w:divBdr>
        <w:top w:val="none" w:sz="0" w:space="0" w:color="auto"/>
        <w:left w:val="none" w:sz="0" w:space="0" w:color="auto"/>
        <w:bottom w:val="none" w:sz="0" w:space="0" w:color="auto"/>
        <w:right w:val="none" w:sz="0" w:space="0" w:color="auto"/>
      </w:divBdr>
    </w:div>
    <w:div w:id="1475290315">
      <w:bodyDiv w:val="1"/>
      <w:marLeft w:val="0"/>
      <w:marRight w:val="0"/>
      <w:marTop w:val="0"/>
      <w:marBottom w:val="0"/>
      <w:divBdr>
        <w:top w:val="none" w:sz="0" w:space="0" w:color="auto"/>
        <w:left w:val="none" w:sz="0" w:space="0" w:color="auto"/>
        <w:bottom w:val="none" w:sz="0" w:space="0" w:color="auto"/>
        <w:right w:val="none" w:sz="0" w:space="0" w:color="auto"/>
      </w:divBdr>
    </w:div>
    <w:div w:id="174564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apt.ch/content/files/npm/africa/Burkina%20Faso_Loi_no022_portant_de_loi_sur_la_torture.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etong@ishr.ch" TargetMode="External"/><Relationship Id="rId17" Type="http://schemas.openxmlformats.org/officeDocument/2006/relationships/hyperlink" Target="https://lavoixdujuristebf.files.wordpress.com/2019/05/loi_026_portant_reglementation_general_du_renseignement.pdf" TargetMode="External"/><Relationship Id="rId2" Type="http://schemas.openxmlformats.org/officeDocument/2006/relationships/numbering" Target="numbering.xml"/><Relationship Id="rId16" Type="http://schemas.openxmlformats.org/officeDocument/2006/relationships/hyperlink" Target="https://lavoixdujuristebf.files.wordpress.com/2018/02/loi_039-2017_defenseurs_droits_humain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lorencek_ouattara@yahoo.fr"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www.refworld.org/topic,50ffbce5220,50ffbce5226,5d42bd514,0,,,BFA.html" TargetMode="External"/><Relationship Id="rId23" Type="http://schemas.openxmlformats.org/officeDocument/2006/relationships/customXml" Target="../customXml/item3.xml"/><Relationship Id="rId10" Type="http://schemas.openxmlformats.org/officeDocument/2006/relationships/hyperlink" Target="http://www.ishr.ch"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refworld.org/docid/3ae6b5cc0.html" TargetMode="Externa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lefaso.net/spip.php?article90714" TargetMode="External"/><Relationship Id="rId13" Type="http://schemas.openxmlformats.org/officeDocument/2006/relationships/hyperlink" Target="http://ishr.ch/news/burkina-faso-create-mechanism-protect-defenders-and-monitor-implementation-law" TargetMode="External"/><Relationship Id="rId3" Type="http://schemas.openxmlformats.org/officeDocument/2006/relationships/hyperlink" Target="https://www.refworld.org/topic,50ffbce5220,50ffbce5226,5d42bd514,0,,,BFA.html" TargetMode="External"/><Relationship Id="rId7" Type="http://schemas.openxmlformats.org/officeDocument/2006/relationships/hyperlink" Target="http://bit.ly/2BbTBLe" TargetMode="External"/><Relationship Id="rId12" Type="http://schemas.openxmlformats.org/officeDocument/2006/relationships/hyperlink" Target="https://netafrique.net/6395261190-2/" TargetMode="External"/><Relationship Id="rId2" Type="http://schemas.openxmlformats.org/officeDocument/2006/relationships/hyperlink" Target="https://www.refworld.org/docid/3ae6b5cc0.html" TargetMode="External"/><Relationship Id="rId16" Type="http://schemas.openxmlformats.org/officeDocument/2006/relationships/hyperlink" Target="https://www.lemonde.fr/afrique/article/2019/09/25/c-etaient-nos-militaires-au-burkina-des-rescapes-peuls-accusent-l-armee_6013043_3212.html" TargetMode="External"/><Relationship Id="rId1" Type="http://schemas.openxmlformats.org/officeDocument/2006/relationships/hyperlink" Target="http://bit.ly/2BcpZ0h" TargetMode="External"/><Relationship Id="rId6" Type="http://schemas.openxmlformats.org/officeDocument/2006/relationships/hyperlink" Target="http://bit.ly/2BcLNZH" TargetMode="External"/><Relationship Id="rId11" Type="http://schemas.openxmlformats.org/officeDocument/2006/relationships/hyperlink" Target="https://lefaso.net/spip.php?article90545" TargetMode="External"/><Relationship Id="rId5" Type="http://schemas.openxmlformats.org/officeDocument/2006/relationships/hyperlink" Target="https://lavoixdujuristebf.files.wordpress.com/2018/02/loi_039-2017_defenseurs_droits_humains.pdf" TargetMode="External"/><Relationship Id="rId15" Type="http://schemas.openxmlformats.org/officeDocument/2006/relationships/hyperlink" Target="https://www.hrw.org/fr/news/2018/05/21/burkina-faso-meurtres-et-abus-commis-dans-le-conflit-du-sahel" TargetMode="External"/><Relationship Id="rId10" Type="http://schemas.openxmlformats.org/officeDocument/2006/relationships/hyperlink" Target="https://www.amnesty.org/fr/latest/news/2019/06/burkina-faso-le-nouveau-code-pourrait-conduire/" TargetMode="External"/><Relationship Id="rId4" Type="http://schemas.openxmlformats.org/officeDocument/2006/relationships/hyperlink" Target="https://lefaso.net/spip.php?article88525" TargetMode="External"/><Relationship Id="rId9" Type="http://schemas.openxmlformats.org/officeDocument/2006/relationships/hyperlink" Target="https://lefaso.net/spip.php?article91597" TargetMode="External"/><Relationship Id="rId14" Type="http://schemas.openxmlformats.org/officeDocument/2006/relationships/hyperlink" Target="http://www.touteinfo.com/spip.php?article14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D72BD2-DED4-4016-B592-6D56D8DE06A7}">
  <ds:schemaRefs>
    <ds:schemaRef ds:uri="http://schemas.openxmlformats.org/officeDocument/2006/bibliography"/>
  </ds:schemaRefs>
</ds:datastoreItem>
</file>

<file path=customXml/itemProps2.xml><?xml version="1.0" encoding="utf-8"?>
<ds:datastoreItem xmlns:ds="http://schemas.openxmlformats.org/officeDocument/2006/customXml" ds:itemID="{FA1428C2-1076-49DC-A49C-4F00F952287F}"/>
</file>

<file path=customXml/itemProps3.xml><?xml version="1.0" encoding="utf-8"?>
<ds:datastoreItem xmlns:ds="http://schemas.openxmlformats.org/officeDocument/2006/customXml" ds:itemID="{2687706B-3CDF-446A-92F9-EE751A6058CA}"/>
</file>

<file path=customXml/itemProps4.xml><?xml version="1.0" encoding="utf-8"?>
<ds:datastoreItem xmlns:ds="http://schemas.openxmlformats.org/officeDocument/2006/customXml" ds:itemID="{79EF31B2-778A-4F21-BED8-BE1EF3CD6A24}"/>
</file>

<file path=docProps/app.xml><?xml version="1.0" encoding="utf-8"?>
<Properties xmlns="http://schemas.openxmlformats.org/officeDocument/2006/extended-properties" xmlns:vt="http://schemas.openxmlformats.org/officeDocument/2006/docPropsVTypes">
  <Template>Normal.dotm</Template>
  <TotalTime>6</TotalTime>
  <Pages>1</Pages>
  <Words>1793</Words>
  <Characters>9865</Characters>
  <Application>Microsoft Office Word</Application>
  <DocSecurity>0</DocSecurity>
  <Lines>82</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Adelaide Etong</dc:creator>
  <cp:keywords/>
  <dc:description/>
  <cp:lastModifiedBy>Vincent Ploton</cp:lastModifiedBy>
  <cp:revision>13</cp:revision>
  <dcterms:created xsi:type="dcterms:W3CDTF">2019-10-16T10:32:00Z</dcterms:created>
  <dcterms:modified xsi:type="dcterms:W3CDTF">2019-10-16T11:01:00Z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