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8E604A" w14:textId="7CF20C92" w:rsidR="001737EB" w:rsidRPr="00EF68D2" w:rsidRDefault="00EF68D2" w:rsidP="00EA5282">
      <w:pPr>
        <w:pStyle w:val="Titre"/>
      </w:pPr>
      <w:bookmarkStart w:id="0" w:name="_GoBack"/>
      <w:r w:rsidRPr="00EF68D2">
        <w:t>Annexe3</w:t>
      </w:r>
    </w:p>
    <w:bookmarkEnd w:id="0"/>
    <w:p w14:paraId="6110C9C0" w14:textId="7D5B154B" w:rsidR="001737EB" w:rsidRDefault="001737EB" w:rsidP="001737EB">
      <w:pPr>
        <w:pStyle w:val="Titre1"/>
        <w:pBdr>
          <w:bottom w:val="single" w:sz="6" w:space="1" w:color="auto"/>
        </w:pBdr>
        <w:rPr>
          <w:i/>
        </w:rPr>
      </w:pPr>
      <w:r w:rsidRPr="001737EB">
        <w:rPr>
          <w:i/>
        </w:rPr>
        <w:t>5. Communiquer des données détaillées et ventilées sur le nombre de plaintes déposées, d’enquêtes menées, de poursuites engagées et de peines prononcées pour des crimes motivés par la haine au cours de ces cinq dernières années. Plus précisément, les données devraient être ventilées par chef d’accusation, âge de l’auteur présumé des faits, catégorie de la cible, catégorie d’auteur présumé, sexe, régi</w:t>
      </w:r>
      <w:r>
        <w:rPr>
          <w:i/>
        </w:rPr>
        <w:t>on, religion et année</w:t>
      </w:r>
    </w:p>
    <w:p w14:paraId="4165955B" w14:textId="77777777" w:rsidR="00B8639E" w:rsidRPr="00C16CD7" w:rsidRDefault="00B8639E" w:rsidP="0030458E">
      <w:pPr>
        <w:spacing w:before="120" w:after="120" w:line="276" w:lineRule="auto"/>
        <w:jc w:val="both"/>
        <w:rPr>
          <w:rFonts w:ascii="Arial" w:hAnsi="Arial" w:cs="Arial"/>
          <w:b/>
          <w:bCs/>
          <w:sz w:val="20"/>
          <w:szCs w:val="20"/>
          <w:u w:val="single"/>
          <w:lang w:val="fr-BE"/>
        </w:rPr>
      </w:pPr>
    </w:p>
    <w:p w14:paraId="711F901C" w14:textId="3B493B46" w:rsidR="00403A48" w:rsidRPr="00C16CD7" w:rsidRDefault="0030458E" w:rsidP="0030458E">
      <w:pPr>
        <w:spacing w:before="120" w:after="120" w:line="276" w:lineRule="auto"/>
        <w:jc w:val="both"/>
        <w:rPr>
          <w:rFonts w:ascii="Arial" w:hAnsi="Arial" w:cs="Arial"/>
          <w:b/>
          <w:bCs/>
          <w:sz w:val="20"/>
          <w:szCs w:val="20"/>
          <w:u w:val="single"/>
          <w:lang w:val="fr-BE"/>
        </w:rPr>
      </w:pPr>
      <w:r>
        <w:rPr>
          <w:rFonts w:ascii="Arial" w:hAnsi="Arial" w:cs="Arial"/>
          <w:b/>
          <w:bCs/>
          <w:sz w:val="20"/>
          <w:szCs w:val="20"/>
          <w:u w:val="single"/>
          <w:lang w:val="fr-BE"/>
        </w:rPr>
        <w:t>1</w:t>
      </w:r>
      <w:r w:rsidR="00403A48" w:rsidRPr="00C16CD7">
        <w:rPr>
          <w:rFonts w:ascii="Arial" w:hAnsi="Arial" w:cs="Arial"/>
          <w:b/>
          <w:bCs/>
          <w:sz w:val="20"/>
          <w:szCs w:val="20"/>
          <w:u w:val="single"/>
          <w:lang w:val="fr-BE"/>
        </w:rPr>
        <w:t xml:space="preserve">. Remarques préliminaires – limites du </w:t>
      </w:r>
      <w:r w:rsidR="00E94EC5" w:rsidRPr="00C16CD7">
        <w:rPr>
          <w:rFonts w:ascii="Arial" w:hAnsi="Arial" w:cs="Arial"/>
          <w:b/>
          <w:bCs/>
          <w:sz w:val="20"/>
          <w:szCs w:val="20"/>
          <w:u w:val="single"/>
          <w:lang w:val="fr-BE"/>
        </w:rPr>
        <w:t>champ des investigations menées</w:t>
      </w:r>
    </w:p>
    <w:p w14:paraId="093838BB" w14:textId="22FAAC43" w:rsidR="00C4382C" w:rsidRPr="00C16CD7" w:rsidRDefault="007F4B03" w:rsidP="0030458E">
      <w:pPr>
        <w:pStyle w:val="rapportfinal"/>
        <w:spacing w:before="120" w:after="120" w:line="276" w:lineRule="auto"/>
        <w:rPr>
          <w:rFonts w:ascii="Arial" w:hAnsi="Arial" w:cs="Arial"/>
          <w:sz w:val="20"/>
        </w:rPr>
      </w:pPr>
      <w:r w:rsidRPr="00C16CD7">
        <w:rPr>
          <w:rFonts w:ascii="Arial" w:hAnsi="Arial" w:cs="Arial"/>
          <w:sz w:val="20"/>
        </w:rPr>
        <w:t>À</w:t>
      </w:r>
      <w:r w:rsidR="00C4382C" w:rsidRPr="00C16CD7">
        <w:rPr>
          <w:rFonts w:ascii="Arial" w:hAnsi="Arial" w:cs="Arial"/>
          <w:sz w:val="20"/>
        </w:rPr>
        <w:t xml:space="preserve"> partir des informations enregistrées dans la banque de données du Collège des </w:t>
      </w:r>
      <w:r w:rsidR="00A24DF4" w:rsidRPr="00C16CD7">
        <w:rPr>
          <w:rFonts w:ascii="Arial" w:hAnsi="Arial" w:cs="Arial"/>
          <w:sz w:val="20"/>
        </w:rPr>
        <w:t>procureurs</w:t>
      </w:r>
      <w:r w:rsidR="00C4382C" w:rsidRPr="00C16CD7">
        <w:rPr>
          <w:rFonts w:ascii="Arial" w:hAnsi="Arial" w:cs="Arial"/>
          <w:sz w:val="20"/>
        </w:rPr>
        <w:t xml:space="preserve"> généraux, les analystes statistiques sont en mesure de</w:t>
      </w:r>
      <w:r w:rsidR="002E43DC" w:rsidRPr="00C16CD7">
        <w:rPr>
          <w:rFonts w:ascii="Arial" w:hAnsi="Arial" w:cs="Arial"/>
          <w:sz w:val="20"/>
        </w:rPr>
        <w:t xml:space="preserve"> donner des éléments de réponse</w:t>
      </w:r>
      <w:r w:rsidR="0058640A" w:rsidRPr="00C16CD7">
        <w:rPr>
          <w:rFonts w:ascii="Arial" w:hAnsi="Arial" w:cs="Arial"/>
          <w:sz w:val="20"/>
        </w:rPr>
        <w:t xml:space="preserve"> à la </w:t>
      </w:r>
      <w:r w:rsidR="003116BC" w:rsidRPr="00C16CD7">
        <w:rPr>
          <w:rFonts w:ascii="Arial" w:hAnsi="Arial" w:cs="Arial"/>
          <w:sz w:val="20"/>
        </w:rPr>
        <w:t>demande.</w:t>
      </w:r>
      <w:r w:rsidR="0058640A" w:rsidRPr="00C16CD7">
        <w:rPr>
          <w:rFonts w:ascii="Arial" w:hAnsi="Arial" w:cs="Arial"/>
          <w:sz w:val="20"/>
        </w:rPr>
        <w:t xml:space="preserve"> En effet, </w:t>
      </w:r>
      <w:r w:rsidR="008A56F6" w:rsidRPr="00C16CD7">
        <w:rPr>
          <w:rFonts w:ascii="Arial" w:hAnsi="Arial" w:cs="Arial"/>
          <w:sz w:val="20"/>
        </w:rPr>
        <w:t>cette</w:t>
      </w:r>
      <w:r w:rsidR="003116BC" w:rsidRPr="00C16CD7">
        <w:rPr>
          <w:rFonts w:ascii="Arial" w:hAnsi="Arial" w:cs="Arial"/>
          <w:sz w:val="20"/>
        </w:rPr>
        <w:t xml:space="preserve"> banque de données dispose de codes de prévention </w:t>
      </w:r>
      <w:r w:rsidR="0059052F" w:rsidRPr="00C16CD7">
        <w:rPr>
          <w:rFonts w:ascii="Arial" w:hAnsi="Arial" w:cs="Arial"/>
          <w:sz w:val="20"/>
        </w:rPr>
        <w:t xml:space="preserve">et codes ‘contexte’ spécifiques </w:t>
      </w:r>
      <w:r w:rsidR="003116BC" w:rsidRPr="00C16CD7">
        <w:rPr>
          <w:rFonts w:ascii="Arial" w:hAnsi="Arial" w:cs="Arial"/>
          <w:sz w:val="20"/>
        </w:rPr>
        <w:t xml:space="preserve">qui permettent de sélectionner les affaires </w:t>
      </w:r>
      <w:r w:rsidR="0059052F" w:rsidRPr="00C16CD7">
        <w:rPr>
          <w:rFonts w:ascii="Arial" w:hAnsi="Arial" w:cs="Arial"/>
          <w:sz w:val="20"/>
        </w:rPr>
        <w:t>relatives aux crimes motivés par la haine</w:t>
      </w:r>
      <w:r w:rsidR="0058640A" w:rsidRPr="00C16CD7">
        <w:rPr>
          <w:rFonts w:ascii="Arial" w:hAnsi="Arial" w:cs="Arial"/>
          <w:sz w:val="20"/>
        </w:rPr>
        <w:t>.</w:t>
      </w:r>
    </w:p>
    <w:p w14:paraId="0C5DC95C" w14:textId="45D302D9" w:rsidR="007A61E0" w:rsidRPr="00C16CD7" w:rsidRDefault="00F975F4" w:rsidP="0030458E">
      <w:pPr>
        <w:spacing w:before="120" w:after="120" w:line="276" w:lineRule="auto"/>
        <w:jc w:val="both"/>
        <w:rPr>
          <w:rFonts w:ascii="Arial" w:hAnsi="Arial" w:cs="Arial"/>
          <w:sz w:val="20"/>
          <w:szCs w:val="20"/>
          <w:lang w:val="fr-BE"/>
        </w:rPr>
      </w:pPr>
      <w:r w:rsidRPr="00C16CD7">
        <w:rPr>
          <w:rFonts w:ascii="Arial" w:hAnsi="Arial" w:cs="Arial"/>
          <w:sz w:val="20"/>
          <w:szCs w:val="20"/>
          <w:lang w:val="fr-BE"/>
        </w:rPr>
        <w:t>L</w:t>
      </w:r>
      <w:r w:rsidR="00C4382C" w:rsidRPr="00C16CD7">
        <w:rPr>
          <w:rFonts w:ascii="Arial" w:hAnsi="Arial" w:cs="Arial"/>
          <w:sz w:val="20"/>
          <w:szCs w:val="20"/>
          <w:lang w:val="fr-BE"/>
        </w:rPr>
        <w:t xml:space="preserve">es analystes statistiques du </w:t>
      </w:r>
      <w:r w:rsidR="00882F35" w:rsidRPr="00C16CD7">
        <w:rPr>
          <w:rFonts w:ascii="Arial" w:hAnsi="Arial" w:cs="Arial"/>
          <w:sz w:val="20"/>
          <w:szCs w:val="20"/>
          <w:lang w:val="fr-BE"/>
        </w:rPr>
        <w:t>Ministère Public</w:t>
      </w:r>
      <w:r w:rsidR="00C4382C" w:rsidRPr="00C16CD7">
        <w:rPr>
          <w:rFonts w:ascii="Arial" w:hAnsi="Arial" w:cs="Arial"/>
          <w:sz w:val="20"/>
          <w:szCs w:val="20"/>
          <w:lang w:val="fr-BE"/>
        </w:rPr>
        <w:t xml:space="preserve"> ont été en mesure d’extraire des informations </w:t>
      </w:r>
      <w:r w:rsidR="0059052F" w:rsidRPr="00C16CD7">
        <w:rPr>
          <w:rFonts w:ascii="Arial" w:hAnsi="Arial" w:cs="Arial"/>
          <w:sz w:val="20"/>
          <w:szCs w:val="20"/>
          <w:lang w:val="fr-BE"/>
        </w:rPr>
        <w:t>portant sur le</w:t>
      </w:r>
      <w:r w:rsidR="00C4382C" w:rsidRPr="00C16CD7">
        <w:rPr>
          <w:rFonts w:ascii="Arial" w:hAnsi="Arial" w:cs="Arial"/>
          <w:sz w:val="20"/>
          <w:szCs w:val="20"/>
          <w:lang w:val="fr-BE"/>
        </w:rPr>
        <w:t xml:space="preserve"> nombre d’affaires </w:t>
      </w:r>
      <w:r w:rsidR="0059052F" w:rsidRPr="00C16CD7">
        <w:rPr>
          <w:rFonts w:ascii="Arial" w:hAnsi="Arial" w:cs="Arial"/>
          <w:sz w:val="20"/>
          <w:lang w:val="fr-BE"/>
        </w:rPr>
        <w:t>relatives aux crimes motivés par la haine</w:t>
      </w:r>
      <w:r w:rsidR="0059052F" w:rsidRPr="00C16CD7">
        <w:rPr>
          <w:rFonts w:ascii="Arial" w:hAnsi="Arial" w:cs="Arial"/>
          <w:sz w:val="20"/>
          <w:szCs w:val="20"/>
          <w:lang w:val="fr-BE"/>
        </w:rPr>
        <w:t xml:space="preserve"> </w:t>
      </w:r>
      <w:r w:rsidR="00C4382C" w:rsidRPr="00C16CD7">
        <w:rPr>
          <w:rFonts w:ascii="Arial" w:hAnsi="Arial" w:cs="Arial"/>
          <w:sz w:val="20"/>
          <w:szCs w:val="20"/>
          <w:lang w:val="fr-BE"/>
        </w:rPr>
        <w:t>entrées dans les parquets correctionnels au cours de</w:t>
      </w:r>
      <w:r w:rsidR="002E43DC" w:rsidRPr="00C16CD7">
        <w:rPr>
          <w:rFonts w:ascii="Arial" w:hAnsi="Arial" w:cs="Arial"/>
          <w:sz w:val="20"/>
          <w:szCs w:val="20"/>
          <w:lang w:val="fr-BE"/>
        </w:rPr>
        <w:t xml:space="preserve"> l</w:t>
      </w:r>
      <w:r w:rsidR="005A42A6" w:rsidRPr="00C16CD7">
        <w:rPr>
          <w:rFonts w:ascii="Arial" w:hAnsi="Arial" w:cs="Arial"/>
          <w:sz w:val="20"/>
          <w:szCs w:val="20"/>
          <w:lang w:val="fr-BE"/>
        </w:rPr>
        <w:t>a période allant du 1</w:t>
      </w:r>
      <w:r w:rsidR="005A42A6" w:rsidRPr="00C16CD7">
        <w:rPr>
          <w:rFonts w:ascii="Arial" w:hAnsi="Arial" w:cs="Arial"/>
          <w:sz w:val="20"/>
          <w:szCs w:val="20"/>
          <w:vertAlign w:val="superscript"/>
          <w:lang w:val="fr-BE"/>
        </w:rPr>
        <w:t>er</w:t>
      </w:r>
      <w:r w:rsidR="005A42A6" w:rsidRPr="00C16CD7">
        <w:rPr>
          <w:rFonts w:ascii="Arial" w:hAnsi="Arial" w:cs="Arial"/>
          <w:sz w:val="20"/>
          <w:szCs w:val="20"/>
          <w:lang w:val="fr-BE"/>
        </w:rPr>
        <w:t xml:space="preserve"> janvier 201</w:t>
      </w:r>
      <w:r w:rsidR="002D45D2" w:rsidRPr="00C16CD7">
        <w:rPr>
          <w:rFonts w:ascii="Arial" w:hAnsi="Arial" w:cs="Arial"/>
          <w:sz w:val="20"/>
          <w:szCs w:val="20"/>
          <w:lang w:val="fr-BE"/>
        </w:rPr>
        <w:t>2</w:t>
      </w:r>
      <w:r w:rsidR="005A42A6" w:rsidRPr="00C16CD7">
        <w:rPr>
          <w:rFonts w:ascii="Arial" w:hAnsi="Arial" w:cs="Arial"/>
          <w:sz w:val="20"/>
          <w:szCs w:val="20"/>
          <w:lang w:val="fr-BE"/>
        </w:rPr>
        <w:t xml:space="preserve"> au 31 </w:t>
      </w:r>
      <w:r w:rsidR="00EE60B1" w:rsidRPr="00C16CD7">
        <w:rPr>
          <w:rFonts w:ascii="Arial" w:hAnsi="Arial" w:cs="Arial"/>
          <w:sz w:val="20"/>
          <w:szCs w:val="20"/>
          <w:lang w:val="fr-BE"/>
        </w:rPr>
        <w:t>décembre</w:t>
      </w:r>
      <w:r w:rsidR="005A42A6" w:rsidRPr="00C16CD7">
        <w:rPr>
          <w:rFonts w:ascii="Arial" w:hAnsi="Arial" w:cs="Arial"/>
          <w:sz w:val="20"/>
          <w:szCs w:val="20"/>
          <w:lang w:val="fr-BE"/>
        </w:rPr>
        <w:t xml:space="preserve"> 2016</w:t>
      </w:r>
      <w:r w:rsidR="009E7F69" w:rsidRPr="00C16CD7">
        <w:rPr>
          <w:rFonts w:ascii="Arial" w:hAnsi="Arial" w:cs="Arial"/>
          <w:sz w:val="20"/>
          <w:szCs w:val="20"/>
          <w:lang w:val="fr-BE"/>
        </w:rPr>
        <w:t xml:space="preserve">. </w:t>
      </w:r>
    </w:p>
    <w:p w14:paraId="4F09E606" w14:textId="77777777" w:rsidR="00B5203D" w:rsidRPr="00C16CD7" w:rsidRDefault="00B5203D" w:rsidP="0030458E">
      <w:pPr>
        <w:spacing w:before="120" w:after="120" w:line="276" w:lineRule="auto"/>
        <w:jc w:val="both"/>
        <w:rPr>
          <w:rFonts w:ascii="Arial" w:hAnsi="Arial" w:cs="Arial"/>
          <w:sz w:val="20"/>
          <w:szCs w:val="20"/>
          <w:lang w:val="fr-BE"/>
        </w:rPr>
      </w:pPr>
      <w:r w:rsidRPr="00C16CD7">
        <w:rPr>
          <w:rFonts w:ascii="Arial" w:hAnsi="Arial" w:cs="Arial"/>
          <w:sz w:val="20"/>
          <w:szCs w:val="20"/>
          <w:lang w:val="fr-BE"/>
        </w:rPr>
        <w:t>Les analystes statistiques du Ministère Public ont également été en mesure d’extraire des informations qui portent sur l’état d’avancement de ces affaires et sur les motifs de classement sans suite, situation arrêtée à la date du 8 septembre 2017 (</w:t>
      </w:r>
      <w:r w:rsidR="008A56F6" w:rsidRPr="00C16CD7">
        <w:rPr>
          <w:rFonts w:ascii="Arial" w:hAnsi="Arial" w:cs="Arial"/>
          <w:sz w:val="20"/>
          <w:szCs w:val="20"/>
          <w:lang w:val="fr-BE"/>
        </w:rPr>
        <w:t>et</w:t>
      </w:r>
      <w:r w:rsidRPr="00C16CD7">
        <w:rPr>
          <w:rFonts w:ascii="Arial" w:hAnsi="Arial" w:cs="Arial"/>
          <w:sz w:val="20"/>
          <w:szCs w:val="20"/>
          <w:lang w:val="fr-BE"/>
        </w:rPr>
        <w:t xml:space="preserve"> au 9 septembre pour les données issues du </w:t>
      </w:r>
      <w:r w:rsidR="008A56F6" w:rsidRPr="00C16CD7">
        <w:rPr>
          <w:rFonts w:ascii="Arial" w:hAnsi="Arial" w:cs="Arial"/>
          <w:sz w:val="20"/>
          <w:szCs w:val="20"/>
          <w:lang w:val="fr-BE"/>
        </w:rPr>
        <w:t>système</w:t>
      </w:r>
      <w:r w:rsidRPr="00C16CD7">
        <w:rPr>
          <w:rFonts w:ascii="Arial" w:hAnsi="Arial" w:cs="Arial"/>
          <w:sz w:val="20"/>
          <w:szCs w:val="20"/>
          <w:lang w:val="fr-BE"/>
        </w:rPr>
        <w:t xml:space="preserve"> informatique MaCH). </w:t>
      </w:r>
    </w:p>
    <w:p w14:paraId="6BD56059" w14:textId="77777777" w:rsidR="008A56F6" w:rsidRPr="00C16CD7" w:rsidRDefault="008A56F6" w:rsidP="0030458E">
      <w:pPr>
        <w:spacing w:before="120" w:after="120" w:line="276" w:lineRule="auto"/>
        <w:jc w:val="both"/>
        <w:rPr>
          <w:rFonts w:ascii="Arial" w:hAnsi="Arial" w:cs="Arial"/>
          <w:sz w:val="20"/>
          <w:szCs w:val="20"/>
          <w:lang w:val="fr-BE"/>
        </w:rPr>
      </w:pPr>
      <w:r w:rsidRPr="00C16CD7">
        <w:rPr>
          <w:rFonts w:ascii="Arial" w:hAnsi="Arial" w:cs="Arial"/>
          <w:sz w:val="20"/>
          <w:szCs w:val="20"/>
          <w:lang w:val="fr-BE"/>
        </w:rPr>
        <w:t xml:space="preserve">Enfin, l’exploitation des informations relatives aux prévenus nous permet de fournir des renseignements sur le sexe et l’âge de ces derniers. Il n’est en revanche pas possible de préciser la religion de ces derniers ni la région dont ils proviennent. </w:t>
      </w:r>
      <w:r w:rsidR="00EF35E2" w:rsidRPr="00C16CD7">
        <w:rPr>
          <w:rFonts w:ascii="Arial" w:hAnsi="Arial" w:cs="Arial"/>
          <w:sz w:val="20"/>
          <w:szCs w:val="20"/>
          <w:lang w:val="fr-BE"/>
        </w:rPr>
        <w:t>Quant aux victimes, elles ne font pas l’objet d’un encodage systématique et rigoureux ce qui conduit à l’impossibilité de fournir des renseignements à leur sujet.</w:t>
      </w:r>
    </w:p>
    <w:p w14:paraId="2E497E3E" w14:textId="77777777" w:rsidR="00B5203D" w:rsidRPr="00C16CD7" w:rsidRDefault="00B5203D" w:rsidP="0030458E">
      <w:pPr>
        <w:spacing w:before="120" w:after="120" w:line="276" w:lineRule="auto"/>
        <w:jc w:val="both"/>
        <w:rPr>
          <w:rFonts w:ascii="Arial" w:hAnsi="Arial" w:cs="Arial"/>
          <w:sz w:val="20"/>
          <w:szCs w:val="20"/>
          <w:lang w:val="fr-BE"/>
        </w:rPr>
      </w:pPr>
      <w:r w:rsidRPr="00C16CD7">
        <w:rPr>
          <w:rFonts w:ascii="Arial" w:hAnsi="Arial" w:cs="Arial"/>
          <w:sz w:val="20"/>
          <w:szCs w:val="20"/>
          <w:lang w:val="fr-BE"/>
        </w:rPr>
        <w:t>Avant d’examiner les données quantitatives extraites, il convient encore de formuler les observations suivantes et ce, afin de délimiter le champ des investigations menées :</w:t>
      </w:r>
    </w:p>
    <w:p w14:paraId="55D3537E" w14:textId="4ADEA388" w:rsidR="00A44B46" w:rsidRPr="00C16CD7" w:rsidRDefault="00A44B46" w:rsidP="0030458E">
      <w:pPr>
        <w:numPr>
          <w:ilvl w:val="0"/>
          <w:numId w:val="3"/>
        </w:numPr>
        <w:spacing w:before="120" w:after="120" w:line="276" w:lineRule="auto"/>
        <w:jc w:val="both"/>
        <w:rPr>
          <w:rFonts w:ascii="Arial" w:hAnsi="Arial" w:cs="Arial"/>
          <w:sz w:val="20"/>
          <w:szCs w:val="20"/>
          <w:lang w:val="fr-BE"/>
        </w:rPr>
      </w:pPr>
      <w:r w:rsidRPr="00C16CD7">
        <w:rPr>
          <w:rFonts w:ascii="Arial" w:hAnsi="Arial" w:cs="Arial"/>
          <w:sz w:val="20"/>
          <w:szCs w:val="20"/>
          <w:lang w:val="fr-BE"/>
        </w:rPr>
        <w:t>Les données chiffrées reprises dans les tableaux ci-après ont été extraites de la banque de données du Collège des procureurs généraux, qui est alimentée par les enregistrements des sections correctionnelles des parquets près les tribunaux de première instance (système REA/TPI). Les données qui seront présentées ci-après correspondent à l’état de la banque de données au 8 septembre 2017. Précisons cependant que les parquets de Louvain, de Mons-Tournai, de Charleroi ainsi que l</w:t>
      </w:r>
      <w:r w:rsidR="00086D68" w:rsidRPr="00C16CD7">
        <w:rPr>
          <w:rFonts w:ascii="Arial" w:hAnsi="Arial" w:cs="Arial"/>
          <w:sz w:val="20"/>
          <w:szCs w:val="20"/>
          <w:lang w:val="fr-BE"/>
        </w:rPr>
        <w:t>es</w:t>
      </w:r>
      <w:r w:rsidRPr="00C16CD7">
        <w:rPr>
          <w:rFonts w:ascii="Arial" w:hAnsi="Arial" w:cs="Arial"/>
          <w:sz w:val="20"/>
          <w:szCs w:val="20"/>
          <w:lang w:val="fr-BE"/>
        </w:rPr>
        <w:t xml:space="preserve"> division</w:t>
      </w:r>
      <w:r w:rsidR="00086D68" w:rsidRPr="00C16CD7">
        <w:rPr>
          <w:rFonts w:ascii="Arial" w:hAnsi="Arial" w:cs="Arial"/>
          <w:sz w:val="20"/>
          <w:szCs w:val="20"/>
          <w:lang w:val="fr-BE"/>
        </w:rPr>
        <w:t>s</w:t>
      </w:r>
      <w:r w:rsidRPr="00C16CD7">
        <w:rPr>
          <w:rFonts w:ascii="Arial" w:hAnsi="Arial" w:cs="Arial"/>
          <w:sz w:val="20"/>
          <w:szCs w:val="20"/>
          <w:lang w:val="fr-BE"/>
        </w:rPr>
        <w:t xml:space="preserve"> de Turnhout </w:t>
      </w:r>
      <w:r w:rsidR="00086D68" w:rsidRPr="00C16CD7">
        <w:rPr>
          <w:rFonts w:ascii="Arial" w:hAnsi="Arial" w:cs="Arial"/>
          <w:sz w:val="20"/>
          <w:szCs w:val="20"/>
          <w:lang w:val="fr-BE"/>
        </w:rPr>
        <w:t xml:space="preserve">et Malines </w:t>
      </w:r>
      <w:r w:rsidRPr="00C16CD7">
        <w:rPr>
          <w:rFonts w:ascii="Arial" w:hAnsi="Arial" w:cs="Arial"/>
          <w:sz w:val="20"/>
          <w:szCs w:val="20"/>
          <w:lang w:val="fr-BE"/>
        </w:rPr>
        <w:t>du parquet d’Anvers ont démarré l’utilisation du système informatique MaCH pour l’encodage des affaires correctionnelles en remplacement du système REA/TPI. Les données enregistrées par ces parquets dans le système MaCH sont également prises en compte</w:t>
      </w:r>
      <w:r w:rsidR="008A56F6" w:rsidRPr="00C16CD7">
        <w:rPr>
          <w:rFonts w:ascii="Arial" w:hAnsi="Arial" w:cs="Arial"/>
          <w:sz w:val="20"/>
          <w:szCs w:val="20"/>
          <w:lang w:val="fr-BE"/>
        </w:rPr>
        <w:t xml:space="preserve"> et </w:t>
      </w:r>
      <w:r w:rsidRPr="00C16CD7">
        <w:rPr>
          <w:rFonts w:ascii="Arial" w:hAnsi="Arial" w:cs="Arial"/>
          <w:sz w:val="20"/>
          <w:szCs w:val="20"/>
          <w:lang w:val="fr-BE"/>
        </w:rPr>
        <w:t>correspondent à l’état de la banque de données au 9 septembre 2017.</w:t>
      </w:r>
    </w:p>
    <w:p w14:paraId="01669E47" w14:textId="5A3477B7" w:rsidR="00A44B46" w:rsidRPr="00C16CD7" w:rsidRDefault="00A44B46" w:rsidP="0030458E">
      <w:pPr>
        <w:numPr>
          <w:ilvl w:val="0"/>
          <w:numId w:val="3"/>
        </w:numPr>
        <w:spacing w:before="120" w:after="120" w:line="276" w:lineRule="auto"/>
        <w:jc w:val="both"/>
        <w:rPr>
          <w:rFonts w:ascii="Arial" w:hAnsi="Arial" w:cs="Arial"/>
          <w:sz w:val="20"/>
          <w:szCs w:val="20"/>
          <w:lang w:val="fr-BE"/>
        </w:rPr>
      </w:pPr>
      <w:r w:rsidRPr="00C16CD7">
        <w:rPr>
          <w:rFonts w:ascii="Arial" w:hAnsi="Arial" w:cs="Arial"/>
          <w:sz w:val="20"/>
          <w:szCs w:val="20"/>
          <w:lang w:val="fr-BE"/>
        </w:rPr>
        <w:t>Depuis la réforme du paysage judiciaire entrée en vigueur le 1</w:t>
      </w:r>
      <w:r w:rsidRPr="00C16CD7">
        <w:rPr>
          <w:rFonts w:ascii="Arial" w:hAnsi="Arial" w:cs="Arial"/>
          <w:sz w:val="20"/>
          <w:szCs w:val="20"/>
          <w:vertAlign w:val="superscript"/>
          <w:lang w:val="fr-BE"/>
        </w:rPr>
        <w:t>er</w:t>
      </w:r>
      <w:r w:rsidRPr="00C16CD7">
        <w:rPr>
          <w:rFonts w:ascii="Arial" w:hAnsi="Arial" w:cs="Arial"/>
          <w:sz w:val="20"/>
          <w:szCs w:val="20"/>
          <w:lang w:val="fr-BE"/>
        </w:rPr>
        <w:t xml:space="preserve"> avril 2014, notre pays compte 15 parquets de « premier degré » (14 parquets + parquet fédéral). Parmi ceux-ci, 14 introduisent les affaires correctionnelles dans le système informatique REA/TPI ou MaCH. Seul le parquet d’Eupen n’enregistre pas ses dossiers dans le système informatique </w:t>
      </w:r>
      <w:r w:rsidR="008A56F6" w:rsidRPr="00C16CD7">
        <w:rPr>
          <w:rFonts w:ascii="Arial" w:hAnsi="Arial" w:cs="Arial"/>
          <w:sz w:val="20"/>
          <w:szCs w:val="20"/>
          <w:lang w:val="fr-BE"/>
        </w:rPr>
        <w:t>REA/</w:t>
      </w:r>
      <w:r w:rsidRPr="00C16CD7">
        <w:rPr>
          <w:rFonts w:ascii="Arial" w:hAnsi="Arial" w:cs="Arial"/>
          <w:sz w:val="20"/>
          <w:szCs w:val="20"/>
          <w:lang w:val="fr-BE"/>
        </w:rPr>
        <w:t>TPI en raison de l’absence d'une version en langue allemande.</w:t>
      </w:r>
    </w:p>
    <w:p w14:paraId="27CAD0B5" w14:textId="77777777" w:rsidR="00A44B46" w:rsidRPr="00C16CD7" w:rsidRDefault="00A44B46" w:rsidP="0030458E">
      <w:pPr>
        <w:numPr>
          <w:ilvl w:val="0"/>
          <w:numId w:val="3"/>
        </w:numPr>
        <w:spacing w:before="120" w:after="120" w:line="276" w:lineRule="auto"/>
        <w:jc w:val="both"/>
        <w:rPr>
          <w:rFonts w:ascii="Arial" w:hAnsi="Arial" w:cs="Arial"/>
          <w:sz w:val="20"/>
          <w:szCs w:val="20"/>
          <w:lang w:val="fr-BE"/>
        </w:rPr>
      </w:pPr>
      <w:r w:rsidRPr="00C16CD7">
        <w:rPr>
          <w:rFonts w:ascii="Arial" w:hAnsi="Arial" w:cs="Arial"/>
          <w:sz w:val="20"/>
          <w:szCs w:val="20"/>
          <w:lang w:val="fr-BE"/>
        </w:rPr>
        <w:t>Les données traitées et présentées dans les tableaux afin de répondre à la présente demande ne concernent que les infractions commises par des personnes majeures. Les procédures diligentées à charge de mineurs d’âge sont traitées par la section ‘jeunesse’ des parquets. Les affaires sans prévenu connu au moment de l’extraction sont également prises en compte dans cette analyse.</w:t>
      </w:r>
    </w:p>
    <w:p w14:paraId="121DB44A" w14:textId="77777777" w:rsidR="0059052F" w:rsidRPr="00C16CD7" w:rsidRDefault="0059052F" w:rsidP="0030458E">
      <w:pPr>
        <w:numPr>
          <w:ilvl w:val="0"/>
          <w:numId w:val="3"/>
        </w:numPr>
        <w:spacing w:before="120" w:after="120" w:line="276" w:lineRule="auto"/>
        <w:jc w:val="both"/>
        <w:rPr>
          <w:rFonts w:ascii="Arial" w:hAnsi="Arial" w:cs="Arial"/>
          <w:sz w:val="20"/>
          <w:szCs w:val="20"/>
          <w:lang w:val="fr-BE"/>
        </w:rPr>
      </w:pPr>
      <w:r w:rsidRPr="00C16CD7">
        <w:rPr>
          <w:rFonts w:ascii="Arial" w:hAnsi="Arial" w:cs="Arial"/>
          <w:sz w:val="20"/>
          <w:szCs w:val="20"/>
          <w:lang w:val="fr-BE"/>
        </w:rPr>
        <w:t xml:space="preserve">Les systèmes informatiques REA/TPI et MaCH prévoient la possibilité d’enregistrer une prévention principale et des préventions secondaires. Les affaires comptabilisées dans les tableaux qui suivent </w:t>
      </w:r>
      <w:r w:rsidRPr="00C16CD7">
        <w:rPr>
          <w:rFonts w:ascii="Arial" w:hAnsi="Arial" w:cs="Arial"/>
          <w:sz w:val="20"/>
          <w:szCs w:val="20"/>
          <w:lang w:val="fr-BE"/>
        </w:rPr>
        <w:lastRenderedPageBreak/>
        <w:t>concernent les infractions identifiées à partir des codes de prévention principale ou secondaire suivant :</w:t>
      </w:r>
    </w:p>
    <w:p w14:paraId="6D4D7876" w14:textId="77777777" w:rsidR="0059052F" w:rsidRPr="00C16CD7" w:rsidRDefault="0059052F" w:rsidP="0030458E">
      <w:pPr>
        <w:numPr>
          <w:ilvl w:val="0"/>
          <w:numId w:val="16"/>
        </w:numPr>
        <w:spacing w:before="120" w:after="120" w:line="276" w:lineRule="auto"/>
        <w:jc w:val="both"/>
        <w:rPr>
          <w:rFonts w:ascii="Arial" w:hAnsi="Arial" w:cs="Arial"/>
          <w:sz w:val="20"/>
          <w:szCs w:val="20"/>
          <w:lang w:val="fr-BE"/>
        </w:rPr>
      </w:pPr>
      <w:r w:rsidRPr="00C16CD7">
        <w:rPr>
          <w:rFonts w:ascii="Arial" w:hAnsi="Arial" w:cs="Arial"/>
          <w:sz w:val="20"/>
          <w:szCs w:val="20"/>
          <w:lang w:val="fr-BE"/>
        </w:rPr>
        <w:t>56A : Racisme ;</w:t>
      </w:r>
    </w:p>
    <w:p w14:paraId="50134B57" w14:textId="77777777" w:rsidR="0059052F" w:rsidRPr="00C16CD7" w:rsidRDefault="0059052F" w:rsidP="0030458E">
      <w:pPr>
        <w:numPr>
          <w:ilvl w:val="0"/>
          <w:numId w:val="16"/>
        </w:numPr>
        <w:spacing w:before="120" w:after="120" w:line="276" w:lineRule="auto"/>
        <w:jc w:val="both"/>
        <w:rPr>
          <w:rFonts w:ascii="Arial" w:hAnsi="Arial" w:cs="Arial"/>
          <w:sz w:val="20"/>
          <w:szCs w:val="20"/>
          <w:lang w:val="fr-BE"/>
        </w:rPr>
      </w:pPr>
      <w:r w:rsidRPr="00C16CD7">
        <w:rPr>
          <w:rFonts w:ascii="Arial" w:hAnsi="Arial" w:cs="Arial"/>
          <w:sz w:val="20"/>
          <w:szCs w:val="20"/>
          <w:lang w:val="fr-BE"/>
        </w:rPr>
        <w:t>56B : Xénophobie ;</w:t>
      </w:r>
    </w:p>
    <w:p w14:paraId="5E8B37C6" w14:textId="7A16DB0E" w:rsidR="0059052F" w:rsidRPr="0030458E" w:rsidRDefault="0059052F" w:rsidP="0030458E">
      <w:pPr>
        <w:numPr>
          <w:ilvl w:val="0"/>
          <w:numId w:val="16"/>
        </w:numPr>
        <w:spacing w:before="120" w:after="120" w:line="276" w:lineRule="auto"/>
        <w:jc w:val="both"/>
        <w:rPr>
          <w:rFonts w:ascii="Arial" w:hAnsi="Arial" w:cs="Arial"/>
          <w:sz w:val="20"/>
          <w:szCs w:val="20"/>
          <w:lang w:val="fr-BE"/>
        </w:rPr>
      </w:pPr>
      <w:r w:rsidRPr="0030458E">
        <w:rPr>
          <w:rFonts w:ascii="Arial" w:hAnsi="Arial" w:cs="Arial"/>
          <w:sz w:val="20"/>
          <w:szCs w:val="20"/>
          <w:lang w:val="fr-BE"/>
        </w:rPr>
        <w:t>56C : Discrimination, hormis les cas de discrimination raciste, xénophobe ou homophobe, ou les cas de discrimination fondée sur le sexe ou sur le handicap ;</w:t>
      </w:r>
    </w:p>
    <w:p w14:paraId="1DE78A83" w14:textId="77777777" w:rsidR="0059052F" w:rsidRPr="00C16CD7" w:rsidRDefault="0059052F" w:rsidP="0030458E">
      <w:pPr>
        <w:numPr>
          <w:ilvl w:val="0"/>
          <w:numId w:val="16"/>
        </w:numPr>
        <w:spacing w:before="120" w:after="120" w:line="276" w:lineRule="auto"/>
        <w:jc w:val="both"/>
        <w:rPr>
          <w:rFonts w:ascii="Arial" w:hAnsi="Arial" w:cs="Arial"/>
          <w:sz w:val="20"/>
          <w:szCs w:val="20"/>
          <w:lang w:val="fr-BE"/>
        </w:rPr>
      </w:pPr>
      <w:r w:rsidRPr="00C16CD7">
        <w:rPr>
          <w:rFonts w:ascii="Arial" w:hAnsi="Arial" w:cs="Arial"/>
          <w:sz w:val="20"/>
          <w:szCs w:val="20"/>
          <w:lang w:val="fr-BE"/>
        </w:rPr>
        <w:t>56D : Discrimination fondée sur le sexe ;</w:t>
      </w:r>
    </w:p>
    <w:p w14:paraId="56B9866D" w14:textId="77777777" w:rsidR="0059052F" w:rsidRPr="00C16CD7" w:rsidRDefault="0059052F" w:rsidP="0030458E">
      <w:pPr>
        <w:numPr>
          <w:ilvl w:val="0"/>
          <w:numId w:val="16"/>
        </w:numPr>
        <w:spacing w:before="120" w:after="120" w:line="276" w:lineRule="auto"/>
        <w:jc w:val="both"/>
        <w:rPr>
          <w:rFonts w:ascii="Arial" w:hAnsi="Arial" w:cs="Arial"/>
          <w:sz w:val="20"/>
          <w:szCs w:val="20"/>
          <w:lang w:val="fr-BE"/>
        </w:rPr>
      </w:pPr>
      <w:r w:rsidRPr="00C16CD7">
        <w:rPr>
          <w:rFonts w:ascii="Arial" w:hAnsi="Arial" w:cs="Arial"/>
          <w:sz w:val="20"/>
          <w:szCs w:val="20"/>
          <w:lang w:val="fr-BE"/>
        </w:rPr>
        <w:t>56E : Homophobie ;</w:t>
      </w:r>
    </w:p>
    <w:p w14:paraId="2666DE56" w14:textId="77777777" w:rsidR="0059052F" w:rsidRPr="00C16CD7" w:rsidRDefault="0059052F" w:rsidP="0030458E">
      <w:pPr>
        <w:numPr>
          <w:ilvl w:val="0"/>
          <w:numId w:val="16"/>
        </w:numPr>
        <w:spacing w:before="120" w:after="120" w:line="276" w:lineRule="auto"/>
        <w:jc w:val="both"/>
        <w:rPr>
          <w:rFonts w:ascii="Arial" w:hAnsi="Arial" w:cs="Arial"/>
          <w:sz w:val="20"/>
          <w:szCs w:val="20"/>
          <w:lang w:val="fr-BE"/>
        </w:rPr>
      </w:pPr>
      <w:r w:rsidRPr="00C16CD7">
        <w:rPr>
          <w:rFonts w:ascii="Arial" w:hAnsi="Arial" w:cs="Arial"/>
          <w:sz w:val="20"/>
          <w:szCs w:val="20"/>
          <w:lang w:val="fr-BE"/>
        </w:rPr>
        <w:t>56F : Discrimination fondée sur le handicap.</w:t>
      </w:r>
    </w:p>
    <w:p w14:paraId="7FF1107F" w14:textId="77777777" w:rsidR="0059052F" w:rsidRPr="00C16CD7" w:rsidRDefault="0059052F" w:rsidP="0030458E">
      <w:pPr>
        <w:spacing w:before="120" w:after="120" w:line="276" w:lineRule="auto"/>
        <w:ind w:left="720"/>
        <w:jc w:val="both"/>
        <w:rPr>
          <w:rFonts w:ascii="Arial" w:hAnsi="Arial" w:cs="Arial"/>
          <w:sz w:val="20"/>
          <w:szCs w:val="20"/>
          <w:lang w:val="fr-BE"/>
        </w:rPr>
      </w:pPr>
      <w:r w:rsidRPr="00C16CD7">
        <w:rPr>
          <w:rFonts w:ascii="Arial" w:hAnsi="Arial" w:cs="Arial"/>
          <w:sz w:val="20"/>
          <w:szCs w:val="20"/>
          <w:lang w:val="fr-BE"/>
        </w:rPr>
        <w:t>Si plusieurs des codes exposés ci-dessus sont renseignés dans le dossier, seul le code de prévention principal sera pris en compte dans le cadre de cette analyse.</w:t>
      </w:r>
    </w:p>
    <w:p w14:paraId="12F13F91" w14:textId="77777777" w:rsidR="0059052F" w:rsidRPr="00C16CD7" w:rsidRDefault="0059052F" w:rsidP="0030458E">
      <w:pPr>
        <w:spacing w:before="120" w:after="120" w:line="276" w:lineRule="auto"/>
        <w:ind w:left="720"/>
        <w:jc w:val="both"/>
        <w:rPr>
          <w:rFonts w:ascii="Arial" w:hAnsi="Arial" w:cs="Arial"/>
          <w:sz w:val="20"/>
          <w:szCs w:val="20"/>
          <w:lang w:val="fr-BE"/>
        </w:rPr>
      </w:pPr>
      <w:r w:rsidRPr="00C16CD7">
        <w:rPr>
          <w:rFonts w:ascii="Arial" w:hAnsi="Arial" w:cs="Arial"/>
          <w:sz w:val="20"/>
          <w:szCs w:val="20"/>
          <w:lang w:val="fr-BE"/>
        </w:rPr>
        <w:t>Ajoutons que le système informatique REA/TPI permettait, depuis 2006, d’enregistrer certains contextes dans lesquels l’infraction avait été commise. Dès lors, nous comptabiliserons également les affaires identifiées sur base de l’enregistrement de la mention « racisme/xénophobie » ou « homophobie » dans le champ ‘contexte’. L’utilisation de ces codes contexte a été interdite suite à l’entrée en vigueur de la circulaire COL 13/2013 qui introduit de nouveaux codes de prévention et qui privilégie l’usage d’une prévention annexe lorsqu’il s’agit, par exemple, de coups et blessures volontaires motivés par des motifs racistes</w:t>
      </w:r>
      <w:r w:rsidRPr="00C16CD7">
        <w:rPr>
          <w:rStyle w:val="Appelnotedebasdep"/>
          <w:rFonts w:ascii="Arial" w:hAnsi="Arial" w:cs="Arial"/>
          <w:sz w:val="20"/>
          <w:szCs w:val="20"/>
          <w:lang w:val="fr-BE"/>
        </w:rPr>
        <w:footnoteReference w:id="1"/>
      </w:r>
      <w:r w:rsidRPr="00C16CD7">
        <w:rPr>
          <w:rFonts w:ascii="Arial" w:hAnsi="Arial" w:cs="Arial"/>
          <w:sz w:val="20"/>
          <w:szCs w:val="20"/>
          <w:lang w:val="fr-BE"/>
        </w:rPr>
        <w:t xml:space="preserve">. Le blocage effectif de ce code contexte n’ayant eu lieu qu’au début de l’année 2014, nous présenterons aussi les affaires enregistrées sur base de ce contexte. </w:t>
      </w:r>
    </w:p>
    <w:p w14:paraId="0FF2AA0A" w14:textId="77777777" w:rsidR="0059052F" w:rsidRPr="00C16CD7" w:rsidRDefault="0059052F" w:rsidP="0030458E">
      <w:pPr>
        <w:spacing w:before="120" w:after="120" w:line="276" w:lineRule="auto"/>
        <w:ind w:left="720"/>
        <w:jc w:val="both"/>
        <w:rPr>
          <w:rFonts w:ascii="Arial" w:hAnsi="Arial" w:cs="Arial"/>
          <w:sz w:val="20"/>
          <w:szCs w:val="20"/>
          <w:lang w:val="fr-BE"/>
        </w:rPr>
      </w:pPr>
      <w:r w:rsidRPr="00C16CD7">
        <w:rPr>
          <w:rFonts w:ascii="Arial" w:hAnsi="Arial" w:cs="Arial"/>
          <w:sz w:val="20"/>
          <w:szCs w:val="20"/>
          <w:lang w:val="fr-BE"/>
        </w:rPr>
        <w:t xml:space="preserve">Depuis l’entrée en vigueur de la circulaire COL 13/2013, lorsque la mention « racisme/xénophobie » ou « homophobie » est reprise sur le procès-verbal initial, le magistrat est tenu de vérifier qu’une prévention annexe est bien renseignée dans le système informatique REA/TPI ou MaCH si cela s’avère nécessaire. Si le magistrat constate que ce n’est pas le cas, il est tenu de requérir l’ajout de cette prévention dans le système informatique REA/TPI ou MaCH. Il est dès lors vraisemblable que les données extraites soient sous estimées par rapport à la réalité des dossiers constitués si cette vérification (et l’ajout éventuel de la prévention annexe) ne s’opère pas systématiquement lorsqu’elle est requise. </w:t>
      </w:r>
    </w:p>
    <w:p w14:paraId="0FDD4D70" w14:textId="77777777" w:rsidR="0059052F" w:rsidRPr="00C16CD7" w:rsidRDefault="0059052F" w:rsidP="0030458E">
      <w:pPr>
        <w:spacing w:before="120" w:after="120" w:line="276" w:lineRule="auto"/>
        <w:ind w:left="720"/>
        <w:jc w:val="both"/>
        <w:rPr>
          <w:rFonts w:ascii="Arial" w:hAnsi="Arial" w:cs="Arial"/>
          <w:sz w:val="20"/>
          <w:szCs w:val="20"/>
          <w:lang w:val="fr-BE"/>
        </w:rPr>
      </w:pPr>
      <w:r w:rsidRPr="00C16CD7">
        <w:rPr>
          <w:rFonts w:ascii="Arial" w:hAnsi="Arial" w:cs="Arial"/>
          <w:sz w:val="20"/>
          <w:szCs w:val="20"/>
          <w:lang w:val="fr-BE"/>
        </w:rPr>
        <w:t>Enfin, ajoutons que la mention du contexte dépend en grande partie des propos recueillis par les services de police auprès du préjudicié. En effet, si ce dernier ne mentionne pas le caractère discriminant de l’infraction, cet aspect peut ne pas apparaitre dans le traitement du dossier tout au long de la procédure (le procès-verbal sera transmis au parquet sans mention du contexte). Il est également envisageable que les victimes décident de ne pas porter plainte auprès des services de police pour les faits de discrimination dont elles ont fait l’objet.</w:t>
      </w:r>
    </w:p>
    <w:p w14:paraId="14910AD6" w14:textId="77777777" w:rsidR="00A44B46" w:rsidRPr="00C16CD7" w:rsidRDefault="00A44B46" w:rsidP="0030458E">
      <w:pPr>
        <w:numPr>
          <w:ilvl w:val="0"/>
          <w:numId w:val="3"/>
        </w:numPr>
        <w:spacing w:before="120" w:after="120" w:line="276" w:lineRule="auto"/>
        <w:jc w:val="both"/>
        <w:rPr>
          <w:rFonts w:ascii="Arial" w:hAnsi="Arial" w:cs="Arial"/>
          <w:sz w:val="20"/>
          <w:szCs w:val="20"/>
          <w:lang w:val="fr-BE"/>
        </w:rPr>
      </w:pPr>
      <w:r w:rsidRPr="00C16CD7">
        <w:rPr>
          <w:rFonts w:ascii="Arial" w:hAnsi="Arial" w:cs="Arial"/>
          <w:sz w:val="20"/>
          <w:szCs w:val="20"/>
          <w:lang w:val="fr-BE"/>
        </w:rPr>
        <w:t xml:space="preserve">Les informations extraites par les analystes statistiques du Collège des procureurs généraux sont présentées ci-après sous forme de </w:t>
      </w:r>
      <w:r w:rsidR="00BA3F36" w:rsidRPr="00C16CD7">
        <w:rPr>
          <w:rFonts w:ascii="Arial" w:hAnsi="Arial" w:cs="Arial"/>
          <w:sz w:val="20"/>
          <w:szCs w:val="20"/>
          <w:lang w:val="fr-BE"/>
        </w:rPr>
        <w:t>cinq</w:t>
      </w:r>
      <w:r w:rsidRPr="00C16CD7">
        <w:rPr>
          <w:rFonts w:ascii="Arial" w:hAnsi="Arial" w:cs="Arial"/>
          <w:sz w:val="20"/>
          <w:szCs w:val="20"/>
          <w:lang w:val="fr-BE"/>
        </w:rPr>
        <w:t xml:space="preserve"> tableaux :</w:t>
      </w:r>
    </w:p>
    <w:p w14:paraId="51D38A41" w14:textId="4AF64DA9" w:rsidR="00A44B46" w:rsidRPr="00C16CD7" w:rsidRDefault="00A44B46" w:rsidP="0030458E">
      <w:pPr>
        <w:numPr>
          <w:ilvl w:val="0"/>
          <w:numId w:val="17"/>
        </w:numPr>
        <w:spacing w:before="120" w:after="120" w:line="276" w:lineRule="auto"/>
        <w:jc w:val="both"/>
        <w:rPr>
          <w:rFonts w:ascii="Arial" w:hAnsi="Arial" w:cs="Arial"/>
          <w:sz w:val="20"/>
          <w:szCs w:val="20"/>
          <w:lang w:val="fr-BE"/>
        </w:rPr>
      </w:pPr>
      <w:r w:rsidRPr="00C16CD7">
        <w:rPr>
          <w:rFonts w:ascii="Arial" w:hAnsi="Arial" w:cs="Arial"/>
          <w:sz w:val="20"/>
          <w:szCs w:val="20"/>
          <w:lang w:val="fr-BE"/>
        </w:rPr>
        <w:t>Le tableau 1 dénombre par année d’entrée</w:t>
      </w:r>
      <w:r w:rsidR="00BA3F36" w:rsidRPr="00C16CD7">
        <w:rPr>
          <w:rFonts w:ascii="Arial" w:hAnsi="Arial" w:cs="Arial"/>
          <w:sz w:val="20"/>
          <w:szCs w:val="20"/>
          <w:lang w:val="fr-BE"/>
        </w:rPr>
        <w:t xml:space="preserve"> et par code de prévention</w:t>
      </w:r>
      <w:r w:rsidR="0059052F" w:rsidRPr="00C16CD7">
        <w:rPr>
          <w:rFonts w:ascii="Arial" w:hAnsi="Arial" w:cs="Arial"/>
          <w:sz w:val="20"/>
          <w:szCs w:val="20"/>
          <w:lang w:val="fr-BE"/>
        </w:rPr>
        <w:t>/contexte</w:t>
      </w:r>
      <w:r w:rsidRPr="00C16CD7">
        <w:rPr>
          <w:rFonts w:ascii="Arial" w:hAnsi="Arial" w:cs="Arial"/>
          <w:sz w:val="20"/>
          <w:szCs w:val="20"/>
          <w:lang w:val="fr-BE"/>
        </w:rPr>
        <w:t xml:space="preserve">, les dossiers </w:t>
      </w:r>
      <w:r w:rsidR="0059052F" w:rsidRPr="00C16CD7">
        <w:rPr>
          <w:rFonts w:ascii="Arial" w:hAnsi="Arial" w:cs="Arial"/>
          <w:sz w:val="20"/>
          <w:lang w:val="fr-BE"/>
        </w:rPr>
        <w:t>relatifs aux crimes motivés par la haine</w:t>
      </w:r>
      <w:r w:rsidR="0059052F" w:rsidRPr="00C16CD7">
        <w:rPr>
          <w:rFonts w:ascii="Arial" w:hAnsi="Arial" w:cs="Arial"/>
          <w:sz w:val="20"/>
          <w:szCs w:val="20"/>
          <w:lang w:val="fr-BE"/>
        </w:rPr>
        <w:t xml:space="preserve"> </w:t>
      </w:r>
      <w:r w:rsidRPr="00C16CD7">
        <w:rPr>
          <w:rFonts w:ascii="Arial" w:hAnsi="Arial" w:cs="Arial"/>
          <w:sz w:val="20"/>
          <w:szCs w:val="20"/>
          <w:lang w:val="fr-BE"/>
        </w:rPr>
        <w:t>entrés dans les parquets correctionnels entre le 1</w:t>
      </w:r>
      <w:r w:rsidRPr="00C16CD7">
        <w:rPr>
          <w:rFonts w:ascii="Arial" w:hAnsi="Arial" w:cs="Arial"/>
          <w:sz w:val="20"/>
          <w:szCs w:val="20"/>
          <w:vertAlign w:val="superscript"/>
          <w:lang w:val="fr-BE"/>
        </w:rPr>
        <w:t>er</w:t>
      </w:r>
      <w:r w:rsidRPr="00C16CD7">
        <w:rPr>
          <w:rFonts w:ascii="Arial" w:hAnsi="Arial" w:cs="Arial"/>
          <w:sz w:val="20"/>
          <w:szCs w:val="20"/>
          <w:lang w:val="fr-BE"/>
        </w:rPr>
        <w:t xml:space="preserve"> janvier 201</w:t>
      </w:r>
      <w:r w:rsidR="00BA3F36" w:rsidRPr="00C16CD7">
        <w:rPr>
          <w:rFonts w:ascii="Arial" w:hAnsi="Arial" w:cs="Arial"/>
          <w:sz w:val="20"/>
          <w:szCs w:val="20"/>
          <w:lang w:val="fr-BE"/>
        </w:rPr>
        <w:t>2</w:t>
      </w:r>
      <w:r w:rsidRPr="00C16CD7">
        <w:rPr>
          <w:rFonts w:ascii="Arial" w:hAnsi="Arial" w:cs="Arial"/>
          <w:sz w:val="20"/>
          <w:szCs w:val="20"/>
          <w:lang w:val="fr-BE"/>
        </w:rPr>
        <w:t xml:space="preserve"> et le 31 décembre 2016.  </w:t>
      </w:r>
    </w:p>
    <w:p w14:paraId="2F2F2362" w14:textId="053CACBD" w:rsidR="00BA3F36" w:rsidRPr="00C16CD7" w:rsidRDefault="00BA3F36" w:rsidP="0030458E">
      <w:pPr>
        <w:pStyle w:val="Paragraphedeliste"/>
        <w:numPr>
          <w:ilvl w:val="0"/>
          <w:numId w:val="35"/>
        </w:numPr>
        <w:spacing w:before="120" w:after="120" w:line="276" w:lineRule="auto"/>
        <w:ind w:left="1418"/>
        <w:jc w:val="both"/>
        <w:rPr>
          <w:rFonts w:ascii="Arial" w:hAnsi="Arial" w:cs="Arial"/>
          <w:sz w:val="20"/>
          <w:szCs w:val="20"/>
          <w:lang w:val="fr-BE"/>
        </w:rPr>
      </w:pPr>
      <w:r w:rsidRPr="00C16CD7">
        <w:rPr>
          <w:rFonts w:ascii="Arial" w:hAnsi="Arial" w:cs="Arial"/>
          <w:sz w:val="20"/>
          <w:szCs w:val="20"/>
          <w:lang w:val="fr-BE"/>
        </w:rPr>
        <w:t>Les tableaux 2 et 3 dénombrent (par année d’entrée et selon le sexe du prévenu</w:t>
      </w:r>
      <w:r w:rsidR="00086D68" w:rsidRPr="00C16CD7">
        <w:rPr>
          <w:rFonts w:ascii="Arial" w:hAnsi="Arial" w:cs="Arial"/>
          <w:sz w:val="20"/>
          <w:szCs w:val="20"/>
          <w:lang w:val="fr-BE"/>
        </w:rPr>
        <w:t>,</w:t>
      </w:r>
      <w:r w:rsidRPr="00C16CD7">
        <w:rPr>
          <w:rFonts w:ascii="Arial" w:hAnsi="Arial" w:cs="Arial"/>
          <w:sz w:val="20"/>
          <w:szCs w:val="20"/>
          <w:lang w:val="fr-BE"/>
        </w:rPr>
        <w:t xml:space="preserve"> puis par année d’entrée et selon la catégorie d’âge du prévenu) les prévenus impliqués dans les affaires </w:t>
      </w:r>
      <w:r w:rsidR="0059052F" w:rsidRPr="00C16CD7">
        <w:rPr>
          <w:rFonts w:ascii="Arial" w:hAnsi="Arial" w:cs="Arial"/>
          <w:sz w:val="20"/>
          <w:lang w:val="fr-BE"/>
        </w:rPr>
        <w:t>relatives aux crimes motivés par la haine</w:t>
      </w:r>
      <w:r w:rsidR="0059052F" w:rsidRPr="00C16CD7">
        <w:rPr>
          <w:rFonts w:ascii="Arial" w:hAnsi="Arial" w:cs="Arial"/>
          <w:sz w:val="20"/>
          <w:szCs w:val="20"/>
          <w:lang w:val="fr-BE"/>
        </w:rPr>
        <w:t xml:space="preserve"> </w:t>
      </w:r>
      <w:r w:rsidRPr="00C16CD7">
        <w:rPr>
          <w:rFonts w:ascii="Arial" w:hAnsi="Arial" w:cs="Arial"/>
          <w:sz w:val="20"/>
          <w:szCs w:val="20"/>
          <w:lang w:val="fr-BE"/>
        </w:rPr>
        <w:t xml:space="preserve">entrées dans les parquets correctionnels entre 2012 et 2016. </w:t>
      </w:r>
    </w:p>
    <w:p w14:paraId="7D4BA361" w14:textId="77777777" w:rsidR="00A44B46" w:rsidRPr="00C16CD7" w:rsidRDefault="00A44B46" w:rsidP="0030458E">
      <w:pPr>
        <w:numPr>
          <w:ilvl w:val="0"/>
          <w:numId w:val="5"/>
        </w:numPr>
        <w:spacing w:before="120" w:after="120" w:line="276" w:lineRule="auto"/>
        <w:jc w:val="both"/>
        <w:rPr>
          <w:rFonts w:ascii="Arial" w:hAnsi="Arial" w:cs="Arial"/>
          <w:sz w:val="20"/>
          <w:szCs w:val="20"/>
          <w:lang w:val="fr-BE"/>
        </w:rPr>
      </w:pPr>
      <w:r w:rsidRPr="00C16CD7">
        <w:rPr>
          <w:rFonts w:ascii="Arial" w:hAnsi="Arial" w:cs="Arial"/>
          <w:sz w:val="20"/>
          <w:szCs w:val="20"/>
          <w:lang w:val="fr-BE"/>
        </w:rPr>
        <w:lastRenderedPageBreak/>
        <w:t xml:space="preserve">Le tableau </w:t>
      </w:r>
      <w:r w:rsidR="00BA3F36" w:rsidRPr="00C16CD7">
        <w:rPr>
          <w:rFonts w:ascii="Arial" w:hAnsi="Arial" w:cs="Arial"/>
          <w:sz w:val="20"/>
          <w:szCs w:val="20"/>
          <w:lang w:val="fr-BE"/>
        </w:rPr>
        <w:t>4</w:t>
      </w:r>
      <w:r w:rsidRPr="00C16CD7">
        <w:rPr>
          <w:rFonts w:ascii="Arial" w:hAnsi="Arial" w:cs="Arial"/>
          <w:sz w:val="20"/>
          <w:szCs w:val="20"/>
          <w:lang w:val="fr-BE"/>
        </w:rPr>
        <w:t xml:space="preserve"> indique l’état d’avancement de ces affaires selon l’année d’entrée (situation arrêtée à la date d’extraction). </w:t>
      </w:r>
    </w:p>
    <w:p w14:paraId="5DE6CF8A" w14:textId="29E1831F" w:rsidR="00A44B46" w:rsidRPr="00C16CD7" w:rsidRDefault="00A44B46" w:rsidP="0030458E">
      <w:pPr>
        <w:numPr>
          <w:ilvl w:val="0"/>
          <w:numId w:val="5"/>
        </w:numPr>
        <w:spacing w:before="120" w:after="120" w:line="276" w:lineRule="auto"/>
        <w:jc w:val="both"/>
        <w:rPr>
          <w:rFonts w:ascii="Arial" w:hAnsi="Arial" w:cs="Arial"/>
          <w:sz w:val="20"/>
          <w:szCs w:val="20"/>
          <w:lang w:val="fr-BE"/>
        </w:rPr>
      </w:pPr>
      <w:r w:rsidRPr="00C16CD7">
        <w:rPr>
          <w:rFonts w:ascii="Arial" w:hAnsi="Arial" w:cs="Arial"/>
          <w:sz w:val="20"/>
          <w:szCs w:val="20"/>
          <w:lang w:val="fr-BE"/>
        </w:rPr>
        <w:t xml:space="preserve">Le tableau </w:t>
      </w:r>
      <w:r w:rsidR="00BA3F36" w:rsidRPr="00C16CD7">
        <w:rPr>
          <w:rFonts w:ascii="Arial" w:hAnsi="Arial" w:cs="Arial"/>
          <w:sz w:val="20"/>
          <w:szCs w:val="20"/>
          <w:lang w:val="fr-BE"/>
        </w:rPr>
        <w:t>5</w:t>
      </w:r>
      <w:r w:rsidRPr="00C16CD7">
        <w:rPr>
          <w:rFonts w:ascii="Arial" w:hAnsi="Arial" w:cs="Arial"/>
          <w:sz w:val="20"/>
          <w:szCs w:val="20"/>
          <w:lang w:val="fr-BE"/>
        </w:rPr>
        <w:t xml:space="preserve"> précise pour ces mêmes affaires les motifs de classement sans suite (par année d’entrée).</w:t>
      </w:r>
    </w:p>
    <w:p w14:paraId="04D9F896" w14:textId="77777777" w:rsidR="00A44B46" w:rsidRPr="00C16CD7" w:rsidRDefault="00A44B46" w:rsidP="0030458E">
      <w:pPr>
        <w:tabs>
          <w:tab w:val="left" w:pos="360"/>
        </w:tabs>
        <w:spacing w:before="120" w:after="120" w:line="276" w:lineRule="auto"/>
        <w:ind w:left="720"/>
        <w:jc w:val="both"/>
        <w:rPr>
          <w:rFonts w:ascii="Arial" w:hAnsi="Arial" w:cs="Arial"/>
          <w:sz w:val="20"/>
          <w:szCs w:val="20"/>
          <w:lang w:val="fr-BE"/>
        </w:rPr>
      </w:pPr>
      <w:r w:rsidRPr="00C16CD7">
        <w:rPr>
          <w:rFonts w:ascii="Arial" w:hAnsi="Arial" w:cs="Arial"/>
          <w:sz w:val="20"/>
          <w:szCs w:val="20"/>
          <w:lang w:val="fr-BE"/>
        </w:rPr>
        <w:t xml:space="preserve">Les tableaux utilisent l’affaire pénale comme unité de compte : une même affaire pouvant compter un ou plusieurs prévenus. </w:t>
      </w:r>
    </w:p>
    <w:p w14:paraId="73840585" w14:textId="77777777" w:rsidR="00EF35E2" w:rsidRPr="00C16CD7" w:rsidRDefault="00EF35E2" w:rsidP="0030458E">
      <w:pPr>
        <w:tabs>
          <w:tab w:val="left" w:pos="360"/>
        </w:tabs>
        <w:spacing w:before="120" w:after="120" w:line="276" w:lineRule="auto"/>
        <w:ind w:left="720"/>
        <w:jc w:val="both"/>
        <w:rPr>
          <w:rFonts w:ascii="Arial" w:hAnsi="Arial" w:cs="Arial"/>
          <w:sz w:val="20"/>
          <w:szCs w:val="20"/>
          <w:lang w:val="fr-BE"/>
        </w:rPr>
      </w:pPr>
      <w:r w:rsidRPr="00C16CD7">
        <w:rPr>
          <w:rFonts w:ascii="Arial" w:hAnsi="Arial" w:cs="Arial"/>
          <w:sz w:val="20"/>
          <w:szCs w:val="20"/>
          <w:lang w:val="fr-BE"/>
        </w:rPr>
        <w:t xml:space="preserve">Mais lorsque des informations sont communiquées à l’égard des </w:t>
      </w:r>
      <w:r w:rsidRPr="00C16CD7">
        <w:rPr>
          <w:rFonts w:ascii="Arial" w:hAnsi="Arial" w:cs="Arial"/>
          <w:sz w:val="20"/>
          <w:szCs w:val="20"/>
          <w:u w:val="single"/>
          <w:lang w:val="fr-BE"/>
        </w:rPr>
        <w:t>prévenus</w:t>
      </w:r>
      <w:r w:rsidRPr="00C16CD7">
        <w:rPr>
          <w:rFonts w:ascii="Arial" w:hAnsi="Arial" w:cs="Arial"/>
          <w:sz w:val="20"/>
          <w:szCs w:val="20"/>
          <w:lang w:val="fr-BE"/>
        </w:rPr>
        <w:t xml:space="preserve">, l’unité de compte n’est plus l’affaire pénale, mais le prévenu impliqué dans l’affaire. Un prévenu impliqué dans plusieurs affaires sera compté autant de fois qu’il y a d’affaires dans lesquelles il est impliqué. </w:t>
      </w:r>
    </w:p>
    <w:p w14:paraId="3E9BE4E0" w14:textId="40C79279" w:rsidR="00A44B46" w:rsidRPr="00C16CD7" w:rsidRDefault="00A44B46" w:rsidP="0030458E">
      <w:pPr>
        <w:spacing w:before="120" w:after="120" w:line="276" w:lineRule="auto"/>
        <w:ind w:left="720"/>
        <w:jc w:val="both"/>
        <w:rPr>
          <w:rFonts w:ascii="Arial" w:hAnsi="Arial" w:cs="Arial"/>
          <w:sz w:val="20"/>
          <w:szCs w:val="20"/>
          <w:lang w:val="fr-BE"/>
        </w:rPr>
      </w:pPr>
      <w:r w:rsidRPr="00C16CD7">
        <w:rPr>
          <w:rFonts w:ascii="Arial" w:hAnsi="Arial" w:cs="Arial"/>
          <w:sz w:val="20"/>
          <w:szCs w:val="20"/>
          <w:lang w:val="fr-BE"/>
        </w:rPr>
        <w:t xml:space="preserve">Les données de cette analyse ne donnent pas une indication de la criminalité réelle en matière de </w:t>
      </w:r>
      <w:r w:rsidR="0059052F" w:rsidRPr="00C16CD7">
        <w:rPr>
          <w:rFonts w:ascii="Arial" w:hAnsi="Arial" w:cs="Arial"/>
          <w:sz w:val="20"/>
          <w:lang w:val="fr-BE"/>
        </w:rPr>
        <w:t>crimes motivés par la haine</w:t>
      </w:r>
      <w:r w:rsidRPr="00C16CD7">
        <w:rPr>
          <w:rFonts w:ascii="Arial" w:hAnsi="Arial" w:cs="Arial"/>
          <w:sz w:val="20"/>
          <w:szCs w:val="20"/>
          <w:lang w:val="fr-BE"/>
        </w:rPr>
        <w:t>. En effet, elles ne reprennent que les dossiers portés à la connaissance des parquets et qui ont fait l’objet d’un encodage dans le</w:t>
      </w:r>
      <w:r w:rsidR="00EF35E2" w:rsidRPr="00C16CD7">
        <w:rPr>
          <w:rFonts w:ascii="Arial" w:hAnsi="Arial" w:cs="Arial"/>
          <w:sz w:val="20"/>
          <w:szCs w:val="20"/>
          <w:lang w:val="fr-BE"/>
        </w:rPr>
        <w:t>s</w:t>
      </w:r>
      <w:r w:rsidRPr="00C16CD7">
        <w:rPr>
          <w:rFonts w:ascii="Arial" w:hAnsi="Arial" w:cs="Arial"/>
          <w:sz w:val="20"/>
          <w:szCs w:val="20"/>
          <w:lang w:val="fr-BE"/>
        </w:rPr>
        <w:t xml:space="preserve"> système</w:t>
      </w:r>
      <w:r w:rsidR="00EF35E2" w:rsidRPr="00C16CD7">
        <w:rPr>
          <w:rFonts w:ascii="Arial" w:hAnsi="Arial" w:cs="Arial"/>
          <w:sz w:val="20"/>
          <w:szCs w:val="20"/>
          <w:lang w:val="fr-BE"/>
        </w:rPr>
        <w:t>s</w:t>
      </w:r>
      <w:r w:rsidRPr="00C16CD7">
        <w:rPr>
          <w:rFonts w:ascii="Arial" w:hAnsi="Arial" w:cs="Arial"/>
          <w:sz w:val="20"/>
          <w:szCs w:val="20"/>
          <w:lang w:val="fr-BE"/>
        </w:rPr>
        <w:t xml:space="preserve"> informatique</w:t>
      </w:r>
      <w:r w:rsidR="00EF35E2" w:rsidRPr="00C16CD7">
        <w:rPr>
          <w:rFonts w:ascii="Arial" w:hAnsi="Arial" w:cs="Arial"/>
          <w:sz w:val="20"/>
          <w:szCs w:val="20"/>
          <w:lang w:val="fr-BE"/>
        </w:rPr>
        <w:t>s</w:t>
      </w:r>
      <w:r w:rsidRPr="00C16CD7">
        <w:rPr>
          <w:rFonts w:ascii="Arial" w:hAnsi="Arial" w:cs="Arial"/>
          <w:sz w:val="20"/>
          <w:szCs w:val="20"/>
          <w:lang w:val="fr-BE"/>
        </w:rPr>
        <w:t xml:space="preserve"> conformément aux directives d’encodage en application.</w:t>
      </w:r>
    </w:p>
    <w:p w14:paraId="7783A0C0" w14:textId="260B3BD2" w:rsidR="009F55DA" w:rsidRPr="00C16CD7" w:rsidRDefault="0030458E" w:rsidP="0030458E">
      <w:pPr>
        <w:pStyle w:val="En-tte"/>
        <w:tabs>
          <w:tab w:val="clear" w:pos="4536"/>
          <w:tab w:val="clear" w:pos="9072"/>
        </w:tabs>
        <w:spacing w:before="240" w:after="120" w:line="276" w:lineRule="auto"/>
        <w:jc w:val="both"/>
        <w:rPr>
          <w:b/>
          <w:u w:val="single"/>
          <w:lang w:val="fr-BE"/>
        </w:rPr>
      </w:pPr>
      <w:r>
        <w:rPr>
          <w:b/>
          <w:u w:val="single"/>
          <w:lang w:val="fr-BE"/>
        </w:rPr>
        <w:t>2</w:t>
      </w:r>
      <w:r w:rsidR="00B107B7" w:rsidRPr="00C16CD7">
        <w:rPr>
          <w:b/>
          <w:u w:val="single"/>
          <w:lang w:val="fr-BE"/>
        </w:rPr>
        <w:t xml:space="preserve">. </w:t>
      </w:r>
      <w:r w:rsidR="009F55DA" w:rsidRPr="00C16CD7">
        <w:rPr>
          <w:b/>
          <w:u w:val="single"/>
          <w:lang w:val="fr-BE"/>
        </w:rPr>
        <w:t xml:space="preserve">Données récoltées et </w:t>
      </w:r>
      <w:r w:rsidR="00671822" w:rsidRPr="00C16CD7">
        <w:rPr>
          <w:b/>
          <w:u w:val="single"/>
          <w:lang w:val="fr-BE"/>
        </w:rPr>
        <w:t xml:space="preserve">leur </w:t>
      </w:r>
      <w:r w:rsidR="009F55DA" w:rsidRPr="00C16CD7">
        <w:rPr>
          <w:b/>
          <w:u w:val="single"/>
          <w:lang w:val="fr-BE"/>
        </w:rPr>
        <w:t>contextualisation :</w:t>
      </w:r>
    </w:p>
    <w:p w14:paraId="0E5CC741" w14:textId="77777777" w:rsidR="00687151" w:rsidRPr="00C16CD7" w:rsidRDefault="00687151" w:rsidP="0030458E">
      <w:pPr>
        <w:keepNext/>
        <w:adjustRightInd w:val="0"/>
        <w:spacing w:before="120" w:after="120" w:line="276" w:lineRule="auto"/>
        <w:ind w:left="1620" w:hanging="1620"/>
        <w:jc w:val="both"/>
        <w:rPr>
          <w:rFonts w:ascii="Arial" w:hAnsi="Arial" w:cs="Arial"/>
          <w:b/>
          <w:bCs/>
          <w:color w:val="7483AE"/>
          <w:sz w:val="20"/>
          <w:szCs w:val="20"/>
          <w:lang w:val="fr-BE" w:eastAsia="fr-FR"/>
        </w:rPr>
      </w:pPr>
    </w:p>
    <w:p w14:paraId="1854B3ED" w14:textId="2E4999B1" w:rsidR="00AA38B6" w:rsidRPr="00C16CD7" w:rsidRDefault="00AA38B6" w:rsidP="00AA38B6">
      <w:pPr>
        <w:keepNext/>
        <w:adjustRightInd w:val="0"/>
        <w:ind w:left="1620" w:hanging="1620"/>
        <w:jc w:val="both"/>
        <w:rPr>
          <w:rFonts w:ascii="Arial" w:hAnsi="Arial" w:cs="Arial"/>
          <w:b/>
          <w:bCs/>
          <w:color w:val="7483AE"/>
          <w:sz w:val="20"/>
          <w:szCs w:val="20"/>
          <w:lang w:val="fr-BE" w:eastAsia="fr-FR"/>
        </w:rPr>
      </w:pPr>
      <w:r w:rsidRPr="00C16CD7">
        <w:rPr>
          <w:rFonts w:ascii="Arial" w:hAnsi="Arial" w:cs="Arial"/>
          <w:b/>
          <w:bCs/>
          <w:color w:val="7483AE"/>
          <w:sz w:val="20"/>
          <w:szCs w:val="20"/>
          <w:lang w:val="fr-BE" w:eastAsia="fr-FR"/>
        </w:rPr>
        <w:t xml:space="preserve">Tableau </w:t>
      </w:r>
      <w:r w:rsidR="00F31BE6" w:rsidRPr="00C16CD7">
        <w:rPr>
          <w:rFonts w:ascii="Arial" w:hAnsi="Arial" w:cs="Arial"/>
          <w:b/>
          <w:bCs/>
          <w:color w:val="7483AE"/>
          <w:sz w:val="20"/>
          <w:szCs w:val="20"/>
          <w:lang w:val="fr-BE" w:eastAsia="fr-FR"/>
        </w:rPr>
        <w:t>1</w:t>
      </w:r>
      <w:r w:rsidR="0059052F" w:rsidRPr="00C16CD7">
        <w:rPr>
          <w:rFonts w:ascii="Arial" w:hAnsi="Arial" w:cs="Arial"/>
          <w:b/>
          <w:bCs/>
          <w:color w:val="7483AE"/>
          <w:sz w:val="20"/>
          <w:szCs w:val="20"/>
          <w:lang w:val="fr-BE" w:eastAsia="fr-FR"/>
        </w:rPr>
        <w:t> :</w:t>
      </w:r>
      <w:r w:rsidR="0059052F" w:rsidRPr="00C16CD7">
        <w:rPr>
          <w:rFonts w:ascii="Arial" w:hAnsi="Arial" w:cs="Arial"/>
          <w:b/>
          <w:bCs/>
          <w:color w:val="7483AE"/>
          <w:sz w:val="20"/>
          <w:szCs w:val="20"/>
          <w:lang w:val="fr-BE" w:eastAsia="fr-FR"/>
        </w:rPr>
        <w:tab/>
        <w:t>Nombre d’affaires</w:t>
      </w:r>
      <w:r w:rsidRPr="00C16CD7">
        <w:rPr>
          <w:rFonts w:ascii="Arial" w:hAnsi="Arial" w:cs="Arial"/>
          <w:b/>
          <w:bCs/>
          <w:color w:val="7483AE"/>
          <w:sz w:val="20"/>
          <w:szCs w:val="20"/>
          <w:lang w:val="fr-BE" w:eastAsia="fr-FR"/>
        </w:rPr>
        <w:t xml:space="preserve"> </w:t>
      </w:r>
      <w:r w:rsidR="0059052F" w:rsidRPr="00C16CD7">
        <w:rPr>
          <w:rFonts w:ascii="Arial" w:hAnsi="Arial" w:cs="Arial"/>
          <w:b/>
          <w:bCs/>
          <w:color w:val="7483AE"/>
          <w:sz w:val="20"/>
          <w:szCs w:val="20"/>
          <w:lang w:val="fr-BE" w:eastAsia="fr-FR"/>
        </w:rPr>
        <w:t xml:space="preserve">relatives aux crimes motivés par la haine </w:t>
      </w:r>
      <w:r w:rsidRPr="00C16CD7">
        <w:rPr>
          <w:rFonts w:ascii="Arial" w:hAnsi="Arial" w:cs="Arial"/>
          <w:b/>
          <w:bCs/>
          <w:color w:val="7483AE"/>
          <w:sz w:val="20"/>
          <w:szCs w:val="20"/>
          <w:lang w:val="fr-BE" w:eastAsia="fr-FR"/>
        </w:rPr>
        <w:t>entrées dans les parquets correctionnels de Belgique, entre le 1</w:t>
      </w:r>
      <w:r w:rsidRPr="00C16CD7">
        <w:rPr>
          <w:rFonts w:ascii="Arial" w:hAnsi="Arial" w:cs="Arial"/>
          <w:b/>
          <w:bCs/>
          <w:color w:val="7483AE"/>
          <w:sz w:val="20"/>
          <w:szCs w:val="20"/>
          <w:vertAlign w:val="superscript"/>
          <w:lang w:val="fr-BE" w:eastAsia="fr-FR"/>
        </w:rPr>
        <w:t>er</w:t>
      </w:r>
      <w:r w:rsidRPr="00C16CD7">
        <w:rPr>
          <w:rFonts w:ascii="Arial" w:hAnsi="Arial" w:cs="Arial"/>
          <w:b/>
          <w:bCs/>
          <w:color w:val="7483AE"/>
          <w:sz w:val="20"/>
          <w:szCs w:val="20"/>
          <w:lang w:val="fr-BE" w:eastAsia="fr-FR"/>
        </w:rPr>
        <w:t xml:space="preserve"> </w:t>
      </w:r>
      <w:r w:rsidR="00887D3D" w:rsidRPr="00C16CD7">
        <w:rPr>
          <w:rFonts w:ascii="Arial" w:hAnsi="Arial" w:cs="Arial"/>
          <w:b/>
          <w:bCs/>
          <w:color w:val="7483AE"/>
          <w:sz w:val="20"/>
          <w:szCs w:val="20"/>
          <w:lang w:val="fr-BE" w:eastAsia="fr-FR"/>
        </w:rPr>
        <w:t>janvier 201</w:t>
      </w:r>
      <w:r w:rsidR="00BA3F36" w:rsidRPr="00C16CD7">
        <w:rPr>
          <w:rFonts w:ascii="Arial" w:hAnsi="Arial" w:cs="Arial"/>
          <w:b/>
          <w:bCs/>
          <w:color w:val="7483AE"/>
          <w:sz w:val="20"/>
          <w:szCs w:val="20"/>
          <w:lang w:val="fr-BE" w:eastAsia="fr-FR"/>
        </w:rPr>
        <w:t>2</w:t>
      </w:r>
      <w:r w:rsidRPr="00C16CD7">
        <w:rPr>
          <w:rFonts w:ascii="Arial" w:hAnsi="Arial" w:cs="Arial"/>
          <w:b/>
          <w:bCs/>
          <w:color w:val="7483AE"/>
          <w:sz w:val="20"/>
          <w:szCs w:val="20"/>
          <w:lang w:val="fr-BE" w:eastAsia="fr-FR"/>
        </w:rPr>
        <w:t xml:space="preserve"> et le 31 </w:t>
      </w:r>
      <w:r w:rsidR="00EE60B1" w:rsidRPr="00C16CD7">
        <w:rPr>
          <w:rFonts w:ascii="Arial" w:hAnsi="Arial" w:cs="Arial"/>
          <w:b/>
          <w:bCs/>
          <w:color w:val="7483AE"/>
          <w:sz w:val="20"/>
          <w:szCs w:val="20"/>
          <w:lang w:val="fr-BE" w:eastAsia="fr-FR"/>
        </w:rPr>
        <w:t>décembre</w:t>
      </w:r>
      <w:r w:rsidRPr="00C16CD7">
        <w:rPr>
          <w:rFonts w:ascii="Arial" w:hAnsi="Arial" w:cs="Arial"/>
          <w:b/>
          <w:bCs/>
          <w:color w:val="7483AE"/>
          <w:sz w:val="20"/>
          <w:szCs w:val="20"/>
          <w:lang w:val="fr-BE" w:eastAsia="fr-FR"/>
        </w:rPr>
        <w:t xml:space="preserve"> 2016.</w:t>
      </w:r>
    </w:p>
    <w:p w14:paraId="04873E21" w14:textId="49C77726" w:rsidR="003C38C4" w:rsidRPr="00C16CD7" w:rsidRDefault="00AA38B6" w:rsidP="00DA03E9">
      <w:pPr>
        <w:keepNext/>
        <w:adjustRightInd w:val="0"/>
        <w:ind w:left="1620"/>
        <w:jc w:val="both"/>
        <w:rPr>
          <w:rFonts w:ascii="Arial" w:hAnsi="Arial" w:cs="Arial"/>
          <w:b/>
          <w:bCs/>
          <w:color w:val="7483AE"/>
          <w:sz w:val="20"/>
          <w:szCs w:val="20"/>
          <w:lang w:val="fr-BE" w:eastAsia="fr-FR"/>
        </w:rPr>
      </w:pPr>
      <w:r w:rsidRPr="00C16CD7">
        <w:rPr>
          <w:rFonts w:ascii="Arial" w:hAnsi="Arial" w:cs="Arial"/>
          <w:b/>
          <w:bCs/>
          <w:color w:val="7483AE"/>
          <w:sz w:val="20"/>
          <w:szCs w:val="20"/>
          <w:lang w:val="fr-BE" w:eastAsia="fr-FR"/>
        </w:rPr>
        <w:t xml:space="preserve">Données présentées par </w:t>
      </w:r>
      <w:r w:rsidR="00EF35E2" w:rsidRPr="00C16CD7">
        <w:rPr>
          <w:rFonts w:ascii="Arial" w:hAnsi="Arial" w:cs="Arial"/>
          <w:b/>
          <w:bCs/>
          <w:color w:val="7483AE"/>
          <w:sz w:val="20"/>
          <w:szCs w:val="20"/>
          <w:lang w:val="fr-BE" w:eastAsia="fr-FR"/>
        </w:rPr>
        <w:t>code de prévention</w:t>
      </w:r>
      <w:r w:rsidR="00D00B44" w:rsidRPr="00C16CD7">
        <w:rPr>
          <w:rFonts w:ascii="Arial" w:hAnsi="Arial" w:cs="Arial"/>
          <w:b/>
          <w:bCs/>
          <w:color w:val="7483AE"/>
          <w:sz w:val="20"/>
          <w:szCs w:val="20"/>
          <w:lang w:val="fr-BE" w:eastAsia="fr-FR"/>
        </w:rPr>
        <w:t>/contexte</w:t>
      </w:r>
      <w:r w:rsidR="00EF35E2" w:rsidRPr="00C16CD7">
        <w:rPr>
          <w:rFonts w:ascii="Arial" w:hAnsi="Arial" w:cs="Arial"/>
          <w:b/>
          <w:bCs/>
          <w:color w:val="7483AE"/>
          <w:sz w:val="20"/>
          <w:szCs w:val="20"/>
          <w:lang w:val="fr-BE" w:eastAsia="fr-FR"/>
        </w:rPr>
        <w:t xml:space="preserve"> et par </w:t>
      </w:r>
      <w:r w:rsidRPr="00C16CD7">
        <w:rPr>
          <w:rFonts w:ascii="Arial" w:hAnsi="Arial" w:cs="Arial"/>
          <w:b/>
          <w:bCs/>
          <w:color w:val="7483AE"/>
          <w:sz w:val="20"/>
          <w:szCs w:val="20"/>
          <w:lang w:val="fr-BE" w:eastAsia="fr-FR"/>
        </w:rPr>
        <w:t xml:space="preserve">année d’entrée (n et % en </w:t>
      </w:r>
      <w:r w:rsidR="008F0620" w:rsidRPr="00C16CD7">
        <w:rPr>
          <w:rFonts w:ascii="Arial" w:hAnsi="Arial" w:cs="Arial"/>
          <w:b/>
          <w:bCs/>
          <w:color w:val="7483AE"/>
          <w:sz w:val="20"/>
          <w:szCs w:val="20"/>
          <w:lang w:val="fr-BE" w:eastAsia="fr-FR"/>
        </w:rPr>
        <w:t>colonne</w:t>
      </w:r>
      <w:r w:rsidRPr="00C16CD7">
        <w:rPr>
          <w:rFonts w:ascii="Arial" w:hAnsi="Arial" w:cs="Arial"/>
          <w:b/>
          <w:bCs/>
          <w:color w:val="7483AE"/>
          <w:sz w:val="20"/>
          <w:szCs w:val="20"/>
          <w:lang w:val="fr-BE" w:eastAsia="fr-FR"/>
        </w:rPr>
        <w:t>).</w:t>
      </w:r>
    </w:p>
    <w:p w14:paraId="2C4F7C62" w14:textId="77777777" w:rsidR="00781440" w:rsidRPr="00C16CD7" w:rsidRDefault="00781440" w:rsidP="003C38C4">
      <w:pPr>
        <w:keepNext/>
        <w:adjustRightInd w:val="0"/>
        <w:ind w:left="1620"/>
        <w:jc w:val="center"/>
        <w:rPr>
          <w:rFonts w:ascii="Arial" w:hAnsi="Arial" w:cs="Arial"/>
          <w:color w:val="FFFFFF"/>
          <w:sz w:val="16"/>
          <w:szCs w:val="16"/>
          <w:lang w:val="fr-BE"/>
        </w:rPr>
      </w:pPr>
    </w:p>
    <w:tbl>
      <w:tblPr>
        <w:tblW w:w="0" w:type="auto"/>
        <w:jc w:val="center"/>
        <w:tblLayout w:type="fixed"/>
        <w:tblCellMar>
          <w:left w:w="0" w:type="dxa"/>
          <w:right w:w="0" w:type="dxa"/>
        </w:tblCellMar>
        <w:tblLook w:val="0000" w:firstRow="0" w:lastRow="0" w:firstColumn="0" w:lastColumn="0" w:noHBand="0" w:noVBand="0"/>
      </w:tblPr>
      <w:tblGrid>
        <w:gridCol w:w="5242"/>
        <w:gridCol w:w="378"/>
        <w:gridCol w:w="605"/>
        <w:gridCol w:w="378"/>
        <w:gridCol w:w="605"/>
        <w:gridCol w:w="514"/>
        <w:gridCol w:w="605"/>
        <w:gridCol w:w="378"/>
        <w:gridCol w:w="605"/>
        <w:gridCol w:w="378"/>
        <w:gridCol w:w="605"/>
        <w:gridCol w:w="514"/>
        <w:gridCol w:w="605"/>
      </w:tblGrid>
      <w:tr w:rsidR="00781440" w:rsidRPr="00C16CD7" w14:paraId="237E6DD6" w14:textId="77777777" w:rsidTr="00781440">
        <w:trPr>
          <w:cantSplit/>
          <w:tblHeader/>
          <w:jc w:val="center"/>
        </w:trPr>
        <w:tc>
          <w:tcPr>
            <w:tcW w:w="5242" w:type="dxa"/>
            <w:vMerge w:val="restart"/>
            <w:tcBorders>
              <w:top w:val="single" w:sz="15" w:space="0" w:color="E6E6E6"/>
              <w:left w:val="single" w:sz="15" w:space="0" w:color="E6E6E6"/>
              <w:bottom w:val="single" w:sz="4" w:space="0" w:color="E6E6E6"/>
              <w:right w:val="nil"/>
            </w:tcBorders>
            <w:shd w:val="clear" w:color="auto" w:fill="7483AE"/>
            <w:tcMar>
              <w:left w:w="48" w:type="dxa"/>
              <w:right w:w="48" w:type="dxa"/>
            </w:tcMar>
            <w:vAlign w:val="center"/>
          </w:tcPr>
          <w:p w14:paraId="00639824" w14:textId="77777777" w:rsidR="00781440" w:rsidRPr="00C16CD7" w:rsidRDefault="00781440" w:rsidP="00781440">
            <w:pPr>
              <w:adjustRightInd w:val="0"/>
              <w:spacing w:before="48" w:after="48"/>
              <w:jc w:val="center"/>
              <w:rPr>
                <w:rFonts w:ascii="Arial" w:hAnsi="Arial" w:cs="Arial"/>
                <w:color w:val="FFFFFF"/>
                <w:sz w:val="16"/>
                <w:szCs w:val="16"/>
                <w:lang w:val="fr-BE"/>
              </w:rPr>
            </w:pPr>
          </w:p>
        </w:tc>
        <w:tc>
          <w:tcPr>
            <w:tcW w:w="983"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07D05D12" w14:textId="77777777" w:rsidR="00781440" w:rsidRPr="00C16CD7" w:rsidRDefault="00781440" w:rsidP="00781440">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2012</w:t>
            </w:r>
          </w:p>
        </w:tc>
        <w:tc>
          <w:tcPr>
            <w:tcW w:w="983"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5F8F33A9" w14:textId="77777777" w:rsidR="00781440" w:rsidRPr="00C16CD7" w:rsidRDefault="00781440" w:rsidP="00781440">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2013</w:t>
            </w:r>
          </w:p>
        </w:tc>
        <w:tc>
          <w:tcPr>
            <w:tcW w:w="1119"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13BDC47D" w14:textId="77777777" w:rsidR="00781440" w:rsidRPr="00C16CD7" w:rsidRDefault="00781440" w:rsidP="00781440">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2014</w:t>
            </w:r>
          </w:p>
        </w:tc>
        <w:tc>
          <w:tcPr>
            <w:tcW w:w="983"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72279B64" w14:textId="77777777" w:rsidR="00781440" w:rsidRPr="00C16CD7" w:rsidRDefault="00781440" w:rsidP="00781440">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2015</w:t>
            </w:r>
          </w:p>
        </w:tc>
        <w:tc>
          <w:tcPr>
            <w:tcW w:w="983"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74813D11" w14:textId="77777777" w:rsidR="00781440" w:rsidRPr="00C16CD7" w:rsidRDefault="00781440" w:rsidP="00781440">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2016</w:t>
            </w:r>
          </w:p>
        </w:tc>
        <w:tc>
          <w:tcPr>
            <w:tcW w:w="1119" w:type="dxa"/>
            <w:gridSpan w:val="2"/>
            <w:tcBorders>
              <w:top w:val="single" w:sz="15" w:space="0" w:color="E6E6E6"/>
              <w:left w:val="single" w:sz="4" w:space="0" w:color="E6E6E6"/>
              <w:bottom w:val="single" w:sz="4" w:space="0" w:color="E6E6E6"/>
              <w:right w:val="single" w:sz="15" w:space="0" w:color="E6E6E6"/>
            </w:tcBorders>
            <w:shd w:val="clear" w:color="auto" w:fill="7483AE"/>
            <w:tcMar>
              <w:left w:w="48" w:type="dxa"/>
              <w:right w:w="48" w:type="dxa"/>
            </w:tcMar>
            <w:vAlign w:val="bottom"/>
          </w:tcPr>
          <w:p w14:paraId="1D10AB0A" w14:textId="77777777" w:rsidR="00781440" w:rsidRPr="00C16CD7" w:rsidRDefault="00781440" w:rsidP="00781440">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TOTAL</w:t>
            </w:r>
          </w:p>
        </w:tc>
      </w:tr>
      <w:tr w:rsidR="00781440" w:rsidRPr="00C16CD7" w14:paraId="001C1F9D" w14:textId="77777777" w:rsidTr="00781440">
        <w:trPr>
          <w:cantSplit/>
          <w:tblHeader/>
          <w:jc w:val="center"/>
        </w:trPr>
        <w:tc>
          <w:tcPr>
            <w:tcW w:w="5242" w:type="dxa"/>
            <w:vMerge/>
            <w:tcBorders>
              <w:top w:val="single" w:sz="15" w:space="0" w:color="E6E6E6"/>
              <w:left w:val="single" w:sz="15" w:space="0" w:color="E6E6E6"/>
              <w:bottom w:val="single" w:sz="4" w:space="0" w:color="E6E6E6"/>
              <w:right w:val="nil"/>
            </w:tcBorders>
            <w:shd w:val="clear" w:color="auto" w:fill="7483AE"/>
            <w:tcMar>
              <w:left w:w="48" w:type="dxa"/>
              <w:right w:w="48" w:type="dxa"/>
            </w:tcMar>
            <w:vAlign w:val="center"/>
          </w:tcPr>
          <w:p w14:paraId="44485DFE" w14:textId="77777777" w:rsidR="00781440" w:rsidRPr="00C16CD7" w:rsidRDefault="00781440" w:rsidP="00781440">
            <w:pPr>
              <w:adjustRightInd w:val="0"/>
              <w:rPr>
                <w:lang w:val="fr-BE"/>
              </w:rPr>
            </w:pPr>
          </w:p>
        </w:tc>
        <w:tc>
          <w:tcPr>
            <w:tcW w:w="378" w:type="dxa"/>
            <w:tcBorders>
              <w:top w:val="nil"/>
              <w:left w:val="single" w:sz="4" w:space="0" w:color="E6E6E6"/>
              <w:bottom w:val="single" w:sz="4" w:space="0" w:color="E6E6E6"/>
              <w:right w:val="nil"/>
            </w:tcBorders>
            <w:shd w:val="clear" w:color="auto" w:fill="7483AE"/>
            <w:tcMar>
              <w:left w:w="48" w:type="dxa"/>
              <w:right w:w="48" w:type="dxa"/>
            </w:tcMar>
            <w:vAlign w:val="bottom"/>
          </w:tcPr>
          <w:p w14:paraId="274ABC68" w14:textId="77777777" w:rsidR="00781440" w:rsidRPr="00C16CD7" w:rsidRDefault="00781440" w:rsidP="00781440">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605" w:type="dxa"/>
            <w:tcBorders>
              <w:top w:val="nil"/>
              <w:left w:val="single" w:sz="4" w:space="0" w:color="E6E6E6"/>
              <w:bottom w:val="single" w:sz="4" w:space="0" w:color="E6E6E6"/>
              <w:right w:val="nil"/>
            </w:tcBorders>
            <w:shd w:val="clear" w:color="auto" w:fill="7483AE"/>
            <w:tcMar>
              <w:left w:w="48" w:type="dxa"/>
              <w:right w:w="48" w:type="dxa"/>
            </w:tcMar>
            <w:vAlign w:val="bottom"/>
          </w:tcPr>
          <w:p w14:paraId="792AA12B" w14:textId="77777777" w:rsidR="00781440" w:rsidRPr="00C16CD7" w:rsidRDefault="00781440" w:rsidP="00781440">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378" w:type="dxa"/>
            <w:tcBorders>
              <w:top w:val="nil"/>
              <w:left w:val="single" w:sz="4" w:space="0" w:color="E6E6E6"/>
              <w:bottom w:val="single" w:sz="4" w:space="0" w:color="E6E6E6"/>
              <w:right w:val="nil"/>
            </w:tcBorders>
            <w:shd w:val="clear" w:color="auto" w:fill="7483AE"/>
            <w:tcMar>
              <w:left w:w="48" w:type="dxa"/>
              <w:right w:w="48" w:type="dxa"/>
            </w:tcMar>
            <w:vAlign w:val="bottom"/>
          </w:tcPr>
          <w:p w14:paraId="7375E215" w14:textId="77777777" w:rsidR="00781440" w:rsidRPr="00C16CD7" w:rsidRDefault="00781440" w:rsidP="00781440">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605" w:type="dxa"/>
            <w:tcBorders>
              <w:top w:val="nil"/>
              <w:left w:val="single" w:sz="4" w:space="0" w:color="E6E6E6"/>
              <w:bottom w:val="single" w:sz="4" w:space="0" w:color="E6E6E6"/>
              <w:right w:val="nil"/>
            </w:tcBorders>
            <w:shd w:val="clear" w:color="auto" w:fill="7483AE"/>
            <w:tcMar>
              <w:left w:w="48" w:type="dxa"/>
              <w:right w:w="48" w:type="dxa"/>
            </w:tcMar>
            <w:vAlign w:val="bottom"/>
          </w:tcPr>
          <w:p w14:paraId="0C6F3C63" w14:textId="77777777" w:rsidR="00781440" w:rsidRPr="00C16CD7" w:rsidRDefault="00781440" w:rsidP="00781440">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514" w:type="dxa"/>
            <w:tcBorders>
              <w:top w:val="nil"/>
              <w:left w:val="single" w:sz="4" w:space="0" w:color="E6E6E6"/>
              <w:bottom w:val="single" w:sz="4" w:space="0" w:color="E6E6E6"/>
              <w:right w:val="nil"/>
            </w:tcBorders>
            <w:shd w:val="clear" w:color="auto" w:fill="7483AE"/>
            <w:tcMar>
              <w:left w:w="48" w:type="dxa"/>
              <w:right w:w="48" w:type="dxa"/>
            </w:tcMar>
            <w:vAlign w:val="bottom"/>
          </w:tcPr>
          <w:p w14:paraId="226C6614" w14:textId="77777777" w:rsidR="00781440" w:rsidRPr="00C16CD7" w:rsidRDefault="00781440" w:rsidP="00781440">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605" w:type="dxa"/>
            <w:tcBorders>
              <w:top w:val="nil"/>
              <w:left w:val="single" w:sz="4" w:space="0" w:color="E6E6E6"/>
              <w:bottom w:val="single" w:sz="4" w:space="0" w:color="E6E6E6"/>
              <w:right w:val="nil"/>
            </w:tcBorders>
            <w:shd w:val="clear" w:color="auto" w:fill="7483AE"/>
            <w:tcMar>
              <w:left w:w="48" w:type="dxa"/>
              <w:right w:w="48" w:type="dxa"/>
            </w:tcMar>
            <w:vAlign w:val="bottom"/>
          </w:tcPr>
          <w:p w14:paraId="3394C503" w14:textId="77777777" w:rsidR="00781440" w:rsidRPr="00C16CD7" w:rsidRDefault="00781440" w:rsidP="00781440">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378" w:type="dxa"/>
            <w:tcBorders>
              <w:top w:val="nil"/>
              <w:left w:val="single" w:sz="4" w:space="0" w:color="E6E6E6"/>
              <w:bottom w:val="single" w:sz="4" w:space="0" w:color="E6E6E6"/>
              <w:right w:val="nil"/>
            </w:tcBorders>
            <w:shd w:val="clear" w:color="auto" w:fill="7483AE"/>
            <w:tcMar>
              <w:left w:w="48" w:type="dxa"/>
              <w:right w:w="48" w:type="dxa"/>
            </w:tcMar>
            <w:vAlign w:val="bottom"/>
          </w:tcPr>
          <w:p w14:paraId="6D56E352" w14:textId="77777777" w:rsidR="00781440" w:rsidRPr="00C16CD7" w:rsidRDefault="00781440" w:rsidP="00781440">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605" w:type="dxa"/>
            <w:tcBorders>
              <w:top w:val="nil"/>
              <w:left w:val="single" w:sz="4" w:space="0" w:color="E6E6E6"/>
              <w:bottom w:val="single" w:sz="4" w:space="0" w:color="E6E6E6"/>
              <w:right w:val="nil"/>
            </w:tcBorders>
            <w:shd w:val="clear" w:color="auto" w:fill="7483AE"/>
            <w:tcMar>
              <w:left w:w="48" w:type="dxa"/>
              <w:right w:w="48" w:type="dxa"/>
            </w:tcMar>
            <w:vAlign w:val="bottom"/>
          </w:tcPr>
          <w:p w14:paraId="395BBBD2" w14:textId="77777777" w:rsidR="00781440" w:rsidRPr="00C16CD7" w:rsidRDefault="00781440" w:rsidP="00781440">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378" w:type="dxa"/>
            <w:tcBorders>
              <w:top w:val="nil"/>
              <w:left w:val="single" w:sz="4" w:space="0" w:color="E6E6E6"/>
              <w:bottom w:val="single" w:sz="4" w:space="0" w:color="E6E6E6"/>
              <w:right w:val="nil"/>
            </w:tcBorders>
            <w:shd w:val="clear" w:color="auto" w:fill="7483AE"/>
            <w:tcMar>
              <w:left w:w="48" w:type="dxa"/>
              <w:right w:w="48" w:type="dxa"/>
            </w:tcMar>
            <w:vAlign w:val="bottom"/>
          </w:tcPr>
          <w:p w14:paraId="0F414ADF" w14:textId="77777777" w:rsidR="00781440" w:rsidRPr="00C16CD7" w:rsidRDefault="00781440" w:rsidP="00781440">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605" w:type="dxa"/>
            <w:tcBorders>
              <w:top w:val="nil"/>
              <w:left w:val="single" w:sz="4" w:space="0" w:color="E6E6E6"/>
              <w:bottom w:val="single" w:sz="4" w:space="0" w:color="E6E6E6"/>
              <w:right w:val="nil"/>
            </w:tcBorders>
            <w:shd w:val="clear" w:color="auto" w:fill="7483AE"/>
            <w:tcMar>
              <w:left w:w="48" w:type="dxa"/>
              <w:right w:w="48" w:type="dxa"/>
            </w:tcMar>
            <w:vAlign w:val="bottom"/>
          </w:tcPr>
          <w:p w14:paraId="56E20FD9" w14:textId="77777777" w:rsidR="00781440" w:rsidRPr="00C16CD7" w:rsidRDefault="00781440" w:rsidP="00781440">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514" w:type="dxa"/>
            <w:tcBorders>
              <w:top w:val="nil"/>
              <w:left w:val="single" w:sz="4" w:space="0" w:color="E6E6E6"/>
              <w:bottom w:val="single" w:sz="4" w:space="0" w:color="E6E6E6"/>
              <w:right w:val="nil"/>
            </w:tcBorders>
            <w:shd w:val="clear" w:color="auto" w:fill="7483AE"/>
            <w:tcMar>
              <w:left w:w="48" w:type="dxa"/>
              <w:right w:w="48" w:type="dxa"/>
            </w:tcMar>
            <w:vAlign w:val="bottom"/>
          </w:tcPr>
          <w:p w14:paraId="3986D292" w14:textId="77777777" w:rsidR="00781440" w:rsidRPr="00C16CD7" w:rsidRDefault="00781440" w:rsidP="00781440">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605" w:type="dxa"/>
            <w:tcBorders>
              <w:top w:val="nil"/>
              <w:left w:val="single" w:sz="4" w:space="0" w:color="E6E6E6"/>
              <w:bottom w:val="single" w:sz="4" w:space="0" w:color="E6E6E6"/>
              <w:right w:val="single" w:sz="15" w:space="0" w:color="E6E6E6"/>
            </w:tcBorders>
            <w:shd w:val="clear" w:color="auto" w:fill="7483AE"/>
            <w:tcMar>
              <w:left w:w="48" w:type="dxa"/>
              <w:right w:w="48" w:type="dxa"/>
            </w:tcMar>
            <w:vAlign w:val="bottom"/>
          </w:tcPr>
          <w:p w14:paraId="0449039C" w14:textId="77777777" w:rsidR="00781440" w:rsidRPr="00C16CD7" w:rsidRDefault="00781440" w:rsidP="00781440">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r>
      <w:tr w:rsidR="00781440" w:rsidRPr="00C16CD7" w14:paraId="3A364FCC" w14:textId="77777777" w:rsidTr="00781440">
        <w:trPr>
          <w:cantSplit/>
          <w:jc w:val="center"/>
        </w:trPr>
        <w:tc>
          <w:tcPr>
            <w:tcW w:w="5242" w:type="dxa"/>
            <w:tcBorders>
              <w:top w:val="nil"/>
              <w:left w:val="single" w:sz="15" w:space="0" w:color="E6E6E6"/>
              <w:bottom w:val="single" w:sz="4" w:space="0" w:color="E6E6E6"/>
              <w:right w:val="nil"/>
            </w:tcBorders>
            <w:shd w:val="clear" w:color="auto" w:fill="FFFFFF"/>
            <w:tcMar>
              <w:left w:w="48" w:type="dxa"/>
              <w:right w:w="48" w:type="dxa"/>
            </w:tcMar>
          </w:tcPr>
          <w:p w14:paraId="51F57664" w14:textId="77777777" w:rsidR="00781440" w:rsidRPr="00C16CD7" w:rsidRDefault="00781440" w:rsidP="00781440">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56A - Racisme</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50CBC88C"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714</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34D99281"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78,46</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19D62B11"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595</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483EFA99"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71,86</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3320AE1A"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826</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07C3F237"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77,56</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032FE87F"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649</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5FF712AC"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73,50</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249435B8"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604</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64DD872B"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71,06</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219766B9"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3.388</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484C827A"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74,69</w:t>
            </w:r>
          </w:p>
        </w:tc>
      </w:tr>
      <w:tr w:rsidR="00781440" w:rsidRPr="00C16CD7" w14:paraId="3553FE4E" w14:textId="77777777" w:rsidTr="00781440">
        <w:trPr>
          <w:cantSplit/>
          <w:jc w:val="center"/>
        </w:trPr>
        <w:tc>
          <w:tcPr>
            <w:tcW w:w="5242" w:type="dxa"/>
            <w:tcBorders>
              <w:top w:val="nil"/>
              <w:left w:val="single" w:sz="15" w:space="0" w:color="E6E6E6"/>
              <w:bottom w:val="single" w:sz="4" w:space="0" w:color="E6E6E6"/>
              <w:right w:val="nil"/>
            </w:tcBorders>
            <w:shd w:val="clear" w:color="auto" w:fill="FFFFFF"/>
            <w:tcMar>
              <w:left w:w="48" w:type="dxa"/>
              <w:right w:w="48" w:type="dxa"/>
            </w:tcMar>
          </w:tcPr>
          <w:p w14:paraId="50A017E8" w14:textId="77777777" w:rsidR="00781440" w:rsidRPr="00C16CD7" w:rsidRDefault="00781440" w:rsidP="00781440">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56B - Xénophobie</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28C1EE1C"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17</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32D85EF2"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1,87</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31BF3B4A"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29</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10524367"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3,50</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3EF07EC4"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31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2B3BEF75"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2,91</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355E3592"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26</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7A39E240"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2,94</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19A9A4A4"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22</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1C1DF6EE"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2,59</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4496C9A6"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125</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67C2C031"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2,76</w:t>
            </w:r>
          </w:p>
        </w:tc>
      </w:tr>
      <w:tr w:rsidR="00781440" w:rsidRPr="00C16CD7" w14:paraId="3ACCEAA2" w14:textId="77777777" w:rsidTr="00781440">
        <w:trPr>
          <w:cantSplit/>
          <w:jc w:val="center"/>
        </w:trPr>
        <w:tc>
          <w:tcPr>
            <w:tcW w:w="5242" w:type="dxa"/>
            <w:tcBorders>
              <w:top w:val="nil"/>
              <w:left w:val="single" w:sz="15" w:space="0" w:color="E6E6E6"/>
              <w:bottom w:val="single" w:sz="4" w:space="0" w:color="E6E6E6"/>
              <w:right w:val="nil"/>
            </w:tcBorders>
            <w:shd w:val="clear" w:color="auto" w:fill="FFFFFF"/>
            <w:tcMar>
              <w:left w:w="48" w:type="dxa"/>
              <w:right w:w="48" w:type="dxa"/>
            </w:tcMar>
          </w:tcPr>
          <w:p w14:paraId="724FBC64" w14:textId="77777777" w:rsidR="00781440" w:rsidRPr="00C16CD7" w:rsidRDefault="00781440" w:rsidP="00781440">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56C - Discrimination, hormis les cas de discrimination raciste, xénophobe ou homophobe, ou les cas de discrimination fondée sur le sexe ou sur le handicap</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77FB4229"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142</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7D260611"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15,60</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36C3BF06"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147</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0E8424F8"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17,75</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7E8B051F"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106</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36507DF5"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9,95</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48FCF80B"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118</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2BC4A83F"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13,36</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32774218"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126</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242F57F4"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14,82</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474DFF30"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639</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16439C39"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14,09</w:t>
            </w:r>
          </w:p>
        </w:tc>
      </w:tr>
      <w:tr w:rsidR="00781440" w:rsidRPr="00C16CD7" w14:paraId="7C246AE3" w14:textId="77777777" w:rsidTr="00781440">
        <w:trPr>
          <w:cantSplit/>
          <w:jc w:val="center"/>
        </w:trPr>
        <w:tc>
          <w:tcPr>
            <w:tcW w:w="5242" w:type="dxa"/>
            <w:tcBorders>
              <w:top w:val="nil"/>
              <w:left w:val="single" w:sz="15" w:space="0" w:color="E6E6E6"/>
              <w:bottom w:val="single" w:sz="4" w:space="0" w:color="E6E6E6"/>
              <w:right w:val="nil"/>
            </w:tcBorders>
            <w:shd w:val="clear" w:color="auto" w:fill="FFFFFF"/>
            <w:tcMar>
              <w:left w:w="48" w:type="dxa"/>
              <w:right w:w="48" w:type="dxa"/>
            </w:tcMar>
          </w:tcPr>
          <w:p w14:paraId="62521DF8" w14:textId="77777777" w:rsidR="00781440" w:rsidRPr="00C16CD7" w:rsidRDefault="00781440" w:rsidP="00781440">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56D - Discrimination fondée sur le sexe</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03549A20"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5FA967BC"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00FD744A"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1662EEF6"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0,12</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6C76100F"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5</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0852F9BD"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0,47</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72438121"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9</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22BDB50B"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1,02</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62D7299B"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28</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73640B81"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3,29</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601A38CA"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43</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690190FF"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0,95</w:t>
            </w:r>
          </w:p>
        </w:tc>
      </w:tr>
      <w:tr w:rsidR="00781440" w:rsidRPr="00C16CD7" w14:paraId="6271A1BA" w14:textId="77777777" w:rsidTr="00781440">
        <w:trPr>
          <w:cantSplit/>
          <w:jc w:val="center"/>
        </w:trPr>
        <w:tc>
          <w:tcPr>
            <w:tcW w:w="5242" w:type="dxa"/>
            <w:tcBorders>
              <w:top w:val="nil"/>
              <w:left w:val="single" w:sz="15" w:space="0" w:color="E6E6E6"/>
              <w:bottom w:val="single" w:sz="4" w:space="0" w:color="E6E6E6"/>
              <w:right w:val="nil"/>
            </w:tcBorders>
            <w:shd w:val="clear" w:color="auto" w:fill="FFFFFF"/>
            <w:tcMar>
              <w:left w:w="48" w:type="dxa"/>
              <w:right w:w="48" w:type="dxa"/>
            </w:tcMar>
          </w:tcPr>
          <w:p w14:paraId="1C258805" w14:textId="77777777" w:rsidR="00781440" w:rsidRPr="00C16CD7" w:rsidRDefault="00781440" w:rsidP="00781440">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56E - Homophobie</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66DFDD8A"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3542DA0A"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60B3827B"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18</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61A18225"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2,17</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0C0AC100"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86</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139AE4A2"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8,08</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3841E734"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76</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534F9340"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8,61</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2ED0E487"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65</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1EDBE690"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7,65</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7528DBC8"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245</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3B846DB6"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5,40</w:t>
            </w:r>
          </w:p>
        </w:tc>
      </w:tr>
      <w:tr w:rsidR="00781440" w:rsidRPr="00C16CD7" w14:paraId="185024D1" w14:textId="77777777" w:rsidTr="00781440">
        <w:trPr>
          <w:cantSplit/>
          <w:jc w:val="center"/>
        </w:trPr>
        <w:tc>
          <w:tcPr>
            <w:tcW w:w="5242" w:type="dxa"/>
            <w:tcBorders>
              <w:top w:val="nil"/>
              <w:left w:val="single" w:sz="15" w:space="0" w:color="E6E6E6"/>
              <w:bottom w:val="single" w:sz="4" w:space="0" w:color="E6E6E6"/>
              <w:right w:val="nil"/>
            </w:tcBorders>
            <w:shd w:val="clear" w:color="auto" w:fill="FFFFFF"/>
            <w:tcMar>
              <w:left w:w="48" w:type="dxa"/>
              <w:right w:w="48" w:type="dxa"/>
            </w:tcMar>
          </w:tcPr>
          <w:p w14:paraId="3C5648C4" w14:textId="77777777" w:rsidR="00781440" w:rsidRPr="00C16CD7" w:rsidRDefault="00781440" w:rsidP="00781440">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56F - Discrimination fondée sur le handicap</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55326C21"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0A6B2188"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4AF21554"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442916D3"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0,12</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775D7849"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3</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57DC8E57"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0,28</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434D892E"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5</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109480EE"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0,57</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2C22EE6C"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5</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53217568"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0,59</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45A1FE42"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14</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72A3FDE5"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0,31</w:t>
            </w:r>
          </w:p>
        </w:tc>
      </w:tr>
      <w:tr w:rsidR="00781440" w:rsidRPr="00C16CD7" w14:paraId="610162CD" w14:textId="77777777" w:rsidTr="00781440">
        <w:trPr>
          <w:cantSplit/>
          <w:jc w:val="center"/>
        </w:trPr>
        <w:tc>
          <w:tcPr>
            <w:tcW w:w="5242" w:type="dxa"/>
            <w:tcBorders>
              <w:top w:val="nil"/>
              <w:left w:val="single" w:sz="15" w:space="0" w:color="E6E6E6"/>
              <w:bottom w:val="single" w:sz="4" w:space="0" w:color="E6E6E6"/>
              <w:right w:val="nil"/>
            </w:tcBorders>
            <w:shd w:val="clear" w:color="auto" w:fill="FFFFFF"/>
            <w:tcMar>
              <w:left w:w="48" w:type="dxa"/>
              <w:right w:w="48" w:type="dxa"/>
            </w:tcMar>
          </w:tcPr>
          <w:p w14:paraId="55A12BAF" w14:textId="77777777" w:rsidR="00781440" w:rsidRPr="00C16CD7" w:rsidRDefault="00781440" w:rsidP="00781440">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Contexte racisme/xénophobie</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2315B689"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27</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13087712"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2,97</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46CCA416"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23</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33BFC2D3"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2,78</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5EA1E288"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5</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037C58FF"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0,47</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546EDD17"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3C24ACDF"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6608C7F8"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79EC5094"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79DC35A6"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55</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10031320"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1,21</w:t>
            </w:r>
          </w:p>
        </w:tc>
      </w:tr>
      <w:tr w:rsidR="00781440" w:rsidRPr="00C16CD7" w14:paraId="056265E5" w14:textId="77777777" w:rsidTr="00781440">
        <w:trPr>
          <w:cantSplit/>
          <w:jc w:val="center"/>
        </w:trPr>
        <w:tc>
          <w:tcPr>
            <w:tcW w:w="5242" w:type="dxa"/>
            <w:tcBorders>
              <w:top w:val="nil"/>
              <w:left w:val="single" w:sz="15" w:space="0" w:color="E6E6E6"/>
              <w:bottom w:val="single" w:sz="4" w:space="0" w:color="E6E6E6"/>
              <w:right w:val="nil"/>
            </w:tcBorders>
            <w:shd w:val="clear" w:color="auto" w:fill="FFFFFF"/>
            <w:tcMar>
              <w:left w:w="48" w:type="dxa"/>
              <w:right w:w="48" w:type="dxa"/>
            </w:tcMar>
          </w:tcPr>
          <w:p w14:paraId="0D384AD0" w14:textId="77777777" w:rsidR="00781440" w:rsidRPr="00C16CD7" w:rsidRDefault="00781440" w:rsidP="00781440">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Contexte homophobie</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439AB619"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2148C130"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1,10</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7F281BAF"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14</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40BB1331"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1,69</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63DC19FD"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3</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0DDDDAED"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0,28</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13246BAD"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77437A73"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72BD8D3A"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6CDFE939"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650312FC"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27</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41FC4150"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0,60</w:t>
            </w:r>
          </w:p>
        </w:tc>
      </w:tr>
      <w:tr w:rsidR="00781440" w:rsidRPr="00C16CD7" w14:paraId="21A08B9E" w14:textId="77777777" w:rsidTr="00781440">
        <w:trPr>
          <w:cantSplit/>
          <w:jc w:val="center"/>
        </w:trPr>
        <w:tc>
          <w:tcPr>
            <w:tcW w:w="5242" w:type="dxa"/>
            <w:tcBorders>
              <w:top w:val="nil"/>
              <w:left w:val="single" w:sz="15" w:space="0" w:color="E6E6E6"/>
              <w:bottom w:val="single" w:sz="15" w:space="0" w:color="E6E6E6"/>
              <w:right w:val="nil"/>
            </w:tcBorders>
            <w:shd w:val="clear" w:color="auto" w:fill="FFFFFF"/>
            <w:tcMar>
              <w:left w:w="48" w:type="dxa"/>
              <w:right w:w="48" w:type="dxa"/>
            </w:tcMar>
          </w:tcPr>
          <w:p w14:paraId="2AEBAEC6" w14:textId="77777777" w:rsidR="00781440" w:rsidRPr="00C16CD7" w:rsidRDefault="00781440" w:rsidP="00781440">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TOTAL</w:t>
            </w:r>
          </w:p>
        </w:tc>
        <w:tc>
          <w:tcPr>
            <w:tcW w:w="378" w:type="dxa"/>
            <w:tcBorders>
              <w:top w:val="nil"/>
              <w:left w:val="single" w:sz="4" w:space="0" w:color="E6E6E6"/>
              <w:bottom w:val="single" w:sz="15" w:space="0" w:color="E6E6E6"/>
              <w:right w:val="nil"/>
            </w:tcBorders>
            <w:shd w:val="clear" w:color="auto" w:fill="FFFFFF"/>
            <w:tcMar>
              <w:left w:w="48" w:type="dxa"/>
              <w:right w:w="48" w:type="dxa"/>
            </w:tcMar>
            <w:vAlign w:val="bottom"/>
          </w:tcPr>
          <w:p w14:paraId="2E9CBEB1"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910</w:t>
            </w:r>
          </w:p>
        </w:tc>
        <w:tc>
          <w:tcPr>
            <w:tcW w:w="605" w:type="dxa"/>
            <w:tcBorders>
              <w:top w:val="nil"/>
              <w:left w:val="single" w:sz="4" w:space="0" w:color="E6E6E6"/>
              <w:bottom w:val="single" w:sz="15" w:space="0" w:color="E6E6E6"/>
              <w:right w:val="nil"/>
            </w:tcBorders>
            <w:shd w:val="clear" w:color="auto" w:fill="FFFFFF"/>
            <w:tcMar>
              <w:left w:w="48" w:type="dxa"/>
              <w:right w:w="48" w:type="dxa"/>
            </w:tcMar>
            <w:vAlign w:val="bottom"/>
          </w:tcPr>
          <w:p w14:paraId="4E4C6132"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100,00</w:t>
            </w:r>
          </w:p>
        </w:tc>
        <w:tc>
          <w:tcPr>
            <w:tcW w:w="378" w:type="dxa"/>
            <w:tcBorders>
              <w:top w:val="nil"/>
              <w:left w:val="single" w:sz="4" w:space="0" w:color="E6E6E6"/>
              <w:bottom w:val="single" w:sz="15" w:space="0" w:color="E6E6E6"/>
              <w:right w:val="nil"/>
            </w:tcBorders>
            <w:shd w:val="clear" w:color="auto" w:fill="FFFFFF"/>
            <w:tcMar>
              <w:left w:w="48" w:type="dxa"/>
              <w:right w:w="48" w:type="dxa"/>
            </w:tcMar>
            <w:vAlign w:val="bottom"/>
          </w:tcPr>
          <w:p w14:paraId="63398D49"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828</w:t>
            </w:r>
          </w:p>
        </w:tc>
        <w:tc>
          <w:tcPr>
            <w:tcW w:w="605" w:type="dxa"/>
            <w:tcBorders>
              <w:top w:val="nil"/>
              <w:left w:val="single" w:sz="4" w:space="0" w:color="E6E6E6"/>
              <w:bottom w:val="single" w:sz="15" w:space="0" w:color="E6E6E6"/>
              <w:right w:val="nil"/>
            </w:tcBorders>
            <w:shd w:val="clear" w:color="auto" w:fill="FFFFFF"/>
            <w:tcMar>
              <w:left w:w="48" w:type="dxa"/>
              <w:right w:w="48" w:type="dxa"/>
            </w:tcMar>
            <w:vAlign w:val="bottom"/>
          </w:tcPr>
          <w:p w14:paraId="31EE065B"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100,00</w:t>
            </w:r>
          </w:p>
        </w:tc>
        <w:tc>
          <w:tcPr>
            <w:tcW w:w="514" w:type="dxa"/>
            <w:tcBorders>
              <w:top w:val="nil"/>
              <w:left w:val="single" w:sz="4" w:space="0" w:color="E6E6E6"/>
              <w:bottom w:val="single" w:sz="15" w:space="0" w:color="E6E6E6"/>
              <w:right w:val="nil"/>
            </w:tcBorders>
            <w:shd w:val="clear" w:color="auto" w:fill="FFFFFF"/>
            <w:tcMar>
              <w:left w:w="48" w:type="dxa"/>
              <w:right w:w="48" w:type="dxa"/>
            </w:tcMar>
            <w:vAlign w:val="bottom"/>
          </w:tcPr>
          <w:p w14:paraId="1376ACEC"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1.065</w:t>
            </w:r>
          </w:p>
        </w:tc>
        <w:tc>
          <w:tcPr>
            <w:tcW w:w="605" w:type="dxa"/>
            <w:tcBorders>
              <w:top w:val="nil"/>
              <w:left w:val="single" w:sz="4" w:space="0" w:color="E6E6E6"/>
              <w:bottom w:val="single" w:sz="15" w:space="0" w:color="E6E6E6"/>
              <w:right w:val="nil"/>
            </w:tcBorders>
            <w:shd w:val="clear" w:color="auto" w:fill="FFFFFF"/>
            <w:tcMar>
              <w:left w:w="48" w:type="dxa"/>
              <w:right w:w="48" w:type="dxa"/>
            </w:tcMar>
            <w:vAlign w:val="bottom"/>
          </w:tcPr>
          <w:p w14:paraId="4AD4A7BC"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100,00</w:t>
            </w:r>
          </w:p>
        </w:tc>
        <w:tc>
          <w:tcPr>
            <w:tcW w:w="378" w:type="dxa"/>
            <w:tcBorders>
              <w:top w:val="nil"/>
              <w:left w:val="single" w:sz="4" w:space="0" w:color="E6E6E6"/>
              <w:bottom w:val="single" w:sz="15" w:space="0" w:color="E6E6E6"/>
              <w:right w:val="nil"/>
            </w:tcBorders>
            <w:shd w:val="clear" w:color="auto" w:fill="FFFFFF"/>
            <w:tcMar>
              <w:left w:w="48" w:type="dxa"/>
              <w:right w:w="48" w:type="dxa"/>
            </w:tcMar>
            <w:vAlign w:val="bottom"/>
          </w:tcPr>
          <w:p w14:paraId="5B33B482"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883</w:t>
            </w:r>
          </w:p>
        </w:tc>
        <w:tc>
          <w:tcPr>
            <w:tcW w:w="605" w:type="dxa"/>
            <w:tcBorders>
              <w:top w:val="nil"/>
              <w:left w:val="single" w:sz="4" w:space="0" w:color="E6E6E6"/>
              <w:bottom w:val="single" w:sz="15" w:space="0" w:color="E6E6E6"/>
              <w:right w:val="nil"/>
            </w:tcBorders>
            <w:shd w:val="clear" w:color="auto" w:fill="FFFFFF"/>
            <w:tcMar>
              <w:left w:w="48" w:type="dxa"/>
              <w:right w:w="48" w:type="dxa"/>
            </w:tcMar>
            <w:vAlign w:val="bottom"/>
          </w:tcPr>
          <w:p w14:paraId="69A0B791"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100,00</w:t>
            </w:r>
          </w:p>
        </w:tc>
        <w:tc>
          <w:tcPr>
            <w:tcW w:w="378" w:type="dxa"/>
            <w:tcBorders>
              <w:top w:val="nil"/>
              <w:left w:val="single" w:sz="4" w:space="0" w:color="E6E6E6"/>
              <w:bottom w:val="single" w:sz="15" w:space="0" w:color="E6E6E6"/>
              <w:right w:val="nil"/>
            </w:tcBorders>
            <w:shd w:val="clear" w:color="auto" w:fill="FFFFFF"/>
            <w:tcMar>
              <w:left w:w="48" w:type="dxa"/>
              <w:right w:w="48" w:type="dxa"/>
            </w:tcMar>
            <w:vAlign w:val="bottom"/>
          </w:tcPr>
          <w:p w14:paraId="55AF156F"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850</w:t>
            </w:r>
          </w:p>
        </w:tc>
        <w:tc>
          <w:tcPr>
            <w:tcW w:w="605" w:type="dxa"/>
            <w:tcBorders>
              <w:top w:val="nil"/>
              <w:left w:val="single" w:sz="4" w:space="0" w:color="E6E6E6"/>
              <w:bottom w:val="single" w:sz="15" w:space="0" w:color="E6E6E6"/>
              <w:right w:val="nil"/>
            </w:tcBorders>
            <w:shd w:val="clear" w:color="auto" w:fill="FFFFFF"/>
            <w:tcMar>
              <w:left w:w="48" w:type="dxa"/>
              <w:right w:w="48" w:type="dxa"/>
            </w:tcMar>
            <w:vAlign w:val="bottom"/>
          </w:tcPr>
          <w:p w14:paraId="38D62269"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100,00</w:t>
            </w:r>
          </w:p>
        </w:tc>
        <w:tc>
          <w:tcPr>
            <w:tcW w:w="514" w:type="dxa"/>
            <w:tcBorders>
              <w:top w:val="nil"/>
              <w:left w:val="single" w:sz="4" w:space="0" w:color="E6E6E6"/>
              <w:bottom w:val="single" w:sz="15" w:space="0" w:color="E6E6E6"/>
              <w:right w:val="nil"/>
            </w:tcBorders>
            <w:shd w:val="clear" w:color="auto" w:fill="FFFFFF"/>
            <w:tcMar>
              <w:left w:w="48" w:type="dxa"/>
              <w:right w:w="48" w:type="dxa"/>
            </w:tcMar>
            <w:vAlign w:val="bottom"/>
          </w:tcPr>
          <w:p w14:paraId="09F2DCE1"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4.536</w:t>
            </w:r>
          </w:p>
        </w:tc>
        <w:tc>
          <w:tcPr>
            <w:tcW w:w="605" w:type="dxa"/>
            <w:tcBorders>
              <w:top w:val="nil"/>
              <w:left w:val="single" w:sz="4" w:space="0" w:color="E6E6E6"/>
              <w:bottom w:val="single" w:sz="15" w:space="0" w:color="E6E6E6"/>
              <w:right w:val="single" w:sz="15" w:space="0" w:color="E6E6E6"/>
            </w:tcBorders>
            <w:shd w:val="clear" w:color="auto" w:fill="FFFFFF"/>
            <w:tcMar>
              <w:left w:w="48" w:type="dxa"/>
              <w:right w:w="48" w:type="dxa"/>
            </w:tcMar>
            <w:vAlign w:val="bottom"/>
          </w:tcPr>
          <w:p w14:paraId="45106932" w14:textId="77777777" w:rsidR="00781440" w:rsidRPr="00C16CD7" w:rsidRDefault="00781440" w:rsidP="00781440">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100,00</w:t>
            </w:r>
          </w:p>
        </w:tc>
      </w:tr>
    </w:tbl>
    <w:p w14:paraId="61286D39" w14:textId="77777777" w:rsidR="00F40AA5" w:rsidRPr="00C16CD7" w:rsidRDefault="00F40AA5" w:rsidP="003C38C4">
      <w:pPr>
        <w:keepNext/>
        <w:adjustRightInd w:val="0"/>
        <w:ind w:left="1620"/>
        <w:jc w:val="center"/>
        <w:rPr>
          <w:i/>
          <w:sz w:val="16"/>
          <w:szCs w:val="16"/>
          <w:lang w:val="fr-BE"/>
        </w:rPr>
      </w:pPr>
    </w:p>
    <w:p w14:paraId="3B6F9994" w14:textId="77777777" w:rsidR="003C38C4" w:rsidRPr="00C16CD7" w:rsidRDefault="003C38C4" w:rsidP="003C38C4">
      <w:pPr>
        <w:keepNext/>
        <w:adjustRightInd w:val="0"/>
        <w:ind w:left="1620"/>
        <w:jc w:val="center"/>
        <w:rPr>
          <w:i/>
          <w:sz w:val="16"/>
          <w:szCs w:val="16"/>
          <w:lang w:val="fr-BE"/>
        </w:rPr>
      </w:pPr>
      <w:r w:rsidRPr="00C16CD7">
        <w:rPr>
          <w:i/>
          <w:sz w:val="16"/>
          <w:szCs w:val="16"/>
          <w:lang w:val="fr-BE"/>
        </w:rPr>
        <w:t>Source : banque de données du Collège des procureurs généraux – Analystes statistiques.</w:t>
      </w:r>
    </w:p>
    <w:p w14:paraId="4363A453" w14:textId="77777777" w:rsidR="003C38C4" w:rsidRPr="00C16CD7" w:rsidRDefault="003C38C4" w:rsidP="00AA38B6">
      <w:pPr>
        <w:keepNext/>
        <w:adjustRightInd w:val="0"/>
        <w:ind w:left="1620"/>
        <w:jc w:val="both"/>
        <w:rPr>
          <w:rFonts w:ascii="Arial" w:hAnsi="Arial" w:cs="Arial"/>
          <w:b/>
          <w:bCs/>
          <w:color w:val="7483AE"/>
          <w:sz w:val="20"/>
          <w:szCs w:val="20"/>
          <w:lang w:val="fr-BE" w:eastAsia="fr-FR"/>
        </w:rPr>
      </w:pPr>
    </w:p>
    <w:p w14:paraId="06A28C51" w14:textId="3EE40FBC" w:rsidR="00AA41B8" w:rsidRPr="00C16CD7" w:rsidRDefault="00AA41B8" w:rsidP="0030458E">
      <w:pPr>
        <w:spacing w:before="120" w:after="120" w:line="276" w:lineRule="auto"/>
        <w:jc w:val="both"/>
        <w:rPr>
          <w:rFonts w:ascii="Arial" w:hAnsi="Arial" w:cs="Arial"/>
          <w:sz w:val="20"/>
          <w:szCs w:val="20"/>
          <w:lang w:val="fr-BE"/>
        </w:rPr>
      </w:pPr>
      <w:r w:rsidRPr="00C16CD7">
        <w:rPr>
          <w:rFonts w:ascii="Arial" w:hAnsi="Arial" w:cs="Arial"/>
          <w:sz w:val="20"/>
          <w:szCs w:val="20"/>
          <w:lang w:val="fr-BE"/>
        </w:rPr>
        <w:t xml:space="preserve">Le tableau 1 présente le nombre d’affaires </w:t>
      </w:r>
      <w:r w:rsidR="0059052F" w:rsidRPr="00C16CD7">
        <w:rPr>
          <w:rFonts w:ascii="Arial" w:hAnsi="Arial" w:cs="Arial"/>
          <w:sz w:val="20"/>
          <w:lang w:val="fr-BE"/>
        </w:rPr>
        <w:t>relatives aux crimes motivés par la haine</w:t>
      </w:r>
      <w:r w:rsidR="0059052F" w:rsidRPr="00C16CD7">
        <w:rPr>
          <w:rFonts w:ascii="Arial" w:hAnsi="Arial" w:cs="Arial"/>
          <w:sz w:val="20"/>
          <w:szCs w:val="20"/>
          <w:lang w:val="fr-BE"/>
        </w:rPr>
        <w:t xml:space="preserve"> </w:t>
      </w:r>
      <w:r w:rsidRPr="00C16CD7">
        <w:rPr>
          <w:rFonts w:ascii="Arial" w:hAnsi="Arial" w:cs="Arial"/>
          <w:sz w:val="20"/>
          <w:szCs w:val="20"/>
          <w:lang w:val="fr-BE"/>
        </w:rPr>
        <w:t>entrées dans les parquets correctionnels entre le 1</w:t>
      </w:r>
      <w:r w:rsidRPr="00C16CD7">
        <w:rPr>
          <w:rFonts w:ascii="Arial" w:hAnsi="Arial" w:cs="Arial"/>
          <w:sz w:val="20"/>
          <w:szCs w:val="20"/>
          <w:vertAlign w:val="superscript"/>
          <w:lang w:val="fr-BE"/>
        </w:rPr>
        <w:t>er</w:t>
      </w:r>
      <w:r w:rsidRPr="00C16CD7">
        <w:rPr>
          <w:rFonts w:ascii="Arial" w:hAnsi="Arial" w:cs="Arial"/>
          <w:sz w:val="20"/>
          <w:szCs w:val="20"/>
          <w:lang w:val="fr-BE"/>
        </w:rPr>
        <w:t xml:space="preserve"> janvier 201</w:t>
      </w:r>
      <w:r w:rsidR="00BA3F36" w:rsidRPr="00C16CD7">
        <w:rPr>
          <w:rFonts w:ascii="Arial" w:hAnsi="Arial" w:cs="Arial"/>
          <w:sz w:val="20"/>
          <w:szCs w:val="20"/>
          <w:lang w:val="fr-BE"/>
        </w:rPr>
        <w:t>2</w:t>
      </w:r>
      <w:r w:rsidRPr="00C16CD7">
        <w:rPr>
          <w:rFonts w:ascii="Arial" w:hAnsi="Arial" w:cs="Arial"/>
          <w:sz w:val="20"/>
          <w:szCs w:val="20"/>
          <w:lang w:val="fr-BE"/>
        </w:rPr>
        <w:t xml:space="preserve"> et le 31 décembre 2016 en répartissant les données selon l’année d’entrée de l’affaire au parquet</w:t>
      </w:r>
      <w:r w:rsidR="00EF35E2" w:rsidRPr="00C16CD7">
        <w:rPr>
          <w:rFonts w:ascii="Arial" w:hAnsi="Arial" w:cs="Arial"/>
          <w:sz w:val="20"/>
          <w:szCs w:val="20"/>
          <w:lang w:val="fr-BE"/>
        </w:rPr>
        <w:t xml:space="preserve"> et le code de prévention</w:t>
      </w:r>
      <w:r w:rsidR="00D00B44" w:rsidRPr="00C16CD7">
        <w:rPr>
          <w:rFonts w:ascii="Arial" w:hAnsi="Arial" w:cs="Arial"/>
          <w:sz w:val="20"/>
          <w:szCs w:val="20"/>
          <w:lang w:val="fr-BE"/>
        </w:rPr>
        <w:t>/contexte</w:t>
      </w:r>
      <w:r w:rsidRPr="00C16CD7">
        <w:rPr>
          <w:rFonts w:ascii="Arial" w:hAnsi="Arial" w:cs="Arial"/>
          <w:sz w:val="20"/>
          <w:szCs w:val="20"/>
          <w:lang w:val="fr-BE"/>
        </w:rPr>
        <w:t xml:space="preserve">. </w:t>
      </w:r>
    </w:p>
    <w:p w14:paraId="6C92DCAB" w14:textId="4E3C6B93" w:rsidR="00D00B44" w:rsidRPr="00C16CD7" w:rsidRDefault="00D00B44" w:rsidP="0030458E">
      <w:pPr>
        <w:spacing w:before="120" w:after="120" w:line="276" w:lineRule="auto"/>
        <w:jc w:val="both"/>
        <w:rPr>
          <w:rFonts w:ascii="Arial" w:hAnsi="Arial" w:cs="Arial"/>
          <w:sz w:val="20"/>
          <w:szCs w:val="20"/>
          <w:lang w:val="fr-BE"/>
        </w:rPr>
      </w:pPr>
      <w:r w:rsidRPr="00C16CD7">
        <w:rPr>
          <w:rFonts w:ascii="Arial" w:hAnsi="Arial" w:cs="Arial"/>
          <w:sz w:val="20"/>
          <w:szCs w:val="20"/>
          <w:lang w:val="fr-BE"/>
        </w:rPr>
        <w:t>Il est important de préciser que si un dossier fait référence à plus d’un des codes de prévention retenu dans cette analyse, seul le code de prévention principal sera pris en compte (ex. si les code de prévention 56A et 56C sont renseignés comme code de prévention principal et secondaire dans une affaire, cette dernière sera comptabilisée dans la colonne 56A uniquement).</w:t>
      </w:r>
    </w:p>
    <w:p w14:paraId="24EDA784" w14:textId="5F9E43DD" w:rsidR="008814FB" w:rsidRPr="00C16CD7" w:rsidRDefault="00F31BE6" w:rsidP="0030458E">
      <w:pPr>
        <w:spacing w:before="120" w:after="120" w:line="276" w:lineRule="auto"/>
        <w:jc w:val="both"/>
        <w:rPr>
          <w:rFonts w:ascii="Arial" w:hAnsi="Arial" w:cs="Arial"/>
          <w:sz w:val="20"/>
          <w:szCs w:val="20"/>
          <w:lang w:val="fr-BE"/>
        </w:rPr>
      </w:pPr>
      <w:r w:rsidRPr="00C16CD7">
        <w:rPr>
          <w:rFonts w:ascii="Arial" w:hAnsi="Arial" w:cs="Arial"/>
          <w:sz w:val="20"/>
          <w:szCs w:val="20"/>
          <w:lang w:val="fr-BE"/>
        </w:rPr>
        <w:t xml:space="preserve">Au cours de la période étudiée, </w:t>
      </w:r>
      <w:r w:rsidR="00611548" w:rsidRPr="00C16CD7">
        <w:rPr>
          <w:rFonts w:ascii="Arial" w:hAnsi="Arial" w:cs="Arial"/>
          <w:sz w:val="20"/>
          <w:szCs w:val="20"/>
          <w:lang w:val="fr-BE"/>
        </w:rPr>
        <w:t>4</w:t>
      </w:r>
      <w:r w:rsidR="00D00B44" w:rsidRPr="00C16CD7">
        <w:rPr>
          <w:rFonts w:ascii="Arial" w:hAnsi="Arial" w:cs="Arial"/>
          <w:sz w:val="20"/>
          <w:szCs w:val="20"/>
          <w:lang w:val="fr-BE"/>
        </w:rPr>
        <w:t>.</w:t>
      </w:r>
      <w:r w:rsidR="00611548" w:rsidRPr="00C16CD7">
        <w:rPr>
          <w:rFonts w:ascii="Arial" w:hAnsi="Arial" w:cs="Arial"/>
          <w:sz w:val="20"/>
          <w:szCs w:val="20"/>
          <w:lang w:val="fr-BE"/>
        </w:rPr>
        <w:t>536</w:t>
      </w:r>
      <w:r w:rsidRPr="00C16CD7">
        <w:rPr>
          <w:rFonts w:ascii="Arial" w:hAnsi="Arial" w:cs="Arial"/>
          <w:sz w:val="20"/>
          <w:szCs w:val="20"/>
          <w:lang w:val="fr-BE"/>
        </w:rPr>
        <w:t xml:space="preserve"> dossiers sont recensés. </w:t>
      </w:r>
      <w:r w:rsidR="00BD5A29" w:rsidRPr="00C16CD7">
        <w:rPr>
          <w:rFonts w:ascii="Arial" w:hAnsi="Arial" w:cs="Arial"/>
          <w:sz w:val="20"/>
          <w:szCs w:val="20"/>
          <w:lang w:val="fr-BE"/>
        </w:rPr>
        <w:t>C’est en 201</w:t>
      </w:r>
      <w:r w:rsidR="00D00B44" w:rsidRPr="00C16CD7">
        <w:rPr>
          <w:rFonts w:ascii="Arial" w:hAnsi="Arial" w:cs="Arial"/>
          <w:sz w:val="20"/>
          <w:szCs w:val="20"/>
          <w:lang w:val="fr-BE"/>
        </w:rPr>
        <w:t>4</w:t>
      </w:r>
      <w:r w:rsidR="00BD5A29" w:rsidRPr="00C16CD7">
        <w:rPr>
          <w:rFonts w:ascii="Arial" w:hAnsi="Arial" w:cs="Arial"/>
          <w:sz w:val="20"/>
          <w:szCs w:val="20"/>
          <w:lang w:val="fr-BE"/>
        </w:rPr>
        <w:t xml:space="preserve"> que l’on a recensé le plus de dossiers avec</w:t>
      </w:r>
      <w:r w:rsidR="00A11D99" w:rsidRPr="00C16CD7">
        <w:rPr>
          <w:rFonts w:ascii="Arial" w:hAnsi="Arial" w:cs="Arial"/>
          <w:sz w:val="20"/>
          <w:szCs w:val="20"/>
          <w:lang w:val="fr-BE"/>
        </w:rPr>
        <w:t xml:space="preserve"> </w:t>
      </w:r>
      <w:r w:rsidR="00D00B44" w:rsidRPr="00C16CD7">
        <w:rPr>
          <w:rFonts w:ascii="Arial" w:hAnsi="Arial" w:cs="Arial"/>
          <w:sz w:val="20"/>
          <w:szCs w:val="20"/>
          <w:lang w:val="fr-BE"/>
        </w:rPr>
        <w:t>1.065</w:t>
      </w:r>
      <w:r w:rsidR="00BD5A29" w:rsidRPr="00C16CD7">
        <w:rPr>
          <w:rFonts w:ascii="Arial" w:hAnsi="Arial" w:cs="Arial"/>
          <w:sz w:val="20"/>
          <w:szCs w:val="20"/>
          <w:lang w:val="fr-BE"/>
        </w:rPr>
        <w:t xml:space="preserve"> unités. </w:t>
      </w:r>
    </w:p>
    <w:p w14:paraId="5F6BD7E1" w14:textId="07D96F77" w:rsidR="00D00B44" w:rsidRPr="00C16CD7" w:rsidRDefault="00D00B44" w:rsidP="0030458E">
      <w:pPr>
        <w:spacing w:before="120" w:after="120" w:line="276" w:lineRule="auto"/>
        <w:jc w:val="both"/>
        <w:rPr>
          <w:rFonts w:ascii="Arial" w:hAnsi="Arial" w:cs="Arial"/>
          <w:sz w:val="20"/>
          <w:szCs w:val="20"/>
          <w:lang w:val="fr-BE"/>
        </w:rPr>
      </w:pPr>
      <w:r w:rsidRPr="00C16CD7">
        <w:rPr>
          <w:rFonts w:ascii="Arial" w:hAnsi="Arial" w:cs="Arial"/>
          <w:sz w:val="20"/>
          <w:szCs w:val="20"/>
          <w:lang w:val="fr-BE"/>
        </w:rPr>
        <w:t>Une grande majorité d</w:t>
      </w:r>
      <w:r w:rsidR="00A11D99" w:rsidRPr="00C16CD7">
        <w:rPr>
          <w:rFonts w:ascii="Arial" w:hAnsi="Arial" w:cs="Arial"/>
          <w:sz w:val="20"/>
          <w:szCs w:val="20"/>
          <w:lang w:val="fr-BE"/>
        </w:rPr>
        <w:t>es dossiers</w:t>
      </w:r>
      <w:r w:rsidRPr="00C16CD7">
        <w:rPr>
          <w:rFonts w:ascii="Arial" w:hAnsi="Arial" w:cs="Arial"/>
          <w:sz w:val="20"/>
          <w:szCs w:val="20"/>
          <w:lang w:val="fr-BE"/>
        </w:rPr>
        <w:t xml:space="preserve"> (7</w:t>
      </w:r>
      <w:r w:rsidR="00611548" w:rsidRPr="00C16CD7">
        <w:rPr>
          <w:rFonts w:ascii="Arial" w:hAnsi="Arial" w:cs="Arial"/>
          <w:sz w:val="20"/>
          <w:szCs w:val="20"/>
          <w:lang w:val="fr-BE"/>
        </w:rPr>
        <w:t>4</w:t>
      </w:r>
      <w:r w:rsidRPr="00C16CD7">
        <w:rPr>
          <w:rFonts w:ascii="Arial" w:hAnsi="Arial" w:cs="Arial"/>
          <w:sz w:val="20"/>
          <w:szCs w:val="20"/>
          <w:lang w:val="fr-BE"/>
        </w:rPr>
        <w:t>,</w:t>
      </w:r>
      <w:r w:rsidR="00611548" w:rsidRPr="00C16CD7">
        <w:rPr>
          <w:rFonts w:ascii="Arial" w:hAnsi="Arial" w:cs="Arial"/>
          <w:sz w:val="20"/>
          <w:szCs w:val="20"/>
          <w:lang w:val="fr-BE"/>
        </w:rPr>
        <w:t>69</w:t>
      </w:r>
      <w:r w:rsidRPr="00C16CD7">
        <w:rPr>
          <w:rFonts w:ascii="Arial" w:hAnsi="Arial" w:cs="Arial"/>
          <w:sz w:val="20"/>
          <w:szCs w:val="20"/>
          <w:lang w:val="fr-BE"/>
        </w:rPr>
        <w:t>% soit</w:t>
      </w:r>
      <w:r w:rsidR="00A11D99" w:rsidRPr="00C16CD7">
        <w:rPr>
          <w:rFonts w:ascii="Arial" w:hAnsi="Arial" w:cs="Arial"/>
          <w:sz w:val="20"/>
          <w:szCs w:val="20"/>
          <w:lang w:val="fr-BE"/>
        </w:rPr>
        <w:t xml:space="preserve"> </w:t>
      </w:r>
      <w:r w:rsidR="00611548" w:rsidRPr="00C16CD7">
        <w:rPr>
          <w:rFonts w:ascii="Arial" w:hAnsi="Arial" w:cs="Arial"/>
          <w:sz w:val="20"/>
          <w:szCs w:val="20"/>
          <w:lang w:val="fr-BE"/>
        </w:rPr>
        <w:t>3</w:t>
      </w:r>
      <w:r w:rsidRPr="00C16CD7">
        <w:rPr>
          <w:rFonts w:ascii="Arial" w:hAnsi="Arial" w:cs="Arial"/>
          <w:sz w:val="20"/>
          <w:szCs w:val="20"/>
          <w:lang w:val="fr-BE"/>
        </w:rPr>
        <w:t>.</w:t>
      </w:r>
      <w:r w:rsidR="00611548" w:rsidRPr="00C16CD7">
        <w:rPr>
          <w:rFonts w:ascii="Arial" w:hAnsi="Arial" w:cs="Arial"/>
          <w:sz w:val="20"/>
          <w:szCs w:val="20"/>
          <w:lang w:val="fr-BE"/>
        </w:rPr>
        <w:t>388</w:t>
      </w:r>
      <w:r w:rsidRPr="00C16CD7">
        <w:rPr>
          <w:rFonts w:ascii="Arial" w:hAnsi="Arial" w:cs="Arial"/>
          <w:sz w:val="20"/>
          <w:szCs w:val="20"/>
          <w:lang w:val="fr-BE"/>
        </w:rPr>
        <w:t xml:space="preserve"> dossiers) se rapportent au code de prévention « 56A – Racisme » alors que la prévention « 56B – Xénophobie » revient dans 1</w:t>
      </w:r>
      <w:r w:rsidR="00611548" w:rsidRPr="00C16CD7">
        <w:rPr>
          <w:rFonts w:ascii="Arial" w:hAnsi="Arial" w:cs="Arial"/>
          <w:sz w:val="20"/>
          <w:szCs w:val="20"/>
          <w:lang w:val="fr-BE"/>
        </w:rPr>
        <w:t>25</w:t>
      </w:r>
      <w:r w:rsidRPr="00C16CD7">
        <w:rPr>
          <w:rFonts w:ascii="Arial" w:hAnsi="Arial" w:cs="Arial"/>
          <w:sz w:val="20"/>
          <w:szCs w:val="20"/>
          <w:lang w:val="fr-BE"/>
        </w:rPr>
        <w:t xml:space="preserve"> cas </w:t>
      </w:r>
      <w:r w:rsidR="00A11D99" w:rsidRPr="00C16CD7">
        <w:rPr>
          <w:rFonts w:ascii="Arial" w:hAnsi="Arial" w:cs="Arial"/>
          <w:sz w:val="20"/>
          <w:szCs w:val="20"/>
          <w:lang w:val="fr-BE"/>
        </w:rPr>
        <w:t>(</w:t>
      </w:r>
      <w:r w:rsidR="00611548" w:rsidRPr="00C16CD7">
        <w:rPr>
          <w:rFonts w:ascii="Arial" w:hAnsi="Arial" w:cs="Arial"/>
          <w:sz w:val="20"/>
          <w:szCs w:val="20"/>
          <w:lang w:val="fr-BE"/>
        </w:rPr>
        <w:t>2</w:t>
      </w:r>
      <w:r w:rsidRPr="00C16CD7">
        <w:rPr>
          <w:rFonts w:ascii="Arial" w:hAnsi="Arial" w:cs="Arial"/>
          <w:sz w:val="20"/>
          <w:szCs w:val="20"/>
          <w:lang w:val="fr-BE"/>
        </w:rPr>
        <w:t>,</w:t>
      </w:r>
      <w:r w:rsidR="00611548" w:rsidRPr="00C16CD7">
        <w:rPr>
          <w:rFonts w:ascii="Arial" w:hAnsi="Arial" w:cs="Arial"/>
          <w:sz w:val="20"/>
          <w:szCs w:val="20"/>
          <w:lang w:val="fr-BE"/>
        </w:rPr>
        <w:t>76</w:t>
      </w:r>
      <w:r w:rsidRPr="00C16CD7">
        <w:rPr>
          <w:rFonts w:ascii="Arial" w:hAnsi="Arial" w:cs="Arial"/>
          <w:sz w:val="20"/>
          <w:szCs w:val="20"/>
          <w:lang w:val="fr-BE"/>
        </w:rPr>
        <w:t xml:space="preserve">%). </w:t>
      </w:r>
    </w:p>
    <w:p w14:paraId="4A92B774" w14:textId="01B7C130" w:rsidR="00D00B44" w:rsidRPr="00C16CD7" w:rsidRDefault="00D00B44" w:rsidP="0030458E">
      <w:pPr>
        <w:spacing w:before="120" w:after="120" w:line="276" w:lineRule="auto"/>
        <w:jc w:val="both"/>
        <w:rPr>
          <w:rFonts w:ascii="Arial" w:hAnsi="Arial" w:cs="Arial"/>
          <w:sz w:val="20"/>
          <w:szCs w:val="20"/>
          <w:lang w:val="fr-BE"/>
        </w:rPr>
      </w:pPr>
      <w:r w:rsidRPr="00C16CD7">
        <w:rPr>
          <w:rFonts w:ascii="Arial" w:hAnsi="Arial" w:cs="Arial"/>
          <w:sz w:val="20"/>
          <w:szCs w:val="20"/>
          <w:lang w:val="fr-BE"/>
        </w:rPr>
        <w:lastRenderedPageBreak/>
        <w:t>Le code « 56C Discrimination, hormis les cas de discrimination raciste, xénophobe ou homophobe, ou les cas de discrimination fondée sur le sexe ou sur le handicap » figure quant à lui dans</w:t>
      </w:r>
      <w:r w:rsidR="00611548" w:rsidRPr="00C16CD7">
        <w:rPr>
          <w:rFonts w:ascii="Arial" w:hAnsi="Arial" w:cs="Arial"/>
          <w:sz w:val="20"/>
          <w:szCs w:val="20"/>
          <w:lang w:val="fr-BE"/>
        </w:rPr>
        <w:t xml:space="preserve"> 639</w:t>
      </w:r>
      <w:r w:rsidRPr="00C16CD7">
        <w:rPr>
          <w:rFonts w:ascii="Arial" w:hAnsi="Arial" w:cs="Arial"/>
          <w:sz w:val="20"/>
          <w:szCs w:val="20"/>
          <w:lang w:val="fr-BE"/>
        </w:rPr>
        <w:t xml:space="preserve"> affaires (1</w:t>
      </w:r>
      <w:r w:rsidR="00611548" w:rsidRPr="00C16CD7">
        <w:rPr>
          <w:rFonts w:ascii="Arial" w:hAnsi="Arial" w:cs="Arial"/>
          <w:sz w:val="20"/>
          <w:szCs w:val="20"/>
          <w:lang w:val="fr-BE"/>
        </w:rPr>
        <w:t>4</w:t>
      </w:r>
      <w:r w:rsidRPr="00C16CD7">
        <w:rPr>
          <w:rFonts w:ascii="Arial" w:hAnsi="Arial" w:cs="Arial"/>
          <w:sz w:val="20"/>
          <w:szCs w:val="20"/>
          <w:lang w:val="fr-BE"/>
        </w:rPr>
        <w:t>,</w:t>
      </w:r>
      <w:r w:rsidR="00611548" w:rsidRPr="00C16CD7">
        <w:rPr>
          <w:rFonts w:ascii="Arial" w:hAnsi="Arial" w:cs="Arial"/>
          <w:sz w:val="20"/>
          <w:szCs w:val="20"/>
          <w:lang w:val="fr-BE"/>
        </w:rPr>
        <w:t>09</w:t>
      </w:r>
      <w:r w:rsidRPr="00C16CD7">
        <w:rPr>
          <w:rFonts w:ascii="Arial" w:hAnsi="Arial" w:cs="Arial"/>
          <w:sz w:val="20"/>
          <w:szCs w:val="20"/>
          <w:lang w:val="fr-BE"/>
        </w:rPr>
        <w:t>%) tandis que l’on dénombre 2</w:t>
      </w:r>
      <w:r w:rsidR="00A11D99" w:rsidRPr="00C16CD7">
        <w:rPr>
          <w:rFonts w:ascii="Arial" w:hAnsi="Arial" w:cs="Arial"/>
          <w:sz w:val="20"/>
          <w:szCs w:val="20"/>
          <w:lang w:val="fr-BE"/>
        </w:rPr>
        <w:t>4</w:t>
      </w:r>
      <w:r w:rsidR="00611548" w:rsidRPr="00C16CD7">
        <w:rPr>
          <w:rFonts w:ascii="Arial" w:hAnsi="Arial" w:cs="Arial"/>
          <w:sz w:val="20"/>
          <w:szCs w:val="20"/>
          <w:lang w:val="fr-BE"/>
        </w:rPr>
        <w:t>5</w:t>
      </w:r>
      <w:r w:rsidRPr="00C16CD7">
        <w:rPr>
          <w:rFonts w:ascii="Arial" w:hAnsi="Arial" w:cs="Arial"/>
          <w:sz w:val="20"/>
          <w:szCs w:val="20"/>
          <w:lang w:val="fr-BE"/>
        </w:rPr>
        <w:t xml:space="preserve"> affaires d’homophobie (code 56E et code contexte « homophobie »). Les codes « 56D – Discrimination fondée sur le sexe » et « 56F – Discrimination fondée sur le handicap » sont utilisés peu fréquemment (respectivement 43 et 14 dossiers). Enfin, </w:t>
      </w:r>
      <w:r w:rsidR="00611548" w:rsidRPr="00C16CD7">
        <w:rPr>
          <w:rFonts w:ascii="Arial" w:hAnsi="Arial" w:cs="Arial"/>
          <w:sz w:val="20"/>
          <w:szCs w:val="20"/>
          <w:lang w:val="fr-BE"/>
        </w:rPr>
        <w:t>72</w:t>
      </w:r>
      <w:r w:rsidRPr="00C16CD7">
        <w:rPr>
          <w:rFonts w:ascii="Arial" w:hAnsi="Arial" w:cs="Arial"/>
          <w:sz w:val="20"/>
          <w:szCs w:val="20"/>
          <w:lang w:val="fr-BE"/>
        </w:rPr>
        <w:t xml:space="preserve"> affaires ont été encodées avec le code contexte « racisme/xénophobie »</w:t>
      </w:r>
      <w:r w:rsidR="00A11D99" w:rsidRPr="00C16CD7">
        <w:rPr>
          <w:rFonts w:ascii="Arial" w:hAnsi="Arial" w:cs="Arial"/>
          <w:sz w:val="20"/>
          <w:szCs w:val="20"/>
          <w:lang w:val="fr-BE"/>
        </w:rPr>
        <w:t xml:space="preserve"> ou « homophobie »</w:t>
      </w:r>
      <w:r w:rsidRPr="00C16CD7">
        <w:rPr>
          <w:rFonts w:ascii="Arial" w:hAnsi="Arial" w:cs="Arial"/>
          <w:sz w:val="20"/>
          <w:szCs w:val="20"/>
          <w:lang w:val="fr-BE"/>
        </w:rPr>
        <w:t xml:space="preserve">. Ces affaires font référence à d’autres codes de prévention que ceux sélectionnés dans cette étude. </w:t>
      </w:r>
    </w:p>
    <w:p w14:paraId="0112A226" w14:textId="77777777" w:rsidR="0030458E" w:rsidRDefault="00D00B44" w:rsidP="0030458E">
      <w:pPr>
        <w:spacing w:before="120" w:after="120" w:line="276" w:lineRule="auto"/>
        <w:jc w:val="both"/>
        <w:rPr>
          <w:rFonts w:ascii="Arial" w:hAnsi="Arial" w:cs="Arial"/>
          <w:sz w:val="20"/>
          <w:szCs w:val="20"/>
          <w:lang w:val="fr-BE"/>
        </w:rPr>
      </w:pPr>
      <w:r w:rsidRPr="00C16CD7">
        <w:rPr>
          <w:rFonts w:ascii="Arial" w:hAnsi="Arial" w:cs="Arial"/>
          <w:sz w:val="20"/>
          <w:szCs w:val="20"/>
          <w:lang w:val="fr-BE"/>
        </w:rPr>
        <w:t xml:space="preserve">Nous constatons ainsi que le nombre de dossiers relatifs au code « 56A – Racisme » a </w:t>
      </w:r>
      <w:r w:rsidR="00A11D99" w:rsidRPr="00C16CD7">
        <w:rPr>
          <w:rFonts w:ascii="Arial" w:hAnsi="Arial" w:cs="Arial"/>
          <w:sz w:val="20"/>
          <w:szCs w:val="20"/>
          <w:lang w:val="fr-BE"/>
        </w:rPr>
        <w:t>augmenté</w:t>
      </w:r>
      <w:r w:rsidRPr="00C16CD7">
        <w:rPr>
          <w:rFonts w:ascii="Arial" w:hAnsi="Arial" w:cs="Arial"/>
          <w:sz w:val="20"/>
          <w:szCs w:val="20"/>
          <w:lang w:val="fr-BE"/>
        </w:rPr>
        <w:t xml:space="preserve"> en 201</w:t>
      </w:r>
      <w:r w:rsidR="00A11D99" w:rsidRPr="00C16CD7">
        <w:rPr>
          <w:rFonts w:ascii="Arial" w:hAnsi="Arial" w:cs="Arial"/>
          <w:sz w:val="20"/>
          <w:szCs w:val="20"/>
          <w:lang w:val="fr-BE"/>
        </w:rPr>
        <w:t>4</w:t>
      </w:r>
      <w:r w:rsidRPr="00C16CD7">
        <w:rPr>
          <w:rFonts w:ascii="Arial" w:hAnsi="Arial" w:cs="Arial"/>
          <w:sz w:val="20"/>
          <w:szCs w:val="20"/>
          <w:lang w:val="fr-BE"/>
        </w:rPr>
        <w:t xml:space="preserve"> par rapport à 201</w:t>
      </w:r>
      <w:r w:rsidR="00235F8D">
        <w:rPr>
          <w:rFonts w:ascii="Arial" w:hAnsi="Arial" w:cs="Arial"/>
          <w:sz w:val="20"/>
          <w:szCs w:val="20"/>
          <w:lang w:val="fr-BE"/>
        </w:rPr>
        <w:t>3</w:t>
      </w:r>
      <w:r w:rsidRPr="00C16CD7">
        <w:rPr>
          <w:rFonts w:ascii="Arial" w:hAnsi="Arial" w:cs="Arial"/>
          <w:sz w:val="20"/>
          <w:szCs w:val="20"/>
          <w:lang w:val="fr-BE"/>
        </w:rPr>
        <w:t xml:space="preserve"> (de </w:t>
      </w:r>
      <w:r w:rsidR="00A11D99" w:rsidRPr="00C16CD7">
        <w:rPr>
          <w:rFonts w:ascii="Arial" w:hAnsi="Arial" w:cs="Arial"/>
          <w:sz w:val="20"/>
          <w:szCs w:val="20"/>
          <w:lang w:val="fr-BE"/>
        </w:rPr>
        <w:t>5</w:t>
      </w:r>
      <w:r w:rsidR="00235F8D">
        <w:rPr>
          <w:rFonts w:ascii="Arial" w:hAnsi="Arial" w:cs="Arial"/>
          <w:sz w:val="20"/>
          <w:szCs w:val="20"/>
          <w:lang w:val="fr-BE"/>
        </w:rPr>
        <w:t>9</w:t>
      </w:r>
      <w:r w:rsidR="00A11D99" w:rsidRPr="00C16CD7">
        <w:rPr>
          <w:rFonts w:ascii="Arial" w:hAnsi="Arial" w:cs="Arial"/>
          <w:sz w:val="20"/>
          <w:szCs w:val="20"/>
          <w:lang w:val="fr-BE"/>
        </w:rPr>
        <w:t>5</w:t>
      </w:r>
      <w:r w:rsidRPr="00C16CD7">
        <w:rPr>
          <w:rFonts w:ascii="Arial" w:hAnsi="Arial" w:cs="Arial"/>
          <w:sz w:val="20"/>
          <w:szCs w:val="20"/>
          <w:lang w:val="fr-BE"/>
        </w:rPr>
        <w:t xml:space="preserve"> unités à </w:t>
      </w:r>
      <w:r w:rsidR="00A11D99" w:rsidRPr="00C16CD7">
        <w:rPr>
          <w:rFonts w:ascii="Arial" w:hAnsi="Arial" w:cs="Arial"/>
          <w:sz w:val="20"/>
          <w:szCs w:val="20"/>
          <w:lang w:val="fr-BE"/>
        </w:rPr>
        <w:t>8</w:t>
      </w:r>
      <w:r w:rsidR="00611548" w:rsidRPr="00C16CD7">
        <w:rPr>
          <w:rFonts w:ascii="Arial" w:hAnsi="Arial" w:cs="Arial"/>
          <w:sz w:val="20"/>
          <w:szCs w:val="20"/>
          <w:lang w:val="fr-BE"/>
        </w:rPr>
        <w:t>26</w:t>
      </w:r>
      <w:r w:rsidRPr="00C16CD7">
        <w:rPr>
          <w:rFonts w:ascii="Arial" w:hAnsi="Arial" w:cs="Arial"/>
          <w:sz w:val="20"/>
          <w:szCs w:val="20"/>
          <w:lang w:val="fr-BE"/>
        </w:rPr>
        <w:t xml:space="preserve"> soit une </w:t>
      </w:r>
      <w:r w:rsidR="00A11D99" w:rsidRPr="00C16CD7">
        <w:rPr>
          <w:rFonts w:ascii="Arial" w:hAnsi="Arial" w:cs="Arial"/>
          <w:sz w:val="20"/>
          <w:szCs w:val="20"/>
          <w:lang w:val="fr-BE"/>
        </w:rPr>
        <w:t>hausse</w:t>
      </w:r>
      <w:r w:rsidRPr="00C16CD7">
        <w:rPr>
          <w:rFonts w:ascii="Arial" w:hAnsi="Arial" w:cs="Arial"/>
          <w:sz w:val="20"/>
          <w:szCs w:val="20"/>
          <w:lang w:val="fr-BE"/>
        </w:rPr>
        <w:t xml:space="preserve"> de </w:t>
      </w:r>
      <w:r w:rsidR="00A11D99" w:rsidRPr="00C16CD7">
        <w:rPr>
          <w:rFonts w:ascii="Arial" w:hAnsi="Arial" w:cs="Arial"/>
          <w:sz w:val="20"/>
          <w:szCs w:val="20"/>
          <w:lang w:val="fr-BE"/>
        </w:rPr>
        <w:t>38</w:t>
      </w:r>
      <w:r w:rsidRPr="00C16CD7">
        <w:rPr>
          <w:rFonts w:ascii="Arial" w:hAnsi="Arial" w:cs="Arial"/>
          <w:sz w:val="20"/>
          <w:szCs w:val="20"/>
          <w:lang w:val="fr-BE"/>
        </w:rPr>
        <w:t>,</w:t>
      </w:r>
      <w:r w:rsidR="00A11D99" w:rsidRPr="00C16CD7">
        <w:rPr>
          <w:rFonts w:ascii="Arial" w:hAnsi="Arial" w:cs="Arial"/>
          <w:sz w:val="20"/>
          <w:szCs w:val="20"/>
          <w:lang w:val="fr-BE"/>
        </w:rPr>
        <w:t>8</w:t>
      </w:r>
      <w:r w:rsidR="00611548" w:rsidRPr="00C16CD7">
        <w:rPr>
          <w:rFonts w:ascii="Arial" w:hAnsi="Arial" w:cs="Arial"/>
          <w:sz w:val="20"/>
          <w:szCs w:val="20"/>
          <w:lang w:val="fr-BE"/>
        </w:rPr>
        <w:t>2</w:t>
      </w:r>
      <w:r w:rsidRPr="00C16CD7">
        <w:rPr>
          <w:rFonts w:ascii="Arial" w:hAnsi="Arial" w:cs="Arial"/>
          <w:sz w:val="20"/>
          <w:szCs w:val="20"/>
          <w:lang w:val="fr-BE"/>
        </w:rPr>
        <w:t>%)</w:t>
      </w:r>
      <w:r w:rsidR="00A11D99" w:rsidRPr="00C16CD7">
        <w:rPr>
          <w:rFonts w:ascii="Arial" w:hAnsi="Arial" w:cs="Arial"/>
          <w:sz w:val="20"/>
          <w:szCs w:val="20"/>
          <w:lang w:val="fr-BE"/>
        </w:rPr>
        <w:t>.</w:t>
      </w:r>
      <w:r w:rsidRPr="00C16CD7">
        <w:rPr>
          <w:rFonts w:ascii="Arial" w:hAnsi="Arial" w:cs="Arial"/>
          <w:sz w:val="20"/>
          <w:szCs w:val="20"/>
          <w:lang w:val="fr-BE"/>
        </w:rPr>
        <w:t xml:space="preserve"> Néanmoins, </w:t>
      </w:r>
      <w:r w:rsidR="00F40AA5" w:rsidRPr="00C16CD7">
        <w:rPr>
          <w:rFonts w:ascii="Arial" w:hAnsi="Arial" w:cs="Arial"/>
          <w:sz w:val="20"/>
          <w:szCs w:val="20"/>
          <w:lang w:val="fr-BE"/>
        </w:rPr>
        <w:t>notons</w:t>
      </w:r>
      <w:r w:rsidRPr="00C16CD7">
        <w:rPr>
          <w:rFonts w:ascii="Arial" w:hAnsi="Arial" w:cs="Arial"/>
          <w:sz w:val="20"/>
          <w:szCs w:val="20"/>
          <w:lang w:val="fr-BE"/>
        </w:rPr>
        <w:t xml:space="preserve"> que cette augmentation a été suivie par une diminution importante au cours des deux années suivantes, puisque l’on a dénombré 6</w:t>
      </w:r>
      <w:r w:rsidR="00611548" w:rsidRPr="00C16CD7">
        <w:rPr>
          <w:rFonts w:ascii="Arial" w:hAnsi="Arial" w:cs="Arial"/>
          <w:sz w:val="20"/>
          <w:szCs w:val="20"/>
          <w:lang w:val="fr-BE"/>
        </w:rPr>
        <w:t>49</w:t>
      </w:r>
      <w:r w:rsidRPr="00C16CD7">
        <w:rPr>
          <w:rFonts w:ascii="Arial" w:hAnsi="Arial" w:cs="Arial"/>
          <w:sz w:val="20"/>
          <w:szCs w:val="20"/>
          <w:lang w:val="fr-BE"/>
        </w:rPr>
        <w:t xml:space="preserve"> affaires de ce type enregistrées au cours de l’année 2015 et </w:t>
      </w:r>
      <w:r w:rsidR="00A11D99" w:rsidRPr="00C16CD7">
        <w:rPr>
          <w:rFonts w:ascii="Arial" w:hAnsi="Arial" w:cs="Arial"/>
          <w:sz w:val="20"/>
          <w:szCs w:val="20"/>
          <w:lang w:val="fr-BE"/>
        </w:rPr>
        <w:t>60</w:t>
      </w:r>
      <w:r w:rsidR="00611548" w:rsidRPr="00C16CD7">
        <w:rPr>
          <w:rFonts w:ascii="Arial" w:hAnsi="Arial" w:cs="Arial"/>
          <w:sz w:val="20"/>
          <w:szCs w:val="20"/>
          <w:lang w:val="fr-BE"/>
        </w:rPr>
        <w:t>4</w:t>
      </w:r>
      <w:r w:rsidRPr="00C16CD7">
        <w:rPr>
          <w:rFonts w:ascii="Arial" w:hAnsi="Arial" w:cs="Arial"/>
          <w:sz w:val="20"/>
          <w:szCs w:val="20"/>
          <w:lang w:val="fr-BE"/>
        </w:rPr>
        <w:t xml:space="preserve"> en 2016.</w:t>
      </w:r>
      <w:r w:rsidR="00CD6D90">
        <w:rPr>
          <w:rFonts w:ascii="Arial" w:hAnsi="Arial" w:cs="Arial"/>
          <w:sz w:val="20"/>
          <w:szCs w:val="20"/>
          <w:lang w:val="fr-BE"/>
        </w:rPr>
        <w:t xml:space="preserve"> Nous ne disposons pas d’éléments d’explication quant à ces variations.</w:t>
      </w:r>
    </w:p>
    <w:p w14:paraId="3CCA8BCE" w14:textId="77777777" w:rsidR="0030458E" w:rsidRDefault="00F40AA5" w:rsidP="0030458E">
      <w:pPr>
        <w:spacing w:before="120" w:after="120" w:line="276" w:lineRule="auto"/>
        <w:jc w:val="both"/>
        <w:rPr>
          <w:rFonts w:ascii="Arial" w:hAnsi="Arial" w:cs="Arial"/>
          <w:sz w:val="20"/>
          <w:szCs w:val="20"/>
          <w:lang w:val="fr-BE"/>
        </w:rPr>
      </w:pPr>
      <w:r w:rsidRPr="00C16CD7">
        <w:rPr>
          <w:rFonts w:ascii="Arial" w:hAnsi="Arial" w:cs="Arial"/>
          <w:sz w:val="20"/>
          <w:szCs w:val="20"/>
          <w:lang w:val="fr-BE"/>
        </w:rPr>
        <w:t>Signalons</w:t>
      </w:r>
      <w:r w:rsidR="00D00B44" w:rsidRPr="00C16CD7">
        <w:rPr>
          <w:rFonts w:ascii="Arial" w:hAnsi="Arial" w:cs="Arial"/>
          <w:sz w:val="20"/>
          <w:szCs w:val="20"/>
          <w:lang w:val="fr-BE"/>
        </w:rPr>
        <w:t xml:space="preserve"> également la croissance en 2014 du nombre de dossiers relatifs au code de prévention « 56E – Homophobie » qui est passé de 18 unités en 2013 à 8</w:t>
      </w:r>
      <w:r w:rsidR="00611548" w:rsidRPr="00C16CD7">
        <w:rPr>
          <w:rFonts w:ascii="Arial" w:hAnsi="Arial" w:cs="Arial"/>
          <w:sz w:val="20"/>
          <w:szCs w:val="20"/>
          <w:lang w:val="fr-BE"/>
        </w:rPr>
        <w:t>6</w:t>
      </w:r>
      <w:r w:rsidR="00D00B44" w:rsidRPr="00C16CD7">
        <w:rPr>
          <w:rFonts w:ascii="Arial" w:hAnsi="Arial" w:cs="Arial"/>
          <w:sz w:val="20"/>
          <w:szCs w:val="20"/>
          <w:lang w:val="fr-BE"/>
        </w:rPr>
        <w:t xml:space="preserve"> en 2014. Ce constat doit être néanmoins nuancé par le fait que ce code 56E a été introduit dans le système informatique dans le courant de l’année 2013 suite à l’entrée en vigueur de la COL 13/2013 (le 17 juin 2013). Les entrées ont par ailleurs diminué en 2015 et 2016.</w:t>
      </w:r>
    </w:p>
    <w:p w14:paraId="04FF4183" w14:textId="77777777" w:rsidR="0030458E" w:rsidRDefault="00D00B44" w:rsidP="0030458E">
      <w:pPr>
        <w:spacing w:before="120" w:after="120" w:line="276" w:lineRule="auto"/>
        <w:jc w:val="both"/>
        <w:rPr>
          <w:rFonts w:ascii="Arial" w:hAnsi="Arial" w:cs="Arial"/>
          <w:sz w:val="20"/>
          <w:szCs w:val="20"/>
          <w:lang w:val="fr-BE"/>
        </w:rPr>
      </w:pPr>
      <w:r w:rsidRPr="00C16CD7">
        <w:rPr>
          <w:rFonts w:ascii="Arial" w:hAnsi="Arial" w:cs="Arial"/>
          <w:sz w:val="20"/>
          <w:szCs w:val="20"/>
          <w:lang w:val="fr-BE"/>
        </w:rPr>
        <w:t>Afin d’obtenir davantage d’informations sur le type de faits de discrimination, il est possible d’analyser les autres préventions ayant été encodées en tant que prévention principale ou secondaire dans les dossiers où un des codes de prévention relatifs à la discrimination (codes 56) a été utilisé. Cet encodage d’une prévention annexe figure dans les règles d’encodage dans la nouvelle circulaire COL 13/2013</w:t>
      </w:r>
      <w:r w:rsidR="0030458E">
        <w:rPr>
          <w:rFonts w:ascii="Arial" w:hAnsi="Arial" w:cs="Arial"/>
          <w:sz w:val="20"/>
          <w:szCs w:val="20"/>
          <w:lang w:val="fr-BE"/>
        </w:rPr>
        <w:t>.</w:t>
      </w:r>
    </w:p>
    <w:p w14:paraId="39A6BC81" w14:textId="4F80E327" w:rsidR="00D00B44" w:rsidRPr="00C16CD7" w:rsidRDefault="00D00B44" w:rsidP="0030458E">
      <w:pPr>
        <w:spacing w:before="120" w:after="120" w:line="276" w:lineRule="auto"/>
        <w:jc w:val="both"/>
        <w:rPr>
          <w:rFonts w:ascii="Arial" w:hAnsi="Arial" w:cs="Arial"/>
          <w:sz w:val="20"/>
          <w:szCs w:val="20"/>
          <w:lang w:val="fr-BE"/>
        </w:rPr>
      </w:pPr>
      <w:r w:rsidRPr="00C16CD7">
        <w:rPr>
          <w:rFonts w:ascii="Arial" w:hAnsi="Arial" w:cs="Arial"/>
          <w:sz w:val="20"/>
          <w:szCs w:val="20"/>
          <w:lang w:val="fr-BE"/>
        </w:rPr>
        <w:t>Parmi les 2.7</w:t>
      </w:r>
      <w:r w:rsidR="00A11D99" w:rsidRPr="00C16CD7">
        <w:rPr>
          <w:rFonts w:ascii="Arial" w:hAnsi="Arial" w:cs="Arial"/>
          <w:sz w:val="20"/>
          <w:szCs w:val="20"/>
          <w:lang w:val="fr-BE"/>
        </w:rPr>
        <w:t>90</w:t>
      </w:r>
      <w:r w:rsidRPr="00C16CD7">
        <w:rPr>
          <w:rFonts w:ascii="Arial" w:hAnsi="Arial" w:cs="Arial"/>
          <w:sz w:val="20"/>
          <w:szCs w:val="20"/>
          <w:lang w:val="fr-BE"/>
        </w:rPr>
        <w:t xml:space="preserve"> dossiers faisant référence à l’un de ces six codes de prévention ‘discrimination’ et enregistrés dans les parquets entre le 1</w:t>
      </w:r>
      <w:r w:rsidRPr="00C16CD7">
        <w:rPr>
          <w:rFonts w:ascii="Arial" w:hAnsi="Arial" w:cs="Arial"/>
          <w:sz w:val="20"/>
          <w:szCs w:val="20"/>
          <w:vertAlign w:val="superscript"/>
          <w:lang w:val="fr-BE"/>
        </w:rPr>
        <w:t>er</w:t>
      </w:r>
      <w:r w:rsidRPr="00C16CD7">
        <w:rPr>
          <w:rFonts w:ascii="Arial" w:hAnsi="Arial" w:cs="Arial"/>
          <w:sz w:val="20"/>
          <w:szCs w:val="20"/>
          <w:lang w:val="fr-BE"/>
        </w:rPr>
        <w:t xml:space="preserve"> janvier 2014 (date à partir de laquelle le double encodage des préventions est requis) et le 31 décembre 2016, nous ne dénombrons que 18</w:t>
      </w:r>
      <w:r w:rsidR="00A11D99" w:rsidRPr="00C16CD7">
        <w:rPr>
          <w:rFonts w:ascii="Arial" w:hAnsi="Arial" w:cs="Arial"/>
          <w:sz w:val="20"/>
          <w:szCs w:val="20"/>
          <w:lang w:val="fr-BE"/>
        </w:rPr>
        <w:t>6</w:t>
      </w:r>
      <w:r w:rsidRPr="00C16CD7">
        <w:rPr>
          <w:rFonts w:ascii="Arial" w:hAnsi="Arial" w:cs="Arial"/>
          <w:sz w:val="20"/>
          <w:szCs w:val="20"/>
          <w:lang w:val="fr-BE"/>
        </w:rPr>
        <w:t xml:space="preserve"> cas dans lesquels une autre prévention a été renseignée. Pour 46 cas, la prévention secondaire enregistrée est un autre code 56 (dont </w:t>
      </w:r>
      <w:r w:rsidR="00A11D99" w:rsidRPr="00C16CD7">
        <w:rPr>
          <w:rFonts w:ascii="Arial" w:hAnsi="Arial" w:cs="Arial"/>
          <w:sz w:val="20"/>
          <w:szCs w:val="20"/>
          <w:lang w:val="fr-BE"/>
        </w:rPr>
        <w:t>23</w:t>
      </w:r>
      <w:r w:rsidRPr="00C16CD7">
        <w:rPr>
          <w:rFonts w:ascii="Arial" w:hAnsi="Arial" w:cs="Arial"/>
          <w:sz w:val="20"/>
          <w:szCs w:val="20"/>
          <w:lang w:val="fr-BE"/>
        </w:rPr>
        <w:t xml:space="preserve"> dossiers avec le code « 56B – Xénophobie »).  Pour les autres affaires nous retrouvons, par exemple, pour 42 d’entre eux, la prévention « 43A – Coups &amp; blessures volontaires »  tandis que les codes de prévention « 45C – Menaces » et « 52A – Injures » apparaissent dans respectivement 2</w:t>
      </w:r>
      <w:r w:rsidR="00A11D99" w:rsidRPr="00C16CD7">
        <w:rPr>
          <w:rFonts w:ascii="Arial" w:hAnsi="Arial" w:cs="Arial"/>
          <w:sz w:val="20"/>
          <w:szCs w:val="20"/>
          <w:lang w:val="fr-BE"/>
        </w:rPr>
        <w:t>4</w:t>
      </w:r>
      <w:r w:rsidRPr="00C16CD7">
        <w:rPr>
          <w:rFonts w:ascii="Arial" w:hAnsi="Arial" w:cs="Arial"/>
          <w:sz w:val="20"/>
          <w:szCs w:val="20"/>
          <w:lang w:val="fr-BE"/>
        </w:rPr>
        <w:t xml:space="preserve"> et 17 dossiers. D’autres codes de prévention sont utilisés mais de manière très limitée. Par conséquent, bien que cela figure dans les directives d’encodage de la circulaire COL13/2013, l’enregistrement d’une prévention secondaire dans les dossiers n’est que peu suivi puisqu’il existe une majorité de dossiers (2.</w:t>
      </w:r>
      <w:r w:rsidR="00A11D99" w:rsidRPr="00C16CD7">
        <w:rPr>
          <w:rFonts w:ascii="Arial" w:hAnsi="Arial" w:cs="Arial"/>
          <w:sz w:val="20"/>
          <w:szCs w:val="20"/>
          <w:lang w:val="fr-BE"/>
        </w:rPr>
        <w:t>604</w:t>
      </w:r>
      <w:r w:rsidRPr="00C16CD7">
        <w:rPr>
          <w:rFonts w:ascii="Arial" w:hAnsi="Arial" w:cs="Arial"/>
          <w:sz w:val="20"/>
          <w:szCs w:val="20"/>
          <w:lang w:val="fr-BE"/>
        </w:rPr>
        <w:t xml:space="preserve"> sur 2.7</w:t>
      </w:r>
      <w:r w:rsidR="00A11D99" w:rsidRPr="00C16CD7">
        <w:rPr>
          <w:rFonts w:ascii="Arial" w:hAnsi="Arial" w:cs="Arial"/>
          <w:sz w:val="20"/>
          <w:szCs w:val="20"/>
          <w:lang w:val="fr-BE"/>
        </w:rPr>
        <w:t>90</w:t>
      </w:r>
      <w:r w:rsidRPr="00C16CD7">
        <w:rPr>
          <w:rFonts w:ascii="Arial" w:hAnsi="Arial" w:cs="Arial"/>
          <w:sz w:val="20"/>
          <w:szCs w:val="20"/>
          <w:lang w:val="fr-BE"/>
        </w:rPr>
        <w:t>) où il n’est pas possible d’obtenir des précisions sur le type de fait commis.</w:t>
      </w:r>
    </w:p>
    <w:p w14:paraId="5A16197A" w14:textId="76453B57" w:rsidR="00C2595A" w:rsidRPr="00C16CD7" w:rsidRDefault="00C2595A" w:rsidP="00C2595A">
      <w:pPr>
        <w:jc w:val="both"/>
        <w:rPr>
          <w:rFonts w:ascii="Arial" w:hAnsi="Arial" w:cs="Arial"/>
          <w:b/>
          <w:bCs/>
          <w:color w:val="7483AE"/>
          <w:sz w:val="20"/>
          <w:szCs w:val="20"/>
          <w:lang w:val="fr-BE" w:eastAsia="fr-FR"/>
        </w:rPr>
      </w:pPr>
      <w:r w:rsidRPr="00C16CD7">
        <w:rPr>
          <w:rFonts w:ascii="Arial" w:hAnsi="Arial" w:cs="Arial"/>
          <w:b/>
          <w:bCs/>
          <w:color w:val="7483AE"/>
          <w:sz w:val="20"/>
          <w:szCs w:val="20"/>
          <w:lang w:val="fr-BE" w:eastAsia="fr-FR"/>
        </w:rPr>
        <w:t>Tableau 2 :</w:t>
      </w:r>
      <w:r w:rsidRPr="00C16CD7">
        <w:rPr>
          <w:rFonts w:ascii="Arial" w:hAnsi="Arial" w:cs="Arial"/>
          <w:b/>
          <w:bCs/>
          <w:color w:val="7483AE"/>
          <w:sz w:val="20"/>
          <w:szCs w:val="20"/>
          <w:lang w:val="fr-BE" w:eastAsia="fr-FR"/>
        </w:rPr>
        <w:tab/>
        <w:t xml:space="preserve">Nombre de prévenus impliqués dans les affaires </w:t>
      </w:r>
      <w:r w:rsidR="0059052F" w:rsidRPr="00C16CD7">
        <w:rPr>
          <w:rFonts w:ascii="Arial" w:hAnsi="Arial" w:cs="Arial"/>
          <w:b/>
          <w:bCs/>
          <w:color w:val="7483AE"/>
          <w:sz w:val="20"/>
          <w:szCs w:val="20"/>
          <w:lang w:val="fr-BE" w:eastAsia="fr-FR"/>
        </w:rPr>
        <w:t xml:space="preserve">relatives aux crimes motivés par la </w:t>
      </w:r>
      <w:r w:rsidR="0059052F" w:rsidRPr="00C16CD7">
        <w:rPr>
          <w:rFonts w:ascii="Arial" w:hAnsi="Arial" w:cs="Arial"/>
          <w:b/>
          <w:bCs/>
          <w:color w:val="7483AE"/>
          <w:sz w:val="20"/>
          <w:szCs w:val="20"/>
          <w:lang w:val="fr-BE" w:eastAsia="fr-FR"/>
        </w:rPr>
        <w:tab/>
      </w:r>
      <w:r w:rsidR="0059052F" w:rsidRPr="00C16CD7">
        <w:rPr>
          <w:rFonts w:ascii="Arial" w:hAnsi="Arial" w:cs="Arial"/>
          <w:b/>
          <w:bCs/>
          <w:color w:val="7483AE"/>
          <w:sz w:val="20"/>
          <w:szCs w:val="20"/>
          <w:lang w:val="fr-BE" w:eastAsia="fr-FR"/>
        </w:rPr>
        <w:tab/>
        <w:t>haine</w:t>
      </w:r>
      <w:r w:rsidRPr="00C16CD7">
        <w:rPr>
          <w:rFonts w:ascii="Arial" w:hAnsi="Arial" w:cs="Arial"/>
          <w:b/>
          <w:bCs/>
          <w:color w:val="7483AE"/>
          <w:sz w:val="20"/>
          <w:szCs w:val="20"/>
          <w:lang w:val="fr-BE" w:eastAsia="fr-FR"/>
        </w:rPr>
        <w:t xml:space="preserve"> entrées dans les parquets correctionnels de Belgique, entre le 1</w:t>
      </w:r>
      <w:r w:rsidRPr="00C16CD7">
        <w:rPr>
          <w:rFonts w:ascii="Arial" w:hAnsi="Arial" w:cs="Arial"/>
          <w:b/>
          <w:bCs/>
          <w:color w:val="7483AE"/>
          <w:sz w:val="20"/>
          <w:szCs w:val="20"/>
          <w:vertAlign w:val="superscript"/>
          <w:lang w:val="fr-BE" w:eastAsia="fr-FR"/>
        </w:rPr>
        <w:t>er</w:t>
      </w:r>
      <w:r w:rsidRPr="00C16CD7">
        <w:rPr>
          <w:rFonts w:ascii="Arial" w:hAnsi="Arial" w:cs="Arial"/>
          <w:b/>
          <w:bCs/>
          <w:color w:val="7483AE"/>
          <w:sz w:val="20"/>
          <w:szCs w:val="20"/>
          <w:lang w:val="fr-BE" w:eastAsia="fr-FR"/>
        </w:rPr>
        <w:t xml:space="preserve"> janvier </w:t>
      </w:r>
      <w:r w:rsidRPr="00C16CD7">
        <w:rPr>
          <w:rFonts w:ascii="Arial" w:hAnsi="Arial" w:cs="Arial"/>
          <w:b/>
          <w:bCs/>
          <w:color w:val="7483AE"/>
          <w:sz w:val="20"/>
          <w:szCs w:val="20"/>
          <w:lang w:val="fr-BE" w:eastAsia="fr-FR"/>
        </w:rPr>
        <w:tab/>
      </w:r>
      <w:r w:rsidRPr="00C16CD7">
        <w:rPr>
          <w:rFonts w:ascii="Arial" w:hAnsi="Arial" w:cs="Arial"/>
          <w:b/>
          <w:bCs/>
          <w:color w:val="7483AE"/>
          <w:sz w:val="20"/>
          <w:szCs w:val="20"/>
          <w:lang w:val="fr-BE" w:eastAsia="fr-FR"/>
        </w:rPr>
        <w:tab/>
      </w:r>
      <w:r w:rsidR="0059052F" w:rsidRPr="00C16CD7">
        <w:rPr>
          <w:rFonts w:ascii="Arial" w:hAnsi="Arial" w:cs="Arial"/>
          <w:b/>
          <w:bCs/>
          <w:color w:val="7483AE"/>
          <w:sz w:val="20"/>
          <w:szCs w:val="20"/>
          <w:lang w:val="fr-BE" w:eastAsia="fr-FR"/>
        </w:rPr>
        <w:tab/>
      </w:r>
      <w:r w:rsidRPr="00C16CD7">
        <w:rPr>
          <w:rFonts w:ascii="Arial" w:hAnsi="Arial" w:cs="Arial"/>
          <w:b/>
          <w:bCs/>
          <w:color w:val="7483AE"/>
          <w:sz w:val="20"/>
          <w:szCs w:val="20"/>
          <w:lang w:val="fr-BE" w:eastAsia="fr-FR"/>
        </w:rPr>
        <w:t>2012 et le 31 décembre 2016.</w:t>
      </w:r>
    </w:p>
    <w:p w14:paraId="1CDC36CA" w14:textId="77777777" w:rsidR="00C2595A" w:rsidRPr="00C16CD7" w:rsidRDefault="00C2595A" w:rsidP="00C2595A">
      <w:pPr>
        <w:jc w:val="both"/>
        <w:rPr>
          <w:rFonts w:ascii="Arial" w:hAnsi="Arial" w:cs="Arial"/>
          <w:b/>
          <w:bCs/>
          <w:color w:val="7483AE"/>
          <w:sz w:val="20"/>
          <w:szCs w:val="20"/>
          <w:lang w:val="fr-BE" w:eastAsia="fr-FR"/>
        </w:rPr>
      </w:pPr>
      <w:r w:rsidRPr="00C16CD7">
        <w:rPr>
          <w:rFonts w:ascii="Arial" w:hAnsi="Arial" w:cs="Arial"/>
          <w:b/>
          <w:bCs/>
          <w:color w:val="7483AE"/>
          <w:sz w:val="20"/>
          <w:szCs w:val="20"/>
          <w:lang w:val="fr-BE" w:eastAsia="fr-FR"/>
        </w:rPr>
        <w:tab/>
      </w:r>
      <w:r w:rsidRPr="00C16CD7">
        <w:rPr>
          <w:rFonts w:ascii="Arial" w:hAnsi="Arial" w:cs="Arial"/>
          <w:b/>
          <w:bCs/>
          <w:color w:val="7483AE"/>
          <w:sz w:val="20"/>
          <w:szCs w:val="20"/>
          <w:lang w:val="fr-BE" w:eastAsia="fr-FR"/>
        </w:rPr>
        <w:tab/>
        <w:t xml:space="preserve">Données présentées selon le sexe du prévenu et l’année d’entrée (n et % en </w:t>
      </w:r>
      <w:r w:rsidRPr="00C16CD7">
        <w:rPr>
          <w:rFonts w:ascii="Arial" w:hAnsi="Arial" w:cs="Arial"/>
          <w:b/>
          <w:bCs/>
          <w:color w:val="7483AE"/>
          <w:sz w:val="20"/>
          <w:szCs w:val="20"/>
          <w:lang w:val="fr-BE" w:eastAsia="fr-FR"/>
        </w:rPr>
        <w:tab/>
      </w:r>
      <w:r w:rsidRPr="00C16CD7">
        <w:rPr>
          <w:rFonts w:ascii="Arial" w:hAnsi="Arial" w:cs="Arial"/>
          <w:b/>
          <w:bCs/>
          <w:color w:val="7483AE"/>
          <w:sz w:val="20"/>
          <w:szCs w:val="20"/>
          <w:lang w:val="fr-BE" w:eastAsia="fr-FR"/>
        </w:rPr>
        <w:tab/>
      </w:r>
      <w:r w:rsidRPr="00C16CD7">
        <w:rPr>
          <w:rFonts w:ascii="Arial" w:hAnsi="Arial" w:cs="Arial"/>
          <w:b/>
          <w:bCs/>
          <w:color w:val="7483AE"/>
          <w:sz w:val="20"/>
          <w:szCs w:val="20"/>
          <w:lang w:val="fr-BE" w:eastAsia="fr-FR"/>
        </w:rPr>
        <w:tab/>
        <w:t>ligne).</w:t>
      </w:r>
    </w:p>
    <w:p w14:paraId="2C42698C" w14:textId="77777777" w:rsidR="00A11D99" w:rsidRPr="00C16CD7" w:rsidRDefault="00A11D99" w:rsidP="00C2595A">
      <w:pPr>
        <w:jc w:val="both"/>
        <w:rPr>
          <w:rFonts w:ascii="Arial" w:hAnsi="Arial" w:cs="Arial"/>
          <w:b/>
          <w:bCs/>
          <w:color w:val="7483AE"/>
          <w:sz w:val="20"/>
          <w:szCs w:val="20"/>
          <w:lang w:val="fr-BE" w:eastAsia="fr-FR"/>
        </w:rPr>
      </w:pPr>
    </w:p>
    <w:tbl>
      <w:tblPr>
        <w:tblW w:w="0" w:type="auto"/>
        <w:jc w:val="center"/>
        <w:tblLayout w:type="fixed"/>
        <w:tblCellMar>
          <w:left w:w="0" w:type="dxa"/>
          <w:right w:w="0" w:type="dxa"/>
        </w:tblCellMar>
        <w:tblLook w:val="0000" w:firstRow="0" w:lastRow="0" w:firstColumn="0" w:lastColumn="0" w:noHBand="0" w:noVBand="0"/>
      </w:tblPr>
      <w:tblGrid>
        <w:gridCol w:w="680"/>
        <w:gridCol w:w="514"/>
        <w:gridCol w:w="514"/>
        <w:gridCol w:w="514"/>
        <w:gridCol w:w="514"/>
        <w:gridCol w:w="632"/>
        <w:gridCol w:w="632"/>
        <w:gridCol w:w="514"/>
        <w:gridCol w:w="605"/>
      </w:tblGrid>
      <w:tr w:rsidR="00A11D99" w:rsidRPr="00C16CD7" w14:paraId="714A22FF" w14:textId="77777777" w:rsidTr="00A11D99">
        <w:trPr>
          <w:cantSplit/>
          <w:tblHeader/>
          <w:jc w:val="center"/>
        </w:trPr>
        <w:tc>
          <w:tcPr>
            <w:tcW w:w="680" w:type="dxa"/>
            <w:vMerge w:val="restart"/>
            <w:tcBorders>
              <w:top w:val="single" w:sz="15" w:space="0" w:color="E6E6E6"/>
              <w:left w:val="single" w:sz="15" w:space="0" w:color="E6E6E6"/>
              <w:bottom w:val="single" w:sz="4" w:space="0" w:color="E6E6E6"/>
              <w:right w:val="nil"/>
            </w:tcBorders>
            <w:shd w:val="clear" w:color="auto" w:fill="7483AE"/>
            <w:tcMar>
              <w:left w:w="48" w:type="dxa"/>
              <w:right w:w="48" w:type="dxa"/>
            </w:tcMar>
            <w:vAlign w:val="center"/>
          </w:tcPr>
          <w:p w14:paraId="7B86C768" w14:textId="77777777" w:rsidR="00A11D99" w:rsidRPr="00C16CD7" w:rsidRDefault="00A11D99" w:rsidP="00A11D99">
            <w:pPr>
              <w:adjustRightInd w:val="0"/>
              <w:spacing w:before="48" w:after="48"/>
              <w:jc w:val="center"/>
              <w:rPr>
                <w:rFonts w:ascii="Arial" w:hAnsi="Arial" w:cs="Arial"/>
                <w:color w:val="FFFFFF"/>
                <w:sz w:val="16"/>
                <w:szCs w:val="16"/>
                <w:lang w:val="fr-BE"/>
              </w:rPr>
            </w:pPr>
          </w:p>
        </w:tc>
        <w:tc>
          <w:tcPr>
            <w:tcW w:w="1028"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7C9CE793" w14:textId="77777777" w:rsidR="00A11D99" w:rsidRPr="00C16CD7" w:rsidRDefault="00A11D99" w:rsidP="00A11D99">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masculin</w:t>
            </w:r>
          </w:p>
        </w:tc>
        <w:tc>
          <w:tcPr>
            <w:tcW w:w="1028"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2A6CE9EA" w14:textId="77777777" w:rsidR="00A11D99" w:rsidRPr="00C16CD7" w:rsidRDefault="00A11D99" w:rsidP="00A11D99">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féminin</w:t>
            </w:r>
          </w:p>
        </w:tc>
        <w:tc>
          <w:tcPr>
            <w:tcW w:w="1264"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2F56850F" w14:textId="77777777" w:rsidR="00A11D99" w:rsidRPr="00C16CD7" w:rsidRDefault="00A11D99" w:rsidP="00A11D99">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inconnu/erreur</w:t>
            </w:r>
          </w:p>
        </w:tc>
        <w:tc>
          <w:tcPr>
            <w:tcW w:w="1119" w:type="dxa"/>
            <w:gridSpan w:val="2"/>
            <w:tcBorders>
              <w:top w:val="single" w:sz="15" w:space="0" w:color="E6E6E6"/>
              <w:left w:val="single" w:sz="4" w:space="0" w:color="E6E6E6"/>
              <w:bottom w:val="single" w:sz="4" w:space="0" w:color="E6E6E6"/>
              <w:right w:val="single" w:sz="15" w:space="0" w:color="E6E6E6"/>
            </w:tcBorders>
            <w:shd w:val="clear" w:color="auto" w:fill="7483AE"/>
            <w:tcMar>
              <w:left w:w="48" w:type="dxa"/>
              <w:right w:w="48" w:type="dxa"/>
            </w:tcMar>
            <w:vAlign w:val="bottom"/>
          </w:tcPr>
          <w:p w14:paraId="253B5C21" w14:textId="77777777" w:rsidR="00A11D99" w:rsidRPr="00C16CD7" w:rsidRDefault="00A11D99" w:rsidP="00A11D99">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TOTAL</w:t>
            </w:r>
          </w:p>
        </w:tc>
      </w:tr>
      <w:tr w:rsidR="00A11D99" w:rsidRPr="00C16CD7" w14:paraId="672FC515" w14:textId="77777777" w:rsidTr="00A11D99">
        <w:trPr>
          <w:cantSplit/>
          <w:tblHeader/>
          <w:jc w:val="center"/>
        </w:trPr>
        <w:tc>
          <w:tcPr>
            <w:tcW w:w="680" w:type="dxa"/>
            <w:vMerge/>
            <w:tcBorders>
              <w:top w:val="single" w:sz="15" w:space="0" w:color="E6E6E6"/>
              <w:left w:val="single" w:sz="15" w:space="0" w:color="E6E6E6"/>
              <w:bottom w:val="single" w:sz="4" w:space="0" w:color="E6E6E6"/>
              <w:right w:val="nil"/>
            </w:tcBorders>
            <w:shd w:val="clear" w:color="auto" w:fill="7483AE"/>
            <w:tcMar>
              <w:left w:w="48" w:type="dxa"/>
              <w:right w:w="48" w:type="dxa"/>
            </w:tcMar>
            <w:vAlign w:val="center"/>
          </w:tcPr>
          <w:p w14:paraId="442D75A4" w14:textId="77777777" w:rsidR="00A11D99" w:rsidRPr="00C16CD7" w:rsidRDefault="00A11D99" w:rsidP="00A11D99">
            <w:pPr>
              <w:adjustRightInd w:val="0"/>
              <w:rPr>
                <w:lang w:val="fr-BE"/>
              </w:rPr>
            </w:pPr>
          </w:p>
        </w:tc>
        <w:tc>
          <w:tcPr>
            <w:tcW w:w="514" w:type="dxa"/>
            <w:tcBorders>
              <w:top w:val="nil"/>
              <w:left w:val="single" w:sz="4" w:space="0" w:color="E6E6E6"/>
              <w:bottom w:val="single" w:sz="4" w:space="0" w:color="E6E6E6"/>
              <w:right w:val="nil"/>
            </w:tcBorders>
            <w:shd w:val="clear" w:color="auto" w:fill="7483AE"/>
            <w:tcMar>
              <w:left w:w="48" w:type="dxa"/>
              <w:right w:w="48" w:type="dxa"/>
            </w:tcMar>
            <w:vAlign w:val="bottom"/>
          </w:tcPr>
          <w:p w14:paraId="1F06E8BA" w14:textId="77777777" w:rsidR="00A11D99" w:rsidRPr="00C16CD7" w:rsidRDefault="00A11D99" w:rsidP="00A11D99">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514" w:type="dxa"/>
            <w:tcBorders>
              <w:top w:val="nil"/>
              <w:left w:val="single" w:sz="4" w:space="0" w:color="E6E6E6"/>
              <w:bottom w:val="single" w:sz="4" w:space="0" w:color="E6E6E6"/>
              <w:right w:val="nil"/>
            </w:tcBorders>
            <w:shd w:val="clear" w:color="auto" w:fill="7483AE"/>
            <w:tcMar>
              <w:left w:w="48" w:type="dxa"/>
              <w:right w:w="48" w:type="dxa"/>
            </w:tcMar>
            <w:vAlign w:val="bottom"/>
          </w:tcPr>
          <w:p w14:paraId="671ADA5F" w14:textId="77777777" w:rsidR="00A11D99" w:rsidRPr="00C16CD7" w:rsidRDefault="00A11D99" w:rsidP="00A11D99">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514" w:type="dxa"/>
            <w:tcBorders>
              <w:top w:val="nil"/>
              <w:left w:val="single" w:sz="4" w:space="0" w:color="E6E6E6"/>
              <w:bottom w:val="single" w:sz="4" w:space="0" w:color="E6E6E6"/>
              <w:right w:val="nil"/>
            </w:tcBorders>
            <w:shd w:val="clear" w:color="auto" w:fill="7483AE"/>
            <w:tcMar>
              <w:left w:w="48" w:type="dxa"/>
              <w:right w:w="48" w:type="dxa"/>
            </w:tcMar>
            <w:vAlign w:val="bottom"/>
          </w:tcPr>
          <w:p w14:paraId="0C384E33" w14:textId="77777777" w:rsidR="00A11D99" w:rsidRPr="00C16CD7" w:rsidRDefault="00A11D99" w:rsidP="00A11D99">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514" w:type="dxa"/>
            <w:tcBorders>
              <w:top w:val="nil"/>
              <w:left w:val="single" w:sz="4" w:space="0" w:color="E6E6E6"/>
              <w:bottom w:val="single" w:sz="4" w:space="0" w:color="E6E6E6"/>
              <w:right w:val="nil"/>
            </w:tcBorders>
            <w:shd w:val="clear" w:color="auto" w:fill="7483AE"/>
            <w:tcMar>
              <w:left w:w="48" w:type="dxa"/>
              <w:right w:w="48" w:type="dxa"/>
            </w:tcMar>
            <w:vAlign w:val="bottom"/>
          </w:tcPr>
          <w:p w14:paraId="671CAC47" w14:textId="77777777" w:rsidR="00A11D99" w:rsidRPr="00C16CD7" w:rsidRDefault="00A11D99" w:rsidP="00A11D99">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632" w:type="dxa"/>
            <w:tcBorders>
              <w:top w:val="nil"/>
              <w:left w:val="single" w:sz="4" w:space="0" w:color="E6E6E6"/>
              <w:bottom w:val="single" w:sz="4" w:space="0" w:color="E6E6E6"/>
              <w:right w:val="nil"/>
            </w:tcBorders>
            <w:shd w:val="clear" w:color="auto" w:fill="7483AE"/>
            <w:tcMar>
              <w:left w:w="48" w:type="dxa"/>
              <w:right w:w="48" w:type="dxa"/>
            </w:tcMar>
            <w:vAlign w:val="bottom"/>
          </w:tcPr>
          <w:p w14:paraId="520A1102" w14:textId="77777777" w:rsidR="00A11D99" w:rsidRPr="00C16CD7" w:rsidRDefault="00A11D99" w:rsidP="00A11D99">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632" w:type="dxa"/>
            <w:tcBorders>
              <w:top w:val="nil"/>
              <w:left w:val="single" w:sz="4" w:space="0" w:color="E6E6E6"/>
              <w:bottom w:val="single" w:sz="4" w:space="0" w:color="E6E6E6"/>
              <w:right w:val="nil"/>
            </w:tcBorders>
            <w:shd w:val="clear" w:color="auto" w:fill="7483AE"/>
            <w:tcMar>
              <w:left w:w="48" w:type="dxa"/>
              <w:right w:w="48" w:type="dxa"/>
            </w:tcMar>
            <w:vAlign w:val="bottom"/>
          </w:tcPr>
          <w:p w14:paraId="673B652C" w14:textId="77777777" w:rsidR="00A11D99" w:rsidRPr="00C16CD7" w:rsidRDefault="00A11D99" w:rsidP="00A11D99">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514" w:type="dxa"/>
            <w:tcBorders>
              <w:top w:val="nil"/>
              <w:left w:val="single" w:sz="4" w:space="0" w:color="E6E6E6"/>
              <w:bottom w:val="single" w:sz="4" w:space="0" w:color="E6E6E6"/>
              <w:right w:val="nil"/>
            </w:tcBorders>
            <w:shd w:val="clear" w:color="auto" w:fill="7483AE"/>
            <w:tcMar>
              <w:left w:w="48" w:type="dxa"/>
              <w:right w:w="48" w:type="dxa"/>
            </w:tcMar>
            <w:vAlign w:val="bottom"/>
          </w:tcPr>
          <w:p w14:paraId="6CA534F4" w14:textId="77777777" w:rsidR="00A11D99" w:rsidRPr="00C16CD7" w:rsidRDefault="00A11D99" w:rsidP="00A11D99">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605" w:type="dxa"/>
            <w:tcBorders>
              <w:top w:val="nil"/>
              <w:left w:val="single" w:sz="4" w:space="0" w:color="E6E6E6"/>
              <w:bottom w:val="single" w:sz="4" w:space="0" w:color="E6E6E6"/>
              <w:right w:val="single" w:sz="15" w:space="0" w:color="E6E6E6"/>
            </w:tcBorders>
            <w:shd w:val="clear" w:color="auto" w:fill="7483AE"/>
            <w:tcMar>
              <w:left w:w="48" w:type="dxa"/>
              <w:right w:w="48" w:type="dxa"/>
            </w:tcMar>
            <w:vAlign w:val="bottom"/>
          </w:tcPr>
          <w:p w14:paraId="18ED6B08" w14:textId="77777777" w:rsidR="00A11D99" w:rsidRPr="00C16CD7" w:rsidRDefault="00A11D99" w:rsidP="00A11D99">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r>
      <w:tr w:rsidR="00A11D99" w:rsidRPr="00C16CD7" w14:paraId="2AF9E202" w14:textId="77777777" w:rsidTr="00A11D99">
        <w:trPr>
          <w:cantSplit/>
          <w:jc w:val="center"/>
        </w:trPr>
        <w:tc>
          <w:tcPr>
            <w:tcW w:w="680" w:type="dxa"/>
            <w:tcBorders>
              <w:top w:val="nil"/>
              <w:left w:val="single" w:sz="15" w:space="0" w:color="E6E6E6"/>
              <w:bottom w:val="single" w:sz="4" w:space="0" w:color="E6E6E6"/>
              <w:right w:val="nil"/>
            </w:tcBorders>
            <w:shd w:val="clear" w:color="auto" w:fill="FFFFFF"/>
            <w:tcMar>
              <w:left w:w="48" w:type="dxa"/>
              <w:right w:w="48" w:type="dxa"/>
            </w:tcMar>
          </w:tcPr>
          <w:p w14:paraId="2EA892CB" w14:textId="77777777" w:rsidR="00A11D99" w:rsidRPr="00C16CD7" w:rsidRDefault="00A11D99" w:rsidP="00A11D99">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2012</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14143942"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615</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66E565B3"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72,10</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097B843C"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228</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628C9D1B"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26,73</w:t>
            </w:r>
          </w:p>
        </w:tc>
        <w:tc>
          <w:tcPr>
            <w:tcW w:w="632" w:type="dxa"/>
            <w:tcBorders>
              <w:top w:val="nil"/>
              <w:left w:val="single" w:sz="4" w:space="0" w:color="E6E6E6"/>
              <w:bottom w:val="single" w:sz="4" w:space="0" w:color="E6E6E6"/>
              <w:right w:val="nil"/>
            </w:tcBorders>
            <w:shd w:val="clear" w:color="auto" w:fill="FFFFFF"/>
            <w:tcMar>
              <w:left w:w="48" w:type="dxa"/>
              <w:right w:w="48" w:type="dxa"/>
            </w:tcMar>
            <w:vAlign w:val="bottom"/>
          </w:tcPr>
          <w:p w14:paraId="4773EE33"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w:t>
            </w:r>
          </w:p>
        </w:tc>
        <w:tc>
          <w:tcPr>
            <w:tcW w:w="632" w:type="dxa"/>
            <w:tcBorders>
              <w:top w:val="nil"/>
              <w:left w:val="single" w:sz="4" w:space="0" w:color="E6E6E6"/>
              <w:bottom w:val="single" w:sz="4" w:space="0" w:color="E6E6E6"/>
              <w:right w:val="nil"/>
            </w:tcBorders>
            <w:shd w:val="clear" w:color="auto" w:fill="FFFFFF"/>
            <w:tcMar>
              <w:left w:w="48" w:type="dxa"/>
              <w:right w:w="48" w:type="dxa"/>
            </w:tcMar>
            <w:vAlign w:val="bottom"/>
          </w:tcPr>
          <w:p w14:paraId="4585E8C1"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1,17</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3D3EFFDE"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853</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34EAB3A0"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100,00</w:t>
            </w:r>
          </w:p>
        </w:tc>
      </w:tr>
      <w:tr w:rsidR="00A11D99" w:rsidRPr="00C16CD7" w14:paraId="20793DBA" w14:textId="77777777" w:rsidTr="00A11D99">
        <w:trPr>
          <w:cantSplit/>
          <w:jc w:val="center"/>
        </w:trPr>
        <w:tc>
          <w:tcPr>
            <w:tcW w:w="680" w:type="dxa"/>
            <w:tcBorders>
              <w:top w:val="nil"/>
              <w:left w:val="single" w:sz="15" w:space="0" w:color="E6E6E6"/>
              <w:bottom w:val="single" w:sz="4" w:space="0" w:color="E6E6E6"/>
              <w:right w:val="nil"/>
            </w:tcBorders>
            <w:shd w:val="clear" w:color="auto" w:fill="FFFFFF"/>
            <w:tcMar>
              <w:left w:w="48" w:type="dxa"/>
              <w:right w:w="48" w:type="dxa"/>
            </w:tcMar>
          </w:tcPr>
          <w:p w14:paraId="4F603B3F" w14:textId="77777777" w:rsidR="00A11D99" w:rsidRPr="00C16CD7" w:rsidRDefault="00A11D99" w:rsidP="00A11D99">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2013</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39CDB588"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550</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23B9ED7D"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71,61</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2ED8880A"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210</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43E7A0E1"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27,34</w:t>
            </w:r>
          </w:p>
        </w:tc>
        <w:tc>
          <w:tcPr>
            <w:tcW w:w="632" w:type="dxa"/>
            <w:tcBorders>
              <w:top w:val="nil"/>
              <w:left w:val="single" w:sz="4" w:space="0" w:color="E6E6E6"/>
              <w:bottom w:val="single" w:sz="4" w:space="0" w:color="E6E6E6"/>
              <w:right w:val="nil"/>
            </w:tcBorders>
            <w:shd w:val="clear" w:color="auto" w:fill="FFFFFF"/>
            <w:tcMar>
              <w:left w:w="48" w:type="dxa"/>
              <w:right w:w="48" w:type="dxa"/>
            </w:tcMar>
            <w:vAlign w:val="bottom"/>
          </w:tcPr>
          <w:p w14:paraId="2813A8E3"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8</w:t>
            </w:r>
          </w:p>
        </w:tc>
        <w:tc>
          <w:tcPr>
            <w:tcW w:w="632" w:type="dxa"/>
            <w:tcBorders>
              <w:top w:val="nil"/>
              <w:left w:val="single" w:sz="4" w:space="0" w:color="E6E6E6"/>
              <w:bottom w:val="single" w:sz="4" w:space="0" w:color="E6E6E6"/>
              <w:right w:val="nil"/>
            </w:tcBorders>
            <w:shd w:val="clear" w:color="auto" w:fill="FFFFFF"/>
            <w:tcMar>
              <w:left w:w="48" w:type="dxa"/>
              <w:right w:w="48" w:type="dxa"/>
            </w:tcMar>
            <w:vAlign w:val="bottom"/>
          </w:tcPr>
          <w:p w14:paraId="1542DB71"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1,04</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40E942C3"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768</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4FB2FBF8"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100,00</w:t>
            </w:r>
          </w:p>
        </w:tc>
      </w:tr>
      <w:tr w:rsidR="00A11D99" w:rsidRPr="00C16CD7" w14:paraId="1E64C2EB" w14:textId="77777777" w:rsidTr="00A11D99">
        <w:trPr>
          <w:cantSplit/>
          <w:jc w:val="center"/>
        </w:trPr>
        <w:tc>
          <w:tcPr>
            <w:tcW w:w="680" w:type="dxa"/>
            <w:tcBorders>
              <w:top w:val="nil"/>
              <w:left w:val="single" w:sz="15" w:space="0" w:color="E6E6E6"/>
              <w:bottom w:val="single" w:sz="4" w:space="0" w:color="E6E6E6"/>
              <w:right w:val="nil"/>
            </w:tcBorders>
            <w:shd w:val="clear" w:color="auto" w:fill="FFFFFF"/>
            <w:tcMar>
              <w:left w:w="48" w:type="dxa"/>
              <w:right w:w="48" w:type="dxa"/>
            </w:tcMar>
          </w:tcPr>
          <w:p w14:paraId="6641B9DF" w14:textId="77777777" w:rsidR="00A11D99" w:rsidRPr="00C16CD7" w:rsidRDefault="00A11D99" w:rsidP="00A11D99">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2014</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02848DC9"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742</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32400F78"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75,71</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5E9E31F5"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228</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75EF59CB"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23,27</w:t>
            </w:r>
          </w:p>
        </w:tc>
        <w:tc>
          <w:tcPr>
            <w:tcW w:w="632" w:type="dxa"/>
            <w:tcBorders>
              <w:top w:val="nil"/>
              <w:left w:val="single" w:sz="4" w:space="0" w:color="E6E6E6"/>
              <w:bottom w:val="single" w:sz="4" w:space="0" w:color="E6E6E6"/>
              <w:right w:val="nil"/>
            </w:tcBorders>
            <w:shd w:val="clear" w:color="auto" w:fill="FFFFFF"/>
            <w:tcMar>
              <w:left w:w="48" w:type="dxa"/>
              <w:right w:w="48" w:type="dxa"/>
            </w:tcMar>
            <w:vAlign w:val="bottom"/>
          </w:tcPr>
          <w:p w14:paraId="7A54C01F"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w:t>
            </w:r>
          </w:p>
        </w:tc>
        <w:tc>
          <w:tcPr>
            <w:tcW w:w="632" w:type="dxa"/>
            <w:tcBorders>
              <w:top w:val="nil"/>
              <w:left w:val="single" w:sz="4" w:space="0" w:color="E6E6E6"/>
              <w:bottom w:val="single" w:sz="4" w:space="0" w:color="E6E6E6"/>
              <w:right w:val="nil"/>
            </w:tcBorders>
            <w:shd w:val="clear" w:color="auto" w:fill="FFFFFF"/>
            <w:tcMar>
              <w:left w:w="48" w:type="dxa"/>
              <w:right w:w="48" w:type="dxa"/>
            </w:tcMar>
            <w:vAlign w:val="bottom"/>
          </w:tcPr>
          <w:p w14:paraId="205B5D60"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1,02</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6C19E5F1"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980</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389745FD"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100,00</w:t>
            </w:r>
          </w:p>
        </w:tc>
      </w:tr>
      <w:tr w:rsidR="00A11D99" w:rsidRPr="00C16CD7" w14:paraId="729A5107" w14:textId="77777777" w:rsidTr="00A11D99">
        <w:trPr>
          <w:cantSplit/>
          <w:jc w:val="center"/>
        </w:trPr>
        <w:tc>
          <w:tcPr>
            <w:tcW w:w="680" w:type="dxa"/>
            <w:tcBorders>
              <w:top w:val="nil"/>
              <w:left w:val="single" w:sz="15" w:space="0" w:color="E6E6E6"/>
              <w:bottom w:val="single" w:sz="4" w:space="0" w:color="E6E6E6"/>
              <w:right w:val="nil"/>
            </w:tcBorders>
            <w:shd w:val="clear" w:color="auto" w:fill="FFFFFF"/>
            <w:tcMar>
              <w:left w:w="48" w:type="dxa"/>
              <w:right w:w="48" w:type="dxa"/>
            </w:tcMar>
          </w:tcPr>
          <w:p w14:paraId="1A967A34" w14:textId="77777777" w:rsidR="00A11D99" w:rsidRPr="00C16CD7" w:rsidRDefault="00A11D99" w:rsidP="00A11D99">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2015</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19DAE5A6"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614</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7DA8D317"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72,58</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50B705A0"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223</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185FB719"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26,36</w:t>
            </w:r>
          </w:p>
        </w:tc>
        <w:tc>
          <w:tcPr>
            <w:tcW w:w="632" w:type="dxa"/>
            <w:tcBorders>
              <w:top w:val="nil"/>
              <w:left w:val="single" w:sz="4" w:space="0" w:color="E6E6E6"/>
              <w:bottom w:val="single" w:sz="4" w:space="0" w:color="E6E6E6"/>
              <w:right w:val="nil"/>
            </w:tcBorders>
            <w:shd w:val="clear" w:color="auto" w:fill="FFFFFF"/>
            <w:tcMar>
              <w:left w:w="48" w:type="dxa"/>
              <w:right w:w="48" w:type="dxa"/>
            </w:tcMar>
            <w:vAlign w:val="bottom"/>
          </w:tcPr>
          <w:p w14:paraId="2B000A1B"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9</w:t>
            </w:r>
          </w:p>
        </w:tc>
        <w:tc>
          <w:tcPr>
            <w:tcW w:w="632" w:type="dxa"/>
            <w:tcBorders>
              <w:top w:val="nil"/>
              <w:left w:val="single" w:sz="4" w:space="0" w:color="E6E6E6"/>
              <w:bottom w:val="single" w:sz="4" w:space="0" w:color="E6E6E6"/>
              <w:right w:val="nil"/>
            </w:tcBorders>
            <w:shd w:val="clear" w:color="auto" w:fill="FFFFFF"/>
            <w:tcMar>
              <w:left w:w="48" w:type="dxa"/>
              <w:right w:w="48" w:type="dxa"/>
            </w:tcMar>
            <w:vAlign w:val="bottom"/>
          </w:tcPr>
          <w:p w14:paraId="3B908759"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1,06</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32A53D7F"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846</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0834F4A7"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100,00</w:t>
            </w:r>
          </w:p>
        </w:tc>
      </w:tr>
      <w:tr w:rsidR="00A11D99" w:rsidRPr="00C16CD7" w14:paraId="7F1042FB" w14:textId="77777777" w:rsidTr="00A11D99">
        <w:trPr>
          <w:cantSplit/>
          <w:jc w:val="center"/>
        </w:trPr>
        <w:tc>
          <w:tcPr>
            <w:tcW w:w="680" w:type="dxa"/>
            <w:tcBorders>
              <w:top w:val="nil"/>
              <w:left w:val="single" w:sz="15" w:space="0" w:color="E6E6E6"/>
              <w:bottom w:val="single" w:sz="4" w:space="0" w:color="E6E6E6"/>
              <w:right w:val="nil"/>
            </w:tcBorders>
            <w:shd w:val="clear" w:color="auto" w:fill="FFFFFF"/>
            <w:tcMar>
              <w:left w:w="48" w:type="dxa"/>
              <w:right w:w="48" w:type="dxa"/>
            </w:tcMar>
          </w:tcPr>
          <w:p w14:paraId="252379BF" w14:textId="77777777" w:rsidR="00A11D99" w:rsidRPr="00C16CD7" w:rsidRDefault="00A11D99" w:rsidP="00A11D99">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2016</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5D026622"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606</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401506B6"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76,13</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01AF3E3A"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176</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3AF2DCD6"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22,11</w:t>
            </w:r>
          </w:p>
        </w:tc>
        <w:tc>
          <w:tcPr>
            <w:tcW w:w="632" w:type="dxa"/>
            <w:tcBorders>
              <w:top w:val="nil"/>
              <w:left w:val="single" w:sz="4" w:space="0" w:color="E6E6E6"/>
              <w:bottom w:val="single" w:sz="4" w:space="0" w:color="E6E6E6"/>
              <w:right w:val="nil"/>
            </w:tcBorders>
            <w:shd w:val="clear" w:color="auto" w:fill="FFFFFF"/>
            <w:tcMar>
              <w:left w:w="48" w:type="dxa"/>
              <w:right w:w="48" w:type="dxa"/>
            </w:tcMar>
            <w:vAlign w:val="bottom"/>
          </w:tcPr>
          <w:p w14:paraId="120EC634"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14</w:t>
            </w:r>
          </w:p>
        </w:tc>
        <w:tc>
          <w:tcPr>
            <w:tcW w:w="632" w:type="dxa"/>
            <w:tcBorders>
              <w:top w:val="nil"/>
              <w:left w:val="single" w:sz="4" w:space="0" w:color="E6E6E6"/>
              <w:bottom w:val="single" w:sz="4" w:space="0" w:color="E6E6E6"/>
              <w:right w:val="nil"/>
            </w:tcBorders>
            <w:shd w:val="clear" w:color="auto" w:fill="FFFFFF"/>
            <w:tcMar>
              <w:left w:w="48" w:type="dxa"/>
              <w:right w:w="48" w:type="dxa"/>
            </w:tcMar>
            <w:vAlign w:val="bottom"/>
          </w:tcPr>
          <w:p w14:paraId="5BD675CE"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1,76</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4D725386"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796</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35FB26E7"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100,00</w:t>
            </w:r>
          </w:p>
        </w:tc>
      </w:tr>
      <w:tr w:rsidR="00A11D99" w:rsidRPr="00C16CD7" w14:paraId="464A5241" w14:textId="77777777" w:rsidTr="00A11D99">
        <w:trPr>
          <w:cantSplit/>
          <w:jc w:val="center"/>
        </w:trPr>
        <w:tc>
          <w:tcPr>
            <w:tcW w:w="680" w:type="dxa"/>
            <w:tcBorders>
              <w:top w:val="nil"/>
              <w:left w:val="single" w:sz="15" w:space="0" w:color="E6E6E6"/>
              <w:bottom w:val="single" w:sz="15" w:space="0" w:color="E6E6E6"/>
              <w:right w:val="nil"/>
            </w:tcBorders>
            <w:shd w:val="clear" w:color="auto" w:fill="FFFFFF"/>
            <w:tcMar>
              <w:left w:w="48" w:type="dxa"/>
              <w:right w:w="48" w:type="dxa"/>
            </w:tcMar>
          </w:tcPr>
          <w:p w14:paraId="2DE699EF" w14:textId="77777777" w:rsidR="00A11D99" w:rsidRPr="00C16CD7" w:rsidRDefault="00A11D99" w:rsidP="00A11D99">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TOTAL</w:t>
            </w:r>
          </w:p>
        </w:tc>
        <w:tc>
          <w:tcPr>
            <w:tcW w:w="514" w:type="dxa"/>
            <w:tcBorders>
              <w:top w:val="nil"/>
              <w:left w:val="single" w:sz="4" w:space="0" w:color="E6E6E6"/>
              <w:bottom w:val="single" w:sz="15" w:space="0" w:color="E6E6E6"/>
              <w:right w:val="nil"/>
            </w:tcBorders>
            <w:shd w:val="clear" w:color="auto" w:fill="FFFFFF"/>
            <w:tcMar>
              <w:left w:w="48" w:type="dxa"/>
              <w:right w:w="48" w:type="dxa"/>
            </w:tcMar>
            <w:vAlign w:val="bottom"/>
          </w:tcPr>
          <w:p w14:paraId="02AC3E52"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3.127</w:t>
            </w:r>
          </w:p>
        </w:tc>
        <w:tc>
          <w:tcPr>
            <w:tcW w:w="514" w:type="dxa"/>
            <w:tcBorders>
              <w:top w:val="nil"/>
              <w:left w:val="single" w:sz="4" w:space="0" w:color="E6E6E6"/>
              <w:bottom w:val="single" w:sz="15" w:space="0" w:color="E6E6E6"/>
              <w:right w:val="nil"/>
            </w:tcBorders>
            <w:shd w:val="clear" w:color="auto" w:fill="FFFFFF"/>
            <w:tcMar>
              <w:left w:w="48" w:type="dxa"/>
              <w:right w:w="48" w:type="dxa"/>
            </w:tcMar>
            <w:vAlign w:val="bottom"/>
          </w:tcPr>
          <w:p w14:paraId="24DF70C2"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73,70</w:t>
            </w:r>
          </w:p>
        </w:tc>
        <w:tc>
          <w:tcPr>
            <w:tcW w:w="514" w:type="dxa"/>
            <w:tcBorders>
              <w:top w:val="nil"/>
              <w:left w:val="single" w:sz="4" w:space="0" w:color="E6E6E6"/>
              <w:bottom w:val="single" w:sz="15" w:space="0" w:color="E6E6E6"/>
              <w:right w:val="nil"/>
            </w:tcBorders>
            <w:shd w:val="clear" w:color="auto" w:fill="FFFFFF"/>
            <w:tcMar>
              <w:left w:w="48" w:type="dxa"/>
              <w:right w:w="48" w:type="dxa"/>
            </w:tcMar>
            <w:vAlign w:val="bottom"/>
          </w:tcPr>
          <w:p w14:paraId="2AF59953"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1.065</w:t>
            </w:r>
          </w:p>
        </w:tc>
        <w:tc>
          <w:tcPr>
            <w:tcW w:w="514" w:type="dxa"/>
            <w:tcBorders>
              <w:top w:val="nil"/>
              <w:left w:val="single" w:sz="4" w:space="0" w:color="E6E6E6"/>
              <w:bottom w:val="single" w:sz="15" w:space="0" w:color="E6E6E6"/>
              <w:right w:val="nil"/>
            </w:tcBorders>
            <w:shd w:val="clear" w:color="auto" w:fill="FFFFFF"/>
            <w:tcMar>
              <w:left w:w="48" w:type="dxa"/>
              <w:right w:w="48" w:type="dxa"/>
            </w:tcMar>
            <w:vAlign w:val="bottom"/>
          </w:tcPr>
          <w:p w14:paraId="2B07BD46"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25,10</w:t>
            </w:r>
          </w:p>
        </w:tc>
        <w:tc>
          <w:tcPr>
            <w:tcW w:w="632" w:type="dxa"/>
            <w:tcBorders>
              <w:top w:val="nil"/>
              <w:left w:val="single" w:sz="4" w:space="0" w:color="E6E6E6"/>
              <w:bottom w:val="single" w:sz="15" w:space="0" w:color="E6E6E6"/>
              <w:right w:val="nil"/>
            </w:tcBorders>
            <w:shd w:val="clear" w:color="auto" w:fill="FFFFFF"/>
            <w:tcMar>
              <w:left w:w="48" w:type="dxa"/>
              <w:right w:w="48" w:type="dxa"/>
            </w:tcMar>
            <w:vAlign w:val="bottom"/>
          </w:tcPr>
          <w:p w14:paraId="62F50224"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51</w:t>
            </w:r>
          </w:p>
        </w:tc>
        <w:tc>
          <w:tcPr>
            <w:tcW w:w="632" w:type="dxa"/>
            <w:tcBorders>
              <w:top w:val="nil"/>
              <w:left w:val="single" w:sz="4" w:space="0" w:color="E6E6E6"/>
              <w:bottom w:val="single" w:sz="15" w:space="0" w:color="E6E6E6"/>
              <w:right w:val="nil"/>
            </w:tcBorders>
            <w:shd w:val="clear" w:color="auto" w:fill="FFFFFF"/>
            <w:tcMar>
              <w:left w:w="48" w:type="dxa"/>
              <w:right w:w="48" w:type="dxa"/>
            </w:tcMar>
            <w:vAlign w:val="bottom"/>
          </w:tcPr>
          <w:p w14:paraId="6C600581"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1,20</w:t>
            </w:r>
          </w:p>
        </w:tc>
        <w:tc>
          <w:tcPr>
            <w:tcW w:w="514" w:type="dxa"/>
            <w:tcBorders>
              <w:top w:val="nil"/>
              <w:left w:val="single" w:sz="4" w:space="0" w:color="E6E6E6"/>
              <w:bottom w:val="single" w:sz="15" w:space="0" w:color="E6E6E6"/>
              <w:right w:val="nil"/>
            </w:tcBorders>
            <w:shd w:val="clear" w:color="auto" w:fill="FFFFFF"/>
            <w:tcMar>
              <w:left w:w="48" w:type="dxa"/>
              <w:right w:w="48" w:type="dxa"/>
            </w:tcMar>
            <w:vAlign w:val="bottom"/>
          </w:tcPr>
          <w:p w14:paraId="3AC00B51"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4.243</w:t>
            </w:r>
          </w:p>
        </w:tc>
        <w:tc>
          <w:tcPr>
            <w:tcW w:w="605" w:type="dxa"/>
            <w:tcBorders>
              <w:top w:val="nil"/>
              <w:left w:val="single" w:sz="4" w:space="0" w:color="E6E6E6"/>
              <w:bottom w:val="single" w:sz="15" w:space="0" w:color="E6E6E6"/>
              <w:right w:val="single" w:sz="15" w:space="0" w:color="E6E6E6"/>
            </w:tcBorders>
            <w:shd w:val="clear" w:color="auto" w:fill="FFFFFF"/>
            <w:tcMar>
              <w:left w:w="48" w:type="dxa"/>
              <w:right w:w="48" w:type="dxa"/>
            </w:tcMar>
            <w:vAlign w:val="bottom"/>
          </w:tcPr>
          <w:p w14:paraId="747EFA04" w14:textId="77777777" w:rsidR="00A11D99" w:rsidRPr="00C16CD7" w:rsidRDefault="00A11D99" w:rsidP="00A11D99">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100,00</w:t>
            </w:r>
          </w:p>
        </w:tc>
      </w:tr>
    </w:tbl>
    <w:p w14:paraId="28D6EC16" w14:textId="77777777" w:rsidR="002920A4" w:rsidRPr="00C16CD7" w:rsidRDefault="002920A4" w:rsidP="00C2595A">
      <w:pPr>
        <w:keepNext/>
        <w:adjustRightInd w:val="0"/>
        <w:ind w:left="1620"/>
        <w:jc w:val="center"/>
        <w:rPr>
          <w:i/>
          <w:sz w:val="16"/>
          <w:szCs w:val="16"/>
          <w:lang w:val="fr-BE"/>
        </w:rPr>
      </w:pPr>
    </w:p>
    <w:p w14:paraId="582BE161" w14:textId="77777777" w:rsidR="00C2595A" w:rsidRPr="00C16CD7" w:rsidRDefault="00C2595A" w:rsidP="00C2595A">
      <w:pPr>
        <w:adjustRightInd w:val="0"/>
        <w:jc w:val="center"/>
        <w:rPr>
          <w:i/>
          <w:sz w:val="16"/>
          <w:szCs w:val="16"/>
          <w:lang w:val="fr-BE"/>
        </w:rPr>
      </w:pPr>
      <w:r w:rsidRPr="00C16CD7">
        <w:rPr>
          <w:i/>
          <w:sz w:val="16"/>
          <w:szCs w:val="16"/>
          <w:lang w:val="fr-BE"/>
        </w:rPr>
        <w:t>Source : banque de données du Collège des procureurs généraux – Analystes statistiques.</w:t>
      </w:r>
    </w:p>
    <w:p w14:paraId="26723AD4" w14:textId="77777777" w:rsidR="00C2595A" w:rsidRPr="00C16CD7" w:rsidRDefault="00C2595A" w:rsidP="00C2595A">
      <w:pPr>
        <w:adjustRightInd w:val="0"/>
        <w:jc w:val="both"/>
        <w:rPr>
          <w:rFonts w:ascii="Arial" w:hAnsi="Arial" w:cs="Arial"/>
          <w:sz w:val="20"/>
          <w:szCs w:val="20"/>
          <w:lang w:val="fr-BE"/>
        </w:rPr>
      </w:pPr>
    </w:p>
    <w:p w14:paraId="623C2B8B" w14:textId="6C6DAC5E" w:rsidR="00BA3F36" w:rsidRPr="00C16CD7" w:rsidRDefault="00C2595A" w:rsidP="0030458E">
      <w:pPr>
        <w:adjustRightInd w:val="0"/>
        <w:spacing w:before="240" w:after="240" w:line="276" w:lineRule="auto"/>
        <w:jc w:val="both"/>
        <w:rPr>
          <w:rFonts w:ascii="Arial" w:hAnsi="Arial" w:cs="Arial"/>
          <w:sz w:val="20"/>
          <w:szCs w:val="20"/>
          <w:lang w:val="fr-BE"/>
        </w:rPr>
      </w:pPr>
      <w:r w:rsidRPr="00C16CD7">
        <w:rPr>
          <w:rFonts w:ascii="Arial" w:hAnsi="Arial" w:cs="Arial"/>
          <w:sz w:val="20"/>
          <w:szCs w:val="20"/>
          <w:lang w:val="fr-BE"/>
        </w:rPr>
        <w:lastRenderedPageBreak/>
        <w:t xml:space="preserve">Dans le tableau 2, les données sont présentées selon l’unité de compte « prévenu » afin de connaître le nombre total de prévenus impliqués dans les affaires </w:t>
      </w:r>
      <w:r w:rsidR="0059052F" w:rsidRPr="00C16CD7">
        <w:rPr>
          <w:rFonts w:ascii="Arial" w:hAnsi="Arial" w:cs="Arial"/>
          <w:sz w:val="20"/>
          <w:lang w:val="fr-BE"/>
        </w:rPr>
        <w:t>relatives aux crimes motivés par la haine</w:t>
      </w:r>
      <w:r w:rsidR="0059052F" w:rsidRPr="00C16CD7">
        <w:rPr>
          <w:rFonts w:ascii="Arial" w:hAnsi="Arial" w:cs="Arial"/>
          <w:sz w:val="20"/>
          <w:szCs w:val="20"/>
          <w:lang w:val="fr-BE"/>
        </w:rPr>
        <w:t xml:space="preserve"> </w:t>
      </w:r>
      <w:r w:rsidRPr="00C16CD7">
        <w:rPr>
          <w:rFonts w:ascii="Arial" w:hAnsi="Arial" w:cs="Arial"/>
          <w:sz w:val="20"/>
          <w:szCs w:val="20"/>
          <w:lang w:val="fr-BE"/>
        </w:rPr>
        <w:t>entrées dans les parquets correctionnels entre 2012 et 2016. Ces informations sont présentées selon le sexe du prévenu et selon l’année d’entrée de l’affaire.</w:t>
      </w:r>
    </w:p>
    <w:p w14:paraId="395F5461" w14:textId="6AA15435" w:rsidR="00C2595A" w:rsidRPr="00C16CD7" w:rsidRDefault="00C2595A" w:rsidP="0030458E">
      <w:pPr>
        <w:adjustRightInd w:val="0"/>
        <w:spacing w:before="240" w:after="240" w:line="276" w:lineRule="auto"/>
        <w:jc w:val="both"/>
        <w:rPr>
          <w:rFonts w:ascii="Arial" w:hAnsi="Arial" w:cs="Arial"/>
          <w:sz w:val="20"/>
          <w:szCs w:val="20"/>
          <w:lang w:val="fr-BE"/>
        </w:rPr>
      </w:pPr>
      <w:r w:rsidRPr="00C16CD7">
        <w:rPr>
          <w:rFonts w:ascii="Arial" w:hAnsi="Arial" w:cs="Arial"/>
          <w:sz w:val="20"/>
          <w:szCs w:val="20"/>
          <w:lang w:val="fr-BE"/>
        </w:rPr>
        <w:t xml:space="preserve">Pour les </w:t>
      </w:r>
      <w:r w:rsidR="00611548" w:rsidRPr="00C16CD7">
        <w:rPr>
          <w:rFonts w:ascii="Arial" w:hAnsi="Arial" w:cs="Arial"/>
          <w:sz w:val="20"/>
          <w:szCs w:val="20"/>
          <w:lang w:val="fr-BE"/>
        </w:rPr>
        <w:t>4</w:t>
      </w:r>
      <w:r w:rsidR="00A11D99" w:rsidRPr="00C16CD7">
        <w:rPr>
          <w:rFonts w:ascii="Arial" w:hAnsi="Arial" w:cs="Arial"/>
          <w:sz w:val="20"/>
          <w:szCs w:val="20"/>
          <w:lang w:val="fr-BE"/>
        </w:rPr>
        <w:t>.</w:t>
      </w:r>
      <w:r w:rsidR="00611548" w:rsidRPr="00C16CD7">
        <w:rPr>
          <w:rFonts w:ascii="Arial" w:hAnsi="Arial" w:cs="Arial"/>
          <w:sz w:val="20"/>
          <w:szCs w:val="20"/>
          <w:lang w:val="fr-BE"/>
        </w:rPr>
        <w:t>536</w:t>
      </w:r>
      <w:r w:rsidRPr="00C16CD7">
        <w:rPr>
          <w:rFonts w:ascii="Arial" w:hAnsi="Arial" w:cs="Arial"/>
          <w:sz w:val="20"/>
          <w:szCs w:val="20"/>
          <w:lang w:val="fr-BE"/>
        </w:rPr>
        <w:t xml:space="preserve"> affaires recensées dans </w:t>
      </w:r>
      <w:r w:rsidR="00BA3F36" w:rsidRPr="00C16CD7">
        <w:rPr>
          <w:rFonts w:ascii="Arial" w:hAnsi="Arial" w:cs="Arial"/>
          <w:sz w:val="20"/>
          <w:szCs w:val="20"/>
          <w:lang w:val="fr-BE"/>
        </w:rPr>
        <w:t>le tableau</w:t>
      </w:r>
      <w:r w:rsidRPr="00C16CD7">
        <w:rPr>
          <w:rFonts w:ascii="Arial" w:hAnsi="Arial" w:cs="Arial"/>
          <w:sz w:val="20"/>
          <w:szCs w:val="20"/>
          <w:lang w:val="fr-BE"/>
        </w:rPr>
        <w:t xml:space="preserve"> 1, nous comptabilisons </w:t>
      </w:r>
      <w:r w:rsidR="00A11D99" w:rsidRPr="00C16CD7">
        <w:rPr>
          <w:rFonts w:ascii="Arial" w:hAnsi="Arial" w:cs="Arial"/>
          <w:sz w:val="20"/>
          <w:szCs w:val="20"/>
          <w:lang w:val="fr-BE"/>
        </w:rPr>
        <w:t>4</w:t>
      </w:r>
      <w:r w:rsidRPr="00C16CD7">
        <w:rPr>
          <w:rFonts w:ascii="Arial" w:hAnsi="Arial" w:cs="Arial"/>
          <w:sz w:val="20"/>
          <w:szCs w:val="20"/>
          <w:lang w:val="fr-BE"/>
        </w:rPr>
        <w:t>.</w:t>
      </w:r>
      <w:r w:rsidR="00A11D99" w:rsidRPr="00C16CD7">
        <w:rPr>
          <w:rFonts w:ascii="Arial" w:hAnsi="Arial" w:cs="Arial"/>
          <w:sz w:val="20"/>
          <w:szCs w:val="20"/>
          <w:lang w:val="fr-BE"/>
        </w:rPr>
        <w:t>243</w:t>
      </w:r>
      <w:r w:rsidRPr="00C16CD7">
        <w:rPr>
          <w:rFonts w:ascii="Arial" w:hAnsi="Arial" w:cs="Arial"/>
          <w:sz w:val="20"/>
          <w:szCs w:val="20"/>
          <w:lang w:val="fr-BE"/>
        </w:rPr>
        <w:t xml:space="preserve"> prévenus. Il est possible qu’un certain nombre d’affaires n’aient pas de prévenu impliqué </w:t>
      </w:r>
      <w:r w:rsidR="00CD6D90">
        <w:rPr>
          <w:rFonts w:ascii="Arial" w:hAnsi="Arial" w:cs="Arial"/>
          <w:sz w:val="20"/>
          <w:szCs w:val="20"/>
          <w:lang w:val="fr-BE"/>
        </w:rPr>
        <w:t xml:space="preserve">identifié </w:t>
      </w:r>
      <w:r w:rsidRPr="00C16CD7">
        <w:rPr>
          <w:rFonts w:ascii="Arial" w:hAnsi="Arial" w:cs="Arial"/>
          <w:sz w:val="20"/>
          <w:szCs w:val="20"/>
          <w:lang w:val="fr-BE"/>
        </w:rPr>
        <w:t>à la date de l’extraction. Il est également envisageable que plusieurs prévenus soient mis en cause dans une même affaire.</w:t>
      </w:r>
    </w:p>
    <w:p w14:paraId="1CC5A51F" w14:textId="41928023" w:rsidR="00C2595A" w:rsidRPr="00C16CD7" w:rsidRDefault="00C2595A" w:rsidP="0030458E">
      <w:pPr>
        <w:adjustRightInd w:val="0"/>
        <w:spacing w:before="240" w:after="240" w:line="276" w:lineRule="auto"/>
        <w:jc w:val="both"/>
        <w:rPr>
          <w:rFonts w:ascii="Arial" w:hAnsi="Arial" w:cs="Arial"/>
          <w:sz w:val="20"/>
          <w:szCs w:val="20"/>
          <w:lang w:val="fr-BE"/>
        </w:rPr>
      </w:pPr>
      <w:r w:rsidRPr="00C16CD7">
        <w:rPr>
          <w:rFonts w:ascii="Arial" w:hAnsi="Arial" w:cs="Arial"/>
          <w:sz w:val="20"/>
          <w:szCs w:val="20"/>
          <w:lang w:val="fr-BE"/>
        </w:rPr>
        <w:t xml:space="preserve">Parmi les prévenus identifiés, </w:t>
      </w:r>
      <w:r w:rsidR="00A11D99" w:rsidRPr="00C16CD7">
        <w:rPr>
          <w:rFonts w:ascii="Arial" w:hAnsi="Arial" w:cs="Arial"/>
          <w:sz w:val="20"/>
          <w:szCs w:val="20"/>
          <w:lang w:val="fr-BE"/>
        </w:rPr>
        <w:t>73</w:t>
      </w:r>
      <w:r w:rsidRPr="00C16CD7">
        <w:rPr>
          <w:rFonts w:ascii="Arial" w:hAnsi="Arial" w:cs="Arial"/>
          <w:sz w:val="20"/>
          <w:szCs w:val="20"/>
          <w:lang w:val="fr-BE"/>
        </w:rPr>
        <w:t>,</w:t>
      </w:r>
      <w:r w:rsidR="00A11D99" w:rsidRPr="00C16CD7">
        <w:rPr>
          <w:rFonts w:ascii="Arial" w:hAnsi="Arial" w:cs="Arial"/>
          <w:sz w:val="20"/>
          <w:szCs w:val="20"/>
          <w:lang w:val="fr-BE"/>
        </w:rPr>
        <w:t>70</w:t>
      </w:r>
      <w:r w:rsidRPr="00C16CD7">
        <w:rPr>
          <w:rFonts w:ascii="Arial" w:hAnsi="Arial" w:cs="Arial"/>
          <w:sz w:val="20"/>
          <w:szCs w:val="20"/>
          <w:lang w:val="fr-BE"/>
        </w:rPr>
        <w:t xml:space="preserve">% d’entre eux sont des hommes. Ce pourcentage ne varie que peu selon </w:t>
      </w:r>
      <w:r w:rsidR="005940F1" w:rsidRPr="00C16CD7">
        <w:rPr>
          <w:rFonts w:ascii="Arial" w:hAnsi="Arial" w:cs="Arial"/>
          <w:sz w:val="20"/>
          <w:szCs w:val="20"/>
          <w:lang w:val="fr-BE"/>
        </w:rPr>
        <w:t>les années</w:t>
      </w:r>
      <w:r w:rsidRPr="00C16CD7">
        <w:rPr>
          <w:rFonts w:ascii="Arial" w:hAnsi="Arial" w:cs="Arial"/>
          <w:sz w:val="20"/>
          <w:szCs w:val="20"/>
          <w:lang w:val="fr-BE"/>
        </w:rPr>
        <w:t xml:space="preserve">. </w:t>
      </w:r>
    </w:p>
    <w:p w14:paraId="44979396" w14:textId="467A8697" w:rsidR="00A11D99" w:rsidRPr="00C16CD7" w:rsidRDefault="00A11D99">
      <w:pPr>
        <w:rPr>
          <w:rFonts w:ascii="Arial" w:hAnsi="Arial" w:cs="Arial"/>
          <w:b/>
          <w:bCs/>
          <w:color w:val="7483AE"/>
          <w:sz w:val="20"/>
          <w:szCs w:val="20"/>
          <w:lang w:val="fr-BE" w:eastAsia="fr-FR"/>
        </w:rPr>
      </w:pPr>
    </w:p>
    <w:p w14:paraId="240F2099" w14:textId="2C4A9735" w:rsidR="00C2595A" w:rsidRPr="00C16CD7" w:rsidRDefault="00C2595A" w:rsidP="00C2595A">
      <w:pPr>
        <w:jc w:val="both"/>
        <w:rPr>
          <w:rFonts w:ascii="Arial" w:hAnsi="Arial" w:cs="Arial"/>
          <w:b/>
          <w:bCs/>
          <w:color w:val="7483AE"/>
          <w:sz w:val="20"/>
          <w:szCs w:val="20"/>
          <w:lang w:val="fr-BE" w:eastAsia="fr-FR"/>
        </w:rPr>
      </w:pPr>
      <w:r w:rsidRPr="00C16CD7">
        <w:rPr>
          <w:rFonts w:ascii="Arial" w:hAnsi="Arial" w:cs="Arial"/>
          <w:b/>
          <w:bCs/>
          <w:color w:val="7483AE"/>
          <w:sz w:val="20"/>
          <w:szCs w:val="20"/>
          <w:lang w:val="fr-BE" w:eastAsia="fr-FR"/>
        </w:rPr>
        <w:t xml:space="preserve">Tableau </w:t>
      </w:r>
      <w:r w:rsidR="002920A4" w:rsidRPr="00C16CD7">
        <w:rPr>
          <w:rFonts w:ascii="Arial" w:hAnsi="Arial" w:cs="Arial"/>
          <w:b/>
          <w:bCs/>
          <w:color w:val="7483AE"/>
          <w:sz w:val="20"/>
          <w:szCs w:val="20"/>
          <w:lang w:val="fr-BE" w:eastAsia="fr-FR"/>
        </w:rPr>
        <w:t>3</w:t>
      </w:r>
      <w:r w:rsidRPr="00C16CD7">
        <w:rPr>
          <w:rFonts w:ascii="Arial" w:hAnsi="Arial" w:cs="Arial"/>
          <w:b/>
          <w:bCs/>
          <w:color w:val="7483AE"/>
          <w:sz w:val="20"/>
          <w:szCs w:val="20"/>
          <w:lang w:val="fr-BE" w:eastAsia="fr-FR"/>
        </w:rPr>
        <w:t> :</w:t>
      </w:r>
      <w:r w:rsidRPr="00C16CD7">
        <w:rPr>
          <w:rFonts w:ascii="Arial" w:hAnsi="Arial" w:cs="Arial"/>
          <w:b/>
          <w:bCs/>
          <w:color w:val="7483AE"/>
          <w:sz w:val="20"/>
          <w:szCs w:val="20"/>
          <w:lang w:val="fr-BE" w:eastAsia="fr-FR"/>
        </w:rPr>
        <w:tab/>
        <w:t xml:space="preserve">Nombre de prévenus impliqués dans les affaires </w:t>
      </w:r>
      <w:r w:rsidR="0059052F" w:rsidRPr="00C16CD7">
        <w:rPr>
          <w:rFonts w:ascii="Arial" w:hAnsi="Arial" w:cs="Arial"/>
          <w:b/>
          <w:bCs/>
          <w:color w:val="7483AE"/>
          <w:sz w:val="20"/>
          <w:szCs w:val="20"/>
          <w:lang w:val="fr-BE" w:eastAsia="fr-FR"/>
        </w:rPr>
        <w:t xml:space="preserve">relatives aux crimes motivés par la </w:t>
      </w:r>
      <w:r w:rsidR="0059052F" w:rsidRPr="00C16CD7">
        <w:rPr>
          <w:rFonts w:ascii="Arial" w:hAnsi="Arial" w:cs="Arial"/>
          <w:b/>
          <w:bCs/>
          <w:color w:val="7483AE"/>
          <w:sz w:val="20"/>
          <w:szCs w:val="20"/>
          <w:lang w:val="fr-BE" w:eastAsia="fr-FR"/>
        </w:rPr>
        <w:tab/>
      </w:r>
      <w:r w:rsidR="0059052F" w:rsidRPr="00C16CD7">
        <w:rPr>
          <w:rFonts w:ascii="Arial" w:hAnsi="Arial" w:cs="Arial"/>
          <w:b/>
          <w:bCs/>
          <w:color w:val="7483AE"/>
          <w:sz w:val="20"/>
          <w:szCs w:val="20"/>
          <w:lang w:val="fr-BE" w:eastAsia="fr-FR"/>
        </w:rPr>
        <w:tab/>
        <w:t>haine</w:t>
      </w:r>
      <w:r w:rsidRPr="00C16CD7">
        <w:rPr>
          <w:rFonts w:ascii="Arial" w:hAnsi="Arial" w:cs="Arial"/>
          <w:b/>
          <w:bCs/>
          <w:color w:val="7483AE"/>
          <w:sz w:val="20"/>
          <w:szCs w:val="20"/>
          <w:lang w:val="fr-BE" w:eastAsia="fr-FR"/>
        </w:rPr>
        <w:t xml:space="preserve"> entrées dans les parquets correctionnels de Belgique, entre le 1</w:t>
      </w:r>
      <w:r w:rsidRPr="00C16CD7">
        <w:rPr>
          <w:rFonts w:ascii="Arial" w:hAnsi="Arial" w:cs="Arial"/>
          <w:b/>
          <w:bCs/>
          <w:color w:val="7483AE"/>
          <w:sz w:val="20"/>
          <w:szCs w:val="20"/>
          <w:vertAlign w:val="superscript"/>
          <w:lang w:val="fr-BE" w:eastAsia="fr-FR"/>
        </w:rPr>
        <w:t>er</w:t>
      </w:r>
      <w:r w:rsidRPr="00C16CD7">
        <w:rPr>
          <w:rFonts w:ascii="Arial" w:hAnsi="Arial" w:cs="Arial"/>
          <w:b/>
          <w:bCs/>
          <w:color w:val="7483AE"/>
          <w:sz w:val="20"/>
          <w:szCs w:val="20"/>
          <w:lang w:val="fr-BE" w:eastAsia="fr-FR"/>
        </w:rPr>
        <w:t xml:space="preserve"> janvier </w:t>
      </w:r>
      <w:r w:rsidRPr="00C16CD7">
        <w:rPr>
          <w:rFonts w:ascii="Arial" w:hAnsi="Arial" w:cs="Arial"/>
          <w:b/>
          <w:bCs/>
          <w:color w:val="7483AE"/>
          <w:sz w:val="20"/>
          <w:szCs w:val="20"/>
          <w:lang w:val="fr-BE" w:eastAsia="fr-FR"/>
        </w:rPr>
        <w:tab/>
      </w:r>
      <w:r w:rsidRPr="00C16CD7">
        <w:rPr>
          <w:rFonts w:ascii="Arial" w:hAnsi="Arial" w:cs="Arial"/>
          <w:b/>
          <w:bCs/>
          <w:color w:val="7483AE"/>
          <w:sz w:val="20"/>
          <w:szCs w:val="20"/>
          <w:lang w:val="fr-BE" w:eastAsia="fr-FR"/>
        </w:rPr>
        <w:tab/>
      </w:r>
      <w:r w:rsidR="0059052F" w:rsidRPr="00C16CD7">
        <w:rPr>
          <w:rFonts w:ascii="Arial" w:hAnsi="Arial" w:cs="Arial"/>
          <w:b/>
          <w:bCs/>
          <w:color w:val="7483AE"/>
          <w:sz w:val="20"/>
          <w:szCs w:val="20"/>
          <w:lang w:val="fr-BE" w:eastAsia="fr-FR"/>
        </w:rPr>
        <w:tab/>
      </w:r>
      <w:r w:rsidRPr="00C16CD7">
        <w:rPr>
          <w:rFonts w:ascii="Arial" w:hAnsi="Arial" w:cs="Arial"/>
          <w:b/>
          <w:bCs/>
          <w:color w:val="7483AE"/>
          <w:sz w:val="20"/>
          <w:szCs w:val="20"/>
          <w:lang w:val="fr-BE" w:eastAsia="fr-FR"/>
        </w:rPr>
        <w:t>2012 et le 31 décembre 2016.</w:t>
      </w:r>
    </w:p>
    <w:p w14:paraId="736246D3" w14:textId="77777777" w:rsidR="00C2595A" w:rsidRPr="00C16CD7" w:rsidRDefault="00C2595A" w:rsidP="00C2595A">
      <w:pPr>
        <w:jc w:val="both"/>
        <w:rPr>
          <w:rFonts w:ascii="Arial" w:hAnsi="Arial" w:cs="Arial"/>
          <w:b/>
          <w:bCs/>
          <w:color w:val="7483AE"/>
          <w:sz w:val="20"/>
          <w:szCs w:val="20"/>
          <w:lang w:val="fr-BE" w:eastAsia="fr-FR"/>
        </w:rPr>
      </w:pPr>
      <w:r w:rsidRPr="00C16CD7">
        <w:rPr>
          <w:rFonts w:ascii="Arial" w:hAnsi="Arial" w:cs="Arial"/>
          <w:b/>
          <w:bCs/>
          <w:color w:val="7483AE"/>
          <w:sz w:val="20"/>
          <w:szCs w:val="20"/>
          <w:lang w:val="fr-BE" w:eastAsia="fr-FR"/>
        </w:rPr>
        <w:tab/>
      </w:r>
      <w:r w:rsidRPr="00C16CD7">
        <w:rPr>
          <w:rFonts w:ascii="Arial" w:hAnsi="Arial" w:cs="Arial"/>
          <w:b/>
          <w:bCs/>
          <w:color w:val="7483AE"/>
          <w:sz w:val="20"/>
          <w:szCs w:val="20"/>
          <w:lang w:val="fr-BE" w:eastAsia="fr-FR"/>
        </w:rPr>
        <w:tab/>
        <w:t xml:space="preserve">Données présentées selon la catégorie d’âge du prévenu et l’année d’entrée (n et % </w:t>
      </w:r>
      <w:r w:rsidR="002920A4" w:rsidRPr="00C16CD7">
        <w:rPr>
          <w:rFonts w:ascii="Arial" w:hAnsi="Arial" w:cs="Arial"/>
          <w:b/>
          <w:bCs/>
          <w:color w:val="7483AE"/>
          <w:sz w:val="20"/>
          <w:szCs w:val="20"/>
          <w:lang w:val="fr-BE" w:eastAsia="fr-FR"/>
        </w:rPr>
        <w:tab/>
      </w:r>
      <w:r w:rsidR="002920A4" w:rsidRPr="00C16CD7">
        <w:rPr>
          <w:rFonts w:ascii="Arial" w:hAnsi="Arial" w:cs="Arial"/>
          <w:b/>
          <w:bCs/>
          <w:color w:val="7483AE"/>
          <w:sz w:val="20"/>
          <w:szCs w:val="20"/>
          <w:lang w:val="fr-BE" w:eastAsia="fr-FR"/>
        </w:rPr>
        <w:tab/>
      </w:r>
      <w:r w:rsidRPr="00C16CD7">
        <w:rPr>
          <w:rFonts w:ascii="Arial" w:hAnsi="Arial" w:cs="Arial"/>
          <w:b/>
          <w:bCs/>
          <w:color w:val="7483AE"/>
          <w:sz w:val="20"/>
          <w:szCs w:val="20"/>
          <w:lang w:val="fr-BE" w:eastAsia="fr-FR"/>
        </w:rPr>
        <w:t>en ligne).</w:t>
      </w:r>
    </w:p>
    <w:p w14:paraId="2E528635" w14:textId="77777777" w:rsidR="002920A4" w:rsidRPr="00C16CD7" w:rsidRDefault="002920A4" w:rsidP="00C2595A">
      <w:pPr>
        <w:keepNext/>
        <w:adjustRightInd w:val="0"/>
        <w:ind w:left="1620"/>
        <w:jc w:val="center"/>
        <w:rPr>
          <w:rFonts w:ascii="Arial" w:hAnsi="Arial" w:cs="Arial"/>
          <w:color w:val="FFFFFF"/>
          <w:sz w:val="16"/>
          <w:szCs w:val="16"/>
          <w:lang w:val="fr-BE"/>
        </w:rPr>
      </w:pPr>
    </w:p>
    <w:tbl>
      <w:tblPr>
        <w:tblW w:w="0" w:type="auto"/>
        <w:jc w:val="center"/>
        <w:tblLayout w:type="fixed"/>
        <w:tblCellMar>
          <w:left w:w="0" w:type="dxa"/>
          <w:right w:w="0" w:type="dxa"/>
        </w:tblCellMar>
        <w:tblLook w:val="0000" w:firstRow="0" w:lastRow="0" w:firstColumn="0" w:lastColumn="0" w:noHBand="0" w:noVBand="0"/>
      </w:tblPr>
      <w:tblGrid>
        <w:gridCol w:w="680"/>
        <w:gridCol w:w="378"/>
        <w:gridCol w:w="514"/>
        <w:gridCol w:w="378"/>
        <w:gridCol w:w="514"/>
        <w:gridCol w:w="378"/>
        <w:gridCol w:w="514"/>
        <w:gridCol w:w="378"/>
        <w:gridCol w:w="514"/>
        <w:gridCol w:w="378"/>
        <w:gridCol w:w="514"/>
        <w:gridCol w:w="378"/>
        <w:gridCol w:w="423"/>
        <w:gridCol w:w="632"/>
        <w:gridCol w:w="632"/>
        <w:gridCol w:w="514"/>
        <w:gridCol w:w="605"/>
      </w:tblGrid>
      <w:tr w:rsidR="00611548" w:rsidRPr="00C16CD7" w14:paraId="72AC7130" w14:textId="77777777" w:rsidTr="00F40AA5">
        <w:trPr>
          <w:cantSplit/>
          <w:tblHeader/>
          <w:jc w:val="center"/>
        </w:trPr>
        <w:tc>
          <w:tcPr>
            <w:tcW w:w="680" w:type="dxa"/>
            <w:vMerge w:val="restart"/>
            <w:tcBorders>
              <w:top w:val="single" w:sz="15" w:space="0" w:color="E6E6E6"/>
              <w:left w:val="single" w:sz="15" w:space="0" w:color="E6E6E6"/>
              <w:bottom w:val="single" w:sz="4" w:space="0" w:color="E6E6E6"/>
              <w:right w:val="nil"/>
            </w:tcBorders>
            <w:shd w:val="clear" w:color="auto" w:fill="7483AE"/>
            <w:tcMar>
              <w:left w:w="48" w:type="dxa"/>
              <w:right w:w="48" w:type="dxa"/>
            </w:tcMar>
            <w:vAlign w:val="center"/>
          </w:tcPr>
          <w:p w14:paraId="5E7EE991" w14:textId="77777777" w:rsidR="00611548" w:rsidRPr="00C16CD7" w:rsidRDefault="00611548" w:rsidP="00F40AA5">
            <w:pPr>
              <w:adjustRightInd w:val="0"/>
              <w:spacing w:before="48" w:after="48"/>
              <w:jc w:val="center"/>
              <w:rPr>
                <w:rFonts w:ascii="Arial" w:hAnsi="Arial" w:cs="Arial"/>
                <w:color w:val="FFFFFF"/>
                <w:sz w:val="16"/>
                <w:szCs w:val="16"/>
                <w:lang w:val="fr-BE"/>
              </w:rPr>
            </w:pPr>
          </w:p>
        </w:tc>
        <w:tc>
          <w:tcPr>
            <w:tcW w:w="892"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45D353D1" w14:textId="77777777" w:rsidR="00611548" w:rsidRPr="00C16CD7" w:rsidRDefault="00611548"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de 18 à 30 ans</w:t>
            </w:r>
          </w:p>
        </w:tc>
        <w:tc>
          <w:tcPr>
            <w:tcW w:w="892"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5743413B" w14:textId="77777777" w:rsidR="00611548" w:rsidRPr="00C16CD7" w:rsidRDefault="00611548"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de 31 à 40 ans</w:t>
            </w:r>
          </w:p>
        </w:tc>
        <w:tc>
          <w:tcPr>
            <w:tcW w:w="892"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4A2A5923" w14:textId="77777777" w:rsidR="00611548" w:rsidRPr="00C16CD7" w:rsidRDefault="00611548"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de 41 à 50 ans</w:t>
            </w:r>
          </w:p>
        </w:tc>
        <w:tc>
          <w:tcPr>
            <w:tcW w:w="892"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55AA7259" w14:textId="77777777" w:rsidR="00611548" w:rsidRPr="00C16CD7" w:rsidRDefault="00611548"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de 51 à 60 ans</w:t>
            </w:r>
          </w:p>
        </w:tc>
        <w:tc>
          <w:tcPr>
            <w:tcW w:w="892"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06F1A9FC" w14:textId="77777777" w:rsidR="00611548" w:rsidRPr="00C16CD7" w:rsidRDefault="00611548"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de 61 à 70 ans</w:t>
            </w:r>
          </w:p>
        </w:tc>
        <w:tc>
          <w:tcPr>
            <w:tcW w:w="801"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0012E05F" w14:textId="77777777" w:rsidR="00611548" w:rsidRPr="00C16CD7" w:rsidRDefault="00611548"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70 ans et plus</w:t>
            </w:r>
          </w:p>
        </w:tc>
        <w:tc>
          <w:tcPr>
            <w:tcW w:w="1264"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6F365C59" w14:textId="77777777" w:rsidR="00611548" w:rsidRPr="00C16CD7" w:rsidRDefault="00611548"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inconnu/erreur</w:t>
            </w:r>
          </w:p>
        </w:tc>
        <w:tc>
          <w:tcPr>
            <w:tcW w:w="1119" w:type="dxa"/>
            <w:gridSpan w:val="2"/>
            <w:tcBorders>
              <w:top w:val="single" w:sz="15" w:space="0" w:color="E6E6E6"/>
              <w:left w:val="single" w:sz="4" w:space="0" w:color="E6E6E6"/>
              <w:bottom w:val="single" w:sz="4" w:space="0" w:color="E6E6E6"/>
              <w:right w:val="single" w:sz="15" w:space="0" w:color="E6E6E6"/>
            </w:tcBorders>
            <w:shd w:val="clear" w:color="auto" w:fill="7483AE"/>
            <w:tcMar>
              <w:left w:w="48" w:type="dxa"/>
              <w:right w:w="48" w:type="dxa"/>
            </w:tcMar>
            <w:vAlign w:val="bottom"/>
          </w:tcPr>
          <w:p w14:paraId="1381B93F" w14:textId="77777777" w:rsidR="00611548" w:rsidRPr="00C16CD7" w:rsidRDefault="00611548"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TOTAL</w:t>
            </w:r>
          </w:p>
        </w:tc>
      </w:tr>
      <w:tr w:rsidR="00611548" w:rsidRPr="00C16CD7" w14:paraId="7977AD32" w14:textId="77777777" w:rsidTr="00F40AA5">
        <w:trPr>
          <w:cantSplit/>
          <w:tblHeader/>
          <w:jc w:val="center"/>
        </w:trPr>
        <w:tc>
          <w:tcPr>
            <w:tcW w:w="680" w:type="dxa"/>
            <w:vMerge/>
            <w:tcBorders>
              <w:top w:val="single" w:sz="15" w:space="0" w:color="E6E6E6"/>
              <w:left w:val="single" w:sz="15" w:space="0" w:color="E6E6E6"/>
              <w:bottom w:val="single" w:sz="4" w:space="0" w:color="E6E6E6"/>
              <w:right w:val="nil"/>
            </w:tcBorders>
            <w:shd w:val="clear" w:color="auto" w:fill="7483AE"/>
            <w:tcMar>
              <w:left w:w="48" w:type="dxa"/>
              <w:right w:w="48" w:type="dxa"/>
            </w:tcMar>
            <w:vAlign w:val="center"/>
          </w:tcPr>
          <w:p w14:paraId="5C7F2D54" w14:textId="77777777" w:rsidR="00611548" w:rsidRPr="00C16CD7" w:rsidRDefault="00611548" w:rsidP="00F40AA5">
            <w:pPr>
              <w:adjustRightInd w:val="0"/>
              <w:rPr>
                <w:lang w:val="fr-BE"/>
              </w:rPr>
            </w:pPr>
          </w:p>
        </w:tc>
        <w:tc>
          <w:tcPr>
            <w:tcW w:w="378" w:type="dxa"/>
            <w:tcBorders>
              <w:top w:val="nil"/>
              <w:left w:val="single" w:sz="4" w:space="0" w:color="E6E6E6"/>
              <w:bottom w:val="single" w:sz="4" w:space="0" w:color="E6E6E6"/>
              <w:right w:val="nil"/>
            </w:tcBorders>
            <w:shd w:val="clear" w:color="auto" w:fill="7483AE"/>
            <w:tcMar>
              <w:left w:w="48" w:type="dxa"/>
              <w:right w:w="48" w:type="dxa"/>
            </w:tcMar>
            <w:vAlign w:val="bottom"/>
          </w:tcPr>
          <w:p w14:paraId="15FAE921" w14:textId="77777777" w:rsidR="00611548" w:rsidRPr="00C16CD7" w:rsidRDefault="00611548"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514" w:type="dxa"/>
            <w:tcBorders>
              <w:top w:val="nil"/>
              <w:left w:val="single" w:sz="4" w:space="0" w:color="E6E6E6"/>
              <w:bottom w:val="single" w:sz="4" w:space="0" w:color="E6E6E6"/>
              <w:right w:val="nil"/>
            </w:tcBorders>
            <w:shd w:val="clear" w:color="auto" w:fill="7483AE"/>
            <w:tcMar>
              <w:left w:w="48" w:type="dxa"/>
              <w:right w:w="48" w:type="dxa"/>
            </w:tcMar>
            <w:vAlign w:val="bottom"/>
          </w:tcPr>
          <w:p w14:paraId="55CE42E5" w14:textId="77777777" w:rsidR="00611548" w:rsidRPr="00C16CD7" w:rsidRDefault="00611548"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378" w:type="dxa"/>
            <w:tcBorders>
              <w:top w:val="nil"/>
              <w:left w:val="single" w:sz="4" w:space="0" w:color="E6E6E6"/>
              <w:bottom w:val="single" w:sz="4" w:space="0" w:color="E6E6E6"/>
              <w:right w:val="nil"/>
            </w:tcBorders>
            <w:shd w:val="clear" w:color="auto" w:fill="7483AE"/>
            <w:tcMar>
              <w:left w:w="48" w:type="dxa"/>
              <w:right w:w="48" w:type="dxa"/>
            </w:tcMar>
            <w:vAlign w:val="bottom"/>
          </w:tcPr>
          <w:p w14:paraId="64E935F6" w14:textId="77777777" w:rsidR="00611548" w:rsidRPr="00C16CD7" w:rsidRDefault="00611548"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514" w:type="dxa"/>
            <w:tcBorders>
              <w:top w:val="nil"/>
              <w:left w:val="single" w:sz="4" w:space="0" w:color="E6E6E6"/>
              <w:bottom w:val="single" w:sz="4" w:space="0" w:color="E6E6E6"/>
              <w:right w:val="nil"/>
            </w:tcBorders>
            <w:shd w:val="clear" w:color="auto" w:fill="7483AE"/>
            <w:tcMar>
              <w:left w:w="48" w:type="dxa"/>
              <w:right w:w="48" w:type="dxa"/>
            </w:tcMar>
            <w:vAlign w:val="bottom"/>
          </w:tcPr>
          <w:p w14:paraId="61C81859" w14:textId="77777777" w:rsidR="00611548" w:rsidRPr="00C16CD7" w:rsidRDefault="00611548"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378" w:type="dxa"/>
            <w:tcBorders>
              <w:top w:val="nil"/>
              <w:left w:val="single" w:sz="4" w:space="0" w:color="E6E6E6"/>
              <w:bottom w:val="single" w:sz="4" w:space="0" w:color="E6E6E6"/>
              <w:right w:val="nil"/>
            </w:tcBorders>
            <w:shd w:val="clear" w:color="auto" w:fill="7483AE"/>
            <w:tcMar>
              <w:left w:w="48" w:type="dxa"/>
              <w:right w:w="48" w:type="dxa"/>
            </w:tcMar>
            <w:vAlign w:val="bottom"/>
          </w:tcPr>
          <w:p w14:paraId="545B0372" w14:textId="77777777" w:rsidR="00611548" w:rsidRPr="00C16CD7" w:rsidRDefault="00611548"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514" w:type="dxa"/>
            <w:tcBorders>
              <w:top w:val="nil"/>
              <w:left w:val="single" w:sz="4" w:space="0" w:color="E6E6E6"/>
              <w:bottom w:val="single" w:sz="4" w:space="0" w:color="E6E6E6"/>
              <w:right w:val="nil"/>
            </w:tcBorders>
            <w:shd w:val="clear" w:color="auto" w:fill="7483AE"/>
            <w:tcMar>
              <w:left w:w="48" w:type="dxa"/>
              <w:right w:w="48" w:type="dxa"/>
            </w:tcMar>
            <w:vAlign w:val="bottom"/>
          </w:tcPr>
          <w:p w14:paraId="42A00295" w14:textId="77777777" w:rsidR="00611548" w:rsidRPr="00C16CD7" w:rsidRDefault="00611548"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378" w:type="dxa"/>
            <w:tcBorders>
              <w:top w:val="nil"/>
              <w:left w:val="single" w:sz="4" w:space="0" w:color="E6E6E6"/>
              <w:bottom w:val="single" w:sz="4" w:space="0" w:color="E6E6E6"/>
              <w:right w:val="nil"/>
            </w:tcBorders>
            <w:shd w:val="clear" w:color="auto" w:fill="7483AE"/>
            <w:tcMar>
              <w:left w:w="48" w:type="dxa"/>
              <w:right w:w="48" w:type="dxa"/>
            </w:tcMar>
            <w:vAlign w:val="bottom"/>
          </w:tcPr>
          <w:p w14:paraId="0F8FE3A0" w14:textId="77777777" w:rsidR="00611548" w:rsidRPr="00C16CD7" w:rsidRDefault="00611548"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514" w:type="dxa"/>
            <w:tcBorders>
              <w:top w:val="nil"/>
              <w:left w:val="single" w:sz="4" w:space="0" w:color="E6E6E6"/>
              <w:bottom w:val="single" w:sz="4" w:space="0" w:color="E6E6E6"/>
              <w:right w:val="nil"/>
            </w:tcBorders>
            <w:shd w:val="clear" w:color="auto" w:fill="7483AE"/>
            <w:tcMar>
              <w:left w:w="48" w:type="dxa"/>
              <w:right w:w="48" w:type="dxa"/>
            </w:tcMar>
            <w:vAlign w:val="bottom"/>
          </w:tcPr>
          <w:p w14:paraId="1E1C2E45" w14:textId="77777777" w:rsidR="00611548" w:rsidRPr="00C16CD7" w:rsidRDefault="00611548"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378" w:type="dxa"/>
            <w:tcBorders>
              <w:top w:val="nil"/>
              <w:left w:val="single" w:sz="4" w:space="0" w:color="E6E6E6"/>
              <w:bottom w:val="single" w:sz="4" w:space="0" w:color="E6E6E6"/>
              <w:right w:val="nil"/>
            </w:tcBorders>
            <w:shd w:val="clear" w:color="auto" w:fill="7483AE"/>
            <w:tcMar>
              <w:left w:w="48" w:type="dxa"/>
              <w:right w:w="48" w:type="dxa"/>
            </w:tcMar>
            <w:vAlign w:val="bottom"/>
          </w:tcPr>
          <w:p w14:paraId="3A27C8EF" w14:textId="77777777" w:rsidR="00611548" w:rsidRPr="00C16CD7" w:rsidRDefault="00611548"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514" w:type="dxa"/>
            <w:tcBorders>
              <w:top w:val="nil"/>
              <w:left w:val="single" w:sz="4" w:space="0" w:color="E6E6E6"/>
              <w:bottom w:val="single" w:sz="4" w:space="0" w:color="E6E6E6"/>
              <w:right w:val="nil"/>
            </w:tcBorders>
            <w:shd w:val="clear" w:color="auto" w:fill="7483AE"/>
            <w:tcMar>
              <w:left w:w="48" w:type="dxa"/>
              <w:right w:w="48" w:type="dxa"/>
            </w:tcMar>
            <w:vAlign w:val="bottom"/>
          </w:tcPr>
          <w:p w14:paraId="235457AF" w14:textId="77777777" w:rsidR="00611548" w:rsidRPr="00C16CD7" w:rsidRDefault="00611548"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378" w:type="dxa"/>
            <w:tcBorders>
              <w:top w:val="nil"/>
              <w:left w:val="single" w:sz="4" w:space="0" w:color="E6E6E6"/>
              <w:bottom w:val="single" w:sz="4" w:space="0" w:color="E6E6E6"/>
              <w:right w:val="nil"/>
            </w:tcBorders>
            <w:shd w:val="clear" w:color="auto" w:fill="7483AE"/>
            <w:tcMar>
              <w:left w:w="48" w:type="dxa"/>
              <w:right w:w="48" w:type="dxa"/>
            </w:tcMar>
            <w:vAlign w:val="bottom"/>
          </w:tcPr>
          <w:p w14:paraId="75B4ACC3" w14:textId="77777777" w:rsidR="00611548" w:rsidRPr="00C16CD7" w:rsidRDefault="00611548"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423" w:type="dxa"/>
            <w:tcBorders>
              <w:top w:val="nil"/>
              <w:left w:val="single" w:sz="4" w:space="0" w:color="E6E6E6"/>
              <w:bottom w:val="single" w:sz="4" w:space="0" w:color="E6E6E6"/>
              <w:right w:val="nil"/>
            </w:tcBorders>
            <w:shd w:val="clear" w:color="auto" w:fill="7483AE"/>
            <w:tcMar>
              <w:left w:w="48" w:type="dxa"/>
              <w:right w:w="48" w:type="dxa"/>
            </w:tcMar>
            <w:vAlign w:val="bottom"/>
          </w:tcPr>
          <w:p w14:paraId="2F54AD07" w14:textId="77777777" w:rsidR="00611548" w:rsidRPr="00C16CD7" w:rsidRDefault="00611548"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632" w:type="dxa"/>
            <w:tcBorders>
              <w:top w:val="nil"/>
              <w:left w:val="single" w:sz="4" w:space="0" w:color="E6E6E6"/>
              <w:bottom w:val="single" w:sz="4" w:space="0" w:color="E6E6E6"/>
              <w:right w:val="nil"/>
            </w:tcBorders>
            <w:shd w:val="clear" w:color="auto" w:fill="7483AE"/>
            <w:tcMar>
              <w:left w:w="48" w:type="dxa"/>
              <w:right w:w="48" w:type="dxa"/>
            </w:tcMar>
            <w:vAlign w:val="bottom"/>
          </w:tcPr>
          <w:p w14:paraId="5E7EA681" w14:textId="77777777" w:rsidR="00611548" w:rsidRPr="00C16CD7" w:rsidRDefault="00611548"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632" w:type="dxa"/>
            <w:tcBorders>
              <w:top w:val="nil"/>
              <w:left w:val="single" w:sz="4" w:space="0" w:color="E6E6E6"/>
              <w:bottom w:val="single" w:sz="4" w:space="0" w:color="E6E6E6"/>
              <w:right w:val="nil"/>
            </w:tcBorders>
            <w:shd w:val="clear" w:color="auto" w:fill="7483AE"/>
            <w:tcMar>
              <w:left w:w="48" w:type="dxa"/>
              <w:right w:w="48" w:type="dxa"/>
            </w:tcMar>
            <w:vAlign w:val="bottom"/>
          </w:tcPr>
          <w:p w14:paraId="3BC68F36" w14:textId="77777777" w:rsidR="00611548" w:rsidRPr="00C16CD7" w:rsidRDefault="00611548"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514" w:type="dxa"/>
            <w:tcBorders>
              <w:top w:val="nil"/>
              <w:left w:val="single" w:sz="4" w:space="0" w:color="E6E6E6"/>
              <w:bottom w:val="single" w:sz="4" w:space="0" w:color="E6E6E6"/>
              <w:right w:val="nil"/>
            </w:tcBorders>
            <w:shd w:val="clear" w:color="auto" w:fill="7483AE"/>
            <w:tcMar>
              <w:left w:w="48" w:type="dxa"/>
              <w:right w:w="48" w:type="dxa"/>
            </w:tcMar>
            <w:vAlign w:val="bottom"/>
          </w:tcPr>
          <w:p w14:paraId="4B70D71E" w14:textId="77777777" w:rsidR="00611548" w:rsidRPr="00C16CD7" w:rsidRDefault="00611548"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605" w:type="dxa"/>
            <w:tcBorders>
              <w:top w:val="nil"/>
              <w:left w:val="single" w:sz="4" w:space="0" w:color="E6E6E6"/>
              <w:bottom w:val="single" w:sz="4" w:space="0" w:color="E6E6E6"/>
              <w:right w:val="single" w:sz="15" w:space="0" w:color="E6E6E6"/>
            </w:tcBorders>
            <w:shd w:val="clear" w:color="auto" w:fill="7483AE"/>
            <w:tcMar>
              <w:left w:w="48" w:type="dxa"/>
              <w:right w:w="48" w:type="dxa"/>
            </w:tcMar>
            <w:vAlign w:val="bottom"/>
          </w:tcPr>
          <w:p w14:paraId="42F98532" w14:textId="77777777" w:rsidR="00611548" w:rsidRPr="00C16CD7" w:rsidRDefault="00611548"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r>
      <w:tr w:rsidR="00611548" w:rsidRPr="00C16CD7" w14:paraId="72D36D48" w14:textId="77777777" w:rsidTr="00F40AA5">
        <w:trPr>
          <w:cantSplit/>
          <w:jc w:val="center"/>
        </w:trPr>
        <w:tc>
          <w:tcPr>
            <w:tcW w:w="680" w:type="dxa"/>
            <w:tcBorders>
              <w:top w:val="nil"/>
              <w:left w:val="single" w:sz="15" w:space="0" w:color="E6E6E6"/>
              <w:bottom w:val="single" w:sz="4" w:space="0" w:color="E6E6E6"/>
              <w:right w:val="nil"/>
            </w:tcBorders>
            <w:shd w:val="clear" w:color="auto" w:fill="FFFFFF"/>
            <w:tcMar>
              <w:left w:w="48" w:type="dxa"/>
              <w:right w:w="48" w:type="dxa"/>
            </w:tcMar>
          </w:tcPr>
          <w:p w14:paraId="7F3C55CA" w14:textId="77777777" w:rsidR="00611548" w:rsidRPr="00C16CD7" w:rsidRDefault="00611548" w:rsidP="00F40AA5">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2012</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48B42589"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146</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4210DC0D"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17,12</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1BD6AC0D"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138</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15933396"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16,18</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4B2EB232"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204</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5977048D"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23,92</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45F66DA3"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192</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19D8ECF2"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22,51</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3206B484"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106</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4647F30F"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12,43</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51446EC0"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56</w:t>
            </w:r>
          </w:p>
        </w:tc>
        <w:tc>
          <w:tcPr>
            <w:tcW w:w="423" w:type="dxa"/>
            <w:tcBorders>
              <w:top w:val="nil"/>
              <w:left w:val="single" w:sz="4" w:space="0" w:color="E6E6E6"/>
              <w:bottom w:val="single" w:sz="4" w:space="0" w:color="E6E6E6"/>
              <w:right w:val="nil"/>
            </w:tcBorders>
            <w:shd w:val="clear" w:color="auto" w:fill="FFFFFF"/>
            <w:tcMar>
              <w:left w:w="48" w:type="dxa"/>
              <w:right w:w="48" w:type="dxa"/>
            </w:tcMar>
            <w:vAlign w:val="bottom"/>
          </w:tcPr>
          <w:p w14:paraId="49598F98"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6,57</w:t>
            </w:r>
          </w:p>
        </w:tc>
        <w:tc>
          <w:tcPr>
            <w:tcW w:w="632" w:type="dxa"/>
            <w:tcBorders>
              <w:top w:val="nil"/>
              <w:left w:val="single" w:sz="4" w:space="0" w:color="E6E6E6"/>
              <w:bottom w:val="single" w:sz="4" w:space="0" w:color="E6E6E6"/>
              <w:right w:val="nil"/>
            </w:tcBorders>
            <w:shd w:val="clear" w:color="auto" w:fill="FFFFFF"/>
            <w:tcMar>
              <w:left w:w="48" w:type="dxa"/>
              <w:right w:w="48" w:type="dxa"/>
            </w:tcMar>
            <w:vAlign w:val="bottom"/>
          </w:tcPr>
          <w:p w14:paraId="0BE69DE0"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11</w:t>
            </w:r>
          </w:p>
        </w:tc>
        <w:tc>
          <w:tcPr>
            <w:tcW w:w="632" w:type="dxa"/>
            <w:tcBorders>
              <w:top w:val="nil"/>
              <w:left w:val="single" w:sz="4" w:space="0" w:color="E6E6E6"/>
              <w:bottom w:val="single" w:sz="4" w:space="0" w:color="E6E6E6"/>
              <w:right w:val="nil"/>
            </w:tcBorders>
            <w:shd w:val="clear" w:color="auto" w:fill="FFFFFF"/>
            <w:tcMar>
              <w:left w:w="48" w:type="dxa"/>
              <w:right w:w="48" w:type="dxa"/>
            </w:tcMar>
            <w:vAlign w:val="bottom"/>
          </w:tcPr>
          <w:p w14:paraId="2943642E"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1,29</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19670F55"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853</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21C3E275"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100,00</w:t>
            </w:r>
          </w:p>
        </w:tc>
      </w:tr>
      <w:tr w:rsidR="00611548" w:rsidRPr="00C16CD7" w14:paraId="777D76B0" w14:textId="77777777" w:rsidTr="00F40AA5">
        <w:trPr>
          <w:cantSplit/>
          <w:jc w:val="center"/>
        </w:trPr>
        <w:tc>
          <w:tcPr>
            <w:tcW w:w="680" w:type="dxa"/>
            <w:tcBorders>
              <w:top w:val="nil"/>
              <w:left w:val="single" w:sz="15" w:space="0" w:color="E6E6E6"/>
              <w:bottom w:val="single" w:sz="4" w:space="0" w:color="E6E6E6"/>
              <w:right w:val="nil"/>
            </w:tcBorders>
            <w:shd w:val="clear" w:color="auto" w:fill="FFFFFF"/>
            <w:tcMar>
              <w:left w:w="48" w:type="dxa"/>
              <w:right w:w="48" w:type="dxa"/>
            </w:tcMar>
          </w:tcPr>
          <w:p w14:paraId="341447A3" w14:textId="77777777" w:rsidR="00611548" w:rsidRPr="00C16CD7" w:rsidRDefault="00611548" w:rsidP="00F40AA5">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2013</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090D0206"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129</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5313506F"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16,80</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27018B44"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149</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01487A7C"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19,40</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548FA529"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178</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25C005FE"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23,18</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52B29606"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149</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2832393A"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19,40</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29CA1FC4"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102</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4A3176CC"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13,28</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66A74CB8"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55</w:t>
            </w:r>
          </w:p>
        </w:tc>
        <w:tc>
          <w:tcPr>
            <w:tcW w:w="423" w:type="dxa"/>
            <w:tcBorders>
              <w:top w:val="nil"/>
              <w:left w:val="single" w:sz="4" w:space="0" w:color="E6E6E6"/>
              <w:bottom w:val="single" w:sz="4" w:space="0" w:color="E6E6E6"/>
              <w:right w:val="nil"/>
            </w:tcBorders>
            <w:shd w:val="clear" w:color="auto" w:fill="FFFFFF"/>
            <w:tcMar>
              <w:left w:w="48" w:type="dxa"/>
              <w:right w:w="48" w:type="dxa"/>
            </w:tcMar>
            <w:vAlign w:val="bottom"/>
          </w:tcPr>
          <w:p w14:paraId="3B371C2A"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7,16</w:t>
            </w:r>
          </w:p>
        </w:tc>
        <w:tc>
          <w:tcPr>
            <w:tcW w:w="632" w:type="dxa"/>
            <w:tcBorders>
              <w:top w:val="nil"/>
              <w:left w:val="single" w:sz="4" w:space="0" w:color="E6E6E6"/>
              <w:bottom w:val="single" w:sz="4" w:space="0" w:color="E6E6E6"/>
              <w:right w:val="nil"/>
            </w:tcBorders>
            <w:shd w:val="clear" w:color="auto" w:fill="FFFFFF"/>
            <w:tcMar>
              <w:left w:w="48" w:type="dxa"/>
              <w:right w:w="48" w:type="dxa"/>
            </w:tcMar>
            <w:vAlign w:val="bottom"/>
          </w:tcPr>
          <w:p w14:paraId="4C40519F"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6</w:t>
            </w:r>
          </w:p>
        </w:tc>
        <w:tc>
          <w:tcPr>
            <w:tcW w:w="632" w:type="dxa"/>
            <w:tcBorders>
              <w:top w:val="nil"/>
              <w:left w:val="single" w:sz="4" w:space="0" w:color="E6E6E6"/>
              <w:bottom w:val="single" w:sz="4" w:space="0" w:color="E6E6E6"/>
              <w:right w:val="nil"/>
            </w:tcBorders>
            <w:shd w:val="clear" w:color="auto" w:fill="FFFFFF"/>
            <w:tcMar>
              <w:left w:w="48" w:type="dxa"/>
              <w:right w:w="48" w:type="dxa"/>
            </w:tcMar>
            <w:vAlign w:val="bottom"/>
          </w:tcPr>
          <w:p w14:paraId="5A881CD9"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0,78</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32C793BD"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768</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2D7B8A82"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100,00</w:t>
            </w:r>
          </w:p>
        </w:tc>
      </w:tr>
      <w:tr w:rsidR="00611548" w:rsidRPr="00C16CD7" w14:paraId="6419AEE4" w14:textId="77777777" w:rsidTr="00F40AA5">
        <w:trPr>
          <w:cantSplit/>
          <w:jc w:val="center"/>
        </w:trPr>
        <w:tc>
          <w:tcPr>
            <w:tcW w:w="680" w:type="dxa"/>
            <w:tcBorders>
              <w:top w:val="nil"/>
              <w:left w:val="single" w:sz="15" w:space="0" w:color="E6E6E6"/>
              <w:bottom w:val="single" w:sz="4" w:space="0" w:color="E6E6E6"/>
              <w:right w:val="nil"/>
            </w:tcBorders>
            <w:shd w:val="clear" w:color="auto" w:fill="FFFFFF"/>
            <w:tcMar>
              <w:left w:w="48" w:type="dxa"/>
              <w:right w:w="48" w:type="dxa"/>
            </w:tcMar>
          </w:tcPr>
          <w:p w14:paraId="233F397F" w14:textId="77777777" w:rsidR="00611548" w:rsidRPr="00C16CD7" w:rsidRDefault="00611548" w:rsidP="00F40AA5">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2014</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4B8D84D8"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154</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0F2E25CB"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15,71</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786C8F9F"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166</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77CEAD69"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16,94</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4EDF8F80"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222</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7191132A"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22,65</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65992126"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271</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3E99A86A"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27,65</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27DEBCC8"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109</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26FD0911"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11,12</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5451A4CB"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46</w:t>
            </w:r>
          </w:p>
        </w:tc>
        <w:tc>
          <w:tcPr>
            <w:tcW w:w="42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B2BF4DC"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4,69</w:t>
            </w:r>
          </w:p>
        </w:tc>
        <w:tc>
          <w:tcPr>
            <w:tcW w:w="632" w:type="dxa"/>
            <w:tcBorders>
              <w:top w:val="nil"/>
              <w:left w:val="single" w:sz="4" w:space="0" w:color="E6E6E6"/>
              <w:bottom w:val="single" w:sz="4" w:space="0" w:color="E6E6E6"/>
              <w:right w:val="nil"/>
            </w:tcBorders>
            <w:shd w:val="clear" w:color="auto" w:fill="FFFFFF"/>
            <w:tcMar>
              <w:left w:w="48" w:type="dxa"/>
              <w:right w:w="48" w:type="dxa"/>
            </w:tcMar>
            <w:vAlign w:val="bottom"/>
          </w:tcPr>
          <w:p w14:paraId="405D7217"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12</w:t>
            </w:r>
          </w:p>
        </w:tc>
        <w:tc>
          <w:tcPr>
            <w:tcW w:w="632" w:type="dxa"/>
            <w:tcBorders>
              <w:top w:val="nil"/>
              <w:left w:val="single" w:sz="4" w:space="0" w:color="E6E6E6"/>
              <w:bottom w:val="single" w:sz="4" w:space="0" w:color="E6E6E6"/>
              <w:right w:val="nil"/>
            </w:tcBorders>
            <w:shd w:val="clear" w:color="auto" w:fill="FFFFFF"/>
            <w:tcMar>
              <w:left w:w="48" w:type="dxa"/>
              <w:right w:w="48" w:type="dxa"/>
            </w:tcMar>
            <w:vAlign w:val="bottom"/>
          </w:tcPr>
          <w:p w14:paraId="5BEEB1D9"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1,22</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6F29B556"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980</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2E1E8679"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100,00</w:t>
            </w:r>
          </w:p>
        </w:tc>
      </w:tr>
      <w:tr w:rsidR="00611548" w:rsidRPr="00C16CD7" w14:paraId="1EAAA009" w14:textId="77777777" w:rsidTr="00F40AA5">
        <w:trPr>
          <w:cantSplit/>
          <w:jc w:val="center"/>
        </w:trPr>
        <w:tc>
          <w:tcPr>
            <w:tcW w:w="680" w:type="dxa"/>
            <w:tcBorders>
              <w:top w:val="nil"/>
              <w:left w:val="single" w:sz="15" w:space="0" w:color="E6E6E6"/>
              <w:bottom w:val="single" w:sz="4" w:space="0" w:color="E6E6E6"/>
              <w:right w:val="nil"/>
            </w:tcBorders>
            <w:shd w:val="clear" w:color="auto" w:fill="FFFFFF"/>
            <w:tcMar>
              <w:left w:w="48" w:type="dxa"/>
              <w:right w:w="48" w:type="dxa"/>
            </w:tcMar>
          </w:tcPr>
          <w:p w14:paraId="48573FFD" w14:textId="77777777" w:rsidR="00611548" w:rsidRPr="00C16CD7" w:rsidRDefault="00611548" w:rsidP="00F40AA5">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2015</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563E9A9C"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153</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3ABE3A60"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18,09</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2ED23756"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182</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51A1BC80"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21,51</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44C967AC"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212</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7D9AFDE8"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25,06</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3E0BB7F9"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153</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629DADB0"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18,09</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561D17CC"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88</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3526C54D"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10,40</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2B6BECCC"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45</w:t>
            </w:r>
          </w:p>
        </w:tc>
        <w:tc>
          <w:tcPr>
            <w:tcW w:w="423" w:type="dxa"/>
            <w:tcBorders>
              <w:top w:val="nil"/>
              <w:left w:val="single" w:sz="4" w:space="0" w:color="E6E6E6"/>
              <w:bottom w:val="single" w:sz="4" w:space="0" w:color="E6E6E6"/>
              <w:right w:val="nil"/>
            </w:tcBorders>
            <w:shd w:val="clear" w:color="auto" w:fill="FFFFFF"/>
            <w:tcMar>
              <w:left w:w="48" w:type="dxa"/>
              <w:right w:w="48" w:type="dxa"/>
            </w:tcMar>
            <w:vAlign w:val="bottom"/>
          </w:tcPr>
          <w:p w14:paraId="66680F12"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5,32</w:t>
            </w:r>
          </w:p>
        </w:tc>
        <w:tc>
          <w:tcPr>
            <w:tcW w:w="632" w:type="dxa"/>
            <w:tcBorders>
              <w:top w:val="nil"/>
              <w:left w:val="single" w:sz="4" w:space="0" w:color="E6E6E6"/>
              <w:bottom w:val="single" w:sz="4" w:space="0" w:color="E6E6E6"/>
              <w:right w:val="nil"/>
            </w:tcBorders>
            <w:shd w:val="clear" w:color="auto" w:fill="FFFFFF"/>
            <w:tcMar>
              <w:left w:w="48" w:type="dxa"/>
              <w:right w:w="48" w:type="dxa"/>
            </w:tcMar>
            <w:vAlign w:val="bottom"/>
          </w:tcPr>
          <w:p w14:paraId="411711E3"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13</w:t>
            </w:r>
          </w:p>
        </w:tc>
        <w:tc>
          <w:tcPr>
            <w:tcW w:w="632" w:type="dxa"/>
            <w:tcBorders>
              <w:top w:val="nil"/>
              <w:left w:val="single" w:sz="4" w:space="0" w:color="E6E6E6"/>
              <w:bottom w:val="single" w:sz="4" w:space="0" w:color="E6E6E6"/>
              <w:right w:val="nil"/>
            </w:tcBorders>
            <w:shd w:val="clear" w:color="auto" w:fill="FFFFFF"/>
            <w:tcMar>
              <w:left w:w="48" w:type="dxa"/>
              <w:right w:w="48" w:type="dxa"/>
            </w:tcMar>
            <w:vAlign w:val="bottom"/>
          </w:tcPr>
          <w:p w14:paraId="2D15FDF8"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1,54</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3FBCD807"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846</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4AB86294"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100,00</w:t>
            </w:r>
          </w:p>
        </w:tc>
      </w:tr>
      <w:tr w:rsidR="00611548" w:rsidRPr="00C16CD7" w14:paraId="742C9B4E" w14:textId="77777777" w:rsidTr="00F40AA5">
        <w:trPr>
          <w:cantSplit/>
          <w:jc w:val="center"/>
        </w:trPr>
        <w:tc>
          <w:tcPr>
            <w:tcW w:w="680" w:type="dxa"/>
            <w:tcBorders>
              <w:top w:val="nil"/>
              <w:left w:val="single" w:sz="15" w:space="0" w:color="E6E6E6"/>
              <w:bottom w:val="single" w:sz="4" w:space="0" w:color="E6E6E6"/>
              <w:right w:val="nil"/>
            </w:tcBorders>
            <w:shd w:val="clear" w:color="auto" w:fill="FFFFFF"/>
            <w:tcMar>
              <w:left w:w="48" w:type="dxa"/>
              <w:right w:w="48" w:type="dxa"/>
            </w:tcMar>
          </w:tcPr>
          <w:p w14:paraId="12CA2BB3" w14:textId="77777777" w:rsidR="00611548" w:rsidRPr="00C16CD7" w:rsidRDefault="00611548" w:rsidP="00F40AA5">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2016</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70FB2EDE"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151</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6F41E75E"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18,97</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4E55F091"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155</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51FAC869"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19,47</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1CE746E7"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172</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6F97CED4"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21,61</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2DE67CB9"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171</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7E4B99A6"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21,48</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35526A58"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85</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35C6812B"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10,68</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1B56283D"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42</w:t>
            </w:r>
          </w:p>
        </w:tc>
        <w:tc>
          <w:tcPr>
            <w:tcW w:w="42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35268ED"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5,28</w:t>
            </w:r>
          </w:p>
        </w:tc>
        <w:tc>
          <w:tcPr>
            <w:tcW w:w="632" w:type="dxa"/>
            <w:tcBorders>
              <w:top w:val="nil"/>
              <w:left w:val="single" w:sz="4" w:space="0" w:color="E6E6E6"/>
              <w:bottom w:val="single" w:sz="4" w:space="0" w:color="E6E6E6"/>
              <w:right w:val="nil"/>
            </w:tcBorders>
            <w:shd w:val="clear" w:color="auto" w:fill="FFFFFF"/>
            <w:tcMar>
              <w:left w:w="48" w:type="dxa"/>
              <w:right w:w="48" w:type="dxa"/>
            </w:tcMar>
            <w:vAlign w:val="bottom"/>
          </w:tcPr>
          <w:p w14:paraId="1B9031DA"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20</w:t>
            </w:r>
          </w:p>
        </w:tc>
        <w:tc>
          <w:tcPr>
            <w:tcW w:w="632" w:type="dxa"/>
            <w:tcBorders>
              <w:top w:val="nil"/>
              <w:left w:val="single" w:sz="4" w:space="0" w:color="E6E6E6"/>
              <w:bottom w:val="single" w:sz="4" w:space="0" w:color="E6E6E6"/>
              <w:right w:val="nil"/>
            </w:tcBorders>
            <w:shd w:val="clear" w:color="auto" w:fill="FFFFFF"/>
            <w:tcMar>
              <w:left w:w="48" w:type="dxa"/>
              <w:right w:w="48" w:type="dxa"/>
            </w:tcMar>
            <w:vAlign w:val="bottom"/>
          </w:tcPr>
          <w:p w14:paraId="05D5454D"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2,51</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61D04AED"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796</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0ED74988"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100,00</w:t>
            </w:r>
          </w:p>
        </w:tc>
      </w:tr>
      <w:tr w:rsidR="00611548" w:rsidRPr="00C16CD7" w14:paraId="1F2B7329" w14:textId="77777777" w:rsidTr="00F40AA5">
        <w:trPr>
          <w:cantSplit/>
          <w:jc w:val="center"/>
        </w:trPr>
        <w:tc>
          <w:tcPr>
            <w:tcW w:w="680" w:type="dxa"/>
            <w:tcBorders>
              <w:top w:val="nil"/>
              <w:left w:val="single" w:sz="15" w:space="0" w:color="E6E6E6"/>
              <w:bottom w:val="single" w:sz="15" w:space="0" w:color="E6E6E6"/>
              <w:right w:val="nil"/>
            </w:tcBorders>
            <w:shd w:val="clear" w:color="auto" w:fill="FFFFFF"/>
            <w:tcMar>
              <w:left w:w="48" w:type="dxa"/>
              <w:right w:w="48" w:type="dxa"/>
            </w:tcMar>
          </w:tcPr>
          <w:p w14:paraId="6E4EE250" w14:textId="77777777" w:rsidR="00611548" w:rsidRPr="00C16CD7" w:rsidRDefault="00611548" w:rsidP="00F40AA5">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TOTAL</w:t>
            </w:r>
          </w:p>
        </w:tc>
        <w:tc>
          <w:tcPr>
            <w:tcW w:w="378" w:type="dxa"/>
            <w:tcBorders>
              <w:top w:val="nil"/>
              <w:left w:val="single" w:sz="4" w:space="0" w:color="E6E6E6"/>
              <w:bottom w:val="single" w:sz="15" w:space="0" w:color="E6E6E6"/>
              <w:right w:val="nil"/>
            </w:tcBorders>
            <w:shd w:val="clear" w:color="auto" w:fill="FFFFFF"/>
            <w:tcMar>
              <w:left w:w="48" w:type="dxa"/>
              <w:right w:w="48" w:type="dxa"/>
            </w:tcMar>
            <w:vAlign w:val="bottom"/>
          </w:tcPr>
          <w:p w14:paraId="634D1551"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733</w:t>
            </w:r>
          </w:p>
        </w:tc>
        <w:tc>
          <w:tcPr>
            <w:tcW w:w="514" w:type="dxa"/>
            <w:tcBorders>
              <w:top w:val="nil"/>
              <w:left w:val="single" w:sz="4" w:space="0" w:color="E6E6E6"/>
              <w:bottom w:val="single" w:sz="15" w:space="0" w:color="E6E6E6"/>
              <w:right w:val="nil"/>
            </w:tcBorders>
            <w:shd w:val="clear" w:color="auto" w:fill="FFFFFF"/>
            <w:tcMar>
              <w:left w:w="48" w:type="dxa"/>
              <w:right w:w="48" w:type="dxa"/>
            </w:tcMar>
            <w:vAlign w:val="bottom"/>
          </w:tcPr>
          <w:p w14:paraId="1F37A0D1"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17,28</w:t>
            </w:r>
          </w:p>
        </w:tc>
        <w:tc>
          <w:tcPr>
            <w:tcW w:w="378" w:type="dxa"/>
            <w:tcBorders>
              <w:top w:val="nil"/>
              <w:left w:val="single" w:sz="4" w:space="0" w:color="E6E6E6"/>
              <w:bottom w:val="single" w:sz="15" w:space="0" w:color="E6E6E6"/>
              <w:right w:val="nil"/>
            </w:tcBorders>
            <w:shd w:val="clear" w:color="auto" w:fill="FFFFFF"/>
            <w:tcMar>
              <w:left w:w="48" w:type="dxa"/>
              <w:right w:w="48" w:type="dxa"/>
            </w:tcMar>
            <w:vAlign w:val="bottom"/>
          </w:tcPr>
          <w:p w14:paraId="342123FB"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790</w:t>
            </w:r>
          </w:p>
        </w:tc>
        <w:tc>
          <w:tcPr>
            <w:tcW w:w="514" w:type="dxa"/>
            <w:tcBorders>
              <w:top w:val="nil"/>
              <w:left w:val="single" w:sz="4" w:space="0" w:color="E6E6E6"/>
              <w:bottom w:val="single" w:sz="15" w:space="0" w:color="E6E6E6"/>
              <w:right w:val="nil"/>
            </w:tcBorders>
            <w:shd w:val="clear" w:color="auto" w:fill="FFFFFF"/>
            <w:tcMar>
              <w:left w:w="48" w:type="dxa"/>
              <w:right w:w="48" w:type="dxa"/>
            </w:tcMar>
            <w:vAlign w:val="bottom"/>
          </w:tcPr>
          <w:p w14:paraId="766E148B"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18,62</w:t>
            </w:r>
          </w:p>
        </w:tc>
        <w:tc>
          <w:tcPr>
            <w:tcW w:w="378" w:type="dxa"/>
            <w:tcBorders>
              <w:top w:val="nil"/>
              <w:left w:val="single" w:sz="4" w:space="0" w:color="E6E6E6"/>
              <w:bottom w:val="single" w:sz="15" w:space="0" w:color="E6E6E6"/>
              <w:right w:val="nil"/>
            </w:tcBorders>
            <w:shd w:val="clear" w:color="auto" w:fill="FFFFFF"/>
            <w:tcMar>
              <w:left w:w="48" w:type="dxa"/>
              <w:right w:w="48" w:type="dxa"/>
            </w:tcMar>
            <w:vAlign w:val="bottom"/>
          </w:tcPr>
          <w:p w14:paraId="781719D2"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988</w:t>
            </w:r>
          </w:p>
        </w:tc>
        <w:tc>
          <w:tcPr>
            <w:tcW w:w="514" w:type="dxa"/>
            <w:tcBorders>
              <w:top w:val="nil"/>
              <w:left w:val="single" w:sz="4" w:space="0" w:color="E6E6E6"/>
              <w:bottom w:val="single" w:sz="15" w:space="0" w:color="E6E6E6"/>
              <w:right w:val="nil"/>
            </w:tcBorders>
            <w:shd w:val="clear" w:color="auto" w:fill="FFFFFF"/>
            <w:tcMar>
              <w:left w:w="48" w:type="dxa"/>
              <w:right w:w="48" w:type="dxa"/>
            </w:tcMar>
            <w:vAlign w:val="bottom"/>
          </w:tcPr>
          <w:p w14:paraId="29467AC3"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23,29</w:t>
            </w:r>
          </w:p>
        </w:tc>
        <w:tc>
          <w:tcPr>
            <w:tcW w:w="378" w:type="dxa"/>
            <w:tcBorders>
              <w:top w:val="nil"/>
              <w:left w:val="single" w:sz="4" w:space="0" w:color="E6E6E6"/>
              <w:bottom w:val="single" w:sz="15" w:space="0" w:color="E6E6E6"/>
              <w:right w:val="nil"/>
            </w:tcBorders>
            <w:shd w:val="clear" w:color="auto" w:fill="FFFFFF"/>
            <w:tcMar>
              <w:left w:w="48" w:type="dxa"/>
              <w:right w:w="48" w:type="dxa"/>
            </w:tcMar>
            <w:vAlign w:val="bottom"/>
          </w:tcPr>
          <w:p w14:paraId="0FE04CDB"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936</w:t>
            </w:r>
          </w:p>
        </w:tc>
        <w:tc>
          <w:tcPr>
            <w:tcW w:w="514" w:type="dxa"/>
            <w:tcBorders>
              <w:top w:val="nil"/>
              <w:left w:val="single" w:sz="4" w:space="0" w:color="E6E6E6"/>
              <w:bottom w:val="single" w:sz="15" w:space="0" w:color="E6E6E6"/>
              <w:right w:val="nil"/>
            </w:tcBorders>
            <w:shd w:val="clear" w:color="auto" w:fill="FFFFFF"/>
            <w:tcMar>
              <w:left w:w="48" w:type="dxa"/>
              <w:right w:w="48" w:type="dxa"/>
            </w:tcMar>
            <w:vAlign w:val="bottom"/>
          </w:tcPr>
          <w:p w14:paraId="2AF12203"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22,06</w:t>
            </w:r>
          </w:p>
        </w:tc>
        <w:tc>
          <w:tcPr>
            <w:tcW w:w="378" w:type="dxa"/>
            <w:tcBorders>
              <w:top w:val="nil"/>
              <w:left w:val="single" w:sz="4" w:space="0" w:color="E6E6E6"/>
              <w:bottom w:val="single" w:sz="15" w:space="0" w:color="E6E6E6"/>
              <w:right w:val="nil"/>
            </w:tcBorders>
            <w:shd w:val="clear" w:color="auto" w:fill="FFFFFF"/>
            <w:tcMar>
              <w:left w:w="48" w:type="dxa"/>
              <w:right w:w="48" w:type="dxa"/>
            </w:tcMar>
            <w:vAlign w:val="bottom"/>
          </w:tcPr>
          <w:p w14:paraId="7FB28642"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490</w:t>
            </w:r>
          </w:p>
        </w:tc>
        <w:tc>
          <w:tcPr>
            <w:tcW w:w="514" w:type="dxa"/>
            <w:tcBorders>
              <w:top w:val="nil"/>
              <w:left w:val="single" w:sz="4" w:space="0" w:color="E6E6E6"/>
              <w:bottom w:val="single" w:sz="15" w:space="0" w:color="E6E6E6"/>
              <w:right w:val="nil"/>
            </w:tcBorders>
            <w:shd w:val="clear" w:color="auto" w:fill="FFFFFF"/>
            <w:tcMar>
              <w:left w:w="48" w:type="dxa"/>
              <w:right w:w="48" w:type="dxa"/>
            </w:tcMar>
            <w:vAlign w:val="bottom"/>
          </w:tcPr>
          <w:p w14:paraId="7ED58284"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11,55</w:t>
            </w:r>
          </w:p>
        </w:tc>
        <w:tc>
          <w:tcPr>
            <w:tcW w:w="378" w:type="dxa"/>
            <w:tcBorders>
              <w:top w:val="nil"/>
              <w:left w:val="single" w:sz="4" w:space="0" w:color="E6E6E6"/>
              <w:bottom w:val="single" w:sz="15" w:space="0" w:color="E6E6E6"/>
              <w:right w:val="nil"/>
            </w:tcBorders>
            <w:shd w:val="clear" w:color="auto" w:fill="FFFFFF"/>
            <w:tcMar>
              <w:left w:w="48" w:type="dxa"/>
              <w:right w:w="48" w:type="dxa"/>
            </w:tcMar>
            <w:vAlign w:val="bottom"/>
          </w:tcPr>
          <w:p w14:paraId="5FFCFB69"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244</w:t>
            </w:r>
          </w:p>
        </w:tc>
        <w:tc>
          <w:tcPr>
            <w:tcW w:w="423" w:type="dxa"/>
            <w:tcBorders>
              <w:top w:val="nil"/>
              <w:left w:val="single" w:sz="4" w:space="0" w:color="E6E6E6"/>
              <w:bottom w:val="single" w:sz="15" w:space="0" w:color="E6E6E6"/>
              <w:right w:val="nil"/>
            </w:tcBorders>
            <w:shd w:val="clear" w:color="auto" w:fill="FFFFFF"/>
            <w:tcMar>
              <w:left w:w="48" w:type="dxa"/>
              <w:right w:w="48" w:type="dxa"/>
            </w:tcMar>
            <w:vAlign w:val="bottom"/>
          </w:tcPr>
          <w:p w14:paraId="0745D5EC"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5,75</w:t>
            </w:r>
          </w:p>
        </w:tc>
        <w:tc>
          <w:tcPr>
            <w:tcW w:w="632" w:type="dxa"/>
            <w:tcBorders>
              <w:top w:val="nil"/>
              <w:left w:val="single" w:sz="4" w:space="0" w:color="E6E6E6"/>
              <w:bottom w:val="single" w:sz="15" w:space="0" w:color="E6E6E6"/>
              <w:right w:val="nil"/>
            </w:tcBorders>
            <w:shd w:val="clear" w:color="auto" w:fill="FFFFFF"/>
            <w:tcMar>
              <w:left w:w="48" w:type="dxa"/>
              <w:right w:w="48" w:type="dxa"/>
            </w:tcMar>
            <w:vAlign w:val="bottom"/>
          </w:tcPr>
          <w:p w14:paraId="1D2C6BFE"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62</w:t>
            </w:r>
          </w:p>
        </w:tc>
        <w:tc>
          <w:tcPr>
            <w:tcW w:w="632" w:type="dxa"/>
            <w:tcBorders>
              <w:top w:val="nil"/>
              <w:left w:val="single" w:sz="4" w:space="0" w:color="E6E6E6"/>
              <w:bottom w:val="single" w:sz="15" w:space="0" w:color="E6E6E6"/>
              <w:right w:val="nil"/>
            </w:tcBorders>
            <w:shd w:val="clear" w:color="auto" w:fill="FFFFFF"/>
            <w:tcMar>
              <w:left w:w="48" w:type="dxa"/>
              <w:right w:w="48" w:type="dxa"/>
            </w:tcMar>
            <w:vAlign w:val="bottom"/>
          </w:tcPr>
          <w:p w14:paraId="4C37BE06"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1,46</w:t>
            </w:r>
          </w:p>
        </w:tc>
        <w:tc>
          <w:tcPr>
            <w:tcW w:w="514" w:type="dxa"/>
            <w:tcBorders>
              <w:top w:val="nil"/>
              <w:left w:val="single" w:sz="4" w:space="0" w:color="E6E6E6"/>
              <w:bottom w:val="single" w:sz="15" w:space="0" w:color="E6E6E6"/>
              <w:right w:val="nil"/>
            </w:tcBorders>
            <w:shd w:val="clear" w:color="auto" w:fill="FFFFFF"/>
            <w:tcMar>
              <w:left w:w="48" w:type="dxa"/>
              <w:right w:w="48" w:type="dxa"/>
            </w:tcMar>
            <w:vAlign w:val="bottom"/>
          </w:tcPr>
          <w:p w14:paraId="1181C25A"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4.243</w:t>
            </w:r>
          </w:p>
        </w:tc>
        <w:tc>
          <w:tcPr>
            <w:tcW w:w="605" w:type="dxa"/>
            <w:tcBorders>
              <w:top w:val="nil"/>
              <w:left w:val="single" w:sz="4" w:space="0" w:color="E6E6E6"/>
              <w:bottom w:val="single" w:sz="15" w:space="0" w:color="E6E6E6"/>
              <w:right w:val="single" w:sz="15" w:space="0" w:color="E6E6E6"/>
            </w:tcBorders>
            <w:shd w:val="clear" w:color="auto" w:fill="FFFFFF"/>
            <w:tcMar>
              <w:left w:w="48" w:type="dxa"/>
              <w:right w:w="48" w:type="dxa"/>
            </w:tcMar>
            <w:vAlign w:val="bottom"/>
          </w:tcPr>
          <w:p w14:paraId="3A09A5D3" w14:textId="77777777" w:rsidR="00611548" w:rsidRPr="00C16CD7" w:rsidRDefault="00611548"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100,00</w:t>
            </w:r>
          </w:p>
        </w:tc>
      </w:tr>
    </w:tbl>
    <w:p w14:paraId="53938C6C" w14:textId="77777777" w:rsidR="00611548" w:rsidRPr="00C16CD7" w:rsidRDefault="00611548" w:rsidP="00C2595A">
      <w:pPr>
        <w:keepNext/>
        <w:adjustRightInd w:val="0"/>
        <w:ind w:left="1620"/>
        <w:jc w:val="center"/>
        <w:rPr>
          <w:i/>
          <w:sz w:val="16"/>
          <w:szCs w:val="16"/>
          <w:lang w:val="fr-BE"/>
        </w:rPr>
      </w:pPr>
    </w:p>
    <w:p w14:paraId="2EF37CC4" w14:textId="77777777" w:rsidR="00C2595A" w:rsidRPr="00C16CD7" w:rsidRDefault="00C2595A" w:rsidP="00C2595A">
      <w:pPr>
        <w:adjustRightInd w:val="0"/>
        <w:jc w:val="center"/>
        <w:rPr>
          <w:i/>
          <w:sz w:val="16"/>
          <w:szCs w:val="16"/>
          <w:lang w:val="fr-BE"/>
        </w:rPr>
      </w:pPr>
      <w:r w:rsidRPr="00C16CD7">
        <w:rPr>
          <w:i/>
          <w:sz w:val="16"/>
          <w:szCs w:val="16"/>
          <w:lang w:val="fr-BE"/>
        </w:rPr>
        <w:t>Source : banque de données du Collège des procureurs généraux – Analystes statistiques.</w:t>
      </w:r>
    </w:p>
    <w:p w14:paraId="4E06390E" w14:textId="77777777" w:rsidR="00C2595A" w:rsidRPr="00C16CD7" w:rsidRDefault="00C2595A" w:rsidP="00C2595A">
      <w:pPr>
        <w:adjustRightInd w:val="0"/>
        <w:jc w:val="both"/>
        <w:rPr>
          <w:rFonts w:ascii="Arial" w:hAnsi="Arial" w:cs="Arial"/>
          <w:sz w:val="20"/>
          <w:szCs w:val="20"/>
          <w:lang w:val="fr-BE"/>
        </w:rPr>
      </w:pPr>
    </w:p>
    <w:p w14:paraId="5FC79D5C" w14:textId="77777777" w:rsidR="002920A4" w:rsidRPr="00C16CD7" w:rsidRDefault="002920A4" w:rsidP="0030458E">
      <w:pPr>
        <w:adjustRightInd w:val="0"/>
        <w:spacing w:before="240" w:after="240" w:line="276" w:lineRule="auto"/>
        <w:jc w:val="both"/>
        <w:rPr>
          <w:rFonts w:ascii="Arial" w:hAnsi="Arial" w:cs="Arial"/>
          <w:sz w:val="20"/>
          <w:szCs w:val="20"/>
          <w:lang w:val="fr-BE"/>
        </w:rPr>
      </w:pPr>
      <w:r w:rsidRPr="00C16CD7">
        <w:rPr>
          <w:rFonts w:ascii="Arial" w:hAnsi="Arial" w:cs="Arial"/>
          <w:sz w:val="20"/>
          <w:szCs w:val="20"/>
          <w:lang w:val="fr-BE"/>
        </w:rPr>
        <w:t>L</w:t>
      </w:r>
      <w:r w:rsidR="00C2595A" w:rsidRPr="00C16CD7">
        <w:rPr>
          <w:rFonts w:ascii="Arial" w:hAnsi="Arial" w:cs="Arial"/>
          <w:sz w:val="20"/>
          <w:szCs w:val="20"/>
          <w:lang w:val="fr-BE"/>
        </w:rPr>
        <w:t xml:space="preserve">es données sont </w:t>
      </w:r>
      <w:r w:rsidRPr="00C16CD7">
        <w:rPr>
          <w:rFonts w:ascii="Arial" w:hAnsi="Arial" w:cs="Arial"/>
          <w:sz w:val="20"/>
          <w:szCs w:val="20"/>
          <w:lang w:val="fr-BE"/>
        </w:rPr>
        <w:t xml:space="preserve">réparties selon la catégorie d’âge à laquelle le prévenu appartient. </w:t>
      </w:r>
    </w:p>
    <w:p w14:paraId="1E9C0C60" w14:textId="5D5AEA78" w:rsidR="002920A4" w:rsidRPr="00C16CD7" w:rsidRDefault="002920A4" w:rsidP="0030458E">
      <w:pPr>
        <w:adjustRightInd w:val="0"/>
        <w:spacing w:before="240" w:after="240" w:line="276" w:lineRule="auto"/>
        <w:jc w:val="both"/>
        <w:rPr>
          <w:rFonts w:ascii="Arial" w:hAnsi="Arial" w:cs="Arial"/>
          <w:sz w:val="20"/>
          <w:szCs w:val="20"/>
          <w:lang w:val="fr-BE"/>
        </w:rPr>
      </w:pPr>
      <w:r w:rsidRPr="00C16CD7">
        <w:rPr>
          <w:rFonts w:ascii="Arial" w:hAnsi="Arial" w:cs="Arial"/>
          <w:sz w:val="20"/>
          <w:szCs w:val="20"/>
          <w:lang w:val="fr-BE"/>
        </w:rPr>
        <w:t xml:space="preserve">Parmi les </w:t>
      </w:r>
      <w:r w:rsidR="00611548" w:rsidRPr="00C16CD7">
        <w:rPr>
          <w:rFonts w:ascii="Arial" w:hAnsi="Arial" w:cs="Arial"/>
          <w:sz w:val="20"/>
          <w:szCs w:val="20"/>
          <w:lang w:val="fr-BE"/>
        </w:rPr>
        <w:t>4</w:t>
      </w:r>
      <w:r w:rsidRPr="00C16CD7">
        <w:rPr>
          <w:rFonts w:ascii="Arial" w:hAnsi="Arial" w:cs="Arial"/>
          <w:sz w:val="20"/>
          <w:szCs w:val="20"/>
          <w:lang w:val="fr-BE"/>
        </w:rPr>
        <w:t>.</w:t>
      </w:r>
      <w:r w:rsidR="00611548" w:rsidRPr="00C16CD7">
        <w:rPr>
          <w:rFonts w:ascii="Arial" w:hAnsi="Arial" w:cs="Arial"/>
          <w:sz w:val="20"/>
          <w:szCs w:val="20"/>
          <w:lang w:val="fr-BE"/>
        </w:rPr>
        <w:t>243</w:t>
      </w:r>
      <w:r w:rsidRPr="00C16CD7">
        <w:rPr>
          <w:rFonts w:ascii="Arial" w:hAnsi="Arial" w:cs="Arial"/>
          <w:sz w:val="20"/>
          <w:szCs w:val="20"/>
          <w:lang w:val="fr-BE"/>
        </w:rPr>
        <w:t xml:space="preserve"> prévenus recensés, nous observons que ce sont les catégories d’âge </w:t>
      </w:r>
      <w:r w:rsidR="00611548" w:rsidRPr="00C16CD7">
        <w:rPr>
          <w:rFonts w:ascii="Arial" w:hAnsi="Arial" w:cs="Arial"/>
          <w:sz w:val="20"/>
          <w:szCs w:val="20"/>
          <w:lang w:val="fr-BE"/>
        </w:rPr>
        <w:t>41</w:t>
      </w:r>
      <w:r w:rsidRPr="00C16CD7">
        <w:rPr>
          <w:rFonts w:ascii="Arial" w:hAnsi="Arial" w:cs="Arial"/>
          <w:sz w:val="20"/>
          <w:szCs w:val="20"/>
          <w:lang w:val="fr-BE"/>
        </w:rPr>
        <w:t>-</w:t>
      </w:r>
      <w:r w:rsidR="00611548" w:rsidRPr="00C16CD7">
        <w:rPr>
          <w:rFonts w:ascii="Arial" w:hAnsi="Arial" w:cs="Arial"/>
          <w:sz w:val="20"/>
          <w:szCs w:val="20"/>
          <w:lang w:val="fr-BE"/>
        </w:rPr>
        <w:t>50</w:t>
      </w:r>
      <w:r w:rsidRPr="00C16CD7">
        <w:rPr>
          <w:rFonts w:ascii="Arial" w:hAnsi="Arial" w:cs="Arial"/>
          <w:sz w:val="20"/>
          <w:szCs w:val="20"/>
          <w:lang w:val="fr-BE"/>
        </w:rPr>
        <w:t xml:space="preserve"> ans et </w:t>
      </w:r>
      <w:r w:rsidR="00611548" w:rsidRPr="00C16CD7">
        <w:rPr>
          <w:rFonts w:ascii="Arial" w:hAnsi="Arial" w:cs="Arial"/>
          <w:sz w:val="20"/>
          <w:szCs w:val="20"/>
          <w:lang w:val="fr-BE"/>
        </w:rPr>
        <w:t>51</w:t>
      </w:r>
      <w:r w:rsidRPr="00C16CD7">
        <w:rPr>
          <w:rFonts w:ascii="Arial" w:hAnsi="Arial" w:cs="Arial"/>
          <w:sz w:val="20"/>
          <w:szCs w:val="20"/>
          <w:lang w:val="fr-BE"/>
        </w:rPr>
        <w:t>-</w:t>
      </w:r>
      <w:r w:rsidR="00611548" w:rsidRPr="00C16CD7">
        <w:rPr>
          <w:rFonts w:ascii="Arial" w:hAnsi="Arial" w:cs="Arial"/>
          <w:sz w:val="20"/>
          <w:szCs w:val="20"/>
          <w:lang w:val="fr-BE"/>
        </w:rPr>
        <w:t>60</w:t>
      </w:r>
      <w:r w:rsidRPr="00C16CD7">
        <w:rPr>
          <w:rFonts w:ascii="Arial" w:hAnsi="Arial" w:cs="Arial"/>
          <w:sz w:val="20"/>
          <w:szCs w:val="20"/>
          <w:lang w:val="fr-BE"/>
        </w:rPr>
        <w:t xml:space="preserve"> ans qui sont les plus représentées avec respectivement </w:t>
      </w:r>
      <w:r w:rsidR="00611548" w:rsidRPr="00C16CD7">
        <w:rPr>
          <w:rFonts w:ascii="Arial" w:hAnsi="Arial" w:cs="Arial"/>
          <w:sz w:val="20"/>
          <w:szCs w:val="20"/>
          <w:lang w:val="fr-BE"/>
        </w:rPr>
        <w:t>988</w:t>
      </w:r>
      <w:r w:rsidRPr="00C16CD7">
        <w:rPr>
          <w:rFonts w:ascii="Arial" w:hAnsi="Arial" w:cs="Arial"/>
          <w:sz w:val="20"/>
          <w:szCs w:val="20"/>
          <w:lang w:val="fr-BE"/>
        </w:rPr>
        <w:t xml:space="preserve"> et </w:t>
      </w:r>
      <w:r w:rsidR="00611548" w:rsidRPr="00C16CD7">
        <w:rPr>
          <w:rFonts w:ascii="Arial" w:hAnsi="Arial" w:cs="Arial"/>
          <w:sz w:val="20"/>
          <w:szCs w:val="20"/>
          <w:lang w:val="fr-BE"/>
        </w:rPr>
        <w:t>936</w:t>
      </w:r>
      <w:r w:rsidRPr="00C16CD7">
        <w:rPr>
          <w:rFonts w:ascii="Arial" w:hAnsi="Arial" w:cs="Arial"/>
          <w:sz w:val="20"/>
          <w:szCs w:val="20"/>
          <w:lang w:val="fr-BE"/>
        </w:rPr>
        <w:t xml:space="preserve"> unités.</w:t>
      </w:r>
    </w:p>
    <w:p w14:paraId="0E76289D" w14:textId="60C3323C" w:rsidR="002920A4" w:rsidRPr="00C16CD7" w:rsidRDefault="002920A4" w:rsidP="0030458E">
      <w:pPr>
        <w:adjustRightInd w:val="0"/>
        <w:spacing w:before="240" w:after="240" w:line="276" w:lineRule="auto"/>
        <w:jc w:val="both"/>
        <w:rPr>
          <w:rFonts w:ascii="Arial" w:hAnsi="Arial" w:cs="Arial"/>
          <w:sz w:val="20"/>
          <w:szCs w:val="20"/>
          <w:lang w:val="fr-BE"/>
        </w:rPr>
      </w:pPr>
      <w:r w:rsidRPr="00C16CD7">
        <w:rPr>
          <w:rFonts w:ascii="Arial" w:hAnsi="Arial" w:cs="Arial"/>
          <w:sz w:val="20"/>
          <w:szCs w:val="20"/>
          <w:lang w:val="fr-BE"/>
        </w:rPr>
        <w:t>Nous pouvons également constater que la prop</w:t>
      </w:r>
      <w:r w:rsidR="00F40AA5" w:rsidRPr="00C16CD7">
        <w:rPr>
          <w:rFonts w:ascii="Arial" w:hAnsi="Arial" w:cs="Arial"/>
          <w:sz w:val="20"/>
          <w:szCs w:val="20"/>
          <w:lang w:val="fr-BE"/>
        </w:rPr>
        <w:t>ortion de prévenus repris dans l</w:t>
      </w:r>
      <w:r w:rsidRPr="00C16CD7">
        <w:rPr>
          <w:rFonts w:ascii="Arial" w:hAnsi="Arial" w:cs="Arial"/>
          <w:sz w:val="20"/>
          <w:szCs w:val="20"/>
          <w:lang w:val="fr-BE"/>
        </w:rPr>
        <w:t xml:space="preserve">es rubriques a sensiblement </w:t>
      </w:r>
      <w:r w:rsidR="00BA3F36" w:rsidRPr="00C16CD7">
        <w:rPr>
          <w:rFonts w:ascii="Arial" w:hAnsi="Arial" w:cs="Arial"/>
          <w:sz w:val="20"/>
          <w:szCs w:val="20"/>
          <w:lang w:val="fr-BE"/>
        </w:rPr>
        <w:t>varié</w:t>
      </w:r>
      <w:r w:rsidRPr="00C16CD7">
        <w:rPr>
          <w:rFonts w:ascii="Arial" w:hAnsi="Arial" w:cs="Arial"/>
          <w:sz w:val="20"/>
          <w:szCs w:val="20"/>
          <w:lang w:val="fr-BE"/>
        </w:rPr>
        <w:t xml:space="preserve"> au cours des 5 années étudiées. En effet, en 201</w:t>
      </w:r>
      <w:r w:rsidR="00F40AA5" w:rsidRPr="00C16CD7">
        <w:rPr>
          <w:rFonts w:ascii="Arial" w:hAnsi="Arial" w:cs="Arial"/>
          <w:sz w:val="20"/>
          <w:szCs w:val="20"/>
          <w:lang w:val="fr-BE"/>
        </w:rPr>
        <w:t>5</w:t>
      </w:r>
      <w:r w:rsidRPr="00C16CD7">
        <w:rPr>
          <w:rFonts w:ascii="Arial" w:hAnsi="Arial" w:cs="Arial"/>
          <w:sz w:val="20"/>
          <w:szCs w:val="20"/>
          <w:lang w:val="fr-BE"/>
        </w:rPr>
        <w:t xml:space="preserve">, </w:t>
      </w:r>
      <w:r w:rsidR="00F40AA5" w:rsidRPr="00C16CD7">
        <w:rPr>
          <w:rFonts w:ascii="Arial" w:hAnsi="Arial" w:cs="Arial"/>
          <w:sz w:val="20"/>
          <w:szCs w:val="20"/>
          <w:lang w:val="fr-BE"/>
        </w:rPr>
        <w:t>la catégorie des prévenus âgés de 51 à 60 ans regroupai</w:t>
      </w:r>
      <w:r w:rsidRPr="00C16CD7">
        <w:rPr>
          <w:rFonts w:ascii="Arial" w:hAnsi="Arial" w:cs="Arial"/>
          <w:sz w:val="20"/>
          <w:szCs w:val="20"/>
          <w:lang w:val="fr-BE"/>
        </w:rPr>
        <w:t xml:space="preserve">t </w:t>
      </w:r>
      <w:r w:rsidR="00F40AA5" w:rsidRPr="00C16CD7">
        <w:rPr>
          <w:rFonts w:ascii="Arial" w:hAnsi="Arial" w:cs="Arial"/>
          <w:sz w:val="20"/>
          <w:szCs w:val="20"/>
          <w:lang w:val="fr-BE"/>
        </w:rPr>
        <w:t>18,09</w:t>
      </w:r>
      <w:r w:rsidRPr="00C16CD7">
        <w:rPr>
          <w:rFonts w:ascii="Arial" w:hAnsi="Arial" w:cs="Arial"/>
          <w:sz w:val="20"/>
          <w:szCs w:val="20"/>
          <w:lang w:val="fr-BE"/>
        </w:rPr>
        <w:t xml:space="preserve"> de l’ensemble des prévenus alors que la proportion calculée pour 201</w:t>
      </w:r>
      <w:r w:rsidR="00611548" w:rsidRPr="00C16CD7">
        <w:rPr>
          <w:rFonts w:ascii="Arial" w:hAnsi="Arial" w:cs="Arial"/>
          <w:sz w:val="20"/>
          <w:szCs w:val="20"/>
          <w:lang w:val="fr-BE"/>
        </w:rPr>
        <w:t>4</w:t>
      </w:r>
      <w:r w:rsidRPr="00C16CD7">
        <w:rPr>
          <w:rFonts w:ascii="Arial" w:hAnsi="Arial" w:cs="Arial"/>
          <w:sz w:val="20"/>
          <w:szCs w:val="20"/>
          <w:lang w:val="fr-BE"/>
        </w:rPr>
        <w:t xml:space="preserve"> atteignait </w:t>
      </w:r>
      <w:r w:rsidR="00F40AA5" w:rsidRPr="00C16CD7">
        <w:rPr>
          <w:rFonts w:ascii="Arial" w:hAnsi="Arial" w:cs="Arial"/>
          <w:sz w:val="20"/>
          <w:szCs w:val="20"/>
          <w:lang w:val="fr-BE"/>
        </w:rPr>
        <w:t>27,65%</w:t>
      </w:r>
      <w:r w:rsidRPr="00C16CD7">
        <w:rPr>
          <w:rFonts w:ascii="Arial" w:hAnsi="Arial" w:cs="Arial"/>
          <w:sz w:val="20"/>
          <w:szCs w:val="20"/>
          <w:lang w:val="fr-BE"/>
        </w:rPr>
        <w:t>.</w:t>
      </w:r>
      <w:r w:rsidR="00F40AA5" w:rsidRPr="00C16CD7">
        <w:rPr>
          <w:rFonts w:ascii="Arial" w:hAnsi="Arial" w:cs="Arial"/>
          <w:sz w:val="20"/>
          <w:szCs w:val="20"/>
          <w:lang w:val="fr-BE"/>
        </w:rPr>
        <w:t xml:space="preserve"> Même constat pour la catégorie 31-40 ans qui représentait 16,18% en 2012 alors que la proportion en 2015 a atteint 21,51%.</w:t>
      </w:r>
    </w:p>
    <w:p w14:paraId="1466CDAA" w14:textId="77777777" w:rsidR="00F40AA5" w:rsidRPr="00C16CD7" w:rsidRDefault="00F40AA5" w:rsidP="00F40AA5">
      <w:pPr>
        <w:adjustRightInd w:val="0"/>
        <w:jc w:val="both"/>
        <w:rPr>
          <w:rFonts w:ascii="Arial" w:hAnsi="Arial" w:cs="Arial"/>
          <w:b/>
          <w:bCs/>
          <w:color w:val="7483AE"/>
          <w:sz w:val="20"/>
          <w:szCs w:val="20"/>
          <w:lang w:val="fr-BE" w:eastAsia="fr-FR"/>
        </w:rPr>
      </w:pPr>
    </w:p>
    <w:p w14:paraId="6600D8B0" w14:textId="2A08D868" w:rsidR="0021520F" w:rsidRPr="00C16CD7" w:rsidRDefault="0021520F" w:rsidP="0021520F">
      <w:pPr>
        <w:keepNext/>
        <w:adjustRightInd w:val="0"/>
        <w:ind w:left="1440" w:hanging="1440"/>
        <w:jc w:val="both"/>
        <w:rPr>
          <w:rFonts w:ascii="Arial" w:hAnsi="Arial" w:cs="Arial"/>
          <w:b/>
          <w:bCs/>
          <w:color w:val="7483AE"/>
          <w:sz w:val="20"/>
          <w:szCs w:val="20"/>
          <w:lang w:val="fr-BE" w:eastAsia="fr-FR"/>
        </w:rPr>
      </w:pPr>
      <w:r w:rsidRPr="00C16CD7">
        <w:rPr>
          <w:rFonts w:ascii="Arial" w:hAnsi="Arial" w:cs="Arial"/>
          <w:b/>
          <w:bCs/>
          <w:color w:val="7483AE"/>
          <w:sz w:val="20"/>
          <w:szCs w:val="20"/>
          <w:lang w:val="fr-BE" w:eastAsia="fr-FR"/>
        </w:rPr>
        <w:t xml:space="preserve">Tableau </w:t>
      </w:r>
      <w:r w:rsidR="00C2595A" w:rsidRPr="00C16CD7">
        <w:rPr>
          <w:rFonts w:ascii="Arial" w:hAnsi="Arial" w:cs="Arial"/>
          <w:b/>
          <w:bCs/>
          <w:color w:val="7483AE"/>
          <w:sz w:val="20"/>
          <w:szCs w:val="20"/>
          <w:lang w:val="fr-BE" w:eastAsia="fr-FR"/>
        </w:rPr>
        <w:t>4</w:t>
      </w:r>
      <w:r w:rsidRPr="00C16CD7">
        <w:rPr>
          <w:rFonts w:ascii="Arial" w:hAnsi="Arial" w:cs="Arial"/>
          <w:b/>
          <w:bCs/>
          <w:color w:val="7483AE"/>
          <w:sz w:val="20"/>
          <w:szCs w:val="20"/>
          <w:lang w:val="fr-BE" w:eastAsia="fr-FR"/>
        </w:rPr>
        <w:t> :</w:t>
      </w:r>
      <w:r w:rsidRPr="00C16CD7">
        <w:rPr>
          <w:rFonts w:ascii="Arial" w:hAnsi="Arial" w:cs="Arial"/>
          <w:b/>
          <w:bCs/>
          <w:color w:val="7483AE"/>
          <w:sz w:val="20"/>
          <w:szCs w:val="20"/>
          <w:lang w:val="fr-BE" w:eastAsia="fr-FR"/>
        </w:rPr>
        <w:tab/>
        <w:t xml:space="preserve">Etat d’avancement, arrêté à la date d’extraction, des affaires </w:t>
      </w:r>
      <w:r w:rsidR="0059052F" w:rsidRPr="00C16CD7">
        <w:rPr>
          <w:rFonts w:ascii="Arial" w:hAnsi="Arial" w:cs="Arial"/>
          <w:b/>
          <w:bCs/>
          <w:color w:val="7483AE"/>
          <w:sz w:val="20"/>
          <w:szCs w:val="20"/>
          <w:lang w:val="fr-BE" w:eastAsia="fr-FR"/>
        </w:rPr>
        <w:t xml:space="preserve">relatives aux crimes motivés par la haine </w:t>
      </w:r>
      <w:r w:rsidRPr="00C16CD7">
        <w:rPr>
          <w:rFonts w:ascii="Arial" w:hAnsi="Arial" w:cs="Arial"/>
          <w:b/>
          <w:bCs/>
          <w:color w:val="7483AE"/>
          <w:sz w:val="20"/>
          <w:szCs w:val="20"/>
          <w:lang w:val="fr-BE" w:eastAsia="fr-FR"/>
        </w:rPr>
        <w:t>entrées dans les parquets correctionnels entre le 1</w:t>
      </w:r>
      <w:r w:rsidRPr="00C16CD7">
        <w:rPr>
          <w:rFonts w:ascii="Arial" w:hAnsi="Arial" w:cs="Arial"/>
          <w:b/>
          <w:bCs/>
          <w:color w:val="7483AE"/>
          <w:sz w:val="20"/>
          <w:szCs w:val="20"/>
          <w:vertAlign w:val="superscript"/>
          <w:lang w:val="fr-BE" w:eastAsia="fr-FR"/>
        </w:rPr>
        <w:t>er</w:t>
      </w:r>
      <w:r w:rsidRPr="00C16CD7">
        <w:rPr>
          <w:rFonts w:ascii="Arial" w:hAnsi="Arial" w:cs="Arial"/>
          <w:b/>
          <w:bCs/>
          <w:color w:val="7483AE"/>
          <w:sz w:val="20"/>
          <w:szCs w:val="20"/>
          <w:lang w:val="fr-BE" w:eastAsia="fr-FR"/>
        </w:rPr>
        <w:t xml:space="preserve"> janvier 201</w:t>
      </w:r>
      <w:r w:rsidR="006C7BA8" w:rsidRPr="00C16CD7">
        <w:rPr>
          <w:rFonts w:ascii="Arial" w:hAnsi="Arial" w:cs="Arial"/>
          <w:b/>
          <w:bCs/>
          <w:color w:val="7483AE"/>
          <w:sz w:val="20"/>
          <w:szCs w:val="20"/>
          <w:lang w:val="fr-BE" w:eastAsia="fr-FR"/>
        </w:rPr>
        <w:t>2</w:t>
      </w:r>
      <w:r w:rsidRPr="00C16CD7">
        <w:rPr>
          <w:rFonts w:ascii="Arial" w:hAnsi="Arial" w:cs="Arial"/>
          <w:b/>
          <w:bCs/>
          <w:color w:val="7483AE"/>
          <w:sz w:val="20"/>
          <w:szCs w:val="20"/>
          <w:lang w:val="fr-BE" w:eastAsia="fr-FR"/>
        </w:rPr>
        <w:t xml:space="preserve"> et le 31 décembre 2016. Données présentées par année d’entrée (n et % en colonne).</w:t>
      </w:r>
    </w:p>
    <w:p w14:paraId="51AD0571" w14:textId="77777777" w:rsidR="00C2595A" w:rsidRPr="00C16CD7" w:rsidRDefault="00C2595A" w:rsidP="0021520F">
      <w:pPr>
        <w:keepNext/>
        <w:adjustRightInd w:val="0"/>
        <w:ind w:left="1440" w:hanging="1440"/>
        <w:jc w:val="both"/>
        <w:rPr>
          <w:rFonts w:ascii="Arial" w:hAnsi="Arial" w:cs="Arial"/>
          <w:color w:val="FFFFFF"/>
          <w:sz w:val="16"/>
          <w:szCs w:val="16"/>
          <w:lang w:val="fr-BE"/>
        </w:rPr>
      </w:pPr>
    </w:p>
    <w:tbl>
      <w:tblPr>
        <w:tblW w:w="0" w:type="auto"/>
        <w:jc w:val="center"/>
        <w:tblLayout w:type="fixed"/>
        <w:tblCellMar>
          <w:left w:w="0" w:type="dxa"/>
          <w:right w:w="0" w:type="dxa"/>
        </w:tblCellMar>
        <w:tblLook w:val="0000" w:firstRow="0" w:lastRow="0" w:firstColumn="0" w:lastColumn="0" w:noHBand="0" w:noVBand="0"/>
      </w:tblPr>
      <w:tblGrid>
        <w:gridCol w:w="1962"/>
        <w:gridCol w:w="378"/>
        <w:gridCol w:w="605"/>
        <w:gridCol w:w="378"/>
        <w:gridCol w:w="605"/>
        <w:gridCol w:w="514"/>
        <w:gridCol w:w="605"/>
        <w:gridCol w:w="378"/>
        <w:gridCol w:w="605"/>
        <w:gridCol w:w="378"/>
        <w:gridCol w:w="605"/>
        <w:gridCol w:w="514"/>
        <w:gridCol w:w="605"/>
      </w:tblGrid>
      <w:tr w:rsidR="00F40AA5" w:rsidRPr="00C16CD7" w14:paraId="18BC8AB9" w14:textId="77777777" w:rsidTr="00F40AA5">
        <w:trPr>
          <w:cantSplit/>
          <w:tblHeader/>
          <w:jc w:val="center"/>
        </w:trPr>
        <w:tc>
          <w:tcPr>
            <w:tcW w:w="1962" w:type="dxa"/>
            <w:vMerge w:val="restart"/>
            <w:tcBorders>
              <w:top w:val="single" w:sz="15" w:space="0" w:color="E6E6E6"/>
              <w:left w:val="single" w:sz="15" w:space="0" w:color="E6E6E6"/>
              <w:bottom w:val="single" w:sz="4" w:space="0" w:color="E6E6E6"/>
              <w:right w:val="nil"/>
            </w:tcBorders>
            <w:shd w:val="clear" w:color="auto" w:fill="7483AE"/>
            <w:tcMar>
              <w:left w:w="48" w:type="dxa"/>
              <w:right w:w="48" w:type="dxa"/>
            </w:tcMar>
            <w:vAlign w:val="center"/>
          </w:tcPr>
          <w:p w14:paraId="7CEE1F22" w14:textId="77777777" w:rsidR="00F40AA5" w:rsidRPr="00C16CD7" w:rsidRDefault="00F40AA5" w:rsidP="00F40AA5">
            <w:pPr>
              <w:adjustRightInd w:val="0"/>
              <w:spacing w:before="48" w:after="48"/>
              <w:jc w:val="center"/>
              <w:rPr>
                <w:rFonts w:ascii="Arial" w:hAnsi="Arial" w:cs="Arial"/>
                <w:color w:val="FFFFFF"/>
                <w:sz w:val="16"/>
                <w:szCs w:val="16"/>
                <w:lang w:val="fr-BE"/>
              </w:rPr>
            </w:pPr>
          </w:p>
        </w:tc>
        <w:tc>
          <w:tcPr>
            <w:tcW w:w="983"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562D5329" w14:textId="77777777" w:rsidR="00F40AA5" w:rsidRPr="00C16CD7" w:rsidRDefault="00F40AA5"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2012</w:t>
            </w:r>
          </w:p>
        </w:tc>
        <w:tc>
          <w:tcPr>
            <w:tcW w:w="983"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23DC36D2" w14:textId="77777777" w:rsidR="00F40AA5" w:rsidRPr="00C16CD7" w:rsidRDefault="00F40AA5"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2013</w:t>
            </w:r>
          </w:p>
        </w:tc>
        <w:tc>
          <w:tcPr>
            <w:tcW w:w="1119"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522FD17B" w14:textId="77777777" w:rsidR="00F40AA5" w:rsidRPr="00C16CD7" w:rsidRDefault="00F40AA5"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2014</w:t>
            </w:r>
          </w:p>
        </w:tc>
        <w:tc>
          <w:tcPr>
            <w:tcW w:w="983"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0F84488F" w14:textId="77777777" w:rsidR="00F40AA5" w:rsidRPr="00C16CD7" w:rsidRDefault="00F40AA5"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2015</w:t>
            </w:r>
          </w:p>
        </w:tc>
        <w:tc>
          <w:tcPr>
            <w:tcW w:w="983"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60E04680" w14:textId="77777777" w:rsidR="00F40AA5" w:rsidRPr="00C16CD7" w:rsidRDefault="00F40AA5"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2016</w:t>
            </w:r>
          </w:p>
        </w:tc>
        <w:tc>
          <w:tcPr>
            <w:tcW w:w="1119" w:type="dxa"/>
            <w:gridSpan w:val="2"/>
            <w:tcBorders>
              <w:top w:val="single" w:sz="15" w:space="0" w:color="E6E6E6"/>
              <w:left w:val="single" w:sz="4" w:space="0" w:color="E6E6E6"/>
              <w:bottom w:val="single" w:sz="4" w:space="0" w:color="E6E6E6"/>
              <w:right w:val="single" w:sz="15" w:space="0" w:color="E6E6E6"/>
            </w:tcBorders>
            <w:shd w:val="clear" w:color="auto" w:fill="7483AE"/>
            <w:tcMar>
              <w:left w:w="48" w:type="dxa"/>
              <w:right w:w="48" w:type="dxa"/>
            </w:tcMar>
            <w:vAlign w:val="bottom"/>
          </w:tcPr>
          <w:p w14:paraId="16FD9151" w14:textId="77777777" w:rsidR="00F40AA5" w:rsidRPr="00C16CD7" w:rsidRDefault="00F40AA5"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TOTAL</w:t>
            </w:r>
          </w:p>
        </w:tc>
      </w:tr>
      <w:tr w:rsidR="00F40AA5" w:rsidRPr="00C16CD7" w14:paraId="056142B7" w14:textId="77777777" w:rsidTr="00F40AA5">
        <w:trPr>
          <w:cantSplit/>
          <w:tblHeader/>
          <w:jc w:val="center"/>
        </w:trPr>
        <w:tc>
          <w:tcPr>
            <w:tcW w:w="1962" w:type="dxa"/>
            <w:vMerge/>
            <w:tcBorders>
              <w:top w:val="single" w:sz="15" w:space="0" w:color="E6E6E6"/>
              <w:left w:val="single" w:sz="15" w:space="0" w:color="E6E6E6"/>
              <w:bottom w:val="single" w:sz="4" w:space="0" w:color="E6E6E6"/>
              <w:right w:val="nil"/>
            </w:tcBorders>
            <w:shd w:val="clear" w:color="auto" w:fill="7483AE"/>
            <w:tcMar>
              <w:left w:w="48" w:type="dxa"/>
              <w:right w:w="48" w:type="dxa"/>
            </w:tcMar>
            <w:vAlign w:val="center"/>
          </w:tcPr>
          <w:p w14:paraId="14229AD3" w14:textId="77777777" w:rsidR="00F40AA5" w:rsidRPr="00C16CD7" w:rsidRDefault="00F40AA5" w:rsidP="00F40AA5">
            <w:pPr>
              <w:adjustRightInd w:val="0"/>
              <w:rPr>
                <w:lang w:val="fr-BE"/>
              </w:rPr>
            </w:pPr>
          </w:p>
        </w:tc>
        <w:tc>
          <w:tcPr>
            <w:tcW w:w="378" w:type="dxa"/>
            <w:tcBorders>
              <w:top w:val="nil"/>
              <w:left w:val="single" w:sz="4" w:space="0" w:color="E6E6E6"/>
              <w:bottom w:val="single" w:sz="4" w:space="0" w:color="E6E6E6"/>
              <w:right w:val="nil"/>
            </w:tcBorders>
            <w:shd w:val="clear" w:color="auto" w:fill="7483AE"/>
            <w:tcMar>
              <w:left w:w="48" w:type="dxa"/>
              <w:right w:w="48" w:type="dxa"/>
            </w:tcMar>
            <w:vAlign w:val="bottom"/>
          </w:tcPr>
          <w:p w14:paraId="0E9A4C4C" w14:textId="77777777" w:rsidR="00F40AA5" w:rsidRPr="00C16CD7" w:rsidRDefault="00F40AA5"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605" w:type="dxa"/>
            <w:tcBorders>
              <w:top w:val="nil"/>
              <w:left w:val="single" w:sz="4" w:space="0" w:color="E6E6E6"/>
              <w:bottom w:val="single" w:sz="4" w:space="0" w:color="E6E6E6"/>
              <w:right w:val="nil"/>
            </w:tcBorders>
            <w:shd w:val="clear" w:color="auto" w:fill="7483AE"/>
            <w:tcMar>
              <w:left w:w="48" w:type="dxa"/>
              <w:right w:w="48" w:type="dxa"/>
            </w:tcMar>
            <w:vAlign w:val="bottom"/>
          </w:tcPr>
          <w:p w14:paraId="506DC990" w14:textId="77777777" w:rsidR="00F40AA5" w:rsidRPr="00C16CD7" w:rsidRDefault="00F40AA5"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378" w:type="dxa"/>
            <w:tcBorders>
              <w:top w:val="nil"/>
              <w:left w:val="single" w:sz="4" w:space="0" w:color="E6E6E6"/>
              <w:bottom w:val="single" w:sz="4" w:space="0" w:color="E6E6E6"/>
              <w:right w:val="nil"/>
            </w:tcBorders>
            <w:shd w:val="clear" w:color="auto" w:fill="7483AE"/>
            <w:tcMar>
              <w:left w:w="48" w:type="dxa"/>
              <w:right w:w="48" w:type="dxa"/>
            </w:tcMar>
            <w:vAlign w:val="bottom"/>
          </w:tcPr>
          <w:p w14:paraId="1EDA7DDE" w14:textId="77777777" w:rsidR="00F40AA5" w:rsidRPr="00C16CD7" w:rsidRDefault="00F40AA5"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605" w:type="dxa"/>
            <w:tcBorders>
              <w:top w:val="nil"/>
              <w:left w:val="single" w:sz="4" w:space="0" w:color="E6E6E6"/>
              <w:bottom w:val="single" w:sz="4" w:space="0" w:color="E6E6E6"/>
              <w:right w:val="nil"/>
            </w:tcBorders>
            <w:shd w:val="clear" w:color="auto" w:fill="7483AE"/>
            <w:tcMar>
              <w:left w:w="48" w:type="dxa"/>
              <w:right w:w="48" w:type="dxa"/>
            </w:tcMar>
            <w:vAlign w:val="bottom"/>
          </w:tcPr>
          <w:p w14:paraId="3F1B7E59" w14:textId="77777777" w:rsidR="00F40AA5" w:rsidRPr="00C16CD7" w:rsidRDefault="00F40AA5"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514" w:type="dxa"/>
            <w:tcBorders>
              <w:top w:val="nil"/>
              <w:left w:val="single" w:sz="4" w:space="0" w:color="E6E6E6"/>
              <w:bottom w:val="single" w:sz="4" w:space="0" w:color="E6E6E6"/>
              <w:right w:val="nil"/>
            </w:tcBorders>
            <w:shd w:val="clear" w:color="auto" w:fill="7483AE"/>
            <w:tcMar>
              <w:left w:w="48" w:type="dxa"/>
              <w:right w:w="48" w:type="dxa"/>
            </w:tcMar>
            <w:vAlign w:val="bottom"/>
          </w:tcPr>
          <w:p w14:paraId="1CCAE7DD" w14:textId="77777777" w:rsidR="00F40AA5" w:rsidRPr="00C16CD7" w:rsidRDefault="00F40AA5"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605" w:type="dxa"/>
            <w:tcBorders>
              <w:top w:val="nil"/>
              <w:left w:val="single" w:sz="4" w:space="0" w:color="E6E6E6"/>
              <w:bottom w:val="single" w:sz="4" w:space="0" w:color="E6E6E6"/>
              <w:right w:val="nil"/>
            </w:tcBorders>
            <w:shd w:val="clear" w:color="auto" w:fill="7483AE"/>
            <w:tcMar>
              <w:left w:w="48" w:type="dxa"/>
              <w:right w:w="48" w:type="dxa"/>
            </w:tcMar>
            <w:vAlign w:val="bottom"/>
          </w:tcPr>
          <w:p w14:paraId="2F2DC05C" w14:textId="77777777" w:rsidR="00F40AA5" w:rsidRPr="00C16CD7" w:rsidRDefault="00F40AA5"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378" w:type="dxa"/>
            <w:tcBorders>
              <w:top w:val="nil"/>
              <w:left w:val="single" w:sz="4" w:space="0" w:color="E6E6E6"/>
              <w:bottom w:val="single" w:sz="4" w:space="0" w:color="E6E6E6"/>
              <w:right w:val="nil"/>
            </w:tcBorders>
            <w:shd w:val="clear" w:color="auto" w:fill="7483AE"/>
            <w:tcMar>
              <w:left w:w="48" w:type="dxa"/>
              <w:right w:w="48" w:type="dxa"/>
            </w:tcMar>
            <w:vAlign w:val="bottom"/>
          </w:tcPr>
          <w:p w14:paraId="0939504F" w14:textId="77777777" w:rsidR="00F40AA5" w:rsidRPr="00C16CD7" w:rsidRDefault="00F40AA5"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605" w:type="dxa"/>
            <w:tcBorders>
              <w:top w:val="nil"/>
              <w:left w:val="single" w:sz="4" w:space="0" w:color="E6E6E6"/>
              <w:bottom w:val="single" w:sz="4" w:space="0" w:color="E6E6E6"/>
              <w:right w:val="nil"/>
            </w:tcBorders>
            <w:shd w:val="clear" w:color="auto" w:fill="7483AE"/>
            <w:tcMar>
              <w:left w:w="48" w:type="dxa"/>
              <w:right w:w="48" w:type="dxa"/>
            </w:tcMar>
            <w:vAlign w:val="bottom"/>
          </w:tcPr>
          <w:p w14:paraId="76CA93BA" w14:textId="77777777" w:rsidR="00F40AA5" w:rsidRPr="00C16CD7" w:rsidRDefault="00F40AA5"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378" w:type="dxa"/>
            <w:tcBorders>
              <w:top w:val="nil"/>
              <w:left w:val="single" w:sz="4" w:space="0" w:color="E6E6E6"/>
              <w:bottom w:val="single" w:sz="4" w:space="0" w:color="E6E6E6"/>
              <w:right w:val="nil"/>
            </w:tcBorders>
            <w:shd w:val="clear" w:color="auto" w:fill="7483AE"/>
            <w:tcMar>
              <w:left w:w="48" w:type="dxa"/>
              <w:right w:w="48" w:type="dxa"/>
            </w:tcMar>
            <w:vAlign w:val="bottom"/>
          </w:tcPr>
          <w:p w14:paraId="54924D24" w14:textId="77777777" w:rsidR="00F40AA5" w:rsidRPr="00C16CD7" w:rsidRDefault="00F40AA5"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605" w:type="dxa"/>
            <w:tcBorders>
              <w:top w:val="nil"/>
              <w:left w:val="single" w:sz="4" w:space="0" w:color="E6E6E6"/>
              <w:bottom w:val="single" w:sz="4" w:space="0" w:color="E6E6E6"/>
              <w:right w:val="nil"/>
            </w:tcBorders>
            <w:shd w:val="clear" w:color="auto" w:fill="7483AE"/>
            <w:tcMar>
              <w:left w:w="48" w:type="dxa"/>
              <w:right w:w="48" w:type="dxa"/>
            </w:tcMar>
            <w:vAlign w:val="bottom"/>
          </w:tcPr>
          <w:p w14:paraId="0BA6409D" w14:textId="77777777" w:rsidR="00F40AA5" w:rsidRPr="00C16CD7" w:rsidRDefault="00F40AA5"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514" w:type="dxa"/>
            <w:tcBorders>
              <w:top w:val="nil"/>
              <w:left w:val="single" w:sz="4" w:space="0" w:color="E6E6E6"/>
              <w:bottom w:val="single" w:sz="4" w:space="0" w:color="E6E6E6"/>
              <w:right w:val="nil"/>
            </w:tcBorders>
            <w:shd w:val="clear" w:color="auto" w:fill="7483AE"/>
            <w:tcMar>
              <w:left w:w="48" w:type="dxa"/>
              <w:right w:w="48" w:type="dxa"/>
            </w:tcMar>
            <w:vAlign w:val="bottom"/>
          </w:tcPr>
          <w:p w14:paraId="0409750C" w14:textId="77777777" w:rsidR="00F40AA5" w:rsidRPr="00C16CD7" w:rsidRDefault="00F40AA5"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605" w:type="dxa"/>
            <w:tcBorders>
              <w:top w:val="nil"/>
              <w:left w:val="single" w:sz="4" w:space="0" w:color="E6E6E6"/>
              <w:bottom w:val="single" w:sz="4" w:space="0" w:color="E6E6E6"/>
              <w:right w:val="single" w:sz="15" w:space="0" w:color="E6E6E6"/>
            </w:tcBorders>
            <w:shd w:val="clear" w:color="auto" w:fill="7483AE"/>
            <w:tcMar>
              <w:left w:w="48" w:type="dxa"/>
              <w:right w:w="48" w:type="dxa"/>
            </w:tcMar>
            <w:vAlign w:val="bottom"/>
          </w:tcPr>
          <w:p w14:paraId="79DBEEB3" w14:textId="77777777" w:rsidR="00F40AA5" w:rsidRPr="00C16CD7" w:rsidRDefault="00F40AA5" w:rsidP="00F40AA5">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r>
      <w:tr w:rsidR="00F40AA5" w:rsidRPr="00C16CD7" w14:paraId="0253882C" w14:textId="77777777" w:rsidTr="00F40AA5">
        <w:trPr>
          <w:cantSplit/>
          <w:jc w:val="center"/>
        </w:trPr>
        <w:tc>
          <w:tcPr>
            <w:tcW w:w="1962" w:type="dxa"/>
            <w:tcBorders>
              <w:top w:val="nil"/>
              <w:left w:val="single" w:sz="15" w:space="0" w:color="E6E6E6"/>
              <w:bottom w:val="single" w:sz="4" w:space="0" w:color="E6E6E6"/>
              <w:right w:val="nil"/>
            </w:tcBorders>
            <w:shd w:val="clear" w:color="auto" w:fill="FFFFFF"/>
            <w:tcMar>
              <w:left w:w="48" w:type="dxa"/>
              <w:right w:w="48" w:type="dxa"/>
            </w:tcMar>
          </w:tcPr>
          <w:p w14:paraId="7F49195A" w14:textId="77777777" w:rsidR="00F40AA5" w:rsidRPr="00C16CD7" w:rsidRDefault="00F40AA5" w:rsidP="00F40AA5">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information</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325E9EB6"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9</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72FB801C"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0,99</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356EA3C4"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3</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708D57C3"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0,36</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796CD191"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5EB09FEF"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1,03</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38F48232"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24</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173380FF"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2,72</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2DE87F65"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70</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4B6C077A"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8,24</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0A67BF98"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117</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492DEFC1"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2,58</w:t>
            </w:r>
          </w:p>
        </w:tc>
      </w:tr>
      <w:tr w:rsidR="00F40AA5" w:rsidRPr="00C16CD7" w14:paraId="0F1D0D2C" w14:textId="77777777" w:rsidTr="00F40AA5">
        <w:trPr>
          <w:cantSplit/>
          <w:jc w:val="center"/>
        </w:trPr>
        <w:tc>
          <w:tcPr>
            <w:tcW w:w="1962" w:type="dxa"/>
            <w:tcBorders>
              <w:top w:val="nil"/>
              <w:left w:val="single" w:sz="15" w:space="0" w:color="E6E6E6"/>
              <w:bottom w:val="single" w:sz="4" w:space="0" w:color="E6E6E6"/>
              <w:right w:val="nil"/>
            </w:tcBorders>
            <w:shd w:val="clear" w:color="auto" w:fill="FFFFFF"/>
            <w:tcMar>
              <w:left w:w="48" w:type="dxa"/>
              <w:right w:w="48" w:type="dxa"/>
            </w:tcMar>
          </w:tcPr>
          <w:p w14:paraId="599BB748" w14:textId="77777777" w:rsidR="00F40AA5" w:rsidRPr="00C16CD7" w:rsidRDefault="00F40AA5" w:rsidP="00F40AA5">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signalement de l’auteur</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45D320F2"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3</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4FA3C1F3"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0,33</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58545F8B"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37E23049"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0,24</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7B6343B9"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5</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2A29FCEE"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0,47</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27D8FF85"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4ACF489D"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1,13</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0D218AD3"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14</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5AD787AF"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1,65</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197D25E9"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34</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71240D3F"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0,75</w:t>
            </w:r>
          </w:p>
        </w:tc>
      </w:tr>
      <w:tr w:rsidR="00F40AA5" w:rsidRPr="00C16CD7" w14:paraId="0EB10A1F" w14:textId="77777777" w:rsidTr="00F40AA5">
        <w:trPr>
          <w:cantSplit/>
          <w:jc w:val="center"/>
        </w:trPr>
        <w:tc>
          <w:tcPr>
            <w:tcW w:w="1962" w:type="dxa"/>
            <w:tcBorders>
              <w:top w:val="nil"/>
              <w:left w:val="single" w:sz="15" w:space="0" w:color="E6E6E6"/>
              <w:bottom w:val="single" w:sz="4" w:space="0" w:color="E6E6E6"/>
              <w:right w:val="nil"/>
            </w:tcBorders>
            <w:shd w:val="clear" w:color="auto" w:fill="FFFFFF"/>
            <w:tcMar>
              <w:left w:w="48" w:type="dxa"/>
              <w:right w:w="48" w:type="dxa"/>
            </w:tcMar>
          </w:tcPr>
          <w:p w14:paraId="688EF805" w14:textId="77777777" w:rsidR="00F40AA5" w:rsidRPr="00C16CD7" w:rsidRDefault="00F40AA5" w:rsidP="00F40AA5">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sans suite</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4FCDCA02"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739</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24CB81AD"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81,21</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2E3A803F"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681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1556C5C9"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82,25</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3CEE5BC7"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839</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1F43BE22"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78,78</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04E1D3DB"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692</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66892032"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78,37</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35A4FB60"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607</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154C6A38"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71,41</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2F939FBD"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3.558</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4D63F4BE"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78,44</w:t>
            </w:r>
          </w:p>
        </w:tc>
      </w:tr>
      <w:tr w:rsidR="00F40AA5" w:rsidRPr="00C16CD7" w14:paraId="278CAABF" w14:textId="77777777" w:rsidTr="00F40AA5">
        <w:trPr>
          <w:cantSplit/>
          <w:jc w:val="center"/>
        </w:trPr>
        <w:tc>
          <w:tcPr>
            <w:tcW w:w="1962" w:type="dxa"/>
            <w:tcBorders>
              <w:top w:val="nil"/>
              <w:left w:val="single" w:sz="15" w:space="0" w:color="E6E6E6"/>
              <w:bottom w:val="single" w:sz="4" w:space="0" w:color="E6E6E6"/>
              <w:right w:val="nil"/>
            </w:tcBorders>
            <w:shd w:val="clear" w:color="auto" w:fill="FFFFFF"/>
            <w:tcMar>
              <w:left w:w="48" w:type="dxa"/>
              <w:right w:w="48" w:type="dxa"/>
            </w:tcMar>
          </w:tcPr>
          <w:p w14:paraId="38DE0CB9" w14:textId="77777777" w:rsidR="00F40AA5" w:rsidRPr="00C16CD7" w:rsidRDefault="00F40AA5" w:rsidP="00F40AA5">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pour disposition</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399AD74B"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51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04423A08"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5,60</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7BB8F9F4"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64</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0259F690"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7,73</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50549B99"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58E219A5"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9,48</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74FEB058"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63</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69C02544"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7,13</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0B6280F1"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51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5CF94BDB"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6,00</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62DFF423"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330</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44A5CBEA"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7,28</w:t>
            </w:r>
          </w:p>
        </w:tc>
      </w:tr>
      <w:tr w:rsidR="00F40AA5" w:rsidRPr="00C16CD7" w14:paraId="054136AB" w14:textId="77777777" w:rsidTr="00F40AA5">
        <w:trPr>
          <w:cantSplit/>
          <w:jc w:val="center"/>
        </w:trPr>
        <w:tc>
          <w:tcPr>
            <w:tcW w:w="1962" w:type="dxa"/>
            <w:tcBorders>
              <w:top w:val="nil"/>
              <w:left w:val="single" w:sz="15" w:space="0" w:color="E6E6E6"/>
              <w:bottom w:val="single" w:sz="4" w:space="0" w:color="E6E6E6"/>
              <w:right w:val="nil"/>
            </w:tcBorders>
            <w:shd w:val="clear" w:color="auto" w:fill="FFFFFF"/>
            <w:tcMar>
              <w:left w:w="48" w:type="dxa"/>
              <w:right w:w="48" w:type="dxa"/>
            </w:tcMar>
          </w:tcPr>
          <w:p w14:paraId="5A7F39F3" w14:textId="77777777" w:rsidR="00F40AA5" w:rsidRPr="00C16CD7" w:rsidRDefault="00F40AA5" w:rsidP="00F40AA5">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lastRenderedPageBreak/>
              <w:t>probation prétorienne</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5DDF13F0"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23</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520CD745"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2,53</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51AB6049"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20</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3699B1C7"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2,42</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4145F04A"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20</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33202E49"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1,88</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749C7378"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15</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3106B157"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1,70</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68CE1BE9"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23</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4611BA85"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2,71</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312D6A57"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101</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36556645"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2,23</w:t>
            </w:r>
          </w:p>
        </w:tc>
      </w:tr>
      <w:tr w:rsidR="00F40AA5" w:rsidRPr="00C16CD7" w14:paraId="13B873D1" w14:textId="77777777" w:rsidTr="00F40AA5">
        <w:trPr>
          <w:cantSplit/>
          <w:jc w:val="center"/>
        </w:trPr>
        <w:tc>
          <w:tcPr>
            <w:tcW w:w="1962" w:type="dxa"/>
            <w:tcBorders>
              <w:top w:val="nil"/>
              <w:left w:val="single" w:sz="15" w:space="0" w:color="E6E6E6"/>
              <w:bottom w:val="single" w:sz="4" w:space="0" w:color="E6E6E6"/>
              <w:right w:val="nil"/>
            </w:tcBorders>
            <w:shd w:val="clear" w:color="auto" w:fill="FFFFFF"/>
            <w:tcMar>
              <w:left w:w="48" w:type="dxa"/>
              <w:right w:w="48" w:type="dxa"/>
            </w:tcMar>
          </w:tcPr>
          <w:p w14:paraId="31DAEA2E" w14:textId="77777777" w:rsidR="00F40AA5" w:rsidRPr="00C16CD7" w:rsidRDefault="00F40AA5" w:rsidP="00F40AA5">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sanction administrative</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3656B90F"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38063FD4"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62CB7783"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32B4D214"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5DEC1BE9"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45F7A0E5"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0,09</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47E45692"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1DD9EFAA"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0,23</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4CCC1151"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4BC131FB"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4DA7570E"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3</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27C38B01"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0,07</w:t>
            </w:r>
          </w:p>
        </w:tc>
      </w:tr>
      <w:tr w:rsidR="00F40AA5" w:rsidRPr="00C16CD7" w14:paraId="13C6A4CF" w14:textId="77777777" w:rsidTr="00F40AA5">
        <w:trPr>
          <w:cantSplit/>
          <w:jc w:val="center"/>
        </w:trPr>
        <w:tc>
          <w:tcPr>
            <w:tcW w:w="1962" w:type="dxa"/>
            <w:tcBorders>
              <w:top w:val="nil"/>
              <w:left w:val="single" w:sz="15" w:space="0" w:color="E6E6E6"/>
              <w:bottom w:val="single" w:sz="4" w:space="0" w:color="E6E6E6"/>
              <w:right w:val="nil"/>
            </w:tcBorders>
            <w:shd w:val="clear" w:color="auto" w:fill="FFFFFF"/>
            <w:tcMar>
              <w:left w:w="48" w:type="dxa"/>
              <w:right w:w="48" w:type="dxa"/>
            </w:tcMar>
          </w:tcPr>
          <w:p w14:paraId="263FD339" w14:textId="77777777" w:rsidR="00F40AA5" w:rsidRPr="00C16CD7" w:rsidRDefault="00F40AA5" w:rsidP="00F40AA5">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transaction</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7996F151"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2EB4B8CC"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1,21</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66223410"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49342E5E"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1,33</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71E39CD8"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4404FC5C"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1,03</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0E5232DC"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9</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0275E8CF"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1,02</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0070FA3C"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19</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093C89A6"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2,24</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7279521A"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61</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334FB45A"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1,34</w:t>
            </w:r>
          </w:p>
        </w:tc>
      </w:tr>
      <w:tr w:rsidR="00F40AA5" w:rsidRPr="00C16CD7" w14:paraId="29D77F42" w14:textId="77777777" w:rsidTr="00F40AA5">
        <w:trPr>
          <w:cantSplit/>
          <w:jc w:val="center"/>
        </w:trPr>
        <w:tc>
          <w:tcPr>
            <w:tcW w:w="1962" w:type="dxa"/>
            <w:tcBorders>
              <w:top w:val="nil"/>
              <w:left w:val="single" w:sz="15" w:space="0" w:color="E6E6E6"/>
              <w:bottom w:val="single" w:sz="4" w:space="0" w:color="E6E6E6"/>
              <w:right w:val="nil"/>
            </w:tcBorders>
            <w:shd w:val="clear" w:color="auto" w:fill="FFFFFF"/>
            <w:tcMar>
              <w:left w:w="48" w:type="dxa"/>
              <w:right w:w="48" w:type="dxa"/>
            </w:tcMar>
          </w:tcPr>
          <w:p w14:paraId="46AD50F2" w14:textId="77777777" w:rsidR="00F40AA5" w:rsidRPr="00C16CD7" w:rsidRDefault="00F40AA5" w:rsidP="00F40AA5">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médiation pénale</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02073327"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7</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69420D79"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0,77</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260BBE8A"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8</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2B998DF9"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0,97</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3CE85B21"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22</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38FCDA61"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2,07</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57528976"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9</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147065FC"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1,02</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37054086"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5F89358F"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1,18</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2DD8A9D5"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56</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6BF82605"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1,23</w:t>
            </w:r>
          </w:p>
        </w:tc>
      </w:tr>
      <w:tr w:rsidR="00F40AA5" w:rsidRPr="00C16CD7" w14:paraId="0B51832F" w14:textId="77777777" w:rsidTr="00F40AA5">
        <w:trPr>
          <w:cantSplit/>
          <w:jc w:val="center"/>
        </w:trPr>
        <w:tc>
          <w:tcPr>
            <w:tcW w:w="1962" w:type="dxa"/>
            <w:tcBorders>
              <w:top w:val="nil"/>
              <w:left w:val="single" w:sz="15" w:space="0" w:color="E6E6E6"/>
              <w:bottom w:val="single" w:sz="4" w:space="0" w:color="E6E6E6"/>
              <w:right w:val="nil"/>
            </w:tcBorders>
            <w:shd w:val="clear" w:color="auto" w:fill="FFFFFF"/>
            <w:tcMar>
              <w:left w:w="48" w:type="dxa"/>
              <w:right w:w="48" w:type="dxa"/>
            </w:tcMar>
          </w:tcPr>
          <w:p w14:paraId="4B39E0F7" w14:textId="77777777" w:rsidR="00F40AA5" w:rsidRPr="00C16CD7" w:rsidRDefault="00F40AA5" w:rsidP="00F40AA5">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instruction</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06784358"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3</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4EBC31C1"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0,33</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24CD8817"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3</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7BEA9F10"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0,36</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72E5184E"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3</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59E24CF7"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0,28</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59AF7778"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3B872B55"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0,23</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4B963591"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18</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5C91E5C6"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2,12</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6428BE8F"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29</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0A2367CB"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0,64</w:t>
            </w:r>
          </w:p>
        </w:tc>
      </w:tr>
      <w:tr w:rsidR="00F40AA5" w:rsidRPr="00C16CD7" w14:paraId="61D4CBFA" w14:textId="77777777" w:rsidTr="00F40AA5">
        <w:trPr>
          <w:cantSplit/>
          <w:jc w:val="center"/>
        </w:trPr>
        <w:tc>
          <w:tcPr>
            <w:tcW w:w="1962" w:type="dxa"/>
            <w:tcBorders>
              <w:top w:val="nil"/>
              <w:left w:val="single" w:sz="15" w:space="0" w:color="E6E6E6"/>
              <w:bottom w:val="single" w:sz="4" w:space="0" w:color="E6E6E6"/>
              <w:right w:val="nil"/>
            </w:tcBorders>
            <w:shd w:val="clear" w:color="auto" w:fill="FFFFFF"/>
            <w:tcMar>
              <w:left w:w="48" w:type="dxa"/>
              <w:right w:w="48" w:type="dxa"/>
            </w:tcMar>
          </w:tcPr>
          <w:p w14:paraId="51224A89" w14:textId="77777777" w:rsidR="00F40AA5" w:rsidRPr="00C16CD7" w:rsidRDefault="00F40AA5" w:rsidP="00F40AA5">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chambre du conseil</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2B9246E8"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6</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25B703A8"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0,66</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7914018B"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6</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0F8C3692"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0,72</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1116494C"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8</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1F069C50"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0,75</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5BA76946"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407E95D2"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1,13</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534668A3"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4</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4F291CC4"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0,47</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77416617"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34</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22F666DC"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0,75</w:t>
            </w:r>
          </w:p>
        </w:tc>
      </w:tr>
      <w:tr w:rsidR="00F40AA5" w:rsidRPr="00C16CD7" w14:paraId="09418420" w14:textId="77777777" w:rsidTr="00F40AA5">
        <w:trPr>
          <w:cantSplit/>
          <w:jc w:val="center"/>
        </w:trPr>
        <w:tc>
          <w:tcPr>
            <w:tcW w:w="1962" w:type="dxa"/>
            <w:tcBorders>
              <w:top w:val="nil"/>
              <w:left w:val="single" w:sz="15" w:space="0" w:color="E6E6E6"/>
              <w:bottom w:val="single" w:sz="4" w:space="0" w:color="E6E6E6"/>
              <w:right w:val="nil"/>
            </w:tcBorders>
            <w:shd w:val="clear" w:color="auto" w:fill="FFFFFF"/>
            <w:tcMar>
              <w:left w:w="48" w:type="dxa"/>
              <w:right w:w="48" w:type="dxa"/>
            </w:tcMar>
          </w:tcPr>
          <w:p w14:paraId="3BA22FA8" w14:textId="77777777" w:rsidR="00F40AA5" w:rsidRPr="00C16CD7" w:rsidRDefault="00F40AA5" w:rsidP="00F40AA5">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citation &amp; suite</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580B00D8"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56</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392C3CE1"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6,15</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7128587B"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30</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33D7513C"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3,62</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66542983"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43</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45C961B4"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4,04</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59B60B6F"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47</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37E18162"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5,32</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612D6132"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33</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24F697C7"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3,88</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23297441"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209</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085D959E"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4,61</w:t>
            </w:r>
          </w:p>
        </w:tc>
      </w:tr>
      <w:tr w:rsidR="00F40AA5" w:rsidRPr="00C16CD7" w14:paraId="0E54D3B8" w14:textId="77777777" w:rsidTr="00F40AA5">
        <w:trPr>
          <w:cantSplit/>
          <w:jc w:val="center"/>
        </w:trPr>
        <w:tc>
          <w:tcPr>
            <w:tcW w:w="1962" w:type="dxa"/>
            <w:tcBorders>
              <w:top w:val="nil"/>
              <w:left w:val="single" w:sz="15" w:space="0" w:color="E6E6E6"/>
              <w:bottom w:val="single" w:sz="4" w:space="0" w:color="E6E6E6"/>
              <w:right w:val="nil"/>
            </w:tcBorders>
            <w:shd w:val="clear" w:color="auto" w:fill="FFFFFF"/>
            <w:tcMar>
              <w:left w:w="48" w:type="dxa"/>
              <w:right w:w="48" w:type="dxa"/>
            </w:tcMar>
          </w:tcPr>
          <w:p w14:paraId="31767C2B" w14:textId="77777777" w:rsidR="00F40AA5" w:rsidRPr="00C16CD7" w:rsidRDefault="00F40AA5" w:rsidP="00F40AA5">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renvoi au chef de corps</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29864E78"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207D2B0F"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0,11</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7CE9B3A4"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2C9D8893"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328D3BC1"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6F3A3879"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2795603C"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2899B564"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2BD07DC5"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7875AA22"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550CC3B3"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65BC92B3"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0,02</w:t>
            </w:r>
          </w:p>
        </w:tc>
      </w:tr>
      <w:tr w:rsidR="00F40AA5" w:rsidRPr="00C16CD7" w14:paraId="437B38BC" w14:textId="77777777" w:rsidTr="00F40AA5">
        <w:trPr>
          <w:cantSplit/>
          <w:jc w:val="center"/>
        </w:trPr>
        <w:tc>
          <w:tcPr>
            <w:tcW w:w="1962" w:type="dxa"/>
            <w:tcBorders>
              <w:top w:val="nil"/>
              <w:left w:val="single" w:sz="15" w:space="0" w:color="E6E6E6"/>
              <w:bottom w:val="single" w:sz="4" w:space="0" w:color="E6E6E6"/>
              <w:right w:val="nil"/>
            </w:tcBorders>
            <w:shd w:val="clear" w:color="auto" w:fill="FFFFFF"/>
            <w:tcMar>
              <w:left w:w="48" w:type="dxa"/>
              <w:right w:w="48" w:type="dxa"/>
            </w:tcMar>
          </w:tcPr>
          <w:p w14:paraId="674AE287" w14:textId="77777777" w:rsidR="00F40AA5" w:rsidRPr="00C16CD7" w:rsidRDefault="00F40AA5" w:rsidP="00F40AA5">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inconnu/erreur</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3EE14716"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6370DC00"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0,11</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7BB4D100"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62C2E782"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6A383F77"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0AE79EE3"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0,09</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72C71818"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5AF4424F"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14:paraId="67A0B89F"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14:paraId="1BD7A97E"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0,12</w:t>
            </w:r>
          </w:p>
        </w:tc>
        <w:tc>
          <w:tcPr>
            <w:tcW w:w="514" w:type="dxa"/>
            <w:tcBorders>
              <w:top w:val="nil"/>
              <w:left w:val="single" w:sz="4" w:space="0" w:color="E6E6E6"/>
              <w:bottom w:val="single" w:sz="4" w:space="0" w:color="E6E6E6"/>
              <w:right w:val="nil"/>
            </w:tcBorders>
            <w:shd w:val="clear" w:color="auto" w:fill="FFFFFF"/>
            <w:tcMar>
              <w:left w:w="48" w:type="dxa"/>
              <w:right w:w="48" w:type="dxa"/>
            </w:tcMar>
            <w:vAlign w:val="bottom"/>
          </w:tcPr>
          <w:p w14:paraId="3B8E18AC"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3</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5555466A"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0,07</w:t>
            </w:r>
          </w:p>
        </w:tc>
      </w:tr>
      <w:tr w:rsidR="00F40AA5" w:rsidRPr="00C16CD7" w14:paraId="4AB6387E" w14:textId="77777777" w:rsidTr="00F40AA5">
        <w:trPr>
          <w:cantSplit/>
          <w:jc w:val="center"/>
        </w:trPr>
        <w:tc>
          <w:tcPr>
            <w:tcW w:w="1962" w:type="dxa"/>
            <w:tcBorders>
              <w:top w:val="nil"/>
              <w:left w:val="single" w:sz="15" w:space="0" w:color="E6E6E6"/>
              <w:bottom w:val="single" w:sz="15" w:space="0" w:color="E6E6E6"/>
              <w:right w:val="nil"/>
            </w:tcBorders>
            <w:shd w:val="clear" w:color="auto" w:fill="FFFFFF"/>
            <w:tcMar>
              <w:left w:w="48" w:type="dxa"/>
              <w:right w:w="48" w:type="dxa"/>
            </w:tcMar>
          </w:tcPr>
          <w:p w14:paraId="693C512C" w14:textId="77777777" w:rsidR="00F40AA5" w:rsidRPr="00C16CD7" w:rsidRDefault="00F40AA5" w:rsidP="00F40AA5">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TOTAL</w:t>
            </w:r>
          </w:p>
        </w:tc>
        <w:tc>
          <w:tcPr>
            <w:tcW w:w="378" w:type="dxa"/>
            <w:tcBorders>
              <w:top w:val="nil"/>
              <w:left w:val="single" w:sz="4" w:space="0" w:color="E6E6E6"/>
              <w:bottom w:val="single" w:sz="15" w:space="0" w:color="E6E6E6"/>
              <w:right w:val="nil"/>
            </w:tcBorders>
            <w:shd w:val="clear" w:color="auto" w:fill="FFFFFF"/>
            <w:tcMar>
              <w:left w:w="48" w:type="dxa"/>
              <w:right w:w="48" w:type="dxa"/>
            </w:tcMar>
            <w:vAlign w:val="bottom"/>
          </w:tcPr>
          <w:p w14:paraId="4A02ECC3"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910</w:t>
            </w:r>
          </w:p>
        </w:tc>
        <w:tc>
          <w:tcPr>
            <w:tcW w:w="605" w:type="dxa"/>
            <w:tcBorders>
              <w:top w:val="nil"/>
              <w:left w:val="single" w:sz="4" w:space="0" w:color="E6E6E6"/>
              <w:bottom w:val="single" w:sz="15" w:space="0" w:color="E6E6E6"/>
              <w:right w:val="nil"/>
            </w:tcBorders>
            <w:shd w:val="clear" w:color="auto" w:fill="FFFFFF"/>
            <w:tcMar>
              <w:left w:w="48" w:type="dxa"/>
              <w:right w:w="48" w:type="dxa"/>
            </w:tcMar>
            <w:vAlign w:val="bottom"/>
          </w:tcPr>
          <w:p w14:paraId="6D41BE44"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100,00</w:t>
            </w:r>
          </w:p>
        </w:tc>
        <w:tc>
          <w:tcPr>
            <w:tcW w:w="378" w:type="dxa"/>
            <w:tcBorders>
              <w:top w:val="nil"/>
              <w:left w:val="single" w:sz="4" w:space="0" w:color="E6E6E6"/>
              <w:bottom w:val="single" w:sz="15" w:space="0" w:color="E6E6E6"/>
              <w:right w:val="nil"/>
            </w:tcBorders>
            <w:shd w:val="clear" w:color="auto" w:fill="FFFFFF"/>
            <w:tcMar>
              <w:left w:w="48" w:type="dxa"/>
              <w:right w:w="48" w:type="dxa"/>
            </w:tcMar>
            <w:vAlign w:val="bottom"/>
          </w:tcPr>
          <w:p w14:paraId="0E2D3735"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828</w:t>
            </w:r>
          </w:p>
        </w:tc>
        <w:tc>
          <w:tcPr>
            <w:tcW w:w="605" w:type="dxa"/>
            <w:tcBorders>
              <w:top w:val="nil"/>
              <w:left w:val="single" w:sz="4" w:space="0" w:color="E6E6E6"/>
              <w:bottom w:val="single" w:sz="15" w:space="0" w:color="E6E6E6"/>
              <w:right w:val="nil"/>
            </w:tcBorders>
            <w:shd w:val="clear" w:color="auto" w:fill="FFFFFF"/>
            <w:tcMar>
              <w:left w:w="48" w:type="dxa"/>
              <w:right w:w="48" w:type="dxa"/>
            </w:tcMar>
            <w:vAlign w:val="bottom"/>
          </w:tcPr>
          <w:p w14:paraId="77ABB382"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100,00</w:t>
            </w:r>
          </w:p>
        </w:tc>
        <w:tc>
          <w:tcPr>
            <w:tcW w:w="514" w:type="dxa"/>
            <w:tcBorders>
              <w:top w:val="nil"/>
              <w:left w:val="single" w:sz="4" w:space="0" w:color="E6E6E6"/>
              <w:bottom w:val="single" w:sz="15" w:space="0" w:color="E6E6E6"/>
              <w:right w:val="nil"/>
            </w:tcBorders>
            <w:shd w:val="clear" w:color="auto" w:fill="FFFFFF"/>
            <w:tcMar>
              <w:left w:w="48" w:type="dxa"/>
              <w:right w:w="48" w:type="dxa"/>
            </w:tcMar>
            <w:vAlign w:val="bottom"/>
          </w:tcPr>
          <w:p w14:paraId="11127877"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1.065</w:t>
            </w:r>
          </w:p>
        </w:tc>
        <w:tc>
          <w:tcPr>
            <w:tcW w:w="605" w:type="dxa"/>
            <w:tcBorders>
              <w:top w:val="nil"/>
              <w:left w:val="single" w:sz="4" w:space="0" w:color="E6E6E6"/>
              <w:bottom w:val="single" w:sz="15" w:space="0" w:color="E6E6E6"/>
              <w:right w:val="nil"/>
            </w:tcBorders>
            <w:shd w:val="clear" w:color="auto" w:fill="FFFFFF"/>
            <w:tcMar>
              <w:left w:w="48" w:type="dxa"/>
              <w:right w:w="48" w:type="dxa"/>
            </w:tcMar>
            <w:vAlign w:val="bottom"/>
          </w:tcPr>
          <w:p w14:paraId="0CA438D6"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100,00</w:t>
            </w:r>
          </w:p>
        </w:tc>
        <w:tc>
          <w:tcPr>
            <w:tcW w:w="378" w:type="dxa"/>
            <w:tcBorders>
              <w:top w:val="nil"/>
              <w:left w:val="single" w:sz="4" w:space="0" w:color="E6E6E6"/>
              <w:bottom w:val="single" w:sz="15" w:space="0" w:color="E6E6E6"/>
              <w:right w:val="nil"/>
            </w:tcBorders>
            <w:shd w:val="clear" w:color="auto" w:fill="FFFFFF"/>
            <w:tcMar>
              <w:left w:w="48" w:type="dxa"/>
              <w:right w:w="48" w:type="dxa"/>
            </w:tcMar>
            <w:vAlign w:val="bottom"/>
          </w:tcPr>
          <w:p w14:paraId="132527C9"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883</w:t>
            </w:r>
          </w:p>
        </w:tc>
        <w:tc>
          <w:tcPr>
            <w:tcW w:w="605" w:type="dxa"/>
            <w:tcBorders>
              <w:top w:val="nil"/>
              <w:left w:val="single" w:sz="4" w:space="0" w:color="E6E6E6"/>
              <w:bottom w:val="single" w:sz="15" w:space="0" w:color="E6E6E6"/>
              <w:right w:val="nil"/>
            </w:tcBorders>
            <w:shd w:val="clear" w:color="auto" w:fill="FFFFFF"/>
            <w:tcMar>
              <w:left w:w="48" w:type="dxa"/>
              <w:right w:w="48" w:type="dxa"/>
            </w:tcMar>
            <w:vAlign w:val="bottom"/>
          </w:tcPr>
          <w:p w14:paraId="13740CC9"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100,00</w:t>
            </w:r>
          </w:p>
        </w:tc>
        <w:tc>
          <w:tcPr>
            <w:tcW w:w="378" w:type="dxa"/>
            <w:tcBorders>
              <w:top w:val="nil"/>
              <w:left w:val="single" w:sz="4" w:space="0" w:color="E6E6E6"/>
              <w:bottom w:val="single" w:sz="15" w:space="0" w:color="E6E6E6"/>
              <w:right w:val="nil"/>
            </w:tcBorders>
            <w:shd w:val="clear" w:color="auto" w:fill="FFFFFF"/>
            <w:tcMar>
              <w:left w:w="48" w:type="dxa"/>
              <w:right w:w="48" w:type="dxa"/>
            </w:tcMar>
            <w:vAlign w:val="bottom"/>
          </w:tcPr>
          <w:p w14:paraId="661B286D"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850</w:t>
            </w:r>
          </w:p>
        </w:tc>
        <w:tc>
          <w:tcPr>
            <w:tcW w:w="605" w:type="dxa"/>
            <w:tcBorders>
              <w:top w:val="nil"/>
              <w:left w:val="single" w:sz="4" w:space="0" w:color="E6E6E6"/>
              <w:bottom w:val="single" w:sz="15" w:space="0" w:color="E6E6E6"/>
              <w:right w:val="nil"/>
            </w:tcBorders>
            <w:shd w:val="clear" w:color="auto" w:fill="FFFFFF"/>
            <w:tcMar>
              <w:left w:w="48" w:type="dxa"/>
              <w:right w:w="48" w:type="dxa"/>
            </w:tcMar>
            <w:vAlign w:val="bottom"/>
          </w:tcPr>
          <w:p w14:paraId="3AEABA49"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100,00</w:t>
            </w:r>
          </w:p>
        </w:tc>
        <w:tc>
          <w:tcPr>
            <w:tcW w:w="514" w:type="dxa"/>
            <w:tcBorders>
              <w:top w:val="nil"/>
              <w:left w:val="single" w:sz="4" w:space="0" w:color="E6E6E6"/>
              <w:bottom w:val="single" w:sz="15" w:space="0" w:color="E6E6E6"/>
              <w:right w:val="nil"/>
            </w:tcBorders>
            <w:shd w:val="clear" w:color="auto" w:fill="FFFFFF"/>
            <w:tcMar>
              <w:left w:w="48" w:type="dxa"/>
              <w:right w:w="48" w:type="dxa"/>
            </w:tcMar>
            <w:vAlign w:val="bottom"/>
          </w:tcPr>
          <w:p w14:paraId="59F95072"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4.536</w:t>
            </w:r>
          </w:p>
        </w:tc>
        <w:tc>
          <w:tcPr>
            <w:tcW w:w="605" w:type="dxa"/>
            <w:tcBorders>
              <w:top w:val="nil"/>
              <w:left w:val="single" w:sz="4" w:space="0" w:color="E6E6E6"/>
              <w:bottom w:val="single" w:sz="15" w:space="0" w:color="E6E6E6"/>
              <w:right w:val="single" w:sz="15" w:space="0" w:color="E6E6E6"/>
            </w:tcBorders>
            <w:shd w:val="clear" w:color="auto" w:fill="FFFFFF"/>
            <w:tcMar>
              <w:left w:w="48" w:type="dxa"/>
              <w:right w:w="48" w:type="dxa"/>
            </w:tcMar>
            <w:vAlign w:val="bottom"/>
          </w:tcPr>
          <w:p w14:paraId="4C8FFBA8" w14:textId="77777777" w:rsidR="00F40AA5" w:rsidRPr="00C16CD7" w:rsidRDefault="00F40AA5" w:rsidP="00F40AA5">
            <w:pPr>
              <w:adjustRightInd w:val="0"/>
              <w:spacing w:before="48" w:after="48"/>
              <w:jc w:val="right"/>
              <w:rPr>
                <w:rFonts w:ascii="Arial" w:hAnsi="Arial" w:cs="Arial"/>
                <w:color w:val="231F20"/>
                <w:sz w:val="16"/>
                <w:szCs w:val="16"/>
                <w:lang w:val="fr-BE"/>
              </w:rPr>
            </w:pPr>
            <w:r w:rsidRPr="00C16CD7">
              <w:rPr>
                <w:rFonts w:ascii="Arial" w:hAnsi="Arial" w:cs="Arial"/>
                <w:color w:val="231F20"/>
                <w:sz w:val="16"/>
                <w:szCs w:val="16"/>
                <w:lang w:val="fr-BE"/>
              </w:rPr>
              <w:t>100,00</w:t>
            </w:r>
          </w:p>
        </w:tc>
      </w:tr>
    </w:tbl>
    <w:p w14:paraId="47B81AEF" w14:textId="77777777" w:rsidR="00F40AA5" w:rsidRPr="00C16CD7" w:rsidRDefault="00F40AA5" w:rsidP="0021520F">
      <w:pPr>
        <w:keepNext/>
        <w:adjustRightInd w:val="0"/>
        <w:ind w:left="1440" w:hanging="1440"/>
        <w:jc w:val="both"/>
        <w:rPr>
          <w:i/>
          <w:sz w:val="16"/>
          <w:szCs w:val="16"/>
          <w:lang w:val="fr-BE"/>
        </w:rPr>
      </w:pPr>
    </w:p>
    <w:p w14:paraId="75B69936" w14:textId="77777777" w:rsidR="0021520F" w:rsidRPr="00C16CD7" w:rsidRDefault="0021520F" w:rsidP="0021520F">
      <w:pPr>
        <w:keepNext/>
        <w:adjustRightInd w:val="0"/>
        <w:ind w:left="1440" w:hanging="1440"/>
        <w:jc w:val="center"/>
        <w:rPr>
          <w:i/>
          <w:sz w:val="16"/>
          <w:szCs w:val="16"/>
          <w:lang w:val="fr-BE"/>
        </w:rPr>
      </w:pPr>
      <w:r w:rsidRPr="00C16CD7">
        <w:rPr>
          <w:i/>
          <w:sz w:val="16"/>
          <w:szCs w:val="16"/>
          <w:lang w:val="fr-BE"/>
        </w:rPr>
        <w:t>Source : banque de données du Collège des procureurs généraux – Analystes statistiques.</w:t>
      </w:r>
    </w:p>
    <w:p w14:paraId="7920B2A9" w14:textId="77777777" w:rsidR="0021520F" w:rsidRPr="00C16CD7" w:rsidRDefault="0021520F" w:rsidP="0021520F">
      <w:pPr>
        <w:jc w:val="both"/>
        <w:rPr>
          <w:rFonts w:ascii="Arial" w:hAnsi="Arial" w:cs="Arial"/>
          <w:sz w:val="20"/>
          <w:szCs w:val="20"/>
          <w:lang w:val="fr-BE"/>
        </w:rPr>
      </w:pPr>
    </w:p>
    <w:p w14:paraId="7672FBF2" w14:textId="22F09F01" w:rsidR="0021520F" w:rsidRPr="00C16CD7" w:rsidRDefault="0021520F" w:rsidP="0030458E">
      <w:pPr>
        <w:pStyle w:val="rapportfinal"/>
        <w:spacing w:before="120" w:after="120" w:line="276" w:lineRule="auto"/>
        <w:rPr>
          <w:rFonts w:ascii="Arial" w:hAnsi="Arial" w:cs="Arial"/>
          <w:sz w:val="20"/>
        </w:rPr>
      </w:pPr>
      <w:r w:rsidRPr="00C16CD7">
        <w:rPr>
          <w:rFonts w:ascii="Arial" w:hAnsi="Arial" w:cs="Arial"/>
          <w:sz w:val="20"/>
        </w:rPr>
        <w:t xml:space="preserve">Le tableau </w:t>
      </w:r>
      <w:r w:rsidR="00C2595A" w:rsidRPr="00C16CD7">
        <w:rPr>
          <w:rFonts w:ascii="Arial" w:hAnsi="Arial" w:cs="Arial"/>
          <w:sz w:val="20"/>
        </w:rPr>
        <w:t>4</w:t>
      </w:r>
      <w:r w:rsidRPr="00C16CD7">
        <w:rPr>
          <w:rFonts w:ascii="Arial" w:hAnsi="Arial" w:cs="Arial"/>
          <w:sz w:val="20"/>
        </w:rPr>
        <w:t xml:space="preserve"> indique les différents états d’avancement des affaires </w:t>
      </w:r>
      <w:r w:rsidR="0059052F" w:rsidRPr="00C16CD7">
        <w:rPr>
          <w:rFonts w:ascii="Arial" w:hAnsi="Arial" w:cs="Arial"/>
          <w:sz w:val="20"/>
        </w:rPr>
        <w:t xml:space="preserve">relatives aux crimes motivés par la haine </w:t>
      </w:r>
      <w:r w:rsidRPr="00C16CD7">
        <w:rPr>
          <w:rFonts w:ascii="Arial" w:hAnsi="Arial" w:cs="Arial"/>
          <w:sz w:val="20"/>
        </w:rPr>
        <w:t>entrées dans les parquets correctionnels entre le 1</w:t>
      </w:r>
      <w:r w:rsidRPr="00C16CD7">
        <w:rPr>
          <w:rFonts w:ascii="Arial" w:hAnsi="Arial" w:cs="Arial"/>
          <w:sz w:val="20"/>
          <w:vertAlign w:val="superscript"/>
        </w:rPr>
        <w:t>er</w:t>
      </w:r>
      <w:r w:rsidR="00B06802" w:rsidRPr="00C16CD7">
        <w:rPr>
          <w:rFonts w:ascii="Arial" w:hAnsi="Arial" w:cs="Arial"/>
          <w:sz w:val="20"/>
        </w:rPr>
        <w:t xml:space="preserve"> janvier 201</w:t>
      </w:r>
      <w:r w:rsidR="006C7BA8" w:rsidRPr="00C16CD7">
        <w:rPr>
          <w:rFonts w:ascii="Arial" w:hAnsi="Arial" w:cs="Arial"/>
          <w:sz w:val="20"/>
        </w:rPr>
        <w:t>2</w:t>
      </w:r>
      <w:r w:rsidRPr="00C16CD7">
        <w:rPr>
          <w:rFonts w:ascii="Arial" w:hAnsi="Arial" w:cs="Arial"/>
          <w:sz w:val="20"/>
        </w:rPr>
        <w:t xml:space="preserve"> et le 31 décembre 2016. </w:t>
      </w:r>
    </w:p>
    <w:p w14:paraId="7374655A" w14:textId="20EF56AE" w:rsidR="0021520F" w:rsidRPr="00C16CD7" w:rsidRDefault="0021520F" w:rsidP="0030458E">
      <w:pPr>
        <w:pStyle w:val="En-tte"/>
        <w:tabs>
          <w:tab w:val="clear" w:pos="4536"/>
          <w:tab w:val="clear" w:pos="9072"/>
        </w:tabs>
        <w:spacing w:before="120" w:after="120" w:line="276" w:lineRule="auto"/>
        <w:jc w:val="both"/>
        <w:rPr>
          <w:rFonts w:cs="Arial"/>
          <w:szCs w:val="20"/>
          <w:lang w:val="fr-BE" w:eastAsia="en-US"/>
        </w:rPr>
      </w:pPr>
      <w:r w:rsidRPr="00C16CD7">
        <w:rPr>
          <w:rFonts w:cs="Arial"/>
          <w:szCs w:val="20"/>
          <w:lang w:val="fr-BE" w:eastAsia="en-US"/>
        </w:rPr>
        <w:t xml:space="preserve">Parmi l’ensemble de ces affaires, à la date d’extraction, </w:t>
      </w:r>
      <w:r w:rsidR="00F40AA5" w:rsidRPr="00C16CD7">
        <w:rPr>
          <w:rFonts w:cs="Arial"/>
          <w:szCs w:val="20"/>
          <w:lang w:val="fr-BE" w:eastAsia="en-US"/>
        </w:rPr>
        <w:t>3.558</w:t>
      </w:r>
      <w:r w:rsidRPr="00C16CD7">
        <w:rPr>
          <w:rFonts w:cs="Arial"/>
          <w:szCs w:val="20"/>
          <w:lang w:val="fr-BE" w:eastAsia="en-US"/>
        </w:rPr>
        <w:t xml:space="preserve"> </w:t>
      </w:r>
      <w:r w:rsidR="006C7BA8" w:rsidRPr="00C16CD7">
        <w:rPr>
          <w:rFonts w:cs="Arial"/>
          <w:szCs w:val="20"/>
          <w:lang w:val="fr-BE" w:eastAsia="en-US"/>
        </w:rPr>
        <w:t>(</w:t>
      </w:r>
      <w:r w:rsidR="002D5742" w:rsidRPr="00C16CD7">
        <w:rPr>
          <w:rFonts w:cs="Arial"/>
          <w:szCs w:val="20"/>
          <w:lang w:val="fr-BE" w:eastAsia="en-US"/>
        </w:rPr>
        <w:t>7</w:t>
      </w:r>
      <w:r w:rsidR="00F40AA5" w:rsidRPr="00C16CD7">
        <w:rPr>
          <w:rFonts w:cs="Arial"/>
          <w:szCs w:val="20"/>
          <w:lang w:val="fr-BE" w:eastAsia="en-US"/>
        </w:rPr>
        <w:t>8</w:t>
      </w:r>
      <w:r w:rsidR="006C7BA8" w:rsidRPr="00C16CD7">
        <w:rPr>
          <w:rFonts w:cs="Arial"/>
          <w:szCs w:val="20"/>
          <w:lang w:val="fr-BE" w:eastAsia="en-US"/>
        </w:rPr>
        <w:t>,</w:t>
      </w:r>
      <w:r w:rsidR="00F40AA5" w:rsidRPr="00C16CD7">
        <w:rPr>
          <w:rFonts w:cs="Arial"/>
          <w:szCs w:val="20"/>
          <w:lang w:val="fr-BE" w:eastAsia="en-US"/>
        </w:rPr>
        <w:t>44</w:t>
      </w:r>
      <w:r w:rsidR="006C7BA8" w:rsidRPr="00C16CD7">
        <w:rPr>
          <w:rFonts w:cs="Arial"/>
          <w:szCs w:val="20"/>
          <w:lang w:val="fr-BE" w:eastAsia="en-US"/>
        </w:rPr>
        <w:t xml:space="preserve">%) </w:t>
      </w:r>
      <w:r w:rsidRPr="00C16CD7">
        <w:rPr>
          <w:rFonts w:cs="Arial"/>
          <w:szCs w:val="20"/>
          <w:lang w:val="fr-BE" w:eastAsia="en-US"/>
        </w:rPr>
        <w:t xml:space="preserve">sont classées sans suite; </w:t>
      </w:r>
      <w:r w:rsidR="00F40AA5" w:rsidRPr="00C16CD7">
        <w:rPr>
          <w:rFonts w:cs="Arial"/>
          <w:szCs w:val="20"/>
          <w:lang w:val="fr-BE" w:eastAsia="en-US"/>
        </w:rPr>
        <w:t>330</w:t>
      </w:r>
      <w:r w:rsidR="006C7BA8" w:rsidRPr="00C16CD7">
        <w:rPr>
          <w:rFonts w:cs="Arial"/>
          <w:szCs w:val="20"/>
          <w:lang w:val="fr-BE" w:eastAsia="en-US"/>
        </w:rPr>
        <w:t xml:space="preserve"> </w:t>
      </w:r>
      <w:r w:rsidRPr="00C16CD7">
        <w:rPr>
          <w:rFonts w:cs="Arial"/>
          <w:szCs w:val="20"/>
          <w:lang w:val="fr-BE" w:eastAsia="en-US"/>
        </w:rPr>
        <w:t>sont envoyées pour disposition vers une autre instance</w:t>
      </w:r>
      <w:r w:rsidR="006C7BA8" w:rsidRPr="00C16CD7">
        <w:rPr>
          <w:rFonts w:cs="Arial"/>
          <w:szCs w:val="20"/>
          <w:lang w:val="fr-BE" w:eastAsia="en-US"/>
        </w:rPr>
        <w:t xml:space="preserve"> (</w:t>
      </w:r>
      <w:r w:rsidR="002D5742" w:rsidRPr="00C16CD7">
        <w:rPr>
          <w:rFonts w:cs="Arial"/>
          <w:szCs w:val="20"/>
          <w:lang w:val="fr-BE" w:eastAsia="en-US"/>
        </w:rPr>
        <w:t>7</w:t>
      </w:r>
      <w:r w:rsidR="006C7BA8" w:rsidRPr="00C16CD7">
        <w:rPr>
          <w:rFonts w:cs="Arial"/>
          <w:szCs w:val="20"/>
          <w:lang w:val="fr-BE" w:eastAsia="en-US"/>
        </w:rPr>
        <w:t>,</w:t>
      </w:r>
      <w:r w:rsidR="00F40AA5" w:rsidRPr="00C16CD7">
        <w:rPr>
          <w:rFonts w:cs="Arial"/>
          <w:szCs w:val="20"/>
          <w:lang w:val="fr-BE" w:eastAsia="en-US"/>
        </w:rPr>
        <w:t>28</w:t>
      </w:r>
      <w:r w:rsidR="006C7BA8" w:rsidRPr="00C16CD7">
        <w:rPr>
          <w:rFonts w:cs="Arial"/>
          <w:szCs w:val="20"/>
          <w:lang w:val="fr-BE" w:eastAsia="en-US"/>
        </w:rPr>
        <w:t>%)</w:t>
      </w:r>
      <w:r w:rsidR="00086D68" w:rsidRPr="00C16CD7">
        <w:rPr>
          <w:rFonts w:cs="Arial"/>
          <w:szCs w:val="20"/>
          <w:lang w:val="fr-BE" w:eastAsia="en-US"/>
        </w:rPr>
        <w:t>,</w:t>
      </w:r>
      <w:r w:rsidR="0005247D" w:rsidRPr="00C16CD7">
        <w:rPr>
          <w:rFonts w:cs="Arial"/>
          <w:szCs w:val="20"/>
          <w:lang w:val="fr-BE" w:eastAsia="en-US"/>
        </w:rPr>
        <w:t xml:space="preserve"> </w:t>
      </w:r>
      <w:r w:rsidR="00F40AA5" w:rsidRPr="00C16CD7">
        <w:rPr>
          <w:rFonts w:cs="Arial"/>
          <w:szCs w:val="20"/>
          <w:lang w:val="fr-BE" w:eastAsia="en-US"/>
        </w:rPr>
        <w:t>61</w:t>
      </w:r>
      <w:r w:rsidR="0005247D" w:rsidRPr="00C16CD7">
        <w:rPr>
          <w:rFonts w:cs="Arial"/>
          <w:szCs w:val="20"/>
          <w:lang w:val="fr-BE" w:eastAsia="en-US"/>
        </w:rPr>
        <w:t xml:space="preserve"> affaires se trouvent, à la date d’extraction, dans l’état d’avancement « transaction » </w:t>
      </w:r>
      <w:r w:rsidRPr="00C16CD7">
        <w:rPr>
          <w:rFonts w:cs="Arial"/>
          <w:szCs w:val="20"/>
          <w:lang w:val="fr-BE" w:eastAsia="en-US"/>
        </w:rPr>
        <w:t xml:space="preserve"> tandis que </w:t>
      </w:r>
      <w:r w:rsidR="00F40AA5" w:rsidRPr="00C16CD7">
        <w:rPr>
          <w:rFonts w:cs="Arial"/>
          <w:szCs w:val="20"/>
          <w:lang w:val="fr-BE" w:eastAsia="en-US"/>
        </w:rPr>
        <w:t>56</w:t>
      </w:r>
      <w:r w:rsidRPr="00C16CD7">
        <w:rPr>
          <w:rFonts w:cs="Arial"/>
          <w:szCs w:val="20"/>
          <w:lang w:val="fr-BE" w:eastAsia="en-US"/>
        </w:rPr>
        <w:t xml:space="preserve"> dossiers sont dans l’état d’avancement « médiation pénale ». Quant aux poursuites, </w:t>
      </w:r>
      <w:r w:rsidR="00F40AA5" w:rsidRPr="00C16CD7">
        <w:rPr>
          <w:rFonts w:cs="Arial"/>
          <w:szCs w:val="20"/>
          <w:lang w:val="fr-BE" w:eastAsia="en-US"/>
        </w:rPr>
        <w:t>2</w:t>
      </w:r>
      <w:r w:rsidR="0005247D" w:rsidRPr="00C16CD7">
        <w:rPr>
          <w:rFonts w:cs="Arial"/>
          <w:szCs w:val="20"/>
          <w:lang w:val="fr-BE" w:eastAsia="en-US"/>
        </w:rPr>
        <w:t>7</w:t>
      </w:r>
      <w:r w:rsidR="00F40AA5" w:rsidRPr="00C16CD7">
        <w:rPr>
          <w:rFonts w:cs="Arial"/>
          <w:szCs w:val="20"/>
          <w:lang w:val="fr-BE" w:eastAsia="en-US"/>
        </w:rPr>
        <w:t>2</w:t>
      </w:r>
      <w:r w:rsidR="00B06802" w:rsidRPr="00C16CD7">
        <w:rPr>
          <w:rFonts w:cs="Arial"/>
          <w:szCs w:val="20"/>
          <w:lang w:val="fr-BE" w:eastAsia="en-US"/>
        </w:rPr>
        <w:t xml:space="preserve"> en font l’objet (</w:t>
      </w:r>
      <w:r w:rsidR="006C7BA8" w:rsidRPr="00C16CD7">
        <w:rPr>
          <w:rFonts w:cs="Arial"/>
          <w:szCs w:val="20"/>
          <w:lang w:val="fr-BE" w:eastAsia="en-US"/>
        </w:rPr>
        <w:t xml:space="preserve">instruction, </w:t>
      </w:r>
      <w:r w:rsidRPr="00C16CD7">
        <w:rPr>
          <w:rFonts w:cs="Arial"/>
          <w:szCs w:val="20"/>
          <w:lang w:val="fr-BE" w:eastAsia="en-US"/>
        </w:rPr>
        <w:t>chambre du conseil, citation &amp; suite</w:t>
      </w:r>
      <w:r w:rsidR="006C7BA8" w:rsidRPr="00C16CD7">
        <w:rPr>
          <w:rFonts w:cs="Arial"/>
          <w:szCs w:val="20"/>
          <w:lang w:val="fr-BE" w:eastAsia="en-US"/>
        </w:rPr>
        <w:t xml:space="preserve"> – </w:t>
      </w:r>
      <w:r w:rsidR="00F40AA5" w:rsidRPr="00C16CD7">
        <w:rPr>
          <w:rFonts w:cs="Arial"/>
          <w:szCs w:val="20"/>
          <w:lang w:val="fr-BE" w:eastAsia="en-US"/>
        </w:rPr>
        <w:t>6</w:t>
      </w:r>
      <w:r w:rsidR="006C7BA8" w:rsidRPr="00C16CD7">
        <w:rPr>
          <w:rFonts w:cs="Arial"/>
          <w:szCs w:val="20"/>
          <w:lang w:val="fr-BE" w:eastAsia="en-US"/>
        </w:rPr>
        <w:t>%</w:t>
      </w:r>
      <w:r w:rsidRPr="00C16CD7">
        <w:rPr>
          <w:rFonts w:cs="Arial"/>
          <w:szCs w:val="20"/>
          <w:lang w:val="fr-BE" w:eastAsia="en-US"/>
        </w:rPr>
        <w:t xml:space="preserve">). </w:t>
      </w:r>
      <w:r w:rsidR="0005247D" w:rsidRPr="00C16CD7">
        <w:rPr>
          <w:rFonts w:cs="Arial"/>
          <w:szCs w:val="20"/>
          <w:lang w:val="fr-BE" w:eastAsia="en-US"/>
        </w:rPr>
        <w:t xml:space="preserve">Notons également que </w:t>
      </w:r>
      <w:r w:rsidR="002D5742" w:rsidRPr="00C16CD7">
        <w:rPr>
          <w:rFonts w:cs="Arial"/>
          <w:szCs w:val="20"/>
          <w:lang w:val="fr-BE" w:eastAsia="en-US"/>
        </w:rPr>
        <w:t>2</w:t>
      </w:r>
      <w:r w:rsidR="0005247D" w:rsidRPr="00C16CD7">
        <w:rPr>
          <w:rFonts w:cs="Arial"/>
          <w:szCs w:val="20"/>
          <w:lang w:val="fr-BE" w:eastAsia="en-US"/>
        </w:rPr>
        <w:t>,</w:t>
      </w:r>
      <w:r w:rsidR="00F40AA5" w:rsidRPr="00C16CD7">
        <w:rPr>
          <w:rFonts w:cs="Arial"/>
          <w:szCs w:val="20"/>
          <w:lang w:val="fr-BE" w:eastAsia="en-US"/>
        </w:rPr>
        <w:t>58</w:t>
      </w:r>
      <w:r w:rsidR="0005247D" w:rsidRPr="00C16CD7">
        <w:rPr>
          <w:rFonts w:cs="Arial"/>
          <w:szCs w:val="20"/>
          <w:lang w:val="fr-BE" w:eastAsia="en-US"/>
        </w:rPr>
        <w:t>% des affaires (</w:t>
      </w:r>
      <w:r w:rsidR="002D5742" w:rsidRPr="00C16CD7">
        <w:rPr>
          <w:rFonts w:cs="Arial"/>
          <w:szCs w:val="20"/>
          <w:lang w:val="fr-BE" w:eastAsia="en-US"/>
        </w:rPr>
        <w:t>1</w:t>
      </w:r>
      <w:r w:rsidR="00F40AA5" w:rsidRPr="00C16CD7">
        <w:rPr>
          <w:rFonts w:cs="Arial"/>
          <w:szCs w:val="20"/>
          <w:lang w:val="fr-BE" w:eastAsia="en-US"/>
        </w:rPr>
        <w:t>17</w:t>
      </w:r>
      <w:r w:rsidR="0005247D" w:rsidRPr="00C16CD7">
        <w:rPr>
          <w:rFonts w:cs="Arial"/>
          <w:szCs w:val="20"/>
          <w:lang w:val="fr-BE" w:eastAsia="en-US"/>
        </w:rPr>
        <w:t xml:space="preserve"> dossiers) sont toujours au stade de l’information judiciaire. </w:t>
      </w:r>
      <w:r w:rsidRPr="00C16CD7">
        <w:rPr>
          <w:rFonts w:cs="Arial"/>
          <w:szCs w:val="20"/>
          <w:lang w:val="fr-BE" w:eastAsia="en-US"/>
        </w:rPr>
        <w:t>Les motifs de classement sans suite</w:t>
      </w:r>
      <w:r w:rsidR="00B06802" w:rsidRPr="00C16CD7">
        <w:rPr>
          <w:rFonts w:cs="Arial"/>
          <w:szCs w:val="20"/>
          <w:lang w:val="fr-BE" w:eastAsia="en-US"/>
        </w:rPr>
        <w:t xml:space="preserve"> sont exposés dans le tableau </w:t>
      </w:r>
      <w:r w:rsidR="006C7BA8" w:rsidRPr="00C16CD7">
        <w:rPr>
          <w:rFonts w:cs="Arial"/>
          <w:szCs w:val="20"/>
          <w:lang w:val="fr-BE" w:eastAsia="en-US"/>
        </w:rPr>
        <w:t>5</w:t>
      </w:r>
      <w:r w:rsidRPr="00C16CD7">
        <w:rPr>
          <w:rFonts w:cs="Arial"/>
          <w:szCs w:val="20"/>
          <w:lang w:val="fr-BE" w:eastAsia="en-US"/>
        </w:rPr>
        <w:t>.</w:t>
      </w:r>
    </w:p>
    <w:p w14:paraId="4F9E1F95" w14:textId="1A5FF0A4" w:rsidR="0021520F" w:rsidRPr="00C16CD7" w:rsidRDefault="0021520F" w:rsidP="0030458E">
      <w:pPr>
        <w:pStyle w:val="En-tte"/>
        <w:tabs>
          <w:tab w:val="left" w:pos="720"/>
        </w:tabs>
        <w:spacing w:before="120" w:after="120" w:line="276" w:lineRule="auto"/>
        <w:jc w:val="both"/>
        <w:rPr>
          <w:rFonts w:cs="Arial"/>
          <w:szCs w:val="20"/>
          <w:lang w:val="fr-BE" w:eastAsia="en-US"/>
        </w:rPr>
      </w:pPr>
      <w:r w:rsidRPr="00C16CD7">
        <w:rPr>
          <w:rFonts w:cs="Arial"/>
          <w:szCs w:val="20"/>
          <w:lang w:val="fr-BE" w:eastAsia="en-US"/>
        </w:rPr>
        <w:t>Depuis l’entrée en vigueur de la circulaire COL 16/2014</w:t>
      </w:r>
      <w:r w:rsidR="00EF35E2" w:rsidRPr="00C16CD7">
        <w:rPr>
          <w:rFonts w:cs="Arial"/>
          <w:szCs w:val="20"/>
          <w:lang w:val="fr-BE" w:eastAsia="en-US"/>
        </w:rPr>
        <w:t xml:space="preserve"> portant sur</w:t>
      </w:r>
      <w:r w:rsidR="00BA3F36" w:rsidRPr="00C16CD7">
        <w:rPr>
          <w:rFonts w:cs="Arial"/>
          <w:szCs w:val="20"/>
          <w:lang w:val="fr-BE" w:eastAsia="en-US"/>
        </w:rPr>
        <w:t xml:space="preserve"> la loi du 12 m</w:t>
      </w:r>
      <w:r w:rsidR="00EF35E2" w:rsidRPr="00C16CD7">
        <w:rPr>
          <w:rFonts w:cs="Arial"/>
          <w:szCs w:val="20"/>
          <w:lang w:val="fr-BE" w:eastAsia="en-US"/>
        </w:rPr>
        <w:t>ars 1998</w:t>
      </w:r>
      <w:r w:rsidR="00086D68" w:rsidRPr="00C16CD7">
        <w:rPr>
          <w:rFonts w:cs="Arial"/>
          <w:szCs w:val="20"/>
          <w:lang w:val="fr-BE" w:eastAsia="en-US"/>
        </w:rPr>
        <w:t>,</w:t>
      </w:r>
      <w:r w:rsidR="00EF35E2" w:rsidRPr="00C16CD7">
        <w:rPr>
          <w:rFonts w:cs="Arial"/>
          <w:szCs w:val="20"/>
          <w:lang w:val="fr-BE" w:eastAsia="en-US"/>
        </w:rPr>
        <w:t xml:space="preserve"> relative à l’amélioration de la procédure pénale au stade de l’information et de l’instruction judiciaire</w:t>
      </w:r>
      <w:r w:rsidRPr="00C16CD7">
        <w:rPr>
          <w:rFonts w:cs="Arial"/>
          <w:szCs w:val="20"/>
          <w:lang w:val="fr-BE" w:eastAsia="en-US"/>
        </w:rPr>
        <w:t xml:space="preserve">, le signalement de l’auteur, la probation prétorienne et la sanction administrative sont devenus de nouveaux états d’avancement alors qu’il s’agissait précédemment de motifs de classement sans suite. Au moment de l’extraction de données, </w:t>
      </w:r>
      <w:r w:rsidR="0005247D" w:rsidRPr="00C16CD7">
        <w:rPr>
          <w:rFonts w:cs="Arial"/>
          <w:szCs w:val="20"/>
          <w:lang w:val="fr-BE" w:eastAsia="en-US"/>
        </w:rPr>
        <w:t>nous constatons que le signalement de l’auteur concerne 3</w:t>
      </w:r>
      <w:r w:rsidR="00F40AA5" w:rsidRPr="00C16CD7">
        <w:rPr>
          <w:rFonts w:cs="Arial"/>
          <w:szCs w:val="20"/>
          <w:lang w:val="fr-BE" w:eastAsia="en-US"/>
        </w:rPr>
        <w:t>4</w:t>
      </w:r>
      <w:r w:rsidR="0005247D" w:rsidRPr="00C16CD7">
        <w:rPr>
          <w:rFonts w:cs="Arial"/>
          <w:szCs w:val="20"/>
          <w:lang w:val="fr-BE" w:eastAsia="en-US"/>
        </w:rPr>
        <w:t xml:space="preserve"> dossiers (</w:t>
      </w:r>
      <w:r w:rsidR="002D5742" w:rsidRPr="00C16CD7">
        <w:rPr>
          <w:rFonts w:cs="Arial"/>
          <w:szCs w:val="20"/>
          <w:lang w:val="fr-BE" w:eastAsia="en-US"/>
        </w:rPr>
        <w:t>0</w:t>
      </w:r>
      <w:r w:rsidR="0005247D" w:rsidRPr="00C16CD7">
        <w:rPr>
          <w:rFonts w:cs="Arial"/>
          <w:szCs w:val="20"/>
          <w:lang w:val="fr-BE" w:eastAsia="en-US"/>
        </w:rPr>
        <w:t>,</w:t>
      </w:r>
      <w:r w:rsidR="00F40AA5" w:rsidRPr="00C16CD7">
        <w:rPr>
          <w:rFonts w:cs="Arial"/>
          <w:szCs w:val="20"/>
          <w:lang w:val="fr-BE" w:eastAsia="en-US"/>
        </w:rPr>
        <w:t>7</w:t>
      </w:r>
      <w:r w:rsidR="002D5742" w:rsidRPr="00C16CD7">
        <w:rPr>
          <w:rFonts w:cs="Arial"/>
          <w:szCs w:val="20"/>
          <w:lang w:val="fr-BE" w:eastAsia="en-US"/>
        </w:rPr>
        <w:t>5</w:t>
      </w:r>
      <w:r w:rsidR="0005247D" w:rsidRPr="00C16CD7">
        <w:rPr>
          <w:rFonts w:cs="Arial"/>
          <w:szCs w:val="20"/>
          <w:lang w:val="fr-BE" w:eastAsia="en-US"/>
        </w:rPr>
        <w:t xml:space="preserve">%), que la probation prétorienne est le dernier état d’avancement pour </w:t>
      </w:r>
      <w:r w:rsidR="00F40AA5" w:rsidRPr="00C16CD7">
        <w:rPr>
          <w:rFonts w:cs="Arial"/>
          <w:szCs w:val="20"/>
          <w:lang w:val="fr-BE" w:eastAsia="en-US"/>
        </w:rPr>
        <w:t>101</w:t>
      </w:r>
      <w:r w:rsidR="0005247D" w:rsidRPr="00C16CD7">
        <w:rPr>
          <w:rFonts w:cs="Arial"/>
          <w:szCs w:val="20"/>
          <w:lang w:val="fr-BE" w:eastAsia="en-US"/>
        </w:rPr>
        <w:t xml:space="preserve"> affaires (</w:t>
      </w:r>
      <w:r w:rsidR="002D5742" w:rsidRPr="00C16CD7">
        <w:rPr>
          <w:rFonts w:cs="Arial"/>
          <w:szCs w:val="20"/>
          <w:lang w:val="fr-BE" w:eastAsia="en-US"/>
        </w:rPr>
        <w:t>2</w:t>
      </w:r>
      <w:r w:rsidR="0005247D" w:rsidRPr="00C16CD7">
        <w:rPr>
          <w:rFonts w:cs="Arial"/>
          <w:szCs w:val="20"/>
          <w:lang w:val="fr-BE" w:eastAsia="en-US"/>
        </w:rPr>
        <w:t>,</w:t>
      </w:r>
      <w:r w:rsidR="00F40AA5" w:rsidRPr="00C16CD7">
        <w:rPr>
          <w:rFonts w:cs="Arial"/>
          <w:szCs w:val="20"/>
          <w:lang w:val="fr-BE" w:eastAsia="en-US"/>
        </w:rPr>
        <w:t>33</w:t>
      </w:r>
      <w:r w:rsidR="0005247D" w:rsidRPr="00C16CD7">
        <w:rPr>
          <w:rFonts w:cs="Arial"/>
          <w:szCs w:val="20"/>
          <w:lang w:val="fr-BE" w:eastAsia="en-US"/>
        </w:rPr>
        <w:t>%) et qu’une sanction administrative a été appliquée dans 3 dossiers (0,0</w:t>
      </w:r>
      <w:r w:rsidR="00F40AA5" w:rsidRPr="00C16CD7">
        <w:rPr>
          <w:rFonts w:cs="Arial"/>
          <w:szCs w:val="20"/>
          <w:lang w:val="fr-BE" w:eastAsia="en-US"/>
        </w:rPr>
        <w:t>7</w:t>
      </w:r>
      <w:r w:rsidR="0005247D" w:rsidRPr="00C16CD7">
        <w:rPr>
          <w:rFonts w:cs="Arial"/>
          <w:szCs w:val="20"/>
          <w:lang w:val="fr-BE" w:eastAsia="en-US"/>
        </w:rPr>
        <w:t>%).</w:t>
      </w:r>
    </w:p>
    <w:p w14:paraId="12D5B311" w14:textId="77777777" w:rsidR="0021520F" w:rsidRPr="00C16CD7" w:rsidRDefault="0021520F" w:rsidP="0030458E">
      <w:pPr>
        <w:spacing w:before="120" w:after="120" w:line="276" w:lineRule="auto"/>
        <w:jc w:val="both"/>
        <w:rPr>
          <w:rFonts w:ascii="Arial" w:hAnsi="Arial" w:cs="Arial"/>
          <w:iCs/>
          <w:sz w:val="20"/>
          <w:szCs w:val="20"/>
          <w:lang w:val="fr-BE"/>
        </w:rPr>
      </w:pPr>
      <w:r w:rsidRPr="00C16CD7">
        <w:rPr>
          <w:rFonts w:ascii="Arial" w:hAnsi="Arial" w:cs="Arial"/>
          <w:iCs/>
          <w:sz w:val="20"/>
          <w:szCs w:val="20"/>
          <w:lang w:val="fr-BE"/>
        </w:rPr>
        <w:t xml:space="preserve">Ajoutons que pour une meilleure interprétation des statistiques, il est aussi nécessaire de tenir compte de l’âge de la cohorte présentée. En effet, selon la date d’extraction, les données quantitatives exposées correspondent à des dossiers dont l’âge varie entre 8 mois (+8 jours) et 68 mois (+8 jours) à la date de l’extraction. De ce fait, certains dossiers peuvent encore évoluer vers un autre état d’avancement. </w:t>
      </w:r>
    </w:p>
    <w:p w14:paraId="51AF158A" w14:textId="77777777" w:rsidR="0021520F" w:rsidRPr="00C16CD7" w:rsidRDefault="0021520F" w:rsidP="0030458E">
      <w:pPr>
        <w:spacing w:before="120" w:after="120" w:line="276" w:lineRule="auto"/>
        <w:jc w:val="both"/>
        <w:rPr>
          <w:rFonts w:ascii="Arial" w:hAnsi="Arial" w:cs="Arial"/>
          <w:iCs/>
          <w:sz w:val="20"/>
          <w:szCs w:val="20"/>
          <w:lang w:val="fr-BE"/>
        </w:rPr>
      </w:pPr>
      <w:r w:rsidRPr="00C16CD7">
        <w:rPr>
          <w:rFonts w:ascii="Arial" w:hAnsi="Arial" w:cs="Arial"/>
          <w:iCs/>
          <w:sz w:val="20"/>
          <w:szCs w:val="20"/>
          <w:lang w:val="fr-BE"/>
        </w:rPr>
        <w:t>Il est également important de signaler que lorsqu’une affaire est mise à disposition d’un autre parquet/division, les analystes statistiques comptabilisent deux fois cette affaire : une fois dans le parquet/division initial et une autre dans le parquet/division destinataire, à condition que l’affaire soit rentrée dans le parquet/</w:t>
      </w:r>
      <w:r w:rsidR="00086D68" w:rsidRPr="00C16CD7">
        <w:rPr>
          <w:rFonts w:ascii="Arial" w:hAnsi="Arial" w:cs="Arial"/>
          <w:iCs/>
          <w:sz w:val="20"/>
          <w:szCs w:val="20"/>
          <w:lang w:val="fr-BE"/>
        </w:rPr>
        <w:t>division</w:t>
      </w:r>
      <w:r w:rsidRPr="00C16CD7">
        <w:rPr>
          <w:rFonts w:ascii="Arial" w:hAnsi="Arial" w:cs="Arial"/>
          <w:iCs/>
          <w:sz w:val="20"/>
          <w:szCs w:val="20"/>
          <w:lang w:val="fr-BE"/>
        </w:rPr>
        <w:t xml:space="preserve"> initial au cours de la période de référence et qu’elle ait été mise à disposition d’un autre parquet/division au cours de cette même période.</w:t>
      </w:r>
    </w:p>
    <w:p w14:paraId="016B1E3C" w14:textId="0814C06F" w:rsidR="004B7F3F" w:rsidRPr="00C16CD7" w:rsidRDefault="0021520F" w:rsidP="0030458E">
      <w:pPr>
        <w:spacing w:before="120" w:after="120" w:line="276" w:lineRule="auto"/>
        <w:jc w:val="both"/>
        <w:rPr>
          <w:rFonts w:ascii="Arial" w:hAnsi="Arial" w:cs="Arial"/>
          <w:b/>
          <w:bCs/>
          <w:color w:val="7483AE"/>
          <w:sz w:val="20"/>
          <w:szCs w:val="20"/>
          <w:lang w:val="fr-BE" w:eastAsia="fr-FR"/>
        </w:rPr>
        <w:sectPr w:rsidR="004B7F3F" w:rsidRPr="00C16CD7" w:rsidSect="002E1226">
          <w:footerReference w:type="default" r:id="rId8"/>
          <w:headerReference w:type="first" r:id="rId9"/>
          <w:footerReference w:type="first" r:id="rId10"/>
          <w:pgSz w:w="11906" w:h="16838" w:code="9"/>
          <w:pgMar w:top="1701" w:right="1134" w:bottom="993" w:left="1134" w:header="709" w:footer="561" w:gutter="0"/>
          <w:cols w:space="708"/>
          <w:formProt w:val="0"/>
          <w:docGrid w:linePitch="360"/>
        </w:sectPr>
      </w:pPr>
      <w:r w:rsidRPr="00C16CD7">
        <w:rPr>
          <w:rFonts w:ascii="Arial" w:hAnsi="Arial" w:cs="Arial"/>
          <w:sz w:val="20"/>
          <w:szCs w:val="20"/>
          <w:lang w:val="fr-BE"/>
        </w:rPr>
        <w:t xml:space="preserve">Les affaires dont l’état d’avancement est « jonction » ont été examinées afin de ne garder que l’état d’avancement de l’affaire « mère ». Sur la période étudiée, </w:t>
      </w:r>
      <w:r w:rsidR="00F40AA5" w:rsidRPr="00C16CD7">
        <w:rPr>
          <w:rFonts w:ascii="Arial" w:hAnsi="Arial" w:cs="Arial"/>
          <w:sz w:val="20"/>
          <w:szCs w:val="20"/>
          <w:lang w:val="fr-BE"/>
        </w:rPr>
        <w:t>343</w:t>
      </w:r>
      <w:r w:rsidRPr="00C16CD7">
        <w:rPr>
          <w:rFonts w:ascii="Arial" w:hAnsi="Arial" w:cs="Arial"/>
          <w:sz w:val="20"/>
          <w:szCs w:val="20"/>
          <w:lang w:val="fr-BE"/>
        </w:rPr>
        <w:t xml:space="preserve"> affaires ont fait l’objet d’une jonction. En cas de jonction entre deux affaires, la gestion de l’affaire-fille est opérée via l’affaire-mère. Pour cette raison, l’état d’avancement de l’affaire-fille est assimilé à celui de l’affaire-mère dans le tableau ci-dessus.</w:t>
      </w:r>
      <w:r w:rsidR="00B06802" w:rsidRPr="00C16CD7">
        <w:rPr>
          <w:rFonts w:ascii="Arial" w:hAnsi="Arial" w:cs="Arial"/>
          <w:sz w:val="20"/>
          <w:szCs w:val="20"/>
          <w:lang w:val="fr-BE"/>
        </w:rPr>
        <w:t xml:space="preserve"> Une jonction est réalisée lorsqu’un lien existe entre deux dossiers (ex. même</w:t>
      </w:r>
      <w:r w:rsidR="00EF35E2" w:rsidRPr="00C16CD7">
        <w:rPr>
          <w:rFonts w:ascii="Arial" w:hAnsi="Arial" w:cs="Arial"/>
          <w:sz w:val="20"/>
          <w:szCs w:val="20"/>
          <w:lang w:val="fr-BE"/>
        </w:rPr>
        <w:t>s</w:t>
      </w:r>
      <w:r w:rsidR="00B06802" w:rsidRPr="00C16CD7">
        <w:rPr>
          <w:rFonts w:ascii="Arial" w:hAnsi="Arial" w:cs="Arial"/>
          <w:sz w:val="20"/>
          <w:szCs w:val="20"/>
          <w:lang w:val="fr-BE"/>
        </w:rPr>
        <w:t xml:space="preserve"> faits, même auteur, etc.).</w:t>
      </w:r>
    </w:p>
    <w:p w14:paraId="05739B53" w14:textId="0827F7E4" w:rsidR="0021520F" w:rsidRPr="00C16CD7" w:rsidRDefault="0021520F" w:rsidP="0021520F">
      <w:pPr>
        <w:keepNext/>
        <w:adjustRightInd w:val="0"/>
        <w:ind w:left="1620" w:hanging="1620"/>
        <w:jc w:val="both"/>
        <w:rPr>
          <w:rFonts w:ascii="Arial" w:hAnsi="Arial" w:cs="Arial"/>
          <w:b/>
          <w:bCs/>
          <w:color w:val="7483AE"/>
          <w:sz w:val="20"/>
          <w:szCs w:val="20"/>
          <w:lang w:val="fr-BE" w:eastAsia="fr-FR"/>
        </w:rPr>
      </w:pPr>
      <w:r w:rsidRPr="00C16CD7">
        <w:rPr>
          <w:rFonts w:ascii="Arial" w:hAnsi="Arial" w:cs="Arial"/>
          <w:b/>
          <w:bCs/>
          <w:color w:val="7483AE"/>
          <w:sz w:val="20"/>
          <w:szCs w:val="20"/>
          <w:lang w:val="fr-BE" w:eastAsia="fr-FR"/>
        </w:rPr>
        <w:lastRenderedPageBreak/>
        <w:t xml:space="preserve">Tableau </w:t>
      </w:r>
      <w:r w:rsidR="004B7F3F" w:rsidRPr="00C16CD7">
        <w:rPr>
          <w:rFonts w:ascii="Arial" w:hAnsi="Arial" w:cs="Arial"/>
          <w:b/>
          <w:bCs/>
          <w:color w:val="7483AE"/>
          <w:sz w:val="20"/>
          <w:szCs w:val="20"/>
          <w:lang w:val="fr-BE" w:eastAsia="fr-FR"/>
        </w:rPr>
        <w:t>5</w:t>
      </w:r>
      <w:r w:rsidRPr="00C16CD7">
        <w:rPr>
          <w:rFonts w:ascii="Arial" w:hAnsi="Arial" w:cs="Arial"/>
          <w:b/>
          <w:bCs/>
          <w:color w:val="7483AE"/>
          <w:sz w:val="20"/>
          <w:szCs w:val="20"/>
          <w:lang w:val="fr-BE" w:eastAsia="fr-FR"/>
        </w:rPr>
        <w:t> :</w:t>
      </w:r>
      <w:r w:rsidRPr="00C16CD7">
        <w:rPr>
          <w:rFonts w:ascii="Arial" w:hAnsi="Arial" w:cs="Arial"/>
          <w:b/>
          <w:bCs/>
          <w:color w:val="7483AE"/>
          <w:sz w:val="20"/>
          <w:szCs w:val="20"/>
          <w:lang w:val="fr-BE" w:eastAsia="fr-FR"/>
        </w:rPr>
        <w:tab/>
        <w:t xml:space="preserve">Nombre d’affaires </w:t>
      </w:r>
      <w:r w:rsidR="0059052F" w:rsidRPr="00C16CD7">
        <w:rPr>
          <w:rFonts w:ascii="Arial" w:hAnsi="Arial" w:cs="Arial"/>
          <w:b/>
          <w:bCs/>
          <w:color w:val="7483AE"/>
          <w:sz w:val="20"/>
          <w:szCs w:val="20"/>
          <w:lang w:val="fr-BE" w:eastAsia="fr-FR"/>
        </w:rPr>
        <w:t xml:space="preserve">relatives aux crimes motivés par la haine </w:t>
      </w:r>
      <w:r w:rsidRPr="00C16CD7">
        <w:rPr>
          <w:rFonts w:ascii="Arial" w:hAnsi="Arial" w:cs="Arial"/>
          <w:b/>
          <w:bCs/>
          <w:color w:val="7483AE"/>
          <w:sz w:val="20"/>
          <w:szCs w:val="20"/>
          <w:lang w:val="fr-BE" w:eastAsia="fr-FR"/>
        </w:rPr>
        <w:t>entrées dans les parquets correctionnels entre le 1</w:t>
      </w:r>
      <w:r w:rsidRPr="00C16CD7">
        <w:rPr>
          <w:rFonts w:ascii="Arial" w:hAnsi="Arial" w:cs="Arial"/>
          <w:b/>
          <w:bCs/>
          <w:color w:val="7483AE"/>
          <w:sz w:val="20"/>
          <w:szCs w:val="20"/>
          <w:vertAlign w:val="superscript"/>
          <w:lang w:val="fr-BE" w:eastAsia="fr-FR"/>
        </w:rPr>
        <w:t>er</w:t>
      </w:r>
      <w:r w:rsidR="00B06802" w:rsidRPr="00C16CD7">
        <w:rPr>
          <w:rFonts w:ascii="Arial" w:hAnsi="Arial" w:cs="Arial"/>
          <w:b/>
          <w:bCs/>
          <w:color w:val="7483AE"/>
          <w:sz w:val="20"/>
          <w:szCs w:val="20"/>
          <w:lang w:val="fr-BE" w:eastAsia="fr-FR"/>
        </w:rPr>
        <w:t xml:space="preserve"> janvier 201</w:t>
      </w:r>
      <w:r w:rsidR="004B7F3F" w:rsidRPr="00C16CD7">
        <w:rPr>
          <w:rFonts w:ascii="Arial" w:hAnsi="Arial" w:cs="Arial"/>
          <w:b/>
          <w:bCs/>
          <w:color w:val="7483AE"/>
          <w:sz w:val="20"/>
          <w:szCs w:val="20"/>
          <w:lang w:val="fr-BE" w:eastAsia="fr-FR"/>
        </w:rPr>
        <w:t>2</w:t>
      </w:r>
      <w:r w:rsidRPr="00C16CD7">
        <w:rPr>
          <w:rFonts w:ascii="Arial" w:hAnsi="Arial" w:cs="Arial"/>
          <w:b/>
          <w:bCs/>
          <w:color w:val="7483AE"/>
          <w:sz w:val="20"/>
          <w:szCs w:val="20"/>
          <w:lang w:val="fr-BE" w:eastAsia="fr-FR"/>
        </w:rPr>
        <w:t xml:space="preserve"> et le 31 décembre 2016 et classées sans suite à la date d’extraction. Données présentées en fonction de la catégorie de classement sans suite enregistrée et par année d’entrée  (n &amp; % en colonne). </w:t>
      </w:r>
    </w:p>
    <w:p w14:paraId="3F1A631F" w14:textId="77777777" w:rsidR="00B06802" w:rsidRPr="00C16CD7" w:rsidRDefault="00B06802" w:rsidP="0021520F">
      <w:pPr>
        <w:jc w:val="center"/>
        <w:rPr>
          <w:rFonts w:ascii="Arial" w:hAnsi="Arial" w:cs="Arial"/>
          <w:color w:val="FFFFFF"/>
          <w:sz w:val="16"/>
          <w:szCs w:val="16"/>
          <w:lang w:val="fr-BE"/>
        </w:rPr>
      </w:pPr>
    </w:p>
    <w:tbl>
      <w:tblPr>
        <w:tblW w:w="0" w:type="auto"/>
        <w:jc w:val="center"/>
        <w:tblLayout w:type="fixed"/>
        <w:tblCellMar>
          <w:left w:w="0" w:type="dxa"/>
          <w:right w:w="0" w:type="dxa"/>
        </w:tblCellMar>
        <w:tblLook w:val="0000" w:firstRow="0" w:lastRow="0" w:firstColumn="0" w:lastColumn="0" w:noHBand="0" w:noVBand="0"/>
      </w:tblPr>
      <w:tblGrid>
        <w:gridCol w:w="5678"/>
        <w:gridCol w:w="693"/>
        <w:gridCol w:w="650"/>
        <w:gridCol w:w="693"/>
        <w:gridCol w:w="650"/>
        <w:gridCol w:w="693"/>
        <w:gridCol w:w="650"/>
        <w:gridCol w:w="693"/>
        <w:gridCol w:w="650"/>
        <w:gridCol w:w="693"/>
        <w:gridCol w:w="650"/>
        <w:gridCol w:w="693"/>
        <w:gridCol w:w="650"/>
      </w:tblGrid>
      <w:tr w:rsidR="004B7F3F" w:rsidRPr="00C16CD7" w14:paraId="5FEB9477" w14:textId="77777777" w:rsidTr="004B7F3F">
        <w:trPr>
          <w:cantSplit/>
          <w:tblHeader/>
          <w:jc w:val="center"/>
        </w:trPr>
        <w:tc>
          <w:tcPr>
            <w:tcW w:w="5678" w:type="dxa"/>
            <w:vMerge w:val="restart"/>
            <w:tcBorders>
              <w:top w:val="single" w:sz="15" w:space="0" w:color="E6E6E6"/>
              <w:left w:val="single" w:sz="15" w:space="0" w:color="E6E6E6"/>
              <w:bottom w:val="single" w:sz="4" w:space="0" w:color="E6E6E6"/>
              <w:right w:val="nil"/>
            </w:tcBorders>
            <w:shd w:val="clear" w:color="auto" w:fill="7483AE"/>
            <w:tcMar>
              <w:left w:w="48" w:type="dxa"/>
              <w:right w:w="48" w:type="dxa"/>
            </w:tcMar>
            <w:vAlign w:val="center"/>
          </w:tcPr>
          <w:p w14:paraId="7259626D" w14:textId="77777777" w:rsidR="004B7F3F" w:rsidRPr="00C16CD7" w:rsidRDefault="004B7F3F" w:rsidP="004B7F3F">
            <w:pPr>
              <w:adjustRightInd w:val="0"/>
              <w:spacing w:before="48" w:after="48"/>
              <w:jc w:val="center"/>
              <w:rPr>
                <w:rFonts w:ascii="Arial" w:hAnsi="Arial" w:cs="Arial"/>
                <w:color w:val="FFFFFF"/>
                <w:sz w:val="16"/>
                <w:szCs w:val="16"/>
                <w:lang w:val="fr-BE"/>
              </w:rPr>
            </w:pPr>
          </w:p>
        </w:tc>
        <w:tc>
          <w:tcPr>
            <w:tcW w:w="1343"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6A21D918" w14:textId="099B9A3F" w:rsidR="004B7F3F" w:rsidRPr="00C16CD7" w:rsidRDefault="00781440" w:rsidP="004B7F3F">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201</w:t>
            </w:r>
            <w:r w:rsidR="00F40AA5" w:rsidRPr="00C16CD7">
              <w:rPr>
                <w:rFonts w:ascii="Arial" w:hAnsi="Arial" w:cs="Arial"/>
                <w:color w:val="FFFFFF"/>
                <w:sz w:val="16"/>
                <w:szCs w:val="16"/>
                <w:lang w:val="fr-BE"/>
              </w:rPr>
              <w:t>2</w:t>
            </w:r>
          </w:p>
        </w:tc>
        <w:tc>
          <w:tcPr>
            <w:tcW w:w="1343"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2F926455" w14:textId="0AEBFB86" w:rsidR="004B7F3F" w:rsidRPr="00C16CD7" w:rsidRDefault="00781440" w:rsidP="004B7F3F">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201</w:t>
            </w:r>
            <w:r w:rsidR="00F40AA5" w:rsidRPr="00C16CD7">
              <w:rPr>
                <w:rFonts w:ascii="Arial" w:hAnsi="Arial" w:cs="Arial"/>
                <w:color w:val="FFFFFF"/>
                <w:sz w:val="16"/>
                <w:szCs w:val="16"/>
                <w:lang w:val="fr-BE"/>
              </w:rPr>
              <w:t>3</w:t>
            </w:r>
          </w:p>
        </w:tc>
        <w:tc>
          <w:tcPr>
            <w:tcW w:w="1343"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1E1FD8F6" w14:textId="65FA576A" w:rsidR="004B7F3F" w:rsidRPr="00C16CD7" w:rsidRDefault="00781440" w:rsidP="004B7F3F">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201</w:t>
            </w:r>
            <w:r w:rsidR="00F40AA5" w:rsidRPr="00C16CD7">
              <w:rPr>
                <w:rFonts w:ascii="Arial" w:hAnsi="Arial" w:cs="Arial"/>
                <w:color w:val="FFFFFF"/>
                <w:sz w:val="16"/>
                <w:szCs w:val="16"/>
                <w:lang w:val="fr-BE"/>
              </w:rPr>
              <w:t>4</w:t>
            </w:r>
          </w:p>
        </w:tc>
        <w:tc>
          <w:tcPr>
            <w:tcW w:w="1343"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46D3252A" w14:textId="08693E69" w:rsidR="004B7F3F" w:rsidRPr="00C16CD7" w:rsidRDefault="00781440" w:rsidP="004B7F3F">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201</w:t>
            </w:r>
            <w:r w:rsidR="00F40AA5" w:rsidRPr="00C16CD7">
              <w:rPr>
                <w:rFonts w:ascii="Arial" w:hAnsi="Arial" w:cs="Arial"/>
                <w:color w:val="FFFFFF"/>
                <w:sz w:val="16"/>
                <w:szCs w:val="16"/>
                <w:lang w:val="fr-BE"/>
              </w:rPr>
              <w:t>5</w:t>
            </w:r>
          </w:p>
        </w:tc>
        <w:tc>
          <w:tcPr>
            <w:tcW w:w="1343"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14:paraId="2D45A742" w14:textId="77777777" w:rsidR="004B7F3F" w:rsidRPr="00C16CD7" w:rsidRDefault="004B7F3F" w:rsidP="004B7F3F">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2016</w:t>
            </w:r>
          </w:p>
        </w:tc>
        <w:tc>
          <w:tcPr>
            <w:tcW w:w="1343" w:type="dxa"/>
            <w:gridSpan w:val="2"/>
            <w:tcBorders>
              <w:top w:val="single" w:sz="15" w:space="0" w:color="E6E6E6"/>
              <w:left w:val="single" w:sz="4" w:space="0" w:color="E6E6E6"/>
              <w:bottom w:val="single" w:sz="4" w:space="0" w:color="E6E6E6"/>
              <w:right w:val="single" w:sz="15" w:space="0" w:color="E6E6E6"/>
            </w:tcBorders>
            <w:shd w:val="clear" w:color="auto" w:fill="7483AE"/>
            <w:tcMar>
              <w:left w:w="48" w:type="dxa"/>
              <w:right w:w="48" w:type="dxa"/>
            </w:tcMar>
            <w:vAlign w:val="bottom"/>
          </w:tcPr>
          <w:p w14:paraId="642E5123" w14:textId="77777777" w:rsidR="004B7F3F" w:rsidRPr="00C16CD7" w:rsidRDefault="004B7F3F" w:rsidP="004B7F3F">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TOTAL</w:t>
            </w:r>
          </w:p>
        </w:tc>
      </w:tr>
      <w:tr w:rsidR="004B7F3F" w:rsidRPr="00C16CD7" w14:paraId="7575E59E" w14:textId="77777777" w:rsidTr="004B7F3F">
        <w:trPr>
          <w:cantSplit/>
          <w:tblHeader/>
          <w:jc w:val="center"/>
        </w:trPr>
        <w:tc>
          <w:tcPr>
            <w:tcW w:w="5678" w:type="dxa"/>
            <w:vMerge/>
            <w:tcBorders>
              <w:top w:val="single" w:sz="15" w:space="0" w:color="E6E6E6"/>
              <w:left w:val="single" w:sz="15" w:space="0" w:color="E6E6E6"/>
              <w:bottom w:val="single" w:sz="4" w:space="0" w:color="E6E6E6"/>
              <w:right w:val="nil"/>
            </w:tcBorders>
            <w:shd w:val="clear" w:color="auto" w:fill="7483AE"/>
            <w:tcMar>
              <w:left w:w="48" w:type="dxa"/>
              <w:right w:w="48" w:type="dxa"/>
            </w:tcMar>
            <w:vAlign w:val="center"/>
          </w:tcPr>
          <w:p w14:paraId="6BAB7085" w14:textId="77777777" w:rsidR="004B7F3F" w:rsidRPr="00C16CD7" w:rsidRDefault="004B7F3F" w:rsidP="004B7F3F">
            <w:pPr>
              <w:adjustRightInd w:val="0"/>
              <w:rPr>
                <w:lang w:val="fr-BE"/>
              </w:rPr>
            </w:pPr>
          </w:p>
        </w:tc>
        <w:tc>
          <w:tcPr>
            <w:tcW w:w="693" w:type="dxa"/>
            <w:tcBorders>
              <w:top w:val="nil"/>
              <w:left w:val="single" w:sz="4" w:space="0" w:color="E6E6E6"/>
              <w:bottom w:val="single" w:sz="4" w:space="0" w:color="E6E6E6"/>
              <w:right w:val="nil"/>
            </w:tcBorders>
            <w:shd w:val="clear" w:color="auto" w:fill="7483AE"/>
            <w:tcMar>
              <w:left w:w="48" w:type="dxa"/>
              <w:right w:w="48" w:type="dxa"/>
            </w:tcMar>
            <w:vAlign w:val="bottom"/>
          </w:tcPr>
          <w:p w14:paraId="2B088F9C" w14:textId="77777777" w:rsidR="004B7F3F" w:rsidRPr="00C16CD7" w:rsidRDefault="004B7F3F" w:rsidP="004B7F3F">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650" w:type="dxa"/>
            <w:tcBorders>
              <w:top w:val="nil"/>
              <w:left w:val="single" w:sz="4" w:space="0" w:color="E6E6E6"/>
              <w:bottom w:val="single" w:sz="4" w:space="0" w:color="E6E6E6"/>
              <w:right w:val="nil"/>
            </w:tcBorders>
            <w:shd w:val="clear" w:color="auto" w:fill="7483AE"/>
            <w:tcMar>
              <w:left w:w="48" w:type="dxa"/>
              <w:right w:w="48" w:type="dxa"/>
            </w:tcMar>
            <w:vAlign w:val="bottom"/>
          </w:tcPr>
          <w:p w14:paraId="027A1FBA" w14:textId="77777777" w:rsidR="004B7F3F" w:rsidRPr="00C16CD7" w:rsidRDefault="004B7F3F" w:rsidP="004B7F3F">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693" w:type="dxa"/>
            <w:tcBorders>
              <w:top w:val="nil"/>
              <w:left w:val="single" w:sz="4" w:space="0" w:color="E6E6E6"/>
              <w:bottom w:val="single" w:sz="4" w:space="0" w:color="E6E6E6"/>
              <w:right w:val="nil"/>
            </w:tcBorders>
            <w:shd w:val="clear" w:color="auto" w:fill="7483AE"/>
            <w:tcMar>
              <w:left w:w="48" w:type="dxa"/>
              <w:right w:w="48" w:type="dxa"/>
            </w:tcMar>
            <w:vAlign w:val="bottom"/>
          </w:tcPr>
          <w:p w14:paraId="221FE40F" w14:textId="77777777" w:rsidR="004B7F3F" w:rsidRPr="00C16CD7" w:rsidRDefault="004B7F3F" w:rsidP="004B7F3F">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650" w:type="dxa"/>
            <w:tcBorders>
              <w:top w:val="nil"/>
              <w:left w:val="single" w:sz="4" w:space="0" w:color="E6E6E6"/>
              <w:bottom w:val="single" w:sz="4" w:space="0" w:color="E6E6E6"/>
              <w:right w:val="nil"/>
            </w:tcBorders>
            <w:shd w:val="clear" w:color="auto" w:fill="7483AE"/>
            <w:tcMar>
              <w:left w:w="48" w:type="dxa"/>
              <w:right w:w="48" w:type="dxa"/>
            </w:tcMar>
            <w:vAlign w:val="bottom"/>
          </w:tcPr>
          <w:p w14:paraId="3C7CE3DA" w14:textId="77777777" w:rsidR="004B7F3F" w:rsidRPr="00C16CD7" w:rsidRDefault="004B7F3F" w:rsidP="004B7F3F">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693" w:type="dxa"/>
            <w:tcBorders>
              <w:top w:val="nil"/>
              <w:left w:val="single" w:sz="4" w:space="0" w:color="E6E6E6"/>
              <w:bottom w:val="single" w:sz="4" w:space="0" w:color="E6E6E6"/>
              <w:right w:val="nil"/>
            </w:tcBorders>
            <w:shd w:val="clear" w:color="auto" w:fill="7483AE"/>
            <w:tcMar>
              <w:left w:w="48" w:type="dxa"/>
              <w:right w:w="48" w:type="dxa"/>
            </w:tcMar>
            <w:vAlign w:val="bottom"/>
          </w:tcPr>
          <w:p w14:paraId="1E3DE8DB" w14:textId="77777777" w:rsidR="004B7F3F" w:rsidRPr="00C16CD7" w:rsidRDefault="004B7F3F" w:rsidP="004B7F3F">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650" w:type="dxa"/>
            <w:tcBorders>
              <w:top w:val="nil"/>
              <w:left w:val="single" w:sz="4" w:space="0" w:color="E6E6E6"/>
              <w:bottom w:val="single" w:sz="4" w:space="0" w:color="E6E6E6"/>
              <w:right w:val="nil"/>
            </w:tcBorders>
            <w:shd w:val="clear" w:color="auto" w:fill="7483AE"/>
            <w:tcMar>
              <w:left w:w="48" w:type="dxa"/>
              <w:right w:w="48" w:type="dxa"/>
            </w:tcMar>
            <w:vAlign w:val="bottom"/>
          </w:tcPr>
          <w:p w14:paraId="481AD80C" w14:textId="77777777" w:rsidR="004B7F3F" w:rsidRPr="00C16CD7" w:rsidRDefault="004B7F3F" w:rsidP="004B7F3F">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693" w:type="dxa"/>
            <w:tcBorders>
              <w:top w:val="nil"/>
              <w:left w:val="single" w:sz="4" w:space="0" w:color="E6E6E6"/>
              <w:bottom w:val="single" w:sz="4" w:space="0" w:color="E6E6E6"/>
              <w:right w:val="nil"/>
            </w:tcBorders>
            <w:shd w:val="clear" w:color="auto" w:fill="7483AE"/>
            <w:tcMar>
              <w:left w:w="48" w:type="dxa"/>
              <w:right w:w="48" w:type="dxa"/>
            </w:tcMar>
            <w:vAlign w:val="bottom"/>
          </w:tcPr>
          <w:p w14:paraId="48DF30EE" w14:textId="77777777" w:rsidR="004B7F3F" w:rsidRPr="00C16CD7" w:rsidRDefault="004B7F3F" w:rsidP="004B7F3F">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650" w:type="dxa"/>
            <w:tcBorders>
              <w:top w:val="nil"/>
              <w:left w:val="single" w:sz="4" w:space="0" w:color="E6E6E6"/>
              <w:bottom w:val="single" w:sz="4" w:space="0" w:color="E6E6E6"/>
              <w:right w:val="nil"/>
            </w:tcBorders>
            <w:shd w:val="clear" w:color="auto" w:fill="7483AE"/>
            <w:tcMar>
              <w:left w:w="48" w:type="dxa"/>
              <w:right w:w="48" w:type="dxa"/>
            </w:tcMar>
            <w:vAlign w:val="bottom"/>
          </w:tcPr>
          <w:p w14:paraId="3564FBDE" w14:textId="77777777" w:rsidR="004B7F3F" w:rsidRPr="00C16CD7" w:rsidRDefault="004B7F3F" w:rsidP="004B7F3F">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693" w:type="dxa"/>
            <w:tcBorders>
              <w:top w:val="nil"/>
              <w:left w:val="single" w:sz="4" w:space="0" w:color="E6E6E6"/>
              <w:bottom w:val="single" w:sz="4" w:space="0" w:color="E6E6E6"/>
              <w:right w:val="nil"/>
            </w:tcBorders>
            <w:shd w:val="clear" w:color="auto" w:fill="7483AE"/>
            <w:tcMar>
              <w:left w:w="48" w:type="dxa"/>
              <w:right w:w="48" w:type="dxa"/>
            </w:tcMar>
            <w:vAlign w:val="bottom"/>
          </w:tcPr>
          <w:p w14:paraId="7E1F5294" w14:textId="77777777" w:rsidR="004B7F3F" w:rsidRPr="00C16CD7" w:rsidRDefault="004B7F3F" w:rsidP="004B7F3F">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650" w:type="dxa"/>
            <w:tcBorders>
              <w:top w:val="nil"/>
              <w:left w:val="single" w:sz="4" w:space="0" w:color="E6E6E6"/>
              <w:bottom w:val="single" w:sz="4" w:space="0" w:color="E6E6E6"/>
              <w:right w:val="nil"/>
            </w:tcBorders>
            <w:shd w:val="clear" w:color="auto" w:fill="7483AE"/>
            <w:tcMar>
              <w:left w:w="48" w:type="dxa"/>
              <w:right w:w="48" w:type="dxa"/>
            </w:tcMar>
            <w:vAlign w:val="bottom"/>
          </w:tcPr>
          <w:p w14:paraId="12AFFD4A" w14:textId="77777777" w:rsidR="004B7F3F" w:rsidRPr="00C16CD7" w:rsidRDefault="004B7F3F" w:rsidP="004B7F3F">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c>
          <w:tcPr>
            <w:tcW w:w="693" w:type="dxa"/>
            <w:tcBorders>
              <w:top w:val="nil"/>
              <w:left w:val="single" w:sz="4" w:space="0" w:color="E6E6E6"/>
              <w:bottom w:val="single" w:sz="4" w:space="0" w:color="E6E6E6"/>
              <w:right w:val="nil"/>
            </w:tcBorders>
            <w:shd w:val="clear" w:color="auto" w:fill="7483AE"/>
            <w:tcMar>
              <w:left w:w="48" w:type="dxa"/>
              <w:right w:w="48" w:type="dxa"/>
            </w:tcMar>
            <w:vAlign w:val="bottom"/>
          </w:tcPr>
          <w:p w14:paraId="0494CDBD" w14:textId="77777777" w:rsidR="004B7F3F" w:rsidRPr="00C16CD7" w:rsidRDefault="004B7F3F" w:rsidP="004B7F3F">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n</w:t>
            </w:r>
          </w:p>
        </w:tc>
        <w:tc>
          <w:tcPr>
            <w:tcW w:w="650" w:type="dxa"/>
            <w:tcBorders>
              <w:top w:val="nil"/>
              <w:left w:val="single" w:sz="4" w:space="0" w:color="E6E6E6"/>
              <w:bottom w:val="single" w:sz="4" w:space="0" w:color="E6E6E6"/>
              <w:right w:val="single" w:sz="15" w:space="0" w:color="E6E6E6"/>
            </w:tcBorders>
            <w:shd w:val="clear" w:color="auto" w:fill="7483AE"/>
            <w:tcMar>
              <w:left w:w="48" w:type="dxa"/>
              <w:right w:w="48" w:type="dxa"/>
            </w:tcMar>
            <w:vAlign w:val="bottom"/>
          </w:tcPr>
          <w:p w14:paraId="5BA57492" w14:textId="77777777" w:rsidR="004B7F3F" w:rsidRPr="00C16CD7" w:rsidRDefault="004B7F3F" w:rsidP="004B7F3F">
            <w:pPr>
              <w:adjustRightInd w:val="0"/>
              <w:spacing w:before="48" w:after="48"/>
              <w:jc w:val="center"/>
              <w:rPr>
                <w:rFonts w:ascii="Arial" w:hAnsi="Arial" w:cs="Arial"/>
                <w:color w:val="FFFFFF"/>
                <w:sz w:val="16"/>
                <w:szCs w:val="16"/>
                <w:lang w:val="fr-BE"/>
              </w:rPr>
            </w:pPr>
            <w:r w:rsidRPr="00C16CD7">
              <w:rPr>
                <w:rFonts w:ascii="Arial" w:hAnsi="Arial" w:cs="Arial"/>
                <w:color w:val="FFFFFF"/>
                <w:sz w:val="16"/>
                <w:szCs w:val="16"/>
                <w:lang w:val="fr-BE"/>
              </w:rPr>
              <w:t>%</w:t>
            </w:r>
          </w:p>
        </w:tc>
      </w:tr>
      <w:tr w:rsidR="00F40AA5" w:rsidRPr="00C16CD7" w14:paraId="0B26AB5B" w14:textId="77777777" w:rsidTr="002D5742">
        <w:trPr>
          <w:cantSplit/>
          <w:jc w:val="center"/>
        </w:trPr>
        <w:tc>
          <w:tcPr>
            <w:tcW w:w="5678" w:type="dxa"/>
            <w:tcBorders>
              <w:top w:val="nil"/>
              <w:left w:val="single" w:sz="15" w:space="0" w:color="E6E6E6"/>
              <w:bottom w:val="single" w:sz="4" w:space="0" w:color="E6E6E6"/>
              <w:right w:val="nil"/>
            </w:tcBorders>
            <w:shd w:val="clear" w:color="auto" w:fill="BFBFBF" w:themeFill="background1" w:themeFillShade="BF"/>
            <w:tcMar>
              <w:left w:w="48" w:type="dxa"/>
              <w:right w:w="48" w:type="dxa"/>
            </w:tcMar>
          </w:tcPr>
          <w:p w14:paraId="46F6E3C5" w14:textId="594B300D" w:rsidR="00F40AA5" w:rsidRPr="00C16CD7" w:rsidRDefault="00F40AA5" w:rsidP="004B7F3F">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 xml:space="preserve">Classement de nature technique                                                    </w:t>
            </w:r>
          </w:p>
        </w:tc>
        <w:tc>
          <w:tcPr>
            <w:tcW w:w="693" w:type="dxa"/>
            <w:tcBorders>
              <w:top w:val="nil"/>
              <w:left w:val="single" w:sz="4" w:space="0" w:color="E6E6E6"/>
              <w:bottom w:val="single" w:sz="4" w:space="0" w:color="E6E6E6"/>
              <w:right w:val="nil"/>
            </w:tcBorders>
            <w:shd w:val="clear" w:color="auto" w:fill="BFBFBF" w:themeFill="background1" w:themeFillShade="BF"/>
            <w:tcMar>
              <w:left w:w="48" w:type="dxa"/>
              <w:right w:w="48" w:type="dxa"/>
            </w:tcMar>
            <w:vAlign w:val="bottom"/>
          </w:tcPr>
          <w:p w14:paraId="088CE2B3" w14:textId="2BFFA834"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482</w:t>
            </w:r>
          </w:p>
        </w:tc>
        <w:tc>
          <w:tcPr>
            <w:tcW w:w="650" w:type="dxa"/>
            <w:tcBorders>
              <w:top w:val="nil"/>
              <w:left w:val="single" w:sz="4" w:space="0" w:color="E6E6E6"/>
              <w:bottom w:val="single" w:sz="4" w:space="0" w:color="E6E6E6"/>
              <w:right w:val="nil"/>
            </w:tcBorders>
            <w:shd w:val="clear" w:color="auto" w:fill="BFBFBF" w:themeFill="background1" w:themeFillShade="BF"/>
            <w:tcMar>
              <w:left w:w="48" w:type="dxa"/>
              <w:right w:w="48" w:type="dxa"/>
            </w:tcMar>
            <w:vAlign w:val="bottom"/>
          </w:tcPr>
          <w:p w14:paraId="1FE1903F" w14:textId="24E2F22F"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65,22</w:t>
            </w:r>
          </w:p>
        </w:tc>
        <w:tc>
          <w:tcPr>
            <w:tcW w:w="693" w:type="dxa"/>
            <w:tcBorders>
              <w:top w:val="nil"/>
              <w:left w:val="single" w:sz="4" w:space="0" w:color="E6E6E6"/>
              <w:bottom w:val="single" w:sz="4" w:space="0" w:color="E6E6E6"/>
              <w:right w:val="nil"/>
            </w:tcBorders>
            <w:shd w:val="clear" w:color="auto" w:fill="BFBFBF" w:themeFill="background1" w:themeFillShade="BF"/>
            <w:tcMar>
              <w:left w:w="48" w:type="dxa"/>
              <w:right w:w="48" w:type="dxa"/>
            </w:tcMar>
            <w:vAlign w:val="bottom"/>
          </w:tcPr>
          <w:p w14:paraId="2B67829A" w14:textId="74FF257B"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469</w:t>
            </w:r>
          </w:p>
        </w:tc>
        <w:tc>
          <w:tcPr>
            <w:tcW w:w="650" w:type="dxa"/>
            <w:tcBorders>
              <w:top w:val="nil"/>
              <w:left w:val="single" w:sz="4" w:space="0" w:color="E6E6E6"/>
              <w:bottom w:val="single" w:sz="4" w:space="0" w:color="E6E6E6"/>
              <w:right w:val="nil"/>
            </w:tcBorders>
            <w:shd w:val="clear" w:color="auto" w:fill="BFBFBF" w:themeFill="background1" w:themeFillShade="BF"/>
            <w:tcMar>
              <w:left w:w="48" w:type="dxa"/>
              <w:right w:w="48" w:type="dxa"/>
            </w:tcMar>
            <w:vAlign w:val="bottom"/>
          </w:tcPr>
          <w:p w14:paraId="3D0A0CE3" w14:textId="73681218"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68,87</w:t>
            </w:r>
          </w:p>
        </w:tc>
        <w:tc>
          <w:tcPr>
            <w:tcW w:w="693" w:type="dxa"/>
            <w:tcBorders>
              <w:top w:val="nil"/>
              <w:left w:val="single" w:sz="4" w:space="0" w:color="E6E6E6"/>
              <w:bottom w:val="single" w:sz="4" w:space="0" w:color="E6E6E6"/>
              <w:right w:val="nil"/>
            </w:tcBorders>
            <w:shd w:val="clear" w:color="auto" w:fill="BFBFBF" w:themeFill="background1" w:themeFillShade="BF"/>
            <w:tcMar>
              <w:left w:w="48" w:type="dxa"/>
              <w:right w:w="48" w:type="dxa"/>
            </w:tcMar>
            <w:vAlign w:val="bottom"/>
          </w:tcPr>
          <w:p w14:paraId="459D2A1F" w14:textId="452F5BD8"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521</w:t>
            </w:r>
          </w:p>
        </w:tc>
        <w:tc>
          <w:tcPr>
            <w:tcW w:w="650" w:type="dxa"/>
            <w:tcBorders>
              <w:top w:val="nil"/>
              <w:left w:val="single" w:sz="4" w:space="0" w:color="E6E6E6"/>
              <w:bottom w:val="single" w:sz="4" w:space="0" w:color="E6E6E6"/>
              <w:right w:val="nil"/>
            </w:tcBorders>
            <w:shd w:val="clear" w:color="auto" w:fill="BFBFBF" w:themeFill="background1" w:themeFillShade="BF"/>
            <w:tcMar>
              <w:left w:w="48" w:type="dxa"/>
              <w:right w:w="48" w:type="dxa"/>
            </w:tcMar>
            <w:vAlign w:val="bottom"/>
          </w:tcPr>
          <w:p w14:paraId="3965AFF1" w14:textId="60A6172D"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62,10</w:t>
            </w:r>
          </w:p>
        </w:tc>
        <w:tc>
          <w:tcPr>
            <w:tcW w:w="693" w:type="dxa"/>
            <w:tcBorders>
              <w:top w:val="nil"/>
              <w:left w:val="single" w:sz="4" w:space="0" w:color="E6E6E6"/>
              <w:bottom w:val="single" w:sz="4" w:space="0" w:color="E6E6E6"/>
              <w:right w:val="nil"/>
            </w:tcBorders>
            <w:shd w:val="clear" w:color="auto" w:fill="BFBFBF" w:themeFill="background1" w:themeFillShade="BF"/>
            <w:tcMar>
              <w:left w:w="48" w:type="dxa"/>
              <w:right w:w="48" w:type="dxa"/>
            </w:tcMar>
            <w:vAlign w:val="bottom"/>
          </w:tcPr>
          <w:p w14:paraId="0D1B91BC" w14:textId="69FB9C1E"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484</w:t>
            </w:r>
          </w:p>
        </w:tc>
        <w:tc>
          <w:tcPr>
            <w:tcW w:w="650" w:type="dxa"/>
            <w:tcBorders>
              <w:top w:val="nil"/>
              <w:left w:val="single" w:sz="4" w:space="0" w:color="E6E6E6"/>
              <w:bottom w:val="single" w:sz="4" w:space="0" w:color="E6E6E6"/>
              <w:right w:val="nil"/>
            </w:tcBorders>
            <w:shd w:val="clear" w:color="auto" w:fill="BFBFBF" w:themeFill="background1" w:themeFillShade="BF"/>
            <w:tcMar>
              <w:left w:w="48" w:type="dxa"/>
              <w:right w:w="48" w:type="dxa"/>
            </w:tcMar>
            <w:vAlign w:val="bottom"/>
          </w:tcPr>
          <w:p w14:paraId="75B2A353" w14:textId="652A9FAF"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69,94</w:t>
            </w:r>
          </w:p>
        </w:tc>
        <w:tc>
          <w:tcPr>
            <w:tcW w:w="693" w:type="dxa"/>
            <w:tcBorders>
              <w:top w:val="nil"/>
              <w:left w:val="single" w:sz="4" w:space="0" w:color="E6E6E6"/>
              <w:bottom w:val="single" w:sz="4" w:space="0" w:color="E6E6E6"/>
              <w:right w:val="nil"/>
            </w:tcBorders>
            <w:shd w:val="clear" w:color="auto" w:fill="BFBFBF" w:themeFill="background1" w:themeFillShade="BF"/>
            <w:tcMar>
              <w:left w:w="48" w:type="dxa"/>
              <w:right w:w="48" w:type="dxa"/>
            </w:tcMar>
            <w:vAlign w:val="bottom"/>
          </w:tcPr>
          <w:p w14:paraId="613092AC" w14:textId="515E341A"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449</w:t>
            </w:r>
          </w:p>
        </w:tc>
        <w:tc>
          <w:tcPr>
            <w:tcW w:w="650" w:type="dxa"/>
            <w:tcBorders>
              <w:top w:val="nil"/>
              <w:left w:val="single" w:sz="4" w:space="0" w:color="E6E6E6"/>
              <w:bottom w:val="single" w:sz="4" w:space="0" w:color="E6E6E6"/>
              <w:right w:val="nil"/>
            </w:tcBorders>
            <w:shd w:val="clear" w:color="auto" w:fill="BFBFBF" w:themeFill="background1" w:themeFillShade="BF"/>
            <w:tcMar>
              <w:left w:w="48" w:type="dxa"/>
              <w:right w:w="48" w:type="dxa"/>
            </w:tcMar>
            <w:vAlign w:val="bottom"/>
          </w:tcPr>
          <w:p w14:paraId="1F77C380" w14:textId="2A549D00"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73,97</w:t>
            </w:r>
          </w:p>
        </w:tc>
        <w:tc>
          <w:tcPr>
            <w:tcW w:w="693" w:type="dxa"/>
            <w:tcBorders>
              <w:top w:val="nil"/>
              <w:left w:val="single" w:sz="4" w:space="0" w:color="E6E6E6"/>
              <w:bottom w:val="single" w:sz="4" w:space="0" w:color="E6E6E6"/>
              <w:right w:val="nil"/>
            </w:tcBorders>
            <w:shd w:val="clear" w:color="auto" w:fill="BFBFBF" w:themeFill="background1" w:themeFillShade="BF"/>
            <w:tcMar>
              <w:left w:w="48" w:type="dxa"/>
              <w:right w:w="48" w:type="dxa"/>
            </w:tcMar>
            <w:vAlign w:val="bottom"/>
          </w:tcPr>
          <w:p w14:paraId="5093D85F" w14:textId="35DED655"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2.405</w:t>
            </w:r>
          </w:p>
        </w:tc>
        <w:tc>
          <w:tcPr>
            <w:tcW w:w="650" w:type="dxa"/>
            <w:tcBorders>
              <w:top w:val="nil"/>
              <w:left w:val="single" w:sz="4" w:space="0" w:color="E6E6E6"/>
              <w:bottom w:val="single" w:sz="4" w:space="0" w:color="E6E6E6"/>
              <w:right w:val="single" w:sz="15" w:space="0" w:color="E6E6E6"/>
            </w:tcBorders>
            <w:shd w:val="clear" w:color="auto" w:fill="BFBFBF" w:themeFill="background1" w:themeFillShade="BF"/>
            <w:tcMar>
              <w:left w:w="48" w:type="dxa"/>
              <w:right w:w="48" w:type="dxa"/>
            </w:tcMar>
            <w:vAlign w:val="bottom"/>
          </w:tcPr>
          <w:p w14:paraId="52E08A4E" w14:textId="6C7CB530"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67,59</w:t>
            </w:r>
          </w:p>
        </w:tc>
      </w:tr>
      <w:tr w:rsidR="00F40AA5" w:rsidRPr="00C16CD7" w14:paraId="4F9D8211" w14:textId="77777777" w:rsidTr="004B7F3F">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14:paraId="65886D71" w14:textId="139BCB73" w:rsidR="00F40AA5" w:rsidRPr="00C16CD7" w:rsidRDefault="00F40AA5" w:rsidP="004B7F3F">
            <w:pPr>
              <w:adjustRightInd w:val="0"/>
              <w:spacing w:before="48" w:after="48"/>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absence d'infraction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3DDB6869" w14:textId="076CA45A"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73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25414E40" w14:textId="39E9F6BF"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9,88</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563B960" w14:textId="5D6FA91F"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99</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6DCB86B1" w14:textId="6F402DE3"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14,54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33FB26F1" w14:textId="41C5CE02"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92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4511C218" w14:textId="4256B3D2"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10,97</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54FE4B0" w14:textId="3A4F5AB5"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78</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75052933" w14:textId="6933F0D9"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11,27</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620A6DA1" w14:textId="3CB1DE6F"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74</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451CAD1A" w14:textId="71C0FFC7"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12,19</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7829A2B2" w14:textId="6143CAB7"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416</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70538836" w14:textId="14A23625"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11,69</w:t>
            </w:r>
          </w:p>
        </w:tc>
      </w:tr>
      <w:tr w:rsidR="00F40AA5" w:rsidRPr="00C16CD7" w14:paraId="42E5F3B6" w14:textId="77777777" w:rsidTr="004B7F3F">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14:paraId="6893A927" w14:textId="457F46D6" w:rsidR="00F40AA5" w:rsidRPr="00C16CD7" w:rsidRDefault="00F40AA5" w:rsidP="004B7F3F">
            <w:pPr>
              <w:adjustRightInd w:val="0"/>
              <w:spacing w:before="48" w:after="48"/>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charges insuffisantes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03CD3B5A" w14:textId="34E16988"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313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736A9AAC" w14:textId="281568F8"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42,35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BBCB46A" w14:textId="46C6489C"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303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71623121" w14:textId="0423B41F"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44,49</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F03AB09" w14:textId="699DE569"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343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2AC54F6A" w14:textId="0F99823E"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40,88</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6E84527F" w14:textId="64CEE596"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314</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655DCCCB" w14:textId="79216A88"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45,38</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A866EEC" w14:textId="48E9153E"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302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725A3224" w14:textId="3C5ED72B"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49,75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09428A30" w14:textId="244ED934"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1.575</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58BC17B2" w14:textId="1CE21D5D"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44,27</w:t>
            </w:r>
          </w:p>
        </w:tc>
      </w:tr>
      <w:tr w:rsidR="00F40AA5" w:rsidRPr="00C16CD7" w14:paraId="7226C54F" w14:textId="77777777" w:rsidTr="004B7F3F">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14:paraId="0AC3641D" w14:textId="688AA86F" w:rsidR="00F40AA5" w:rsidRPr="00C16CD7" w:rsidRDefault="00F40AA5" w:rsidP="004B7F3F">
            <w:pPr>
              <w:adjustRightInd w:val="0"/>
              <w:spacing w:before="48" w:after="48"/>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extinction de l'action publique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04E45B98" w14:textId="4BABE23A"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479A8C64" w14:textId="1397E172"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0,41</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0F08BEAF" w14:textId="46B38378"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5D87F7B2" w14:textId="5107CAF4"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0,15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44364360" w14:textId="65E9298B"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70C3A04D" w14:textId="39EF5D52"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0,24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1BE98F6E" w14:textId="2AB677AF"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6A302056" w14:textId="4842C39A"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0,29</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35577FB" w14:textId="4DF679A4"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10E8B1E0" w14:textId="7CFC5AAD"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0,33</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49FCA21C" w14:textId="531B6851"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10</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7BE3EDCD" w14:textId="3FA6351D"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b/>
                <w:bCs/>
                <w:i/>
                <w:iCs/>
                <w:color w:val="000000"/>
                <w:sz w:val="16"/>
                <w:szCs w:val="16"/>
                <w:lang w:val="fr-BE"/>
              </w:rPr>
              <w:t xml:space="preserve">   0,28</w:t>
            </w:r>
          </w:p>
        </w:tc>
      </w:tr>
      <w:tr w:rsidR="00F40AA5" w:rsidRPr="00C16CD7" w14:paraId="68A68D8D" w14:textId="77777777" w:rsidTr="004B7F3F">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14:paraId="546C6102" w14:textId="244FE04E" w:rsidR="00F40AA5" w:rsidRPr="00C16CD7" w:rsidRDefault="00F40AA5" w:rsidP="004B7F3F">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prescription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CD26690" w14:textId="460BEE6B"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0EB57E2E" w14:textId="1F710257"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63B65259" w14:textId="665DBC3E"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6481FD8A" w14:textId="1360EBC5"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69E895D6" w14:textId="58F3DE56"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1AC91281" w14:textId="4D40C6FC"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0,12</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2ED79796" w14:textId="368C8560"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1FDF1C3A" w14:textId="4D5AAD10"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0,14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4D4AA287" w14:textId="777567FD"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4349FD7E" w14:textId="597CEE33"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088EAC8F" w14:textId="0E10402F"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2</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647E9EFF" w14:textId="2B5BA3B0"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0,06</w:t>
            </w:r>
          </w:p>
        </w:tc>
      </w:tr>
      <w:tr w:rsidR="00F40AA5" w:rsidRPr="00C16CD7" w14:paraId="12945D1A" w14:textId="77777777" w:rsidTr="004B7F3F">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14:paraId="58915029" w14:textId="30406CA9" w:rsidR="00F40AA5" w:rsidRPr="00C16CD7" w:rsidRDefault="00F40AA5" w:rsidP="004B7F3F">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décès de l'auteur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9BD0AFC" w14:textId="35BED0A7"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445B5A6F" w14:textId="57F18F01"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0,27</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7FA93BF2" w14:textId="713221C0"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1A6DBB23" w14:textId="2B5DFE88"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0,15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7EB0E9E1" w14:textId="55885EBA"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64095778" w14:textId="7B2078F6"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0,12</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56D84D0" w14:textId="168CBD9C"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658D00D1" w14:textId="74820631"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0,14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6D654949" w14:textId="6A1F596F"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61B95CEB" w14:textId="3734BF62"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0,33</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1F2E96B0" w14:textId="52D93421"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7</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5957A651" w14:textId="4B314CFA"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0,20</w:t>
            </w:r>
          </w:p>
        </w:tc>
      </w:tr>
      <w:tr w:rsidR="00F40AA5" w:rsidRPr="00C16CD7" w14:paraId="26A53215" w14:textId="77777777" w:rsidTr="004B7F3F">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14:paraId="60C46298" w14:textId="299F6CB6" w:rsidR="00F40AA5" w:rsidRPr="00C16CD7" w:rsidRDefault="00F40AA5" w:rsidP="004B7F3F">
            <w:pPr>
              <w:adjustRightInd w:val="0"/>
              <w:spacing w:before="48" w:after="48"/>
              <w:rPr>
                <w:rFonts w:ascii="Arial" w:hAnsi="Arial" w:cs="Arial"/>
                <w:b/>
                <w:bCs/>
                <w:i/>
                <w:iCs/>
                <w:color w:val="000000"/>
                <w:sz w:val="16"/>
                <w:szCs w:val="16"/>
                <w:lang w:val="fr-BE"/>
              </w:rPr>
            </w:pPr>
            <w:r w:rsidRPr="00C16CD7">
              <w:rPr>
                <w:rFonts w:ascii="Arial" w:hAnsi="Arial" w:cs="Arial"/>
                <w:color w:val="000000"/>
                <w:sz w:val="16"/>
                <w:szCs w:val="16"/>
                <w:lang w:val="fr-BE"/>
              </w:rPr>
              <w:t xml:space="preserve">                désistement de plainte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69074B3D" w14:textId="0EBFC3D3"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57DE642F" w14:textId="35B02833"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0,14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09B6570A" w14:textId="09405403"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3335C6B1" w14:textId="52DC2E46"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311446A6" w14:textId="5A518AB8"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71E719AE" w14:textId="0B022A0B"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49D11E13" w14:textId="17ECD7C2"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767B8E19" w14:textId="3AC17180"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7D07550E" w14:textId="785DFAB9"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1D570395" w14:textId="6BFE60CE"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2E312A98" w14:textId="330B2751"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1</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2F3BDD4A" w14:textId="1000B8FE"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0,03</w:t>
            </w:r>
          </w:p>
        </w:tc>
      </w:tr>
      <w:tr w:rsidR="00F40AA5" w:rsidRPr="00C16CD7" w14:paraId="30191172" w14:textId="77777777" w:rsidTr="004B7F3F">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14:paraId="2A7F0D12" w14:textId="5FA5F5F0" w:rsidR="00F40AA5" w:rsidRPr="00C16CD7" w:rsidRDefault="00F40AA5" w:rsidP="004B7F3F">
            <w:pPr>
              <w:adjustRightInd w:val="0"/>
              <w:spacing w:before="48" w:after="48"/>
              <w:rPr>
                <w:rFonts w:ascii="Arial" w:hAnsi="Arial" w:cs="Arial"/>
                <w:color w:val="000000"/>
                <w:sz w:val="16"/>
                <w:szCs w:val="16"/>
                <w:lang w:val="fr-BE"/>
              </w:rPr>
            </w:pPr>
            <w:r w:rsidRPr="00C16CD7">
              <w:rPr>
                <w:rFonts w:ascii="Arial" w:hAnsi="Arial" w:cs="Arial"/>
                <w:b/>
                <w:bCs/>
                <w:i/>
                <w:iCs/>
                <w:color w:val="000000"/>
                <w:sz w:val="16"/>
                <w:szCs w:val="16"/>
                <w:lang w:val="fr-BE"/>
              </w:rPr>
              <w:t xml:space="preserve">           irrecevabilité de l'action publique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67254347" w14:textId="25EF6F3B"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4</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1B92EF89" w14:textId="0877CB62"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0,54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6EFC0E18" w14:textId="0FD8F3FE"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56B598D1" w14:textId="723597CB"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0,15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0FB46B90" w14:textId="51BDE625"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178F1A6E" w14:textId="265E4652"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0,12</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67F59A64" w14:textId="66AFBE03"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5430E384" w14:textId="0F57A389"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0,43</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72951C16" w14:textId="3F28028B"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4</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5D636FBA" w14:textId="157D6C5D"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0,66</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4AC21699" w14:textId="758A8F3B"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13</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12E9D83B" w14:textId="75AF28B8"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0,37</w:t>
            </w:r>
          </w:p>
        </w:tc>
      </w:tr>
      <w:tr w:rsidR="00F40AA5" w:rsidRPr="00C16CD7" w14:paraId="67977467" w14:textId="77777777" w:rsidTr="004B7F3F">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14:paraId="4CBF1D3A" w14:textId="25B61FF1" w:rsidR="00F40AA5" w:rsidRPr="00C16CD7" w:rsidRDefault="00F40AA5" w:rsidP="004B7F3F">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incompétence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AD1199A" w14:textId="218AA668"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22D0197D" w14:textId="33A35064"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246EA382" w14:textId="61F0604B"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43837690" w14:textId="056AFAEC"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25683EF7" w14:textId="613F4DAA"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2B445C9A" w14:textId="34EAF8DB"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78A155BC" w14:textId="0B762683"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60630CAC" w14:textId="571B6AE3"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0,14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2EA1A98" w14:textId="2BFA528C"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7A0B1993" w14:textId="7D7D0789"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0,33</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16E10CDF" w14:textId="7E6C4FE0"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3</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52B79337" w14:textId="0F890C96"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0,08</w:t>
            </w:r>
          </w:p>
        </w:tc>
      </w:tr>
      <w:tr w:rsidR="00F40AA5" w:rsidRPr="00C16CD7" w14:paraId="7BC120C4" w14:textId="77777777" w:rsidTr="004B7F3F">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14:paraId="385981F0" w14:textId="6D57DAB6" w:rsidR="00F40AA5" w:rsidRPr="00C16CD7" w:rsidRDefault="00F40AA5" w:rsidP="004B7F3F">
            <w:pPr>
              <w:adjustRightInd w:val="0"/>
              <w:spacing w:before="48" w:after="48"/>
              <w:rPr>
                <w:rFonts w:ascii="Arial" w:hAnsi="Arial" w:cs="Arial"/>
                <w:b/>
                <w:bCs/>
                <w:i/>
                <w:iCs/>
                <w:color w:val="000000"/>
                <w:sz w:val="16"/>
                <w:szCs w:val="16"/>
                <w:lang w:val="fr-BE"/>
              </w:rPr>
            </w:pPr>
            <w:r w:rsidRPr="00C16CD7">
              <w:rPr>
                <w:rFonts w:ascii="Arial" w:hAnsi="Arial" w:cs="Arial"/>
                <w:color w:val="000000"/>
                <w:sz w:val="16"/>
                <w:szCs w:val="16"/>
                <w:lang w:val="fr-BE"/>
              </w:rPr>
              <w:t xml:space="preserve">                autorité de la chose jugée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CDAAAF4" w14:textId="4C4B9886"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4BDD3984" w14:textId="7939BFC2"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0,41</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00F465DB" w14:textId="0A725A95"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3AF4416D" w14:textId="6E8173BB"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477EB549" w14:textId="2FE6863A"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62FD89C9" w14:textId="6B1B97EF"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0,12</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339BBCD0" w14:textId="05CFCD3E"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78A73467" w14:textId="21E8FC10"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0,14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41924024" w14:textId="57B34678"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22B36E23" w14:textId="7C921D23"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894EC03" w14:textId="77EF8B10"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5</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642F0AE0" w14:textId="707A1346"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0,14</w:t>
            </w:r>
          </w:p>
        </w:tc>
      </w:tr>
      <w:tr w:rsidR="00F40AA5" w:rsidRPr="00C16CD7" w14:paraId="0D1A7200" w14:textId="77777777" w:rsidTr="004B7F3F">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14:paraId="3B1306E6" w14:textId="4DA64392" w:rsidR="00F40AA5" w:rsidRPr="00C16CD7" w:rsidRDefault="00F40AA5" w:rsidP="004B7F3F">
            <w:pPr>
              <w:adjustRightInd w:val="0"/>
              <w:spacing w:before="48" w:after="48"/>
              <w:rPr>
                <w:rFonts w:ascii="Arial" w:hAnsi="Arial" w:cs="Arial"/>
                <w:b/>
                <w:bCs/>
                <w:color w:val="000000"/>
                <w:sz w:val="16"/>
                <w:szCs w:val="16"/>
                <w:lang w:val="fr-BE"/>
              </w:rPr>
            </w:pPr>
            <w:r w:rsidRPr="00C16CD7">
              <w:rPr>
                <w:rFonts w:ascii="Arial" w:hAnsi="Arial" w:cs="Arial"/>
                <w:color w:val="000000"/>
                <w:sz w:val="16"/>
                <w:szCs w:val="16"/>
                <w:lang w:val="fr-BE"/>
              </w:rPr>
              <w:t xml:space="preserve">                immunité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63FC7D98" w14:textId="5AEE9A8C"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686B1A77" w14:textId="7128D938"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6FE336CC" w14:textId="0606AD0C"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7ABA1BB4" w14:textId="4FA9D94A"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0C5C24C" w14:textId="57E8C8F1"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4DBBCBD4" w14:textId="590DFBBC"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38876546" w14:textId="079AC063"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3D44FF6D" w14:textId="03142175"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0,14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1B07E000" w14:textId="5AA74980"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18292CF4" w14:textId="5D5506D3"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0,16</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7EAE5505" w14:textId="1FF88B64"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2</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01008C7E" w14:textId="5E76E0D1"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0,06</w:t>
            </w:r>
          </w:p>
        </w:tc>
      </w:tr>
      <w:tr w:rsidR="00F40AA5" w:rsidRPr="00C16CD7" w14:paraId="627F4E53" w14:textId="77777777" w:rsidTr="004B7F3F">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14:paraId="4A9434A1" w14:textId="553B35F3" w:rsidR="00F40AA5" w:rsidRPr="00C16CD7" w:rsidRDefault="00F40AA5" w:rsidP="004B7F3F">
            <w:pPr>
              <w:adjustRightInd w:val="0"/>
              <w:spacing w:before="48" w:after="48"/>
              <w:rPr>
                <w:rFonts w:ascii="Arial" w:hAnsi="Arial" w:cs="Arial"/>
                <w:b/>
                <w:bCs/>
                <w:i/>
                <w:iCs/>
                <w:color w:val="000000"/>
                <w:sz w:val="16"/>
                <w:szCs w:val="16"/>
                <w:lang w:val="fr-BE"/>
              </w:rPr>
            </w:pPr>
            <w:r w:rsidRPr="00C16CD7">
              <w:rPr>
                <w:rFonts w:ascii="Arial" w:hAnsi="Arial" w:cs="Arial"/>
                <w:color w:val="000000"/>
                <w:sz w:val="16"/>
                <w:szCs w:val="16"/>
                <w:lang w:val="fr-BE"/>
              </w:rPr>
              <w:t xml:space="preserve">                cause d'excuse absolutoire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32B3E688" w14:textId="129977BA"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3A9FD010" w14:textId="306A4359"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0,14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1FFDDBCB" w14:textId="4B5D0BFE"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68E5B663" w14:textId="1C481CEB"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0,15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4F92E448" w14:textId="6FC33BAC"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514C82B6" w14:textId="1DD05CD9"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7F3F50D0" w14:textId="18CEDE8C"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3B0C2D74" w14:textId="4FE61199"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D389893" w14:textId="0DBF4EED"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5F422CA5" w14:textId="5C08A42E"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08B7AFB4" w14:textId="5F86FB15"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2</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09DC463D" w14:textId="3FDB6331"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0,06</w:t>
            </w:r>
          </w:p>
        </w:tc>
      </w:tr>
      <w:tr w:rsidR="00F40AA5" w:rsidRPr="00C16CD7" w14:paraId="568F293F" w14:textId="77777777" w:rsidTr="004B7F3F">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14:paraId="48ECC0E2" w14:textId="1308C939" w:rsidR="00F40AA5" w:rsidRPr="00C16CD7" w:rsidRDefault="00F40AA5" w:rsidP="004B7F3F">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ab/>
              <w:t xml:space="preserve">non bis in idem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3DB08C2C" w14:textId="12710FD4"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38FE474E" w14:textId="3B338CD0"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0E025494" w14:textId="7F1D7010"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0A73720F" w14:textId="52208E6D"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09EB5716" w14:textId="4258F15D"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24788BDC" w14:textId="00BF8F8C"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3F9A387C" w14:textId="6B18963A"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1A75C46A" w14:textId="5086EAF8"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32FCE868" w14:textId="5637F412"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2B6CA5B7" w14:textId="4AF2328A"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0,16</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021E1F59" w14:textId="675D7988"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58A53FD8" w14:textId="56EB8F53"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0,03</w:t>
            </w:r>
          </w:p>
        </w:tc>
      </w:tr>
      <w:tr w:rsidR="00F40AA5" w:rsidRPr="00C16CD7" w14:paraId="185852DA" w14:textId="77777777" w:rsidTr="00F40AA5">
        <w:trPr>
          <w:cantSplit/>
          <w:jc w:val="center"/>
        </w:trPr>
        <w:tc>
          <w:tcPr>
            <w:tcW w:w="5678" w:type="dxa"/>
            <w:tcBorders>
              <w:top w:val="nil"/>
              <w:left w:val="single" w:sz="15" w:space="0" w:color="E6E6E6"/>
              <w:bottom w:val="single" w:sz="4" w:space="0" w:color="E6E6E6"/>
              <w:right w:val="nil"/>
            </w:tcBorders>
            <w:shd w:val="clear" w:color="auto" w:fill="FFFFFF" w:themeFill="background1"/>
            <w:tcMar>
              <w:left w:w="48" w:type="dxa"/>
              <w:right w:w="48" w:type="dxa"/>
            </w:tcMar>
          </w:tcPr>
          <w:p w14:paraId="4D2E3652" w14:textId="1DEAA81A" w:rsidR="00F40AA5" w:rsidRPr="00C16CD7" w:rsidRDefault="00F40AA5" w:rsidP="004B7F3F">
            <w:pPr>
              <w:adjustRightInd w:val="0"/>
              <w:spacing w:before="48" w:after="48"/>
              <w:rPr>
                <w:rFonts w:ascii="Arial" w:hAnsi="Arial" w:cs="Arial"/>
                <w:color w:val="000000"/>
                <w:sz w:val="16"/>
                <w:szCs w:val="16"/>
                <w:lang w:val="fr-BE"/>
              </w:rPr>
            </w:pPr>
            <w:r w:rsidRPr="00C16CD7">
              <w:rPr>
                <w:rFonts w:ascii="Arial" w:hAnsi="Arial" w:cs="Arial"/>
                <w:b/>
                <w:bCs/>
                <w:i/>
                <w:iCs/>
                <w:color w:val="000000"/>
                <w:sz w:val="16"/>
                <w:szCs w:val="16"/>
                <w:lang w:val="fr-BE"/>
              </w:rPr>
              <w:t xml:space="preserve">           auteur(s) inconnu(s)                                                   </w:t>
            </w:r>
          </w:p>
        </w:tc>
        <w:tc>
          <w:tcPr>
            <w:tcW w:w="693" w:type="dxa"/>
            <w:tcBorders>
              <w:top w:val="nil"/>
              <w:left w:val="single" w:sz="4" w:space="0" w:color="E6E6E6"/>
              <w:bottom w:val="single" w:sz="4" w:space="0" w:color="E6E6E6"/>
              <w:right w:val="nil"/>
            </w:tcBorders>
            <w:shd w:val="clear" w:color="auto" w:fill="FFFFFF" w:themeFill="background1"/>
            <w:tcMar>
              <w:left w:w="48" w:type="dxa"/>
              <w:right w:w="48" w:type="dxa"/>
            </w:tcMar>
            <w:vAlign w:val="bottom"/>
          </w:tcPr>
          <w:p w14:paraId="00E6B8DE" w14:textId="2B2F85E4"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89</w:t>
            </w:r>
          </w:p>
        </w:tc>
        <w:tc>
          <w:tcPr>
            <w:tcW w:w="650" w:type="dxa"/>
            <w:tcBorders>
              <w:top w:val="nil"/>
              <w:left w:val="single" w:sz="4" w:space="0" w:color="E6E6E6"/>
              <w:bottom w:val="single" w:sz="4" w:space="0" w:color="E6E6E6"/>
              <w:right w:val="nil"/>
            </w:tcBorders>
            <w:shd w:val="clear" w:color="auto" w:fill="FFFFFF" w:themeFill="background1"/>
            <w:tcMar>
              <w:left w:w="48" w:type="dxa"/>
              <w:right w:w="48" w:type="dxa"/>
            </w:tcMar>
            <w:vAlign w:val="bottom"/>
          </w:tcPr>
          <w:p w14:paraId="2E4EBE4B" w14:textId="2A48815A"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12,04</w:t>
            </w:r>
          </w:p>
        </w:tc>
        <w:tc>
          <w:tcPr>
            <w:tcW w:w="693" w:type="dxa"/>
            <w:tcBorders>
              <w:top w:val="nil"/>
              <w:left w:val="single" w:sz="4" w:space="0" w:color="E6E6E6"/>
              <w:bottom w:val="single" w:sz="4" w:space="0" w:color="E6E6E6"/>
              <w:right w:val="nil"/>
            </w:tcBorders>
            <w:shd w:val="clear" w:color="auto" w:fill="FFFFFF" w:themeFill="background1"/>
            <w:tcMar>
              <w:left w:w="48" w:type="dxa"/>
              <w:right w:w="48" w:type="dxa"/>
            </w:tcMar>
            <w:vAlign w:val="bottom"/>
          </w:tcPr>
          <w:p w14:paraId="1DE70C14" w14:textId="53ACB6F1"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65</w:t>
            </w:r>
          </w:p>
        </w:tc>
        <w:tc>
          <w:tcPr>
            <w:tcW w:w="650" w:type="dxa"/>
            <w:tcBorders>
              <w:top w:val="nil"/>
              <w:left w:val="single" w:sz="4" w:space="0" w:color="E6E6E6"/>
              <w:bottom w:val="single" w:sz="4" w:space="0" w:color="E6E6E6"/>
              <w:right w:val="nil"/>
            </w:tcBorders>
            <w:shd w:val="clear" w:color="auto" w:fill="FFFFFF" w:themeFill="background1"/>
            <w:tcMar>
              <w:left w:w="48" w:type="dxa"/>
              <w:right w:w="48" w:type="dxa"/>
            </w:tcMar>
            <w:vAlign w:val="bottom"/>
          </w:tcPr>
          <w:p w14:paraId="43C72F86" w14:textId="4370C1FF"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9,54</w:t>
            </w:r>
          </w:p>
        </w:tc>
        <w:tc>
          <w:tcPr>
            <w:tcW w:w="693" w:type="dxa"/>
            <w:tcBorders>
              <w:top w:val="nil"/>
              <w:left w:val="single" w:sz="4" w:space="0" w:color="E6E6E6"/>
              <w:bottom w:val="single" w:sz="4" w:space="0" w:color="E6E6E6"/>
              <w:right w:val="nil"/>
            </w:tcBorders>
            <w:shd w:val="clear" w:color="auto" w:fill="FFFFFF" w:themeFill="background1"/>
            <w:tcMar>
              <w:left w:w="48" w:type="dxa"/>
              <w:right w:w="48" w:type="dxa"/>
            </w:tcMar>
            <w:vAlign w:val="bottom"/>
          </w:tcPr>
          <w:p w14:paraId="4B76F81D" w14:textId="3FCBCD1E"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83</w:t>
            </w:r>
          </w:p>
        </w:tc>
        <w:tc>
          <w:tcPr>
            <w:tcW w:w="650" w:type="dxa"/>
            <w:tcBorders>
              <w:top w:val="nil"/>
              <w:left w:val="single" w:sz="4" w:space="0" w:color="E6E6E6"/>
              <w:bottom w:val="single" w:sz="4" w:space="0" w:color="E6E6E6"/>
              <w:right w:val="nil"/>
            </w:tcBorders>
            <w:shd w:val="clear" w:color="auto" w:fill="FFFFFF" w:themeFill="background1"/>
            <w:tcMar>
              <w:left w:w="48" w:type="dxa"/>
              <w:right w:w="48" w:type="dxa"/>
            </w:tcMar>
            <w:vAlign w:val="bottom"/>
          </w:tcPr>
          <w:p w14:paraId="2E195D2F" w14:textId="02172607"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9,89</w:t>
            </w:r>
          </w:p>
        </w:tc>
        <w:tc>
          <w:tcPr>
            <w:tcW w:w="693" w:type="dxa"/>
            <w:tcBorders>
              <w:top w:val="nil"/>
              <w:left w:val="single" w:sz="4" w:space="0" w:color="E6E6E6"/>
              <w:bottom w:val="single" w:sz="4" w:space="0" w:color="E6E6E6"/>
              <w:right w:val="nil"/>
            </w:tcBorders>
            <w:shd w:val="clear" w:color="auto" w:fill="FFFFFF" w:themeFill="background1"/>
            <w:tcMar>
              <w:left w:w="48" w:type="dxa"/>
              <w:right w:w="48" w:type="dxa"/>
            </w:tcMar>
            <w:vAlign w:val="bottom"/>
          </w:tcPr>
          <w:p w14:paraId="1E189617" w14:textId="0E7C39E7"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87</w:t>
            </w:r>
          </w:p>
        </w:tc>
        <w:tc>
          <w:tcPr>
            <w:tcW w:w="650" w:type="dxa"/>
            <w:tcBorders>
              <w:top w:val="nil"/>
              <w:left w:val="single" w:sz="4" w:space="0" w:color="E6E6E6"/>
              <w:bottom w:val="single" w:sz="4" w:space="0" w:color="E6E6E6"/>
              <w:right w:val="nil"/>
            </w:tcBorders>
            <w:shd w:val="clear" w:color="auto" w:fill="FFFFFF" w:themeFill="background1"/>
            <w:tcMar>
              <w:left w:w="48" w:type="dxa"/>
              <w:right w:w="48" w:type="dxa"/>
            </w:tcMar>
            <w:vAlign w:val="bottom"/>
          </w:tcPr>
          <w:p w14:paraId="3042A4CE" w14:textId="1FE16BFE"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12,57</w:t>
            </w:r>
          </w:p>
        </w:tc>
        <w:tc>
          <w:tcPr>
            <w:tcW w:w="693" w:type="dxa"/>
            <w:tcBorders>
              <w:top w:val="nil"/>
              <w:left w:val="single" w:sz="4" w:space="0" w:color="E6E6E6"/>
              <w:bottom w:val="single" w:sz="4" w:space="0" w:color="E6E6E6"/>
              <w:right w:val="nil"/>
            </w:tcBorders>
            <w:shd w:val="clear" w:color="auto" w:fill="FFFFFF" w:themeFill="background1"/>
            <w:tcMar>
              <w:left w:w="48" w:type="dxa"/>
              <w:right w:w="48" w:type="dxa"/>
            </w:tcMar>
            <w:vAlign w:val="bottom"/>
          </w:tcPr>
          <w:p w14:paraId="07B95260" w14:textId="50DB76A7"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67</w:t>
            </w:r>
          </w:p>
        </w:tc>
        <w:tc>
          <w:tcPr>
            <w:tcW w:w="650" w:type="dxa"/>
            <w:tcBorders>
              <w:top w:val="nil"/>
              <w:left w:val="single" w:sz="4" w:space="0" w:color="E6E6E6"/>
              <w:bottom w:val="single" w:sz="4" w:space="0" w:color="E6E6E6"/>
              <w:right w:val="nil"/>
            </w:tcBorders>
            <w:shd w:val="clear" w:color="auto" w:fill="FFFFFF" w:themeFill="background1"/>
            <w:tcMar>
              <w:left w:w="48" w:type="dxa"/>
              <w:right w:w="48" w:type="dxa"/>
            </w:tcMar>
            <w:vAlign w:val="bottom"/>
          </w:tcPr>
          <w:p w14:paraId="6B99D0B0" w14:textId="22234353"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11,04</w:t>
            </w:r>
          </w:p>
        </w:tc>
        <w:tc>
          <w:tcPr>
            <w:tcW w:w="693" w:type="dxa"/>
            <w:tcBorders>
              <w:top w:val="nil"/>
              <w:left w:val="single" w:sz="4" w:space="0" w:color="E6E6E6"/>
              <w:bottom w:val="single" w:sz="4" w:space="0" w:color="E6E6E6"/>
              <w:right w:val="nil"/>
            </w:tcBorders>
            <w:shd w:val="clear" w:color="auto" w:fill="FFFFFF" w:themeFill="background1"/>
            <w:tcMar>
              <w:left w:w="48" w:type="dxa"/>
              <w:right w:w="48" w:type="dxa"/>
            </w:tcMar>
            <w:vAlign w:val="bottom"/>
          </w:tcPr>
          <w:p w14:paraId="06E7E966" w14:textId="053FBA64"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391</w:t>
            </w:r>
          </w:p>
        </w:tc>
        <w:tc>
          <w:tcPr>
            <w:tcW w:w="650" w:type="dxa"/>
            <w:tcBorders>
              <w:top w:val="nil"/>
              <w:left w:val="single" w:sz="4" w:space="0" w:color="E6E6E6"/>
              <w:bottom w:val="single" w:sz="4" w:space="0" w:color="E6E6E6"/>
              <w:right w:val="single" w:sz="15" w:space="0" w:color="E6E6E6"/>
            </w:tcBorders>
            <w:shd w:val="clear" w:color="auto" w:fill="FFFFFF" w:themeFill="background1"/>
            <w:tcMar>
              <w:left w:w="48" w:type="dxa"/>
              <w:right w:w="48" w:type="dxa"/>
            </w:tcMar>
            <w:vAlign w:val="bottom"/>
          </w:tcPr>
          <w:p w14:paraId="09F1B278" w14:textId="033B9A3E"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10,99</w:t>
            </w:r>
          </w:p>
        </w:tc>
      </w:tr>
      <w:tr w:rsidR="00F40AA5" w:rsidRPr="00C16CD7" w14:paraId="14877638" w14:textId="77777777" w:rsidTr="00F40AA5">
        <w:trPr>
          <w:cantSplit/>
          <w:jc w:val="center"/>
        </w:trPr>
        <w:tc>
          <w:tcPr>
            <w:tcW w:w="5678" w:type="dxa"/>
            <w:tcBorders>
              <w:top w:val="nil"/>
              <w:left w:val="single" w:sz="15" w:space="0" w:color="E6E6E6"/>
              <w:bottom w:val="single" w:sz="4" w:space="0" w:color="E6E6E6"/>
              <w:right w:val="nil"/>
            </w:tcBorders>
            <w:shd w:val="clear" w:color="auto" w:fill="A6A6A6" w:themeFill="background1" w:themeFillShade="A6"/>
            <w:tcMar>
              <w:left w:w="48" w:type="dxa"/>
              <w:right w:w="48" w:type="dxa"/>
            </w:tcMar>
          </w:tcPr>
          <w:p w14:paraId="0F6F43F3" w14:textId="7D184C5B" w:rsidR="00F40AA5" w:rsidRPr="00C16CD7" w:rsidRDefault="00F40AA5" w:rsidP="004B7F3F">
            <w:pPr>
              <w:adjustRightInd w:val="0"/>
              <w:spacing w:before="48" w:after="48"/>
              <w:rPr>
                <w:rFonts w:ascii="Arial" w:hAnsi="Arial" w:cs="Arial"/>
                <w:color w:val="000000"/>
                <w:sz w:val="16"/>
                <w:szCs w:val="16"/>
                <w:lang w:val="fr-BE"/>
              </w:rPr>
            </w:pPr>
            <w:r w:rsidRPr="00C16CD7">
              <w:rPr>
                <w:rFonts w:ascii="Arial" w:hAnsi="Arial" w:cs="Arial"/>
                <w:b/>
                <w:bCs/>
                <w:color w:val="000000"/>
                <w:sz w:val="16"/>
                <w:szCs w:val="16"/>
                <w:lang w:val="fr-BE"/>
              </w:rPr>
              <w:t xml:space="preserve">Classement sans suite pour motifs d'opportunité                                   </w:t>
            </w:r>
          </w:p>
        </w:tc>
        <w:tc>
          <w:tcPr>
            <w:tcW w:w="693" w:type="dxa"/>
            <w:tcBorders>
              <w:top w:val="nil"/>
              <w:left w:val="single" w:sz="4" w:space="0" w:color="E6E6E6"/>
              <w:bottom w:val="single" w:sz="4" w:space="0" w:color="E6E6E6"/>
              <w:right w:val="nil"/>
            </w:tcBorders>
            <w:shd w:val="clear" w:color="auto" w:fill="A6A6A6" w:themeFill="background1" w:themeFillShade="A6"/>
            <w:tcMar>
              <w:left w:w="48" w:type="dxa"/>
              <w:right w:w="48" w:type="dxa"/>
            </w:tcMar>
            <w:vAlign w:val="bottom"/>
          </w:tcPr>
          <w:p w14:paraId="3A8E7115" w14:textId="0FC9DBDB"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color w:val="000000"/>
                <w:sz w:val="16"/>
                <w:szCs w:val="16"/>
                <w:lang w:val="fr-BE"/>
              </w:rPr>
              <w:t xml:space="preserve">       257</w:t>
            </w:r>
          </w:p>
        </w:tc>
        <w:tc>
          <w:tcPr>
            <w:tcW w:w="650" w:type="dxa"/>
            <w:tcBorders>
              <w:top w:val="nil"/>
              <w:left w:val="single" w:sz="4" w:space="0" w:color="E6E6E6"/>
              <w:bottom w:val="single" w:sz="4" w:space="0" w:color="E6E6E6"/>
              <w:right w:val="nil"/>
            </w:tcBorders>
            <w:shd w:val="clear" w:color="auto" w:fill="A6A6A6" w:themeFill="background1" w:themeFillShade="A6"/>
            <w:tcMar>
              <w:left w:w="48" w:type="dxa"/>
              <w:right w:w="48" w:type="dxa"/>
            </w:tcMar>
            <w:vAlign w:val="bottom"/>
          </w:tcPr>
          <w:p w14:paraId="05950820" w14:textId="0D0B943F"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color w:val="000000"/>
                <w:sz w:val="16"/>
                <w:szCs w:val="16"/>
                <w:lang w:val="fr-BE"/>
              </w:rPr>
              <w:t xml:space="preserve">  34,78</w:t>
            </w:r>
          </w:p>
        </w:tc>
        <w:tc>
          <w:tcPr>
            <w:tcW w:w="693" w:type="dxa"/>
            <w:tcBorders>
              <w:top w:val="nil"/>
              <w:left w:val="single" w:sz="4" w:space="0" w:color="E6E6E6"/>
              <w:bottom w:val="single" w:sz="4" w:space="0" w:color="E6E6E6"/>
              <w:right w:val="nil"/>
            </w:tcBorders>
            <w:shd w:val="clear" w:color="auto" w:fill="A6A6A6" w:themeFill="background1" w:themeFillShade="A6"/>
            <w:tcMar>
              <w:left w:w="48" w:type="dxa"/>
              <w:right w:w="48" w:type="dxa"/>
            </w:tcMar>
            <w:vAlign w:val="bottom"/>
          </w:tcPr>
          <w:p w14:paraId="416570C4" w14:textId="741ACF76"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color w:val="000000"/>
                <w:sz w:val="16"/>
                <w:szCs w:val="16"/>
                <w:lang w:val="fr-BE"/>
              </w:rPr>
              <w:t xml:space="preserve">       212</w:t>
            </w:r>
          </w:p>
        </w:tc>
        <w:tc>
          <w:tcPr>
            <w:tcW w:w="650" w:type="dxa"/>
            <w:tcBorders>
              <w:top w:val="nil"/>
              <w:left w:val="single" w:sz="4" w:space="0" w:color="E6E6E6"/>
              <w:bottom w:val="single" w:sz="4" w:space="0" w:color="E6E6E6"/>
              <w:right w:val="nil"/>
            </w:tcBorders>
            <w:shd w:val="clear" w:color="auto" w:fill="A6A6A6" w:themeFill="background1" w:themeFillShade="A6"/>
            <w:tcMar>
              <w:left w:w="48" w:type="dxa"/>
              <w:right w:w="48" w:type="dxa"/>
            </w:tcMar>
            <w:vAlign w:val="bottom"/>
          </w:tcPr>
          <w:p w14:paraId="6BA3F16F" w14:textId="6496662C"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color w:val="000000"/>
                <w:sz w:val="16"/>
                <w:szCs w:val="16"/>
                <w:lang w:val="fr-BE"/>
              </w:rPr>
              <w:t xml:space="preserve">  31,13</w:t>
            </w:r>
          </w:p>
        </w:tc>
        <w:tc>
          <w:tcPr>
            <w:tcW w:w="693" w:type="dxa"/>
            <w:tcBorders>
              <w:top w:val="nil"/>
              <w:left w:val="single" w:sz="4" w:space="0" w:color="E6E6E6"/>
              <w:bottom w:val="single" w:sz="4" w:space="0" w:color="E6E6E6"/>
              <w:right w:val="nil"/>
            </w:tcBorders>
            <w:shd w:val="clear" w:color="auto" w:fill="A6A6A6" w:themeFill="background1" w:themeFillShade="A6"/>
            <w:tcMar>
              <w:left w:w="48" w:type="dxa"/>
              <w:right w:w="48" w:type="dxa"/>
            </w:tcMar>
            <w:vAlign w:val="bottom"/>
          </w:tcPr>
          <w:p w14:paraId="0B720E30" w14:textId="7271E74B"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color w:val="000000"/>
                <w:sz w:val="16"/>
                <w:szCs w:val="16"/>
                <w:lang w:val="fr-BE"/>
              </w:rPr>
              <w:t xml:space="preserve">       317</w:t>
            </w:r>
          </w:p>
        </w:tc>
        <w:tc>
          <w:tcPr>
            <w:tcW w:w="650" w:type="dxa"/>
            <w:tcBorders>
              <w:top w:val="nil"/>
              <w:left w:val="single" w:sz="4" w:space="0" w:color="E6E6E6"/>
              <w:bottom w:val="single" w:sz="4" w:space="0" w:color="E6E6E6"/>
              <w:right w:val="nil"/>
            </w:tcBorders>
            <w:shd w:val="clear" w:color="auto" w:fill="A6A6A6" w:themeFill="background1" w:themeFillShade="A6"/>
            <w:tcMar>
              <w:left w:w="48" w:type="dxa"/>
              <w:right w:w="48" w:type="dxa"/>
            </w:tcMar>
            <w:vAlign w:val="bottom"/>
          </w:tcPr>
          <w:p w14:paraId="3196F96A" w14:textId="57F39586"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color w:val="000000"/>
                <w:sz w:val="16"/>
                <w:szCs w:val="16"/>
                <w:lang w:val="fr-BE"/>
              </w:rPr>
              <w:t xml:space="preserve">  37,78</w:t>
            </w:r>
          </w:p>
        </w:tc>
        <w:tc>
          <w:tcPr>
            <w:tcW w:w="693" w:type="dxa"/>
            <w:tcBorders>
              <w:top w:val="nil"/>
              <w:left w:val="single" w:sz="4" w:space="0" w:color="E6E6E6"/>
              <w:bottom w:val="single" w:sz="4" w:space="0" w:color="E6E6E6"/>
              <w:right w:val="nil"/>
            </w:tcBorders>
            <w:shd w:val="clear" w:color="auto" w:fill="A6A6A6" w:themeFill="background1" w:themeFillShade="A6"/>
            <w:tcMar>
              <w:left w:w="48" w:type="dxa"/>
              <w:right w:w="48" w:type="dxa"/>
            </w:tcMar>
            <w:vAlign w:val="bottom"/>
          </w:tcPr>
          <w:p w14:paraId="07EB3745" w14:textId="262502B6"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color w:val="000000"/>
                <w:sz w:val="16"/>
                <w:szCs w:val="16"/>
                <w:lang w:val="fr-BE"/>
              </w:rPr>
              <w:t xml:space="preserve">       208</w:t>
            </w:r>
          </w:p>
        </w:tc>
        <w:tc>
          <w:tcPr>
            <w:tcW w:w="650" w:type="dxa"/>
            <w:tcBorders>
              <w:top w:val="nil"/>
              <w:left w:val="single" w:sz="4" w:space="0" w:color="E6E6E6"/>
              <w:bottom w:val="single" w:sz="4" w:space="0" w:color="E6E6E6"/>
              <w:right w:val="nil"/>
            </w:tcBorders>
            <w:shd w:val="clear" w:color="auto" w:fill="A6A6A6" w:themeFill="background1" w:themeFillShade="A6"/>
            <w:tcMar>
              <w:left w:w="48" w:type="dxa"/>
              <w:right w:w="48" w:type="dxa"/>
            </w:tcMar>
            <w:vAlign w:val="bottom"/>
          </w:tcPr>
          <w:p w14:paraId="65B40AC9" w14:textId="2DB9E247"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color w:val="000000"/>
                <w:sz w:val="16"/>
                <w:szCs w:val="16"/>
                <w:lang w:val="fr-BE"/>
              </w:rPr>
              <w:t xml:space="preserve">  30,06</w:t>
            </w:r>
          </w:p>
        </w:tc>
        <w:tc>
          <w:tcPr>
            <w:tcW w:w="693" w:type="dxa"/>
            <w:tcBorders>
              <w:top w:val="nil"/>
              <w:left w:val="single" w:sz="4" w:space="0" w:color="E6E6E6"/>
              <w:bottom w:val="single" w:sz="4" w:space="0" w:color="E6E6E6"/>
              <w:right w:val="nil"/>
            </w:tcBorders>
            <w:shd w:val="clear" w:color="auto" w:fill="A6A6A6" w:themeFill="background1" w:themeFillShade="A6"/>
            <w:tcMar>
              <w:left w:w="48" w:type="dxa"/>
              <w:right w:w="48" w:type="dxa"/>
            </w:tcMar>
            <w:vAlign w:val="bottom"/>
          </w:tcPr>
          <w:p w14:paraId="470EAE1D" w14:textId="2C871BE0"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color w:val="000000"/>
                <w:sz w:val="16"/>
                <w:szCs w:val="16"/>
                <w:lang w:val="fr-BE"/>
              </w:rPr>
              <w:t xml:space="preserve">       157</w:t>
            </w:r>
          </w:p>
        </w:tc>
        <w:tc>
          <w:tcPr>
            <w:tcW w:w="650" w:type="dxa"/>
            <w:tcBorders>
              <w:top w:val="nil"/>
              <w:left w:val="single" w:sz="4" w:space="0" w:color="E6E6E6"/>
              <w:bottom w:val="single" w:sz="4" w:space="0" w:color="E6E6E6"/>
              <w:right w:val="nil"/>
            </w:tcBorders>
            <w:shd w:val="clear" w:color="auto" w:fill="A6A6A6" w:themeFill="background1" w:themeFillShade="A6"/>
            <w:tcMar>
              <w:left w:w="48" w:type="dxa"/>
              <w:right w:w="48" w:type="dxa"/>
            </w:tcMar>
            <w:vAlign w:val="bottom"/>
          </w:tcPr>
          <w:p w14:paraId="193A7A5C" w14:textId="35FD0281"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color w:val="000000"/>
                <w:sz w:val="16"/>
                <w:szCs w:val="16"/>
                <w:lang w:val="fr-BE"/>
              </w:rPr>
              <w:t xml:space="preserve">  25,86</w:t>
            </w:r>
          </w:p>
        </w:tc>
        <w:tc>
          <w:tcPr>
            <w:tcW w:w="693" w:type="dxa"/>
            <w:tcBorders>
              <w:top w:val="nil"/>
              <w:left w:val="single" w:sz="4" w:space="0" w:color="E6E6E6"/>
              <w:bottom w:val="single" w:sz="4" w:space="0" w:color="E6E6E6"/>
              <w:right w:val="nil"/>
            </w:tcBorders>
            <w:shd w:val="clear" w:color="auto" w:fill="A6A6A6" w:themeFill="background1" w:themeFillShade="A6"/>
            <w:tcMar>
              <w:left w:w="48" w:type="dxa"/>
              <w:right w:w="48" w:type="dxa"/>
            </w:tcMar>
            <w:vAlign w:val="bottom"/>
          </w:tcPr>
          <w:p w14:paraId="7374DD81" w14:textId="649FC32B"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color w:val="000000"/>
                <w:sz w:val="16"/>
                <w:szCs w:val="16"/>
                <w:lang w:val="fr-BE"/>
              </w:rPr>
              <w:t xml:space="preserve">     1.151</w:t>
            </w:r>
          </w:p>
        </w:tc>
        <w:tc>
          <w:tcPr>
            <w:tcW w:w="650" w:type="dxa"/>
            <w:tcBorders>
              <w:top w:val="nil"/>
              <w:left w:val="single" w:sz="4" w:space="0" w:color="E6E6E6"/>
              <w:bottom w:val="single" w:sz="4" w:space="0" w:color="E6E6E6"/>
              <w:right w:val="single" w:sz="15" w:space="0" w:color="E6E6E6"/>
            </w:tcBorders>
            <w:shd w:val="clear" w:color="auto" w:fill="A6A6A6" w:themeFill="background1" w:themeFillShade="A6"/>
            <w:tcMar>
              <w:left w:w="48" w:type="dxa"/>
              <w:right w:w="48" w:type="dxa"/>
            </w:tcMar>
            <w:vAlign w:val="bottom"/>
          </w:tcPr>
          <w:p w14:paraId="6562A602" w14:textId="451EDBB0"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color w:val="000000"/>
                <w:sz w:val="16"/>
                <w:szCs w:val="16"/>
                <w:lang w:val="fr-BE"/>
              </w:rPr>
              <w:t xml:space="preserve">  32,35</w:t>
            </w:r>
          </w:p>
        </w:tc>
      </w:tr>
      <w:tr w:rsidR="00F40AA5" w:rsidRPr="00C16CD7" w14:paraId="1726124F" w14:textId="77777777" w:rsidTr="004B7F3F">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14:paraId="2BCEED81" w14:textId="4370A729" w:rsidR="00F40AA5" w:rsidRPr="00C16CD7" w:rsidRDefault="00F40AA5" w:rsidP="004B7F3F">
            <w:pPr>
              <w:adjustRightInd w:val="0"/>
              <w:spacing w:before="48" w:after="48"/>
              <w:rPr>
                <w:rFonts w:ascii="Arial" w:hAnsi="Arial" w:cs="Arial"/>
                <w:color w:val="000000"/>
                <w:sz w:val="16"/>
                <w:szCs w:val="16"/>
                <w:lang w:val="fr-BE"/>
              </w:rPr>
            </w:pPr>
            <w:r w:rsidRPr="00C16CD7">
              <w:rPr>
                <w:rFonts w:ascii="Arial" w:hAnsi="Arial" w:cs="Arial"/>
                <w:b/>
                <w:bCs/>
                <w:i/>
                <w:iCs/>
                <w:color w:val="000000"/>
                <w:sz w:val="16"/>
                <w:szCs w:val="16"/>
                <w:lang w:val="fr-BE"/>
              </w:rPr>
              <w:t xml:space="preserve">           motifs propres à la nature des faits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3C7A3951" w14:textId="68A647BC"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86</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37F5AEE5" w14:textId="7987B2D6"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11,64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67435231" w14:textId="1102BBFF"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72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1CB51B30" w14:textId="71FB42A0"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10,57</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6AE0BDCD" w14:textId="2C525DFB"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82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4ADE589C" w14:textId="749E032C"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9,77</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4EFA2B51" w14:textId="3B875A73"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85</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6E5CA9AD" w14:textId="3D0488C7"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12,28</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73E63739" w14:textId="0792B3B8"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51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61E17CC4" w14:textId="3ED06758"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8,40</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227C5D2C" w14:textId="55C01099"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376</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180F1F07" w14:textId="56769994"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10,57</w:t>
            </w:r>
          </w:p>
        </w:tc>
      </w:tr>
      <w:tr w:rsidR="00F40AA5" w:rsidRPr="00C16CD7" w14:paraId="62B1F555" w14:textId="77777777" w:rsidTr="004B7F3F">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14:paraId="2A990E1B" w14:textId="791A1322" w:rsidR="00F40AA5" w:rsidRPr="00C16CD7" w:rsidRDefault="00F40AA5" w:rsidP="004B7F3F">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répercussion sociale limitée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4CBEFE7F" w14:textId="4EE717BC"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56361C10" w14:textId="4AEFAEDE"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1,76</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74DF680D" w14:textId="6CE36922"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7</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39A7BD8C" w14:textId="5A294467"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1,03</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731F8364" w14:textId="242CA5E5"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1B0083DF" w14:textId="6DB73288"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1,31</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7DCFD541" w14:textId="434B345C"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29351740" w14:textId="0F49284F"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1,59</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74C9B6CE" w14:textId="72CE15E1"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9</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797704C1" w14:textId="5C0DC50B"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1,48</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65FE4D22" w14:textId="01D69B91"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51</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67E1F647" w14:textId="18700303"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1,43</w:t>
            </w:r>
          </w:p>
        </w:tc>
      </w:tr>
      <w:tr w:rsidR="00F40AA5" w:rsidRPr="00C16CD7" w14:paraId="7E36380C" w14:textId="77777777" w:rsidTr="004B7F3F">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14:paraId="601D9B2A" w14:textId="1F6942EE" w:rsidR="00F40AA5" w:rsidRPr="00C16CD7" w:rsidRDefault="00F40AA5" w:rsidP="004B7F3F">
            <w:pPr>
              <w:adjustRightInd w:val="0"/>
              <w:spacing w:before="48" w:after="48"/>
              <w:rPr>
                <w:rFonts w:ascii="Arial" w:hAnsi="Arial" w:cs="Arial"/>
                <w:b/>
                <w:bCs/>
                <w:i/>
                <w:iCs/>
                <w:color w:val="000000"/>
                <w:sz w:val="16"/>
                <w:szCs w:val="16"/>
                <w:lang w:val="fr-BE"/>
              </w:rPr>
            </w:pPr>
            <w:r w:rsidRPr="00C16CD7">
              <w:rPr>
                <w:rFonts w:ascii="Arial" w:hAnsi="Arial" w:cs="Arial"/>
                <w:color w:val="000000"/>
                <w:sz w:val="16"/>
                <w:szCs w:val="16"/>
                <w:lang w:val="fr-BE"/>
              </w:rPr>
              <w:t xml:space="preserve">                situation régularisée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6AD67990" w14:textId="1C1D406C"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24</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41028B50" w14:textId="2D09E805"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3,25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19A75B99" w14:textId="34C84AA6"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22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4471C6C3" w14:textId="17300A27"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3,23</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BE2F9EF" w14:textId="52BDC5B4"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28</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2D9B3086" w14:textId="6F109470"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3,34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35A15155" w14:textId="01CDB451"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42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08B9FCC1" w14:textId="381D390F"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6,07</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6222278B" w14:textId="536DFFCA"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27</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5353D883" w14:textId="5B668EEF"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4,45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2A5EB56" w14:textId="22B61C8F"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143</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4242229A" w14:textId="22B7563E"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4,02</w:t>
            </w:r>
          </w:p>
        </w:tc>
      </w:tr>
      <w:tr w:rsidR="00F40AA5" w:rsidRPr="00C16CD7" w14:paraId="46675A42" w14:textId="77777777" w:rsidTr="004B7F3F">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14:paraId="011116DB" w14:textId="47905C9E" w:rsidR="00F40AA5" w:rsidRPr="00C16CD7" w:rsidRDefault="00F40AA5" w:rsidP="004B7F3F">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infraction à caractère relationnel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07A671A8" w14:textId="3CC54657"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26</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1762DFF3" w14:textId="5DCF965B"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3,52</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473628CF" w14:textId="3891BCF7"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32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03C85FE3" w14:textId="286C218B"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4,70</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3913389E" w14:textId="218D4C0B"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23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316FE53C" w14:textId="7118CC47"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2,74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2CB9EE7D" w14:textId="7C9EB8A0"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24</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73FEF405" w14:textId="41F57F74"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3,47</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16E45004" w14:textId="3C314C52"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9</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4FDE6805" w14:textId="09B3F2E4"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1,48</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224954FF" w14:textId="77F773A2"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114</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724E718E" w14:textId="2AE74834"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3,20</w:t>
            </w:r>
          </w:p>
        </w:tc>
      </w:tr>
      <w:tr w:rsidR="00F40AA5" w:rsidRPr="00C16CD7" w14:paraId="21DD5264" w14:textId="77777777" w:rsidTr="004B7F3F">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14:paraId="05FE719E" w14:textId="4B80FEA4" w:rsidR="00F40AA5" w:rsidRPr="00C16CD7" w:rsidRDefault="00F40AA5" w:rsidP="004B7F3F">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préjudice peu important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0D59737F" w14:textId="41074E4D"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14</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3BB09259" w14:textId="380C06BA"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1,89</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7FEB378C" w14:textId="5CF23EB5"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7DBEE02E" w14:textId="7E40FD3D"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0,44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1EAB3B53" w14:textId="1798B9A1"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7</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2A0FA74F" w14:textId="3CADA58D"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0,83</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35925878" w14:textId="2855C3E7"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4A58B41B" w14:textId="7DA1D9B3"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0,43</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480258B5" w14:textId="6B4CE3FD"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5</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1D11FCFC" w14:textId="66BAFB53"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0,82</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623123B" w14:textId="2EF46753"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32</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1A7F549A" w14:textId="586525C2"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0,90</w:t>
            </w:r>
          </w:p>
        </w:tc>
      </w:tr>
      <w:tr w:rsidR="00F40AA5" w:rsidRPr="00C16CD7" w14:paraId="3E333119" w14:textId="77777777" w:rsidTr="004B7F3F">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14:paraId="42AE93E1" w14:textId="0E8540F5" w:rsidR="00F40AA5" w:rsidRPr="00C16CD7" w:rsidRDefault="00F40AA5" w:rsidP="004B7F3F">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dépassement du délai raisonnable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3E6BF881" w14:textId="7269A3A6"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9</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4F293791" w14:textId="03120E84"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1,22</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7B45932F" w14:textId="78BA4E9B"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8</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372C664A" w14:textId="5D729DFA"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1,17</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3D5CF43B" w14:textId="15EB4648"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321262FC" w14:textId="14D0F2ED"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1,55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066C3870" w14:textId="637822AE"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5</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00BDE0D5" w14:textId="6909C12B"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0,72</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0F66EB14" w14:textId="7A653D28"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7A550B5F" w14:textId="1A9D07D3"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0,16</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2BA22E31" w14:textId="1F08BBE8"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36</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07D2D49D" w14:textId="5ECD71B0"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1,01</w:t>
            </w:r>
          </w:p>
        </w:tc>
      </w:tr>
      <w:tr w:rsidR="00F40AA5" w:rsidRPr="00C16CD7" w14:paraId="72025C29" w14:textId="77777777" w:rsidTr="004B7F3F">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14:paraId="4CEF7069" w14:textId="583547C9" w:rsidR="00F40AA5" w:rsidRPr="00C16CD7" w:rsidRDefault="00F40AA5" w:rsidP="004B7F3F">
            <w:pPr>
              <w:adjustRightInd w:val="0"/>
              <w:spacing w:before="48" w:after="48"/>
              <w:rPr>
                <w:rFonts w:ascii="Arial" w:hAnsi="Arial" w:cs="Arial"/>
                <w:color w:val="000000"/>
                <w:sz w:val="16"/>
                <w:szCs w:val="16"/>
                <w:lang w:val="fr-BE"/>
              </w:rPr>
            </w:pPr>
            <w:r w:rsidRPr="00C16CD7">
              <w:rPr>
                <w:rFonts w:ascii="Arial" w:hAnsi="Arial" w:cs="Arial"/>
                <w:b/>
                <w:bCs/>
                <w:i/>
                <w:iCs/>
                <w:color w:val="000000"/>
                <w:sz w:val="16"/>
                <w:szCs w:val="16"/>
                <w:lang w:val="fr-BE"/>
              </w:rPr>
              <w:t xml:space="preserve">           motifs propres à la personnalité de l'auteur ou de la victime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18B84E4E" w14:textId="4FECEF04"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107</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71A0B7DC" w14:textId="6FAC58B4"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14,48</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3DBA7599" w14:textId="7A63EBE9"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93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353E4008" w14:textId="4AE7B422"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13,66</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302B3764" w14:textId="458F1065"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187</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04F8D1EC" w14:textId="4A249491"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22,29</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899EF00" w14:textId="35C07049"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88</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2472A98B" w14:textId="4F2A281F"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12,72</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DDF0B77" w14:textId="2B6E0505"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73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50C7C97E" w14:textId="00D42CBC"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12,03</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1B89CAE1" w14:textId="29106E07"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548</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1038E6FE" w14:textId="6D5A9073"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b/>
                <w:bCs/>
                <w:i/>
                <w:iCs/>
                <w:color w:val="000000"/>
                <w:sz w:val="16"/>
                <w:szCs w:val="16"/>
                <w:lang w:val="fr-BE"/>
              </w:rPr>
              <w:t xml:space="preserve">  15,40</w:t>
            </w:r>
          </w:p>
        </w:tc>
      </w:tr>
      <w:tr w:rsidR="00F40AA5" w:rsidRPr="00C16CD7" w14:paraId="023C09FD" w14:textId="77777777" w:rsidTr="004B7F3F">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14:paraId="5F969272" w14:textId="6DB97F7C" w:rsidR="00F40AA5" w:rsidRPr="00C16CD7" w:rsidRDefault="00F40AA5" w:rsidP="004B7F3F">
            <w:pPr>
              <w:adjustRightInd w:val="0"/>
              <w:spacing w:before="48" w:after="48"/>
              <w:rPr>
                <w:rFonts w:ascii="Arial" w:hAnsi="Arial" w:cs="Arial"/>
                <w:b/>
                <w:bCs/>
                <w:i/>
                <w:iCs/>
                <w:color w:val="000000"/>
                <w:sz w:val="16"/>
                <w:szCs w:val="16"/>
                <w:lang w:val="fr-BE"/>
              </w:rPr>
            </w:pPr>
            <w:r w:rsidRPr="00C16CD7">
              <w:rPr>
                <w:rFonts w:ascii="Arial" w:hAnsi="Arial" w:cs="Arial"/>
                <w:color w:val="000000"/>
                <w:sz w:val="16"/>
                <w:szCs w:val="16"/>
                <w:lang w:val="fr-BE"/>
              </w:rPr>
              <w:t xml:space="preserve">                absence d'antécédents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2E7CFB81" w14:textId="3C73B3D3"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13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0BC94069" w14:textId="0207A29B"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1,76</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42B8A6A1" w14:textId="657CB600"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9</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40DD47F4" w14:textId="67478BDF"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1,32</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041E30D7" w14:textId="7B06E403"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19</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15444960" w14:textId="3A2E49F5"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2,26</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77BFB439" w14:textId="15CBE271"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10</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1071F26F" w14:textId="1AA04713"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1,45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7E6E4C62" w14:textId="734A9BBA"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7</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6875576A" w14:textId="481A9F5F"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1,15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78A77B9C" w14:textId="5D235304"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58</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4C3E0469" w14:textId="0FFBE1D4" w:rsidR="00F40AA5" w:rsidRPr="00C16CD7" w:rsidRDefault="00F40AA5" w:rsidP="004B7F3F">
            <w:pPr>
              <w:adjustRightInd w:val="0"/>
              <w:spacing w:before="48" w:after="48"/>
              <w:jc w:val="right"/>
              <w:rPr>
                <w:rFonts w:ascii="Arial" w:hAnsi="Arial" w:cs="Arial"/>
                <w:b/>
                <w:bCs/>
                <w:i/>
                <w:iCs/>
                <w:color w:val="000000"/>
                <w:sz w:val="16"/>
                <w:szCs w:val="16"/>
                <w:lang w:val="fr-BE"/>
              </w:rPr>
            </w:pPr>
            <w:r w:rsidRPr="00C16CD7">
              <w:rPr>
                <w:rFonts w:ascii="Arial" w:hAnsi="Arial" w:cs="Arial"/>
                <w:color w:val="000000"/>
                <w:sz w:val="16"/>
                <w:szCs w:val="16"/>
                <w:lang w:val="fr-BE"/>
              </w:rPr>
              <w:t xml:space="preserve">   1,63</w:t>
            </w:r>
          </w:p>
        </w:tc>
      </w:tr>
      <w:tr w:rsidR="00F40AA5" w:rsidRPr="00C16CD7" w14:paraId="55564C6E" w14:textId="77777777" w:rsidTr="004B7F3F">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14:paraId="5457DA38" w14:textId="7D2422E0" w:rsidR="00F40AA5" w:rsidRPr="00C16CD7" w:rsidRDefault="00F40AA5" w:rsidP="004B7F3F">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faits occasionnels-circonstances spécifiques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495B6FBC" w14:textId="27ED7B1A"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41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53DA6486" w14:textId="5A8A4934"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5,55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7C4F51BA" w14:textId="2B80AE2E"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36</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09FF3FBD" w14:textId="56B09D0B"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5,29</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203CF02E" w14:textId="31C4D58B"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46</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5CD6E93B" w14:textId="42F3CA93"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5,48</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3BBE5214" w14:textId="7379A5A5"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38</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0F5F9459" w14:textId="218C0C18"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5,49</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60CACDF5" w14:textId="0FF0401A"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35</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5F4C0F9C" w14:textId="07E09BF9"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5,77</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03FFCB30" w14:textId="0FFB07F9"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196</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0722990D" w14:textId="0361895E"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5,51</w:t>
            </w:r>
          </w:p>
        </w:tc>
      </w:tr>
      <w:tr w:rsidR="00F40AA5" w:rsidRPr="00C16CD7" w14:paraId="1FC28C55" w14:textId="77777777" w:rsidTr="004B7F3F">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14:paraId="6ABF0774" w14:textId="32DB3801" w:rsidR="00F40AA5" w:rsidRPr="00C16CD7" w:rsidRDefault="00F40AA5" w:rsidP="004B7F3F">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jeunesse de l'auteur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3D8DD1C5" w14:textId="666BC1F0"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04B54A3D" w14:textId="334044B2"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39EDA734" w14:textId="4298F212"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6D3453B3" w14:textId="7F15D241"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0B7BE3C1" w14:textId="64E7F737"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2ADD21FB" w14:textId="5A1FEF6B"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0,12</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006D5CE0" w14:textId="50D965FE"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7E90A3CF" w14:textId="5FEF6051"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0DE94360" w14:textId="5AB2B003"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48CA6C9A" w14:textId="5E775ADE"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18B528AA" w14:textId="44BB0338"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78E5B7A1" w14:textId="5B319E98"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0,03</w:t>
            </w:r>
          </w:p>
        </w:tc>
      </w:tr>
      <w:tr w:rsidR="00F40AA5" w:rsidRPr="00C16CD7" w14:paraId="46C0DE0D" w14:textId="77777777" w:rsidTr="004B7F3F">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14:paraId="058E61A3" w14:textId="68CC3103" w:rsidR="00F40AA5" w:rsidRPr="00C16CD7" w:rsidRDefault="00F40AA5" w:rsidP="004B7F3F">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conséquences disproportionnées-trouble social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42446C01" w14:textId="64FA2153"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39</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55F02845" w14:textId="466C4AC6"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5,28</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7945CAF6" w14:textId="3B3C96AC"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43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05882ECA" w14:textId="5AF7AA69"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6,31</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477B2C1" w14:textId="4E72672A"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112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0F1178DF" w14:textId="3212C1B8"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13,35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2C56C5ED" w14:textId="60140A04"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33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17F3D072" w14:textId="1EDFF348"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4,77</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7F90537E" w14:textId="54F618CB"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26</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5EDFFDCF" w14:textId="3326F3DF"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4,28</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218E3E9" w14:textId="10918FF2"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253</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1FEC4933" w14:textId="6DCFE8F1" w:rsidR="00F40AA5" w:rsidRPr="00C16CD7" w:rsidRDefault="00F40AA5" w:rsidP="004B7F3F">
            <w:pPr>
              <w:adjustRightInd w:val="0"/>
              <w:spacing w:before="48" w:after="48"/>
              <w:jc w:val="right"/>
              <w:rPr>
                <w:rFonts w:ascii="Arial" w:hAnsi="Arial" w:cs="Arial"/>
                <w:color w:val="000000"/>
                <w:sz w:val="16"/>
                <w:szCs w:val="16"/>
                <w:lang w:val="fr-BE"/>
              </w:rPr>
            </w:pPr>
            <w:r w:rsidRPr="00C16CD7">
              <w:rPr>
                <w:rFonts w:ascii="Arial" w:hAnsi="Arial" w:cs="Arial"/>
                <w:color w:val="000000"/>
                <w:sz w:val="16"/>
                <w:szCs w:val="16"/>
                <w:lang w:val="fr-BE"/>
              </w:rPr>
              <w:t xml:space="preserve">   7,11</w:t>
            </w:r>
          </w:p>
        </w:tc>
      </w:tr>
      <w:tr w:rsidR="00F40AA5" w:rsidRPr="00C16CD7" w14:paraId="0E6D963B" w14:textId="77777777" w:rsidTr="004B7F3F">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14:paraId="70137F39" w14:textId="035EA803" w:rsidR="00F40AA5" w:rsidRPr="00C16CD7" w:rsidRDefault="00F40AA5" w:rsidP="004B7F3F">
            <w:pPr>
              <w:adjustRightInd w:val="0"/>
              <w:spacing w:before="48" w:after="48"/>
              <w:rPr>
                <w:rFonts w:ascii="Arial" w:hAnsi="Arial" w:cs="Arial"/>
                <w:b/>
                <w:bCs/>
                <w:color w:val="000000"/>
                <w:sz w:val="16"/>
                <w:szCs w:val="16"/>
                <w:lang w:val="fr-BE"/>
              </w:rPr>
            </w:pPr>
            <w:r w:rsidRPr="00C16CD7">
              <w:rPr>
                <w:rFonts w:ascii="Arial" w:hAnsi="Arial" w:cs="Arial"/>
                <w:color w:val="000000"/>
                <w:sz w:val="16"/>
                <w:szCs w:val="16"/>
                <w:lang w:val="fr-BE"/>
              </w:rPr>
              <w:lastRenderedPageBreak/>
              <w:t xml:space="preserve">                comportement de la victime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37049A21" w14:textId="1C85C4C1"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14</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4699B789" w14:textId="0D0C71B3"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1,89</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1222CA8E" w14:textId="1301D401"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4</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5BC15D83" w14:textId="4B123AFB"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0,59</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242D3FB6" w14:textId="27762E1C"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9</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76F1E9C7" w14:textId="044B4FD6"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1,07</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39A26E21" w14:textId="12398CDE"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6</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2767C520" w14:textId="0DA6BB39"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0,87</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53022DFF" w14:textId="6D9E19C1"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5</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14:paraId="15AB7385" w14:textId="1F071F3C"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0,82</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14:paraId="6D7B6DA9" w14:textId="6C79336A"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38</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14:paraId="332ADD03" w14:textId="6F1F5297"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1,07</w:t>
            </w:r>
          </w:p>
        </w:tc>
      </w:tr>
      <w:tr w:rsidR="00F40AA5" w:rsidRPr="00C16CD7" w14:paraId="13EE3307" w14:textId="77777777" w:rsidTr="002D5742">
        <w:trPr>
          <w:cantSplit/>
          <w:jc w:val="center"/>
        </w:trPr>
        <w:tc>
          <w:tcPr>
            <w:tcW w:w="5678" w:type="dxa"/>
            <w:tcBorders>
              <w:top w:val="nil"/>
              <w:left w:val="single" w:sz="15" w:space="0" w:color="E6E6E6"/>
              <w:bottom w:val="single" w:sz="15" w:space="0" w:color="E6E6E6"/>
              <w:right w:val="nil"/>
            </w:tcBorders>
            <w:shd w:val="clear" w:color="auto" w:fill="auto"/>
            <w:tcMar>
              <w:left w:w="48" w:type="dxa"/>
              <w:right w:w="48" w:type="dxa"/>
            </w:tcMar>
          </w:tcPr>
          <w:p w14:paraId="1D291C9E" w14:textId="40EA4DBB" w:rsidR="00F40AA5" w:rsidRPr="00C16CD7" w:rsidRDefault="00F40AA5" w:rsidP="004B7F3F">
            <w:pPr>
              <w:adjustRightInd w:val="0"/>
              <w:spacing w:before="48" w:after="48"/>
              <w:rPr>
                <w:rFonts w:ascii="Arial" w:hAnsi="Arial" w:cs="Arial"/>
                <w:b/>
                <w:bCs/>
                <w:color w:val="000000"/>
                <w:sz w:val="16"/>
                <w:szCs w:val="16"/>
                <w:lang w:val="fr-BE"/>
              </w:rPr>
            </w:pPr>
            <w:r w:rsidRPr="00C16CD7">
              <w:rPr>
                <w:rFonts w:ascii="Arial" w:hAnsi="Arial" w:cs="Arial"/>
                <w:color w:val="000000"/>
                <w:sz w:val="16"/>
                <w:szCs w:val="16"/>
                <w:lang w:val="fr-BE"/>
              </w:rPr>
              <w:t xml:space="preserve">                indemnisation de la victime                                       </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4D3BA24E" w14:textId="0A0202E6"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03CE5A10" w14:textId="4F304622"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1E61D57B" w14:textId="2398DACE"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1</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2A4795F8" w14:textId="65C16962"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0,15</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17510D1C" w14:textId="1632F8E8"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1B709FA0" w14:textId="21DDACBB"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4AA8764C" w14:textId="49874F85"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1</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3BCF0BCA" w14:textId="65721CBE"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0,14</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1104177B" w14:textId="6A12D73B"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65058E04" w14:textId="49E05042"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21262278" w14:textId="1F525519"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2</w:t>
            </w:r>
          </w:p>
        </w:tc>
        <w:tc>
          <w:tcPr>
            <w:tcW w:w="650" w:type="dxa"/>
            <w:tcBorders>
              <w:top w:val="nil"/>
              <w:left w:val="single" w:sz="4" w:space="0" w:color="E6E6E6"/>
              <w:bottom w:val="single" w:sz="15" w:space="0" w:color="E6E6E6"/>
              <w:right w:val="single" w:sz="15" w:space="0" w:color="E6E6E6"/>
            </w:tcBorders>
            <w:shd w:val="clear" w:color="auto" w:fill="auto"/>
            <w:tcMar>
              <w:left w:w="48" w:type="dxa"/>
              <w:right w:w="48" w:type="dxa"/>
            </w:tcMar>
            <w:vAlign w:val="bottom"/>
          </w:tcPr>
          <w:p w14:paraId="4F052877" w14:textId="30C8B472"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0,06</w:t>
            </w:r>
          </w:p>
        </w:tc>
      </w:tr>
      <w:tr w:rsidR="00F40AA5" w:rsidRPr="00C16CD7" w14:paraId="0CBCBCC3" w14:textId="77777777" w:rsidTr="002D5742">
        <w:trPr>
          <w:cantSplit/>
          <w:jc w:val="center"/>
        </w:trPr>
        <w:tc>
          <w:tcPr>
            <w:tcW w:w="5678" w:type="dxa"/>
            <w:tcBorders>
              <w:top w:val="nil"/>
              <w:left w:val="single" w:sz="15" w:space="0" w:color="E6E6E6"/>
              <w:bottom w:val="single" w:sz="15" w:space="0" w:color="E6E6E6"/>
              <w:right w:val="nil"/>
            </w:tcBorders>
            <w:shd w:val="clear" w:color="auto" w:fill="auto"/>
            <w:tcMar>
              <w:left w:w="48" w:type="dxa"/>
              <w:right w:w="48" w:type="dxa"/>
            </w:tcMar>
          </w:tcPr>
          <w:p w14:paraId="20E7AEE7" w14:textId="6CB6DA96" w:rsidR="00F40AA5" w:rsidRPr="00C16CD7" w:rsidRDefault="00F40AA5" w:rsidP="004B7F3F">
            <w:pPr>
              <w:adjustRightInd w:val="0"/>
              <w:spacing w:before="48" w:after="48"/>
              <w:rPr>
                <w:rFonts w:ascii="Arial" w:hAnsi="Arial" w:cs="Arial"/>
                <w:color w:val="000000"/>
                <w:sz w:val="16"/>
                <w:szCs w:val="16"/>
                <w:lang w:val="fr-BE"/>
              </w:rPr>
            </w:pPr>
            <w:r w:rsidRPr="00C16CD7">
              <w:rPr>
                <w:rFonts w:ascii="Arial" w:hAnsi="Arial" w:cs="Arial"/>
                <w:b/>
                <w:bCs/>
                <w:i/>
                <w:iCs/>
                <w:color w:val="000000"/>
                <w:sz w:val="16"/>
                <w:szCs w:val="16"/>
                <w:lang w:val="fr-BE"/>
              </w:rPr>
              <w:t xml:space="preserve">           politique criminelle                                                   </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732DA641" w14:textId="1BBB5CE6"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b/>
                <w:bCs/>
                <w:i/>
                <w:iCs/>
                <w:color w:val="000000"/>
                <w:sz w:val="16"/>
                <w:szCs w:val="16"/>
                <w:lang w:val="fr-BE"/>
              </w:rPr>
              <w:t xml:space="preserve">        64</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394FEE1B" w14:textId="3B9C3CEB"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b/>
                <w:bCs/>
                <w:i/>
                <w:iCs/>
                <w:color w:val="000000"/>
                <w:sz w:val="16"/>
                <w:szCs w:val="16"/>
                <w:lang w:val="fr-BE"/>
              </w:rPr>
              <w:t xml:space="preserve">   8,66</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4A6E65D6" w14:textId="092D651A"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b/>
                <w:bCs/>
                <w:i/>
                <w:iCs/>
                <w:color w:val="000000"/>
                <w:sz w:val="16"/>
                <w:szCs w:val="16"/>
                <w:lang w:val="fr-BE"/>
              </w:rPr>
              <w:t xml:space="preserve">        47</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0845AF64" w14:textId="7A2AB255"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b/>
                <w:bCs/>
                <w:i/>
                <w:iCs/>
                <w:color w:val="000000"/>
                <w:sz w:val="16"/>
                <w:szCs w:val="16"/>
                <w:lang w:val="fr-BE"/>
              </w:rPr>
              <w:t xml:space="preserve">   6,90</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74665156" w14:textId="05F41088"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b/>
                <w:bCs/>
                <w:i/>
                <w:iCs/>
                <w:color w:val="000000"/>
                <w:sz w:val="16"/>
                <w:szCs w:val="16"/>
                <w:lang w:val="fr-BE"/>
              </w:rPr>
              <w:t xml:space="preserve">        48</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144B516C" w14:textId="2D984CE2"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b/>
                <w:bCs/>
                <w:i/>
                <w:iCs/>
                <w:color w:val="000000"/>
                <w:sz w:val="16"/>
                <w:szCs w:val="16"/>
                <w:lang w:val="fr-BE"/>
              </w:rPr>
              <w:t xml:space="preserve">   5,72</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287F5568" w14:textId="1EBF38BB"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b/>
                <w:bCs/>
                <w:i/>
                <w:iCs/>
                <w:color w:val="000000"/>
                <w:sz w:val="16"/>
                <w:szCs w:val="16"/>
                <w:lang w:val="fr-BE"/>
              </w:rPr>
              <w:t xml:space="preserve">        35</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37FC40F6" w14:textId="28F02411"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b/>
                <w:bCs/>
                <w:i/>
                <w:iCs/>
                <w:color w:val="000000"/>
                <w:sz w:val="16"/>
                <w:szCs w:val="16"/>
                <w:lang w:val="fr-BE"/>
              </w:rPr>
              <w:t xml:space="preserve">   5,06</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6354F076" w14:textId="1FA47A9E"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b/>
                <w:bCs/>
                <w:i/>
                <w:iCs/>
                <w:color w:val="000000"/>
                <w:sz w:val="16"/>
                <w:szCs w:val="16"/>
                <w:lang w:val="fr-BE"/>
              </w:rPr>
              <w:t xml:space="preserve">        33</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4C99C991" w14:textId="0400BC18"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b/>
                <w:bCs/>
                <w:i/>
                <w:iCs/>
                <w:color w:val="000000"/>
                <w:sz w:val="16"/>
                <w:szCs w:val="16"/>
                <w:lang w:val="fr-BE"/>
              </w:rPr>
              <w:t xml:space="preserve">   5,44</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42D68C54" w14:textId="2B3C9D24"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b/>
                <w:bCs/>
                <w:i/>
                <w:iCs/>
                <w:color w:val="000000"/>
                <w:sz w:val="16"/>
                <w:szCs w:val="16"/>
                <w:lang w:val="fr-BE"/>
              </w:rPr>
              <w:t xml:space="preserve">       227</w:t>
            </w:r>
          </w:p>
        </w:tc>
        <w:tc>
          <w:tcPr>
            <w:tcW w:w="650" w:type="dxa"/>
            <w:tcBorders>
              <w:top w:val="nil"/>
              <w:left w:val="single" w:sz="4" w:space="0" w:color="E6E6E6"/>
              <w:bottom w:val="single" w:sz="15" w:space="0" w:color="E6E6E6"/>
              <w:right w:val="single" w:sz="15" w:space="0" w:color="E6E6E6"/>
            </w:tcBorders>
            <w:shd w:val="clear" w:color="auto" w:fill="auto"/>
            <w:tcMar>
              <w:left w:w="48" w:type="dxa"/>
              <w:right w:w="48" w:type="dxa"/>
            </w:tcMar>
            <w:vAlign w:val="bottom"/>
          </w:tcPr>
          <w:p w14:paraId="3BD24563" w14:textId="4F653F4D"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b/>
                <w:bCs/>
                <w:i/>
                <w:iCs/>
                <w:color w:val="000000"/>
                <w:sz w:val="16"/>
                <w:szCs w:val="16"/>
                <w:lang w:val="fr-BE"/>
              </w:rPr>
              <w:t xml:space="preserve">   6,38</w:t>
            </w:r>
          </w:p>
        </w:tc>
      </w:tr>
      <w:tr w:rsidR="00F40AA5" w:rsidRPr="00C16CD7" w14:paraId="0DBF7C2E" w14:textId="77777777" w:rsidTr="002D5742">
        <w:trPr>
          <w:cantSplit/>
          <w:jc w:val="center"/>
        </w:trPr>
        <w:tc>
          <w:tcPr>
            <w:tcW w:w="5678" w:type="dxa"/>
            <w:tcBorders>
              <w:top w:val="nil"/>
              <w:left w:val="single" w:sz="15" w:space="0" w:color="E6E6E6"/>
              <w:bottom w:val="single" w:sz="15" w:space="0" w:color="E6E6E6"/>
              <w:right w:val="nil"/>
            </w:tcBorders>
            <w:shd w:val="clear" w:color="auto" w:fill="auto"/>
            <w:tcMar>
              <w:left w:w="48" w:type="dxa"/>
              <w:right w:w="48" w:type="dxa"/>
            </w:tcMar>
          </w:tcPr>
          <w:p w14:paraId="48BE7152" w14:textId="3A008D8D" w:rsidR="00F40AA5" w:rsidRPr="00C16CD7" w:rsidRDefault="00F40AA5" w:rsidP="004B7F3F">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capacité d'enquête insuffisante                                   </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4D0E2E74" w14:textId="5AE097C6"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10</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341905E9" w14:textId="1DC464E0"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1,35</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3F049975" w14:textId="5653843D"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6</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2E7FE0DE" w14:textId="2534541A"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0,88</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7AE2636F" w14:textId="6B8DD3A5"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8</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5A0DA1C4" w14:textId="22E3F874"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0,95</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5803D390" w14:textId="7A3A42EA"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7</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25D822B7" w14:textId="2825F1F6"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1,01</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6FB8936E" w14:textId="52C033DF"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12</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16FCD1B5" w14:textId="3292D31F"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1,98</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7C05D20F" w14:textId="45BA0F53"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43</w:t>
            </w:r>
          </w:p>
        </w:tc>
        <w:tc>
          <w:tcPr>
            <w:tcW w:w="650" w:type="dxa"/>
            <w:tcBorders>
              <w:top w:val="nil"/>
              <w:left w:val="single" w:sz="4" w:space="0" w:color="E6E6E6"/>
              <w:bottom w:val="single" w:sz="15" w:space="0" w:color="E6E6E6"/>
              <w:right w:val="single" w:sz="15" w:space="0" w:color="E6E6E6"/>
            </w:tcBorders>
            <w:shd w:val="clear" w:color="auto" w:fill="auto"/>
            <w:tcMar>
              <w:left w:w="48" w:type="dxa"/>
              <w:right w:w="48" w:type="dxa"/>
            </w:tcMar>
            <w:vAlign w:val="bottom"/>
          </w:tcPr>
          <w:p w14:paraId="06588A54" w14:textId="0DEAAC70"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1,21</w:t>
            </w:r>
          </w:p>
        </w:tc>
      </w:tr>
      <w:tr w:rsidR="00F40AA5" w:rsidRPr="00C16CD7" w14:paraId="5A9A3462" w14:textId="77777777" w:rsidTr="002D5742">
        <w:trPr>
          <w:cantSplit/>
          <w:jc w:val="center"/>
        </w:trPr>
        <w:tc>
          <w:tcPr>
            <w:tcW w:w="5678" w:type="dxa"/>
            <w:tcBorders>
              <w:top w:val="nil"/>
              <w:left w:val="single" w:sz="15" w:space="0" w:color="E6E6E6"/>
              <w:bottom w:val="single" w:sz="15" w:space="0" w:color="E6E6E6"/>
              <w:right w:val="nil"/>
            </w:tcBorders>
            <w:shd w:val="clear" w:color="auto" w:fill="auto"/>
            <w:tcMar>
              <w:left w:w="48" w:type="dxa"/>
              <w:right w:w="48" w:type="dxa"/>
            </w:tcMar>
          </w:tcPr>
          <w:p w14:paraId="4BD35BE1" w14:textId="2795B6F6" w:rsidR="00F40AA5" w:rsidRPr="00C16CD7" w:rsidRDefault="00F40AA5" w:rsidP="004B7F3F">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autres priorités                                                  </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0678A36E" w14:textId="290923C5"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54</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5D225A86" w14:textId="5293BF85"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7,31</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09F79CED" w14:textId="3FF44097"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40</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7B4BE631" w14:textId="044FBA4C"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5,87</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29CAEB8D" w14:textId="0CA3D178"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40</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68BB3C8A" w14:textId="4E637AFE"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4,77</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720E5C70" w14:textId="7EE5EA86"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25</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2BFD1A84" w14:textId="55630C77"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3,61</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27EF0E19" w14:textId="53E21FC0"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13</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18FCAE40" w14:textId="24E8DF85"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2,14</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30B58692" w14:textId="14D3B1D5"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172</w:t>
            </w:r>
          </w:p>
        </w:tc>
        <w:tc>
          <w:tcPr>
            <w:tcW w:w="650" w:type="dxa"/>
            <w:tcBorders>
              <w:top w:val="nil"/>
              <w:left w:val="single" w:sz="4" w:space="0" w:color="E6E6E6"/>
              <w:bottom w:val="single" w:sz="15" w:space="0" w:color="E6E6E6"/>
              <w:right w:val="single" w:sz="15" w:space="0" w:color="E6E6E6"/>
            </w:tcBorders>
            <w:shd w:val="clear" w:color="auto" w:fill="auto"/>
            <w:tcMar>
              <w:left w:w="48" w:type="dxa"/>
              <w:right w:w="48" w:type="dxa"/>
            </w:tcMar>
            <w:vAlign w:val="bottom"/>
          </w:tcPr>
          <w:p w14:paraId="3EF86728" w14:textId="1859FAEB"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4,83</w:t>
            </w:r>
          </w:p>
        </w:tc>
      </w:tr>
      <w:tr w:rsidR="00F40AA5" w:rsidRPr="00C16CD7" w14:paraId="164B7156" w14:textId="77777777" w:rsidTr="002D5742">
        <w:trPr>
          <w:cantSplit/>
          <w:jc w:val="center"/>
        </w:trPr>
        <w:tc>
          <w:tcPr>
            <w:tcW w:w="5678" w:type="dxa"/>
            <w:tcBorders>
              <w:top w:val="nil"/>
              <w:left w:val="single" w:sz="15" w:space="0" w:color="E6E6E6"/>
              <w:bottom w:val="single" w:sz="15" w:space="0" w:color="E6E6E6"/>
              <w:right w:val="nil"/>
            </w:tcBorders>
            <w:shd w:val="clear" w:color="auto" w:fill="auto"/>
            <w:tcMar>
              <w:left w:w="48" w:type="dxa"/>
              <w:right w:w="48" w:type="dxa"/>
            </w:tcMar>
          </w:tcPr>
          <w:p w14:paraId="323F0E1F" w14:textId="3EC8B703" w:rsidR="00F40AA5" w:rsidRPr="00C16CD7" w:rsidRDefault="00F40AA5" w:rsidP="004B7F3F">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priorité à la voie civile                                         </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380D90E8" w14:textId="0D439823"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7B7CDF5B" w14:textId="5719A594"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0091A66A" w14:textId="19D201D7"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1</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6EA9E9D3" w14:textId="3893E429"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0,15</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077C4223" w14:textId="76BFEFCC"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4501E8BE" w14:textId="332BBAE5"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754AAB6B" w14:textId="4EFBC83C"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2</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4C9F2560" w14:textId="2C3D8ED9"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0,29</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1069B74F" w14:textId="509DE7A2"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4</w:t>
            </w:r>
          </w:p>
        </w:tc>
        <w:tc>
          <w:tcPr>
            <w:tcW w:w="650" w:type="dxa"/>
            <w:tcBorders>
              <w:top w:val="nil"/>
              <w:left w:val="single" w:sz="4" w:space="0" w:color="E6E6E6"/>
              <w:bottom w:val="single" w:sz="15" w:space="0" w:color="E6E6E6"/>
              <w:right w:val="nil"/>
            </w:tcBorders>
            <w:shd w:val="clear" w:color="auto" w:fill="auto"/>
            <w:tcMar>
              <w:left w:w="48" w:type="dxa"/>
              <w:right w:w="48" w:type="dxa"/>
            </w:tcMar>
            <w:vAlign w:val="bottom"/>
          </w:tcPr>
          <w:p w14:paraId="42AA0699" w14:textId="54CC12A8"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0,66</w:t>
            </w:r>
          </w:p>
        </w:tc>
        <w:tc>
          <w:tcPr>
            <w:tcW w:w="693" w:type="dxa"/>
            <w:tcBorders>
              <w:top w:val="nil"/>
              <w:left w:val="single" w:sz="4" w:space="0" w:color="E6E6E6"/>
              <w:bottom w:val="single" w:sz="15" w:space="0" w:color="E6E6E6"/>
              <w:right w:val="nil"/>
            </w:tcBorders>
            <w:shd w:val="clear" w:color="auto" w:fill="auto"/>
            <w:tcMar>
              <w:left w:w="48" w:type="dxa"/>
              <w:right w:w="48" w:type="dxa"/>
            </w:tcMar>
            <w:vAlign w:val="bottom"/>
          </w:tcPr>
          <w:p w14:paraId="0FCBFE91" w14:textId="33F4AAF2"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7</w:t>
            </w:r>
          </w:p>
        </w:tc>
        <w:tc>
          <w:tcPr>
            <w:tcW w:w="650" w:type="dxa"/>
            <w:tcBorders>
              <w:top w:val="nil"/>
              <w:left w:val="single" w:sz="4" w:space="0" w:color="E6E6E6"/>
              <w:bottom w:val="single" w:sz="15" w:space="0" w:color="E6E6E6"/>
              <w:right w:val="single" w:sz="15" w:space="0" w:color="E6E6E6"/>
            </w:tcBorders>
            <w:shd w:val="clear" w:color="auto" w:fill="auto"/>
            <w:tcMar>
              <w:left w:w="48" w:type="dxa"/>
              <w:right w:w="48" w:type="dxa"/>
            </w:tcMar>
            <w:vAlign w:val="bottom"/>
          </w:tcPr>
          <w:p w14:paraId="1FF1B221" w14:textId="4C4EDFAD" w:rsidR="00F40AA5" w:rsidRPr="00C16CD7" w:rsidRDefault="00F40AA5" w:rsidP="002D5742">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0,20</w:t>
            </w:r>
          </w:p>
        </w:tc>
      </w:tr>
      <w:tr w:rsidR="00F40AA5" w:rsidRPr="00C16CD7" w14:paraId="73731416" w14:textId="77777777" w:rsidTr="00F40AA5">
        <w:trPr>
          <w:cantSplit/>
          <w:jc w:val="center"/>
        </w:trPr>
        <w:tc>
          <w:tcPr>
            <w:tcW w:w="5678" w:type="dxa"/>
            <w:tcBorders>
              <w:top w:val="nil"/>
              <w:left w:val="single" w:sz="15" w:space="0" w:color="E6E6E6"/>
              <w:bottom w:val="single" w:sz="15" w:space="0" w:color="E6E6E6"/>
              <w:right w:val="nil"/>
            </w:tcBorders>
            <w:shd w:val="clear" w:color="auto" w:fill="FFFFFF" w:themeFill="background1"/>
            <w:tcMar>
              <w:left w:w="48" w:type="dxa"/>
              <w:right w:w="48" w:type="dxa"/>
            </w:tcMar>
          </w:tcPr>
          <w:p w14:paraId="6BAD2407" w14:textId="68AA0D8A" w:rsidR="00F40AA5" w:rsidRPr="00C16CD7" w:rsidRDefault="00F40AA5" w:rsidP="004B7F3F">
            <w:pPr>
              <w:adjustRightInd w:val="0"/>
              <w:spacing w:before="48" w:after="48"/>
              <w:rPr>
                <w:rFonts w:ascii="Arial" w:hAnsi="Arial" w:cs="Arial"/>
                <w:color w:val="000000"/>
                <w:sz w:val="16"/>
                <w:szCs w:val="16"/>
                <w:lang w:val="fr-BE"/>
              </w:rPr>
            </w:pPr>
            <w:r w:rsidRPr="00C16CD7">
              <w:rPr>
                <w:rFonts w:ascii="Arial" w:hAnsi="Arial" w:cs="Arial"/>
                <w:color w:val="000000"/>
                <w:sz w:val="16"/>
                <w:szCs w:val="16"/>
                <w:lang w:val="fr-BE"/>
              </w:rPr>
              <w:t xml:space="preserve">                priorité à la voie disciplinaire                                  </w:t>
            </w:r>
          </w:p>
        </w:tc>
        <w:tc>
          <w:tcPr>
            <w:tcW w:w="693" w:type="dxa"/>
            <w:tcBorders>
              <w:top w:val="nil"/>
              <w:left w:val="single" w:sz="4" w:space="0" w:color="E6E6E6"/>
              <w:bottom w:val="single" w:sz="15" w:space="0" w:color="E6E6E6"/>
              <w:right w:val="nil"/>
            </w:tcBorders>
            <w:shd w:val="clear" w:color="auto" w:fill="FFFFFF" w:themeFill="background1"/>
            <w:tcMar>
              <w:left w:w="48" w:type="dxa"/>
              <w:right w:w="48" w:type="dxa"/>
            </w:tcMar>
            <w:vAlign w:val="bottom"/>
          </w:tcPr>
          <w:p w14:paraId="6C4C0E29" w14:textId="37BB07C2"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15" w:space="0" w:color="E6E6E6"/>
              <w:right w:val="nil"/>
            </w:tcBorders>
            <w:shd w:val="clear" w:color="auto" w:fill="FFFFFF" w:themeFill="background1"/>
            <w:tcMar>
              <w:left w:w="48" w:type="dxa"/>
              <w:right w:w="48" w:type="dxa"/>
            </w:tcMar>
            <w:vAlign w:val="bottom"/>
          </w:tcPr>
          <w:p w14:paraId="3CC83135" w14:textId="424245E2"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15" w:space="0" w:color="E6E6E6"/>
              <w:right w:val="nil"/>
            </w:tcBorders>
            <w:shd w:val="clear" w:color="auto" w:fill="FFFFFF" w:themeFill="background1"/>
            <w:tcMar>
              <w:left w:w="48" w:type="dxa"/>
              <w:right w:w="48" w:type="dxa"/>
            </w:tcMar>
            <w:vAlign w:val="bottom"/>
          </w:tcPr>
          <w:p w14:paraId="671490E6" w14:textId="556F9833"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15" w:space="0" w:color="E6E6E6"/>
              <w:right w:val="nil"/>
            </w:tcBorders>
            <w:shd w:val="clear" w:color="auto" w:fill="FFFFFF" w:themeFill="background1"/>
            <w:tcMar>
              <w:left w:w="48" w:type="dxa"/>
              <w:right w:w="48" w:type="dxa"/>
            </w:tcMar>
            <w:vAlign w:val="bottom"/>
          </w:tcPr>
          <w:p w14:paraId="1B07AECF" w14:textId="5E478C9A"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15" w:space="0" w:color="E6E6E6"/>
              <w:right w:val="nil"/>
            </w:tcBorders>
            <w:shd w:val="clear" w:color="auto" w:fill="FFFFFF" w:themeFill="background1"/>
            <w:tcMar>
              <w:left w:w="48" w:type="dxa"/>
              <w:right w:w="48" w:type="dxa"/>
            </w:tcMar>
            <w:vAlign w:val="bottom"/>
          </w:tcPr>
          <w:p w14:paraId="10C9FA38" w14:textId="192B52FA"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w:t>
            </w:r>
          </w:p>
        </w:tc>
        <w:tc>
          <w:tcPr>
            <w:tcW w:w="650" w:type="dxa"/>
            <w:tcBorders>
              <w:top w:val="nil"/>
              <w:left w:val="single" w:sz="4" w:space="0" w:color="E6E6E6"/>
              <w:bottom w:val="single" w:sz="15" w:space="0" w:color="E6E6E6"/>
              <w:right w:val="nil"/>
            </w:tcBorders>
            <w:shd w:val="clear" w:color="auto" w:fill="FFFFFF" w:themeFill="background1"/>
            <w:tcMar>
              <w:left w:w="48" w:type="dxa"/>
              <w:right w:w="48" w:type="dxa"/>
            </w:tcMar>
            <w:vAlign w:val="bottom"/>
          </w:tcPr>
          <w:p w14:paraId="2F90E09B" w14:textId="5F53A8A7"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w:t>
            </w:r>
          </w:p>
        </w:tc>
        <w:tc>
          <w:tcPr>
            <w:tcW w:w="693" w:type="dxa"/>
            <w:tcBorders>
              <w:top w:val="nil"/>
              <w:left w:val="single" w:sz="4" w:space="0" w:color="E6E6E6"/>
              <w:bottom w:val="single" w:sz="15" w:space="0" w:color="E6E6E6"/>
              <w:right w:val="nil"/>
            </w:tcBorders>
            <w:shd w:val="clear" w:color="auto" w:fill="FFFFFF" w:themeFill="background1"/>
            <w:tcMar>
              <w:left w:w="48" w:type="dxa"/>
              <w:right w:w="48" w:type="dxa"/>
            </w:tcMar>
            <w:vAlign w:val="bottom"/>
          </w:tcPr>
          <w:p w14:paraId="64055EDE" w14:textId="08E7E0EB"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1</w:t>
            </w:r>
          </w:p>
        </w:tc>
        <w:tc>
          <w:tcPr>
            <w:tcW w:w="650" w:type="dxa"/>
            <w:tcBorders>
              <w:top w:val="nil"/>
              <w:left w:val="single" w:sz="4" w:space="0" w:color="E6E6E6"/>
              <w:bottom w:val="single" w:sz="15" w:space="0" w:color="E6E6E6"/>
              <w:right w:val="nil"/>
            </w:tcBorders>
            <w:shd w:val="clear" w:color="auto" w:fill="FFFFFF" w:themeFill="background1"/>
            <w:tcMar>
              <w:left w:w="48" w:type="dxa"/>
              <w:right w:w="48" w:type="dxa"/>
            </w:tcMar>
            <w:vAlign w:val="bottom"/>
          </w:tcPr>
          <w:p w14:paraId="3D154C35" w14:textId="42AC4E85"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0,14</w:t>
            </w:r>
          </w:p>
        </w:tc>
        <w:tc>
          <w:tcPr>
            <w:tcW w:w="693" w:type="dxa"/>
            <w:tcBorders>
              <w:top w:val="nil"/>
              <w:left w:val="single" w:sz="4" w:space="0" w:color="E6E6E6"/>
              <w:bottom w:val="single" w:sz="15" w:space="0" w:color="E6E6E6"/>
              <w:right w:val="nil"/>
            </w:tcBorders>
            <w:shd w:val="clear" w:color="auto" w:fill="FFFFFF" w:themeFill="background1"/>
            <w:tcMar>
              <w:left w:w="48" w:type="dxa"/>
              <w:right w:w="48" w:type="dxa"/>
            </w:tcMar>
            <w:vAlign w:val="bottom"/>
          </w:tcPr>
          <w:p w14:paraId="751953C2" w14:textId="674D122A"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4</w:t>
            </w:r>
          </w:p>
        </w:tc>
        <w:tc>
          <w:tcPr>
            <w:tcW w:w="650" w:type="dxa"/>
            <w:tcBorders>
              <w:top w:val="nil"/>
              <w:left w:val="single" w:sz="4" w:space="0" w:color="E6E6E6"/>
              <w:bottom w:val="single" w:sz="15" w:space="0" w:color="E6E6E6"/>
              <w:right w:val="nil"/>
            </w:tcBorders>
            <w:shd w:val="clear" w:color="auto" w:fill="FFFFFF" w:themeFill="background1"/>
            <w:tcMar>
              <w:left w:w="48" w:type="dxa"/>
              <w:right w:w="48" w:type="dxa"/>
            </w:tcMar>
            <w:vAlign w:val="bottom"/>
          </w:tcPr>
          <w:p w14:paraId="67AF36C1" w14:textId="12BECAE6"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0,66</w:t>
            </w:r>
          </w:p>
        </w:tc>
        <w:tc>
          <w:tcPr>
            <w:tcW w:w="693" w:type="dxa"/>
            <w:tcBorders>
              <w:top w:val="nil"/>
              <w:left w:val="single" w:sz="4" w:space="0" w:color="E6E6E6"/>
              <w:bottom w:val="single" w:sz="15" w:space="0" w:color="E6E6E6"/>
              <w:right w:val="nil"/>
            </w:tcBorders>
            <w:shd w:val="clear" w:color="auto" w:fill="FFFFFF" w:themeFill="background1"/>
            <w:tcMar>
              <w:left w:w="48" w:type="dxa"/>
              <w:right w:w="48" w:type="dxa"/>
            </w:tcMar>
            <w:vAlign w:val="bottom"/>
          </w:tcPr>
          <w:p w14:paraId="47D47EED" w14:textId="3C7A93C6"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5</w:t>
            </w:r>
          </w:p>
        </w:tc>
        <w:tc>
          <w:tcPr>
            <w:tcW w:w="650" w:type="dxa"/>
            <w:tcBorders>
              <w:top w:val="nil"/>
              <w:left w:val="single" w:sz="4" w:space="0" w:color="E6E6E6"/>
              <w:bottom w:val="single" w:sz="15" w:space="0" w:color="E6E6E6"/>
              <w:right w:val="single" w:sz="15" w:space="0" w:color="E6E6E6"/>
            </w:tcBorders>
            <w:shd w:val="clear" w:color="auto" w:fill="FFFFFF" w:themeFill="background1"/>
            <w:tcMar>
              <w:left w:w="48" w:type="dxa"/>
              <w:right w:w="48" w:type="dxa"/>
            </w:tcMar>
            <w:vAlign w:val="bottom"/>
          </w:tcPr>
          <w:p w14:paraId="3E162AC1" w14:textId="4583F1F0"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color w:val="000000"/>
                <w:sz w:val="16"/>
                <w:szCs w:val="16"/>
                <w:lang w:val="fr-BE"/>
              </w:rPr>
              <w:t xml:space="preserve">   0,14</w:t>
            </w:r>
          </w:p>
        </w:tc>
      </w:tr>
      <w:tr w:rsidR="00F40AA5" w:rsidRPr="00C16CD7" w14:paraId="797E3210" w14:textId="77777777" w:rsidTr="00F40AA5">
        <w:trPr>
          <w:cantSplit/>
          <w:jc w:val="center"/>
        </w:trPr>
        <w:tc>
          <w:tcPr>
            <w:tcW w:w="5678" w:type="dxa"/>
            <w:tcBorders>
              <w:top w:val="nil"/>
              <w:left w:val="single" w:sz="15" w:space="0" w:color="E6E6E6"/>
              <w:bottom w:val="single" w:sz="15" w:space="0" w:color="E6E6E6"/>
              <w:right w:val="nil"/>
            </w:tcBorders>
            <w:shd w:val="clear" w:color="auto" w:fill="BFBFBF" w:themeFill="background1" w:themeFillShade="BF"/>
            <w:tcMar>
              <w:left w:w="48" w:type="dxa"/>
              <w:right w:w="48" w:type="dxa"/>
            </w:tcMar>
          </w:tcPr>
          <w:p w14:paraId="4792FDFF" w14:textId="61A90706" w:rsidR="00F40AA5" w:rsidRPr="00C16CD7" w:rsidRDefault="00F40AA5" w:rsidP="004B7F3F">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 xml:space="preserve">Inconnu/erreur                                                                    </w:t>
            </w:r>
          </w:p>
        </w:tc>
        <w:tc>
          <w:tcPr>
            <w:tcW w:w="693" w:type="dxa"/>
            <w:tcBorders>
              <w:top w:val="nil"/>
              <w:left w:val="single" w:sz="4" w:space="0" w:color="E6E6E6"/>
              <w:bottom w:val="single" w:sz="15" w:space="0" w:color="E6E6E6"/>
              <w:right w:val="nil"/>
            </w:tcBorders>
            <w:shd w:val="clear" w:color="auto" w:fill="BFBFBF" w:themeFill="background1" w:themeFillShade="BF"/>
            <w:tcMar>
              <w:left w:w="48" w:type="dxa"/>
              <w:right w:w="48" w:type="dxa"/>
            </w:tcMar>
            <w:vAlign w:val="bottom"/>
          </w:tcPr>
          <w:p w14:paraId="6D26F3A1" w14:textId="0E492D54"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w:t>
            </w:r>
          </w:p>
        </w:tc>
        <w:tc>
          <w:tcPr>
            <w:tcW w:w="650" w:type="dxa"/>
            <w:tcBorders>
              <w:top w:val="nil"/>
              <w:left w:val="single" w:sz="4" w:space="0" w:color="E6E6E6"/>
              <w:bottom w:val="single" w:sz="15" w:space="0" w:color="E6E6E6"/>
              <w:right w:val="nil"/>
            </w:tcBorders>
            <w:shd w:val="clear" w:color="auto" w:fill="BFBFBF" w:themeFill="background1" w:themeFillShade="BF"/>
            <w:tcMar>
              <w:left w:w="48" w:type="dxa"/>
              <w:right w:w="48" w:type="dxa"/>
            </w:tcMar>
            <w:vAlign w:val="bottom"/>
          </w:tcPr>
          <w:p w14:paraId="0A5D5915" w14:textId="05923431"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w:t>
            </w:r>
          </w:p>
        </w:tc>
        <w:tc>
          <w:tcPr>
            <w:tcW w:w="693" w:type="dxa"/>
            <w:tcBorders>
              <w:top w:val="nil"/>
              <w:left w:val="single" w:sz="4" w:space="0" w:color="E6E6E6"/>
              <w:bottom w:val="single" w:sz="15" w:space="0" w:color="E6E6E6"/>
              <w:right w:val="nil"/>
            </w:tcBorders>
            <w:shd w:val="clear" w:color="auto" w:fill="BFBFBF" w:themeFill="background1" w:themeFillShade="BF"/>
            <w:tcMar>
              <w:left w:w="48" w:type="dxa"/>
              <w:right w:w="48" w:type="dxa"/>
            </w:tcMar>
            <w:vAlign w:val="bottom"/>
          </w:tcPr>
          <w:p w14:paraId="3A2F3C31" w14:textId="048FA6BB"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w:t>
            </w:r>
          </w:p>
        </w:tc>
        <w:tc>
          <w:tcPr>
            <w:tcW w:w="650" w:type="dxa"/>
            <w:tcBorders>
              <w:top w:val="nil"/>
              <w:left w:val="single" w:sz="4" w:space="0" w:color="E6E6E6"/>
              <w:bottom w:val="single" w:sz="15" w:space="0" w:color="E6E6E6"/>
              <w:right w:val="nil"/>
            </w:tcBorders>
            <w:shd w:val="clear" w:color="auto" w:fill="BFBFBF" w:themeFill="background1" w:themeFillShade="BF"/>
            <w:tcMar>
              <w:left w:w="48" w:type="dxa"/>
              <w:right w:w="48" w:type="dxa"/>
            </w:tcMar>
            <w:vAlign w:val="bottom"/>
          </w:tcPr>
          <w:p w14:paraId="4124FB2B" w14:textId="016D108B"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w:t>
            </w:r>
          </w:p>
        </w:tc>
        <w:tc>
          <w:tcPr>
            <w:tcW w:w="693" w:type="dxa"/>
            <w:tcBorders>
              <w:top w:val="nil"/>
              <w:left w:val="single" w:sz="4" w:space="0" w:color="E6E6E6"/>
              <w:bottom w:val="single" w:sz="15" w:space="0" w:color="E6E6E6"/>
              <w:right w:val="nil"/>
            </w:tcBorders>
            <w:shd w:val="clear" w:color="auto" w:fill="BFBFBF" w:themeFill="background1" w:themeFillShade="BF"/>
            <w:tcMar>
              <w:left w:w="48" w:type="dxa"/>
              <w:right w:w="48" w:type="dxa"/>
            </w:tcMar>
            <w:vAlign w:val="bottom"/>
          </w:tcPr>
          <w:p w14:paraId="42C47285" w14:textId="048275A2"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1</w:t>
            </w:r>
          </w:p>
        </w:tc>
        <w:tc>
          <w:tcPr>
            <w:tcW w:w="650" w:type="dxa"/>
            <w:tcBorders>
              <w:top w:val="nil"/>
              <w:left w:val="single" w:sz="4" w:space="0" w:color="E6E6E6"/>
              <w:bottom w:val="single" w:sz="15" w:space="0" w:color="E6E6E6"/>
              <w:right w:val="nil"/>
            </w:tcBorders>
            <w:shd w:val="clear" w:color="auto" w:fill="BFBFBF" w:themeFill="background1" w:themeFillShade="BF"/>
            <w:tcMar>
              <w:left w:w="48" w:type="dxa"/>
              <w:right w:w="48" w:type="dxa"/>
            </w:tcMar>
            <w:vAlign w:val="bottom"/>
          </w:tcPr>
          <w:p w14:paraId="056A2040" w14:textId="1AC67371"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0,12</w:t>
            </w:r>
          </w:p>
        </w:tc>
        <w:tc>
          <w:tcPr>
            <w:tcW w:w="693" w:type="dxa"/>
            <w:tcBorders>
              <w:top w:val="nil"/>
              <w:left w:val="single" w:sz="4" w:space="0" w:color="E6E6E6"/>
              <w:bottom w:val="single" w:sz="15" w:space="0" w:color="E6E6E6"/>
              <w:right w:val="nil"/>
            </w:tcBorders>
            <w:shd w:val="clear" w:color="auto" w:fill="BFBFBF" w:themeFill="background1" w:themeFillShade="BF"/>
            <w:tcMar>
              <w:left w:w="48" w:type="dxa"/>
              <w:right w:w="48" w:type="dxa"/>
            </w:tcMar>
            <w:vAlign w:val="bottom"/>
          </w:tcPr>
          <w:p w14:paraId="5363F91C" w14:textId="71E56A50"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w:t>
            </w:r>
          </w:p>
        </w:tc>
        <w:tc>
          <w:tcPr>
            <w:tcW w:w="650" w:type="dxa"/>
            <w:tcBorders>
              <w:top w:val="nil"/>
              <w:left w:val="single" w:sz="4" w:space="0" w:color="E6E6E6"/>
              <w:bottom w:val="single" w:sz="15" w:space="0" w:color="E6E6E6"/>
              <w:right w:val="nil"/>
            </w:tcBorders>
            <w:shd w:val="clear" w:color="auto" w:fill="BFBFBF" w:themeFill="background1" w:themeFillShade="BF"/>
            <w:tcMar>
              <w:left w:w="48" w:type="dxa"/>
              <w:right w:w="48" w:type="dxa"/>
            </w:tcMar>
            <w:vAlign w:val="bottom"/>
          </w:tcPr>
          <w:p w14:paraId="3D589A69" w14:textId="092C6F02"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w:t>
            </w:r>
          </w:p>
        </w:tc>
        <w:tc>
          <w:tcPr>
            <w:tcW w:w="693" w:type="dxa"/>
            <w:tcBorders>
              <w:top w:val="nil"/>
              <w:left w:val="single" w:sz="4" w:space="0" w:color="E6E6E6"/>
              <w:bottom w:val="single" w:sz="15" w:space="0" w:color="E6E6E6"/>
              <w:right w:val="nil"/>
            </w:tcBorders>
            <w:shd w:val="clear" w:color="auto" w:fill="BFBFBF" w:themeFill="background1" w:themeFillShade="BF"/>
            <w:tcMar>
              <w:left w:w="48" w:type="dxa"/>
              <w:right w:w="48" w:type="dxa"/>
            </w:tcMar>
            <w:vAlign w:val="bottom"/>
          </w:tcPr>
          <w:p w14:paraId="0B2895EC" w14:textId="08AB6171"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1</w:t>
            </w:r>
          </w:p>
        </w:tc>
        <w:tc>
          <w:tcPr>
            <w:tcW w:w="650" w:type="dxa"/>
            <w:tcBorders>
              <w:top w:val="nil"/>
              <w:left w:val="single" w:sz="4" w:space="0" w:color="E6E6E6"/>
              <w:bottom w:val="single" w:sz="15" w:space="0" w:color="E6E6E6"/>
              <w:right w:val="nil"/>
            </w:tcBorders>
            <w:shd w:val="clear" w:color="auto" w:fill="BFBFBF" w:themeFill="background1" w:themeFillShade="BF"/>
            <w:tcMar>
              <w:left w:w="48" w:type="dxa"/>
              <w:right w:w="48" w:type="dxa"/>
            </w:tcMar>
            <w:vAlign w:val="bottom"/>
          </w:tcPr>
          <w:p w14:paraId="2F0C482A" w14:textId="31C5EAFE"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0,16</w:t>
            </w:r>
          </w:p>
        </w:tc>
        <w:tc>
          <w:tcPr>
            <w:tcW w:w="693" w:type="dxa"/>
            <w:tcBorders>
              <w:top w:val="nil"/>
              <w:left w:val="single" w:sz="4" w:space="0" w:color="E6E6E6"/>
              <w:bottom w:val="single" w:sz="15" w:space="0" w:color="E6E6E6"/>
              <w:right w:val="nil"/>
            </w:tcBorders>
            <w:shd w:val="clear" w:color="auto" w:fill="BFBFBF" w:themeFill="background1" w:themeFillShade="BF"/>
            <w:tcMar>
              <w:left w:w="48" w:type="dxa"/>
              <w:right w:w="48" w:type="dxa"/>
            </w:tcMar>
            <w:vAlign w:val="bottom"/>
          </w:tcPr>
          <w:p w14:paraId="05394D67" w14:textId="10D4DBEE"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2</w:t>
            </w:r>
          </w:p>
        </w:tc>
        <w:tc>
          <w:tcPr>
            <w:tcW w:w="650" w:type="dxa"/>
            <w:tcBorders>
              <w:top w:val="nil"/>
              <w:left w:val="single" w:sz="4" w:space="0" w:color="E6E6E6"/>
              <w:bottom w:val="single" w:sz="15" w:space="0" w:color="E6E6E6"/>
              <w:right w:val="single" w:sz="15" w:space="0" w:color="E6E6E6"/>
            </w:tcBorders>
            <w:shd w:val="clear" w:color="auto" w:fill="BFBFBF" w:themeFill="background1" w:themeFillShade="BF"/>
            <w:tcMar>
              <w:left w:w="48" w:type="dxa"/>
              <w:right w:w="48" w:type="dxa"/>
            </w:tcMar>
            <w:vAlign w:val="bottom"/>
          </w:tcPr>
          <w:p w14:paraId="025B093E" w14:textId="51060224"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0,06</w:t>
            </w:r>
          </w:p>
        </w:tc>
      </w:tr>
      <w:tr w:rsidR="00F40AA5" w:rsidRPr="00C16CD7" w14:paraId="48A16C94" w14:textId="77777777" w:rsidTr="004B7F3F">
        <w:trPr>
          <w:cantSplit/>
          <w:jc w:val="center"/>
        </w:trPr>
        <w:tc>
          <w:tcPr>
            <w:tcW w:w="5678" w:type="dxa"/>
            <w:tcBorders>
              <w:top w:val="nil"/>
              <w:left w:val="single" w:sz="15" w:space="0" w:color="E6E6E6"/>
              <w:bottom w:val="single" w:sz="15" w:space="0" w:color="E6E6E6"/>
              <w:right w:val="nil"/>
            </w:tcBorders>
            <w:shd w:val="clear" w:color="auto" w:fill="808080"/>
            <w:tcMar>
              <w:left w:w="48" w:type="dxa"/>
              <w:right w:w="48" w:type="dxa"/>
            </w:tcMar>
          </w:tcPr>
          <w:p w14:paraId="70A6CD29" w14:textId="2C7F6D6A" w:rsidR="00F40AA5" w:rsidRPr="00C16CD7" w:rsidRDefault="00F40AA5" w:rsidP="004B7F3F">
            <w:pPr>
              <w:adjustRightInd w:val="0"/>
              <w:spacing w:before="48" w:after="48"/>
              <w:rPr>
                <w:rFonts w:ascii="Arial" w:hAnsi="Arial" w:cs="Arial"/>
                <w:b/>
                <w:bCs/>
                <w:color w:val="000000"/>
                <w:sz w:val="16"/>
                <w:szCs w:val="16"/>
                <w:lang w:val="fr-BE"/>
              </w:rPr>
            </w:pPr>
            <w:r w:rsidRPr="00C16CD7">
              <w:rPr>
                <w:rFonts w:ascii="Arial" w:hAnsi="Arial" w:cs="Arial"/>
                <w:b/>
                <w:bCs/>
                <w:color w:val="000000"/>
                <w:sz w:val="16"/>
                <w:szCs w:val="16"/>
                <w:lang w:val="fr-BE"/>
              </w:rPr>
              <w:t xml:space="preserve">TOTAL                                                                             </w:t>
            </w:r>
          </w:p>
        </w:tc>
        <w:tc>
          <w:tcPr>
            <w:tcW w:w="693" w:type="dxa"/>
            <w:tcBorders>
              <w:top w:val="nil"/>
              <w:left w:val="single" w:sz="4" w:space="0" w:color="E6E6E6"/>
              <w:bottom w:val="single" w:sz="15" w:space="0" w:color="E6E6E6"/>
              <w:right w:val="nil"/>
            </w:tcBorders>
            <w:shd w:val="clear" w:color="auto" w:fill="808080"/>
            <w:tcMar>
              <w:left w:w="48" w:type="dxa"/>
              <w:right w:w="48" w:type="dxa"/>
            </w:tcMar>
            <w:vAlign w:val="bottom"/>
          </w:tcPr>
          <w:p w14:paraId="4A1995EE" w14:textId="73CF3451"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739</w:t>
            </w:r>
          </w:p>
        </w:tc>
        <w:tc>
          <w:tcPr>
            <w:tcW w:w="650" w:type="dxa"/>
            <w:tcBorders>
              <w:top w:val="nil"/>
              <w:left w:val="single" w:sz="4" w:space="0" w:color="E6E6E6"/>
              <w:bottom w:val="single" w:sz="15" w:space="0" w:color="E6E6E6"/>
              <w:right w:val="nil"/>
            </w:tcBorders>
            <w:shd w:val="clear" w:color="auto" w:fill="808080"/>
            <w:tcMar>
              <w:left w:w="48" w:type="dxa"/>
              <w:right w:w="48" w:type="dxa"/>
            </w:tcMar>
            <w:vAlign w:val="bottom"/>
          </w:tcPr>
          <w:p w14:paraId="5299A4D9" w14:textId="6F16FD5C"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100,00</w:t>
            </w:r>
          </w:p>
        </w:tc>
        <w:tc>
          <w:tcPr>
            <w:tcW w:w="693" w:type="dxa"/>
            <w:tcBorders>
              <w:top w:val="nil"/>
              <w:left w:val="single" w:sz="4" w:space="0" w:color="E6E6E6"/>
              <w:bottom w:val="single" w:sz="15" w:space="0" w:color="E6E6E6"/>
              <w:right w:val="nil"/>
            </w:tcBorders>
            <w:shd w:val="clear" w:color="auto" w:fill="808080"/>
            <w:tcMar>
              <w:left w:w="48" w:type="dxa"/>
              <w:right w:w="48" w:type="dxa"/>
            </w:tcMar>
            <w:vAlign w:val="bottom"/>
          </w:tcPr>
          <w:p w14:paraId="6B560D6B" w14:textId="6002AEE0"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681</w:t>
            </w:r>
          </w:p>
        </w:tc>
        <w:tc>
          <w:tcPr>
            <w:tcW w:w="650" w:type="dxa"/>
            <w:tcBorders>
              <w:top w:val="nil"/>
              <w:left w:val="single" w:sz="4" w:space="0" w:color="E6E6E6"/>
              <w:bottom w:val="single" w:sz="15" w:space="0" w:color="E6E6E6"/>
              <w:right w:val="nil"/>
            </w:tcBorders>
            <w:shd w:val="clear" w:color="auto" w:fill="808080"/>
            <w:tcMar>
              <w:left w:w="48" w:type="dxa"/>
              <w:right w:w="48" w:type="dxa"/>
            </w:tcMar>
            <w:vAlign w:val="bottom"/>
          </w:tcPr>
          <w:p w14:paraId="5F4DB3FC" w14:textId="61FBBC56"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100,00</w:t>
            </w:r>
          </w:p>
        </w:tc>
        <w:tc>
          <w:tcPr>
            <w:tcW w:w="693" w:type="dxa"/>
            <w:tcBorders>
              <w:top w:val="nil"/>
              <w:left w:val="single" w:sz="4" w:space="0" w:color="E6E6E6"/>
              <w:bottom w:val="single" w:sz="15" w:space="0" w:color="E6E6E6"/>
              <w:right w:val="nil"/>
            </w:tcBorders>
            <w:shd w:val="clear" w:color="auto" w:fill="808080"/>
            <w:tcMar>
              <w:left w:w="48" w:type="dxa"/>
              <w:right w:w="48" w:type="dxa"/>
            </w:tcMar>
            <w:vAlign w:val="bottom"/>
          </w:tcPr>
          <w:p w14:paraId="42FEBCF6" w14:textId="11751DD7"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839</w:t>
            </w:r>
          </w:p>
        </w:tc>
        <w:tc>
          <w:tcPr>
            <w:tcW w:w="650" w:type="dxa"/>
            <w:tcBorders>
              <w:top w:val="nil"/>
              <w:left w:val="single" w:sz="4" w:space="0" w:color="E6E6E6"/>
              <w:bottom w:val="single" w:sz="15" w:space="0" w:color="E6E6E6"/>
              <w:right w:val="nil"/>
            </w:tcBorders>
            <w:shd w:val="clear" w:color="auto" w:fill="808080"/>
            <w:tcMar>
              <w:left w:w="48" w:type="dxa"/>
              <w:right w:w="48" w:type="dxa"/>
            </w:tcMar>
            <w:vAlign w:val="bottom"/>
          </w:tcPr>
          <w:p w14:paraId="41A41138" w14:textId="5506787A"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100,00</w:t>
            </w:r>
          </w:p>
        </w:tc>
        <w:tc>
          <w:tcPr>
            <w:tcW w:w="693" w:type="dxa"/>
            <w:tcBorders>
              <w:top w:val="nil"/>
              <w:left w:val="single" w:sz="4" w:space="0" w:color="E6E6E6"/>
              <w:bottom w:val="single" w:sz="15" w:space="0" w:color="E6E6E6"/>
              <w:right w:val="nil"/>
            </w:tcBorders>
            <w:shd w:val="clear" w:color="auto" w:fill="808080"/>
            <w:tcMar>
              <w:left w:w="48" w:type="dxa"/>
              <w:right w:w="48" w:type="dxa"/>
            </w:tcMar>
            <w:vAlign w:val="bottom"/>
          </w:tcPr>
          <w:p w14:paraId="4E3561BE" w14:textId="6E8D0042"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692</w:t>
            </w:r>
          </w:p>
        </w:tc>
        <w:tc>
          <w:tcPr>
            <w:tcW w:w="650" w:type="dxa"/>
            <w:tcBorders>
              <w:top w:val="nil"/>
              <w:left w:val="single" w:sz="4" w:space="0" w:color="E6E6E6"/>
              <w:bottom w:val="single" w:sz="15" w:space="0" w:color="E6E6E6"/>
              <w:right w:val="nil"/>
            </w:tcBorders>
            <w:shd w:val="clear" w:color="auto" w:fill="808080"/>
            <w:tcMar>
              <w:left w:w="48" w:type="dxa"/>
              <w:right w:w="48" w:type="dxa"/>
            </w:tcMar>
            <w:vAlign w:val="bottom"/>
          </w:tcPr>
          <w:p w14:paraId="70F38C0A" w14:textId="324FD45F"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100,00</w:t>
            </w:r>
          </w:p>
        </w:tc>
        <w:tc>
          <w:tcPr>
            <w:tcW w:w="693" w:type="dxa"/>
            <w:tcBorders>
              <w:top w:val="nil"/>
              <w:left w:val="single" w:sz="4" w:space="0" w:color="E6E6E6"/>
              <w:bottom w:val="single" w:sz="15" w:space="0" w:color="E6E6E6"/>
              <w:right w:val="nil"/>
            </w:tcBorders>
            <w:shd w:val="clear" w:color="auto" w:fill="808080"/>
            <w:tcMar>
              <w:left w:w="48" w:type="dxa"/>
              <w:right w:w="48" w:type="dxa"/>
            </w:tcMar>
            <w:vAlign w:val="bottom"/>
          </w:tcPr>
          <w:p w14:paraId="4A50498D" w14:textId="3B9305AC"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607</w:t>
            </w:r>
          </w:p>
        </w:tc>
        <w:tc>
          <w:tcPr>
            <w:tcW w:w="650" w:type="dxa"/>
            <w:tcBorders>
              <w:top w:val="nil"/>
              <w:left w:val="single" w:sz="4" w:space="0" w:color="E6E6E6"/>
              <w:bottom w:val="single" w:sz="15" w:space="0" w:color="E6E6E6"/>
              <w:right w:val="nil"/>
            </w:tcBorders>
            <w:shd w:val="clear" w:color="auto" w:fill="808080"/>
            <w:tcMar>
              <w:left w:w="48" w:type="dxa"/>
              <w:right w:w="48" w:type="dxa"/>
            </w:tcMar>
            <w:vAlign w:val="bottom"/>
          </w:tcPr>
          <w:p w14:paraId="0522920C" w14:textId="124D6410"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100,00</w:t>
            </w:r>
          </w:p>
        </w:tc>
        <w:tc>
          <w:tcPr>
            <w:tcW w:w="693" w:type="dxa"/>
            <w:tcBorders>
              <w:top w:val="nil"/>
              <w:left w:val="single" w:sz="4" w:space="0" w:color="E6E6E6"/>
              <w:bottom w:val="single" w:sz="15" w:space="0" w:color="E6E6E6"/>
              <w:right w:val="nil"/>
            </w:tcBorders>
            <w:shd w:val="clear" w:color="auto" w:fill="808080"/>
            <w:tcMar>
              <w:left w:w="48" w:type="dxa"/>
              <w:right w:w="48" w:type="dxa"/>
            </w:tcMar>
            <w:vAlign w:val="bottom"/>
          </w:tcPr>
          <w:p w14:paraId="1A499873" w14:textId="3E0485B7"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3.558</w:t>
            </w:r>
          </w:p>
        </w:tc>
        <w:tc>
          <w:tcPr>
            <w:tcW w:w="650" w:type="dxa"/>
            <w:tcBorders>
              <w:top w:val="nil"/>
              <w:left w:val="single" w:sz="4" w:space="0" w:color="E6E6E6"/>
              <w:bottom w:val="single" w:sz="15" w:space="0" w:color="E6E6E6"/>
              <w:right w:val="single" w:sz="15" w:space="0" w:color="E6E6E6"/>
            </w:tcBorders>
            <w:shd w:val="clear" w:color="auto" w:fill="808080"/>
            <w:tcMar>
              <w:left w:w="48" w:type="dxa"/>
              <w:right w:w="48" w:type="dxa"/>
            </w:tcMar>
            <w:vAlign w:val="bottom"/>
          </w:tcPr>
          <w:p w14:paraId="146A2F33" w14:textId="4E8A9765" w:rsidR="00F40AA5" w:rsidRPr="00C16CD7" w:rsidRDefault="00F40AA5" w:rsidP="004B7F3F">
            <w:pPr>
              <w:adjustRightInd w:val="0"/>
              <w:spacing w:before="48" w:after="48"/>
              <w:jc w:val="right"/>
              <w:rPr>
                <w:rFonts w:ascii="Arial" w:hAnsi="Arial" w:cs="Arial"/>
                <w:b/>
                <w:bCs/>
                <w:color w:val="000000"/>
                <w:sz w:val="16"/>
                <w:szCs w:val="16"/>
                <w:lang w:val="fr-BE"/>
              </w:rPr>
            </w:pPr>
            <w:r w:rsidRPr="00C16CD7">
              <w:rPr>
                <w:rFonts w:ascii="Arial" w:hAnsi="Arial" w:cs="Arial"/>
                <w:b/>
                <w:bCs/>
                <w:color w:val="000000"/>
                <w:sz w:val="16"/>
                <w:szCs w:val="16"/>
                <w:lang w:val="fr-BE"/>
              </w:rPr>
              <w:t xml:space="preserve"> 100,00</w:t>
            </w:r>
          </w:p>
        </w:tc>
      </w:tr>
    </w:tbl>
    <w:p w14:paraId="34284632" w14:textId="77777777" w:rsidR="004B7F3F" w:rsidRPr="00C16CD7" w:rsidRDefault="004B7F3F" w:rsidP="0021520F">
      <w:pPr>
        <w:jc w:val="center"/>
        <w:rPr>
          <w:i/>
          <w:sz w:val="16"/>
          <w:szCs w:val="16"/>
          <w:lang w:val="fr-BE"/>
        </w:rPr>
      </w:pPr>
    </w:p>
    <w:p w14:paraId="0819BDEA" w14:textId="77777777" w:rsidR="0021520F" w:rsidRPr="00C16CD7" w:rsidRDefault="0021520F" w:rsidP="0021520F">
      <w:pPr>
        <w:jc w:val="center"/>
        <w:rPr>
          <w:i/>
          <w:sz w:val="16"/>
          <w:szCs w:val="16"/>
          <w:lang w:val="fr-BE"/>
        </w:rPr>
      </w:pPr>
      <w:r w:rsidRPr="00C16CD7">
        <w:rPr>
          <w:i/>
          <w:sz w:val="16"/>
          <w:szCs w:val="16"/>
          <w:lang w:val="fr-BE"/>
        </w:rPr>
        <w:t>Source : banque de données du Collège des procureurs généraux – Analystes statistiques.</w:t>
      </w:r>
    </w:p>
    <w:p w14:paraId="5E977400" w14:textId="77777777" w:rsidR="0021520F" w:rsidRPr="00C16CD7" w:rsidRDefault="0021520F" w:rsidP="0021520F">
      <w:pPr>
        <w:keepNext/>
        <w:adjustRightInd w:val="0"/>
        <w:ind w:left="1620" w:hanging="1620"/>
        <w:jc w:val="both"/>
        <w:rPr>
          <w:rFonts w:ascii="Arial" w:hAnsi="Arial" w:cs="Arial"/>
          <w:b/>
          <w:bCs/>
          <w:color w:val="7483AE"/>
          <w:sz w:val="20"/>
          <w:szCs w:val="20"/>
          <w:lang w:val="fr-BE" w:eastAsia="fr-FR"/>
        </w:rPr>
      </w:pPr>
    </w:p>
    <w:p w14:paraId="7C000BB8" w14:textId="0615BD1E" w:rsidR="0021520F" w:rsidRPr="00C16CD7" w:rsidRDefault="0021520F" w:rsidP="00BA3540">
      <w:pPr>
        <w:spacing w:before="120" w:after="120" w:line="276" w:lineRule="auto"/>
        <w:rPr>
          <w:rFonts w:ascii="Arial" w:hAnsi="Arial" w:cs="Arial"/>
          <w:sz w:val="20"/>
          <w:szCs w:val="20"/>
          <w:lang w:val="fr-BE"/>
        </w:rPr>
      </w:pPr>
      <w:r w:rsidRPr="00C16CD7">
        <w:rPr>
          <w:rFonts w:ascii="Arial" w:hAnsi="Arial" w:cs="Arial"/>
          <w:sz w:val="20"/>
          <w:szCs w:val="20"/>
          <w:lang w:val="fr-BE"/>
        </w:rPr>
        <w:t xml:space="preserve">Le tableau </w:t>
      </w:r>
      <w:r w:rsidR="004B7F3F" w:rsidRPr="00C16CD7">
        <w:rPr>
          <w:rFonts w:ascii="Arial" w:hAnsi="Arial" w:cs="Arial"/>
          <w:sz w:val="20"/>
          <w:szCs w:val="20"/>
          <w:lang w:val="fr-BE"/>
        </w:rPr>
        <w:t>5</w:t>
      </w:r>
      <w:r w:rsidRPr="00C16CD7">
        <w:rPr>
          <w:rFonts w:ascii="Arial" w:hAnsi="Arial" w:cs="Arial"/>
          <w:sz w:val="20"/>
          <w:szCs w:val="20"/>
          <w:lang w:val="fr-BE"/>
        </w:rPr>
        <w:t xml:space="preserve"> précise les motifs des classements sans suite pour les affaires </w:t>
      </w:r>
      <w:r w:rsidR="0059052F" w:rsidRPr="00C16CD7">
        <w:rPr>
          <w:rFonts w:ascii="Arial" w:hAnsi="Arial" w:cs="Arial"/>
          <w:sz w:val="20"/>
          <w:szCs w:val="20"/>
          <w:lang w:val="fr-BE"/>
        </w:rPr>
        <w:t xml:space="preserve">relatives aux crimes motivés par la haine </w:t>
      </w:r>
      <w:r w:rsidRPr="00C16CD7">
        <w:rPr>
          <w:rFonts w:ascii="Arial" w:hAnsi="Arial" w:cs="Arial"/>
          <w:sz w:val="20"/>
          <w:szCs w:val="20"/>
          <w:lang w:val="fr-BE"/>
        </w:rPr>
        <w:t>entrées dans les parquets correctionnels entre le 1</w:t>
      </w:r>
      <w:r w:rsidRPr="00C16CD7">
        <w:rPr>
          <w:rFonts w:ascii="Arial" w:hAnsi="Arial" w:cs="Arial"/>
          <w:sz w:val="20"/>
          <w:szCs w:val="20"/>
          <w:vertAlign w:val="superscript"/>
          <w:lang w:val="fr-BE"/>
        </w:rPr>
        <w:t>er</w:t>
      </w:r>
      <w:r w:rsidRPr="00C16CD7">
        <w:rPr>
          <w:rFonts w:ascii="Arial" w:hAnsi="Arial" w:cs="Arial"/>
          <w:sz w:val="20"/>
          <w:szCs w:val="20"/>
          <w:lang w:val="fr-BE"/>
        </w:rPr>
        <w:t xml:space="preserve"> janvier 201</w:t>
      </w:r>
      <w:r w:rsidR="004B7F3F" w:rsidRPr="00C16CD7">
        <w:rPr>
          <w:rFonts w:ascii="Arial" w:hAnsi="Arial" w:cs="Arial"/>
          <w:sz w:val="20"/>
          <w:szCs w:val="20"/>
          <w:lang w:val="fr-BE"/>
        </w:rPr>
        <w:t>2</w:t>
      </w:r>
      <w:r w:rsidRPr="00C16CD7">
        <w:rPr>
          <w:rFonts w:ascii="Arial" w:hAnsi="Arial" w:cs="Arial"/>
          <w:sz w:val="20"/>
          <w:szCs w:val="20"/>
          <w:lang w:val="fr-BE"/>
        </w:rPr>
        <w:t xml:space="preserve"> et le 31 décembre 2016 et classées sans suite à la date d’extraction. </w:t>
      </w:r>
    </w:p>
    <w:p w14:paraId="28CE80AA" w14:textId="77777777" w:rsidR="0021520F" w:rsidRPr="00C16CD7" w:rsidRDefault="0021520F" w:rsidP="00BA3540">
      <w:pPr>
        <w:spacing w:before="120" w:after="120" w:line="276" w:lineRule="auto"/>
        <w:jc w:val="both"/>
        <w:rPr>
          <w:rFonts w:ascii="Arial" w:hAnsi="Arial" w:cs="Arial"/>
          <w:sz w:val="20"/>
          <w:szCs w:val="20"/>
          <w:lang w:val="fr-BE"/>
        </w:rPr>
      </w:pPr>
      <w:r w:rsidRPr="00C16CD7">
        <w:rPr>
          <w:rFonts w:ascii="Arial" w:hAnsi="Arial" w:cs="Arial"/>
          <w:sz w:val="20"/>
          <w:szCs w:val="20"/>
          <w:lang w:val="fr-BE"/>
        </w:rPr>
        <w:t xml:space="preserve">Le classement sans suite constitue une renonciation provisoire aux poursuites, mettant fin à l'information. Tant que l'action publique n'est pas éteinte, l'affaire peut être rouverte.  </w:t>
      </w:r>
    </w:p>
    <w:p w14:paraId="152AC61D" w14:textId="77777777" w:rsidR="0021520F" w:rsidRPr="00C16CD7" w:rsidRDefault="0021520F" w:rsidP="00BA3540">
      <w:pPr>
        <w:spacing w:before="120" w:after="120" w:line="276" w:lineRule="auto"/>
        <w:jc w:val="both"/>
        <w:rPr>
          <w:rFonts w:ascii="Arial" w:hAnsi="Arial" w:cs="Arial"/>
          <w:sz w:val="20"/>
          <w:szCs w:val="20"/>
          <w:lang w:val="fr-BE"/>
        </w:rPr>
      </w:pPr>
      <w:r w:rsidRPr="00C16CD7">
        <w:rPr>
          <w:rFonts w:ascii="Arial" w:hAnsi="Arial" w:cs="Arial"/>
          <w:sz w:val="20"/>
          <w:szCs w:val="20"/>
          <w:lang w:val="fr-BE"/>
        </w:rPr>
        <w:t>Les parquets disposent d'une catégorisation affinée des motifs de classement sans suite qui a été formalisée et uniformisée suite à la réforme Franchimont.</w:t>
      </w:r>
    </w:p>
    <w:p w14:paraId="655130AE" w14:textId="56C101EA" w:rsidR="0021520F" w:rsidRPr="00C16CD7" w:rsidRDefault="0021520F" w:rsidP="00BA3540">
      <w:pPr>
        <w:spacing w:before="120" w:after="120" w:line="276" w:lineRule="auto"/>
        <w:jc w:val="both"/>
        <w:rPr>
          <w:rFonts w:ascii="Arial" w:hAnsi="Arial" w:cs="Arial"/>
          <w:sz w:val="20"/>
          <w:szCs w:val="20"/>
          <w:lang w:val="fr-BE"/>
        </w:rPr>
      </w:pPr>
      <w:r w:rsidRPr="00C16CD7">
        <w:rPr>
          <w:rFonts w:ascii="Arial" w:hAnsi="Arial" w:cs="Arial"/>
          <w:sz w:val="20"/>
          <w:szCs w:val="20"/>
          <w:lang w:val="fr-BE"/>
        </w:rPr>
        <w:t xml:space="preserve">Pour les </w:t>
      </w:r>
      <w:r w:rsidR="00F40AA5" w:rsidRPr="00C16CD7">
        <w:rPr>
          <w:rFonts w:ascii="Arial" w:hAnsi="Arial" w:cs="Arial"/>
          <w:sz w:val="20"/>
          <w:szCs w:val="20"/>
          <w:lang w:val="fr-BE"/>
        </w:rPr>
        <w:t>3.558</w:t>
      </w:r>
      <w:r w:rsidRPr="00C16CD7">
        <w:rPr>
          <w:rFonts w:ascii="Arial" w:hAnsi="Arial" w:cs="Arial"/>
          <w:sz w:val="20"/>
          <w:szCs w:val="20"/>
          <w:lang w:val="fr-BE"/>
        </w:rPr>
        <w:t xml:space="preserve"> dossiers entrés au sein des parquets correctionnels de Belgique et classés sans suite au moment de l’extraction de données, nous constatons que </w:t>
      </w:r>
      <w:r w:rsidR="00BF3584" w:rsidRPr="00C16CD7">
        <w:rPr>
          <w:rFonts w:ascii="Arial" w:hAnsi="Arial" w:cs="Arial"/>
          <w:sz w:val="20"/>
          <w:szCs w:val="20"/>
          <w:lang w:val="fr-BE"/>
        </w:rPr>
        <w:t>2.405</w:t>
      </w:r>
      <w:r w:rsidRPr="00C16CD7">
        <w:rPr>
          <w:rFonts w:ascii="Arial" w:hAnsi="Arial" w:cs="Arial"/>
          <w:sz w:val="20"/>
          <w:szCs w:val="20"/>
          <w:lang w:val="fr-BE"/>
        </w:rPr>
        <w:t xml:space="preserve"> d’entre-eux </w:t>
      </w:r>
      <w:r w:rsidR="00772FCF" w:rsidRPr="00C16CD7">
        <w:rPr>
          <w:rFonts w:ascii="Arial" w:hAnsi="Arial" w:cs="Arial"/>
          <w:sz w:val="20"/>
          <w:szCs w:val="20"/>
          <w:lang w:val="fr-BE"/>
        </w:rPr>
        <w:t xml:space="preserve">(soit </w:t>
      </w:r>
      <w:r w:rsidR="00BF3584" w:rsidRPr="00C16CD7">
        <w:rPr>
          <w:rFonts w:ascii="Arial" w:hAnsi="Arial" w:cs="Arial"/>
          <w:sz w:val="20"/>
          <w:szCs w:val="20"/>
          <w:lang w:val="fr-BE"/>
        </w:rPr>
        <w:t>67,59</w:t>
      </w:r>
      <w:r w:rsidR="00772FCF" w:rsidRPr="00C16CD7">
        <w:rPr>
          <w:rFonts w:ascii="Arial" w:hAnsi="Arial" w:cs="Arial"/>
          <w:sz w:val="20"/>
          <w:szCs w:val="20"/>
          <w:lang w:val="fr-BE"/>
        </w:rPr>
        <w:t xml:space="preserve">%) </w:t>
      </w:r>
      <w:r w:rsidRPr="00C16CD7">
        <w:rPr>
          <w:rFonts w:ascii="Arial" w:hAnsi="Arial" w:cs="Arial"/>
          <w:sz w:val="20"/>
          <w:szCs w:val="20"/>
          <w:lang w:val="fr-BE"/>
        </w:rPr>
        <w:t>l’ont été pour un motif technique. Les motifs techniques sont utilisés lorsqu’un ou plusieurs éléments rendent les poursuites impossibles. C’est le cas notamment lorsqu’aucune infraction n’est constatée ou encore lorsque des preuves suffisantes n’ont pas pu être réunies. Nous constatons une prépondérance des affaires classées au motif de « charges insuffisantes »</w:t>
      </w:r>
      <w:r w:rsidR="00547CC1" w:rsidRPr="00C16CD7">
        <w:rPr>
          <w:rFonts w:ascii="Arial" w:hAnsi="Arial" w:cs="Arial"/>
          <w:sz w:val="20"/>
          <w:szCs w:val="20"/>
          <w:lang w:val="fr-BE"/>
        </w:rPr>
        <w:t xml:space="preserve"> </w:t>
      </w:r>
      <w:r w:rsidR="00772FCF" w:rsidRPr="00C16CD7">
        <w:rPr>
          <w:rFonts w:ascii="Arial" w:hAnsi="Arial" w:cs="Arial"/>
          <w:sz w:val="20"/>
          <w:szCs w:val="20"/>
          <w:lang w:val="fr-BE"/>
        </w:rPr>
        <w:t xml:space="preserve">et « absence d’infraction » </w:t>
      </w:r>
      <w:r w:rsidR="00547CC1" w:rsidRPr="00C16CD7">
        <w:rPr>
          <w:rFonts w:ascii="Arial" w:hAnsi="Arial" w:cs="Arial"/>
          <w:sz w:val="20"/>
          <w:szCs w:val="20"/>
          <w:lang w:val="fr-BE"/>
        </w:rPr>
        <w:t xml:space="preserve">avec </w:t>
      </w:r>
      <w:r w:rsidR="00BF3584" w:rsidRPr="00C16CD7">
        <w:rPr>
          <w:rFonts w:ascii="Arial" w:hAnsi="Arial" w:cs="Arial"/>
          <w:sz w:val="20"/>
          <w:szCs w:val="20"/>
          <w:lang w:val="fr-BE"/>
        </w:rPr>
        <w:t>1.575 et 4</w:t>
      </w:r>
      <w:r w:rsidR="00772FCF" w:rsidRPr="00C16CD7">
        <w:rPr>
          <w:rFonts w:ascii="Arial" w:hAnsi="Arial" w:cs="Arial"/>
          <w:sz w:val="20"/>
          <w:szCs w:val="20"/>
          <w:lang w:val="fr-BE"/>
        </w:rPr>
        <w:t xml:space="preserve">16 </w:t>
      </w:r>
      <w:r w:rsidR="00547CC1" w:rsidRPr="00C16CD7">
        <w:rPr>
          <w:rFonts w:ascii="Arial" w:hAnsi="Arial" w:cs="Arial"/>
          <w:sz w:val="20"/>
          <w:szCs w:val="20"/>
          <w:lang w:val="fr-BE"/>
        </w:rPr>
        <w:t xml:space="preserve">affaires. </w:t>
      </w:r>
      <w:r w:rsidRPr="00C16CD7">
        <w:rPr>
          <w:rFonts w:ascii="Arial" w:hAnsi="Arial" w:cs="Arial"/>
          <w:sz w:val="20"/>
          <w:szCs w:val="20"/>
          <w:lang w:val="fr-BE"/>
        </w:rPr>
        <w:t xml:space="preserve">Pour </w:t>
      </w:r>
      <w:r w:rsidR="00772FCF" w:rsidRPr="00C16CD7">
        <w:rPr>
          <w:rFonts w:ascii="Arial" w:hAnsi="Arial" w:cs="Arial"/>
          <w:sz w:val="20"/>
          <w:szCs w:val="20"/>
          <w:lang w:val="fr-BE"/>
        </w:rPr>
        <w:t>1</w:t>
      </w:r>
      <w:r w:rsidR="00BF3584" w:rsidRPr="00C16CD7">
        <w:rPr>
          <w:rFonts w:ascii="Arial" w:hAnsi="Arial" w:cs="Arial"/>
          <w:sz w:val="20"/>
          <w:szCs w:val="20"/>
          <w:lang w:val="fr-BE"/>
        </w:rPr>
        <w:t xml:space="preserve">.151 </w:t>
      </w:r>
      <w:r w:rsidRPr="00C16CD7">
        <w:rPr>
          <w:rFonts w:ascii="Arial" w:hAnsi="Arial" w:cs="Arial"/>
          <w:sz w:val="20"/>
          <w:szCs w:val="20"/>
          <w:lang w:val="fr-BE"/>
        </w:rPr>
        <w:t>dossiers</w:t>
      </w:r>
      <w:r w:rsidR="00772FCF" w:rsidRPr="00C16CD7">
        <w:rPr>
          <w:rFonts w:ascii="Arial" w:hAnsi="Arial" w:cs="Arial"/>
          <w:sz w:val="20"/>
          <w:szCs w:val="20"/>
          <w:lang w:val="fr-BE"/>
        </w:rPr>
        <w:t xml:space="preserve"> (soit </w:t>
      </w:r>
      <w:r w:rsidR="00BF3584" w:rsidRPr="00C16CD7">
        <w:rPr>
          <w:rFonts w:ascii="Arial" w:hAnsi="Arial" w:cs="Arial"/>
          <w:sz w:val="20"/>
          <w:szCs w:val="20"/>
          <w:lang w:val="fr-BE"/>
        </w:rPr>
        <w:t>32</w:t>
      </w:r>
      <w:r w:rsidR="00772FCF" w:rsidRPr="00C16CD7">
        <w:rPr>
          <w:rFonts w:ascii="Arial" w:hAnsi="Arial" w:cs="Arial"/>
          <w:sz w:val="20"/>
          <w:szCs w:val="20"/>
          <w:lang w:val="fr-BE"/>
        </w:rPr>
        <w:t>,</w:t>
      </w:r>
      <w:r w:rsidR="00BF3584" w:rsidRPr="00C16CD7">
        <w:rPr>
          <w:rFonts w:ascii="Arial" w:hAnsi="Arial" w:cs="Arial"/>
          <w:sz w:val="20"/>
          <w:szCs w:val="20"/>
          <w:lang w:val="fr-BE"/>
        </w:rPr>
        <w:t>35</w:t>
      </w:r>
      <w:r w:rsidR="00772FCF" w:rsidRPr="00C16CD7">
        <w:rPr>
          <w:rFonts w:ascii="Arial" w:hAnsi="Arial" w:cs="Arial"/>
          <w:sz w:val="20"/>
          <w:szCs w:val="20"/>
          <w:lang w:val="fr-BE"/>
        </w:rPr>
        <w:t>%)</w:t>
      </w:r>
      <w:r w:rsidRPr="00C16CD7">
        <w:rPr>
          <w:rFonts w:ascii="Arial" w:hAnsi="Arial" w:cs="Arial"/>
          <w:sz w:val="20"/>
          <w:szCs w:val="20"/>
          <w:lang w:val="fr-BE"/>
        </w:rPr>
        <w:t xml:space="preserve">, il est question d’un classement sans suite pour un motif d’opportunité dont le plus récurrent </w:t>
      </w:r>
      <w:r w:rsidR="00547CC1" w:rsidRPr="00C16CD7">
        <w:rPr>
          <w:rFonts w:ascii="Arial" w:hAnsi="Arial" w:cs="Arial"/>
          <w:sz w:val="20"/>
          <w:szCs w:val="20"/>
          <w:lang w:val="fr-BE"/>
        </w:rPr>
        <w:t>est celui</w:t>
      </w:r>
      <w:r w:rsidRPr="00C16CD7">
        <w:rPr>
          <w:rFonts w:ascii="Arial" w:hAnsi="Arial" w:cs="Arial"/>
          <w:sz w:val="20"/>
          <w:szCs w:val="20"/>
          <w:lang w:val="fr-BE"/>
        </w:rPr>
        <w:t xml:space="preserve"> de « </w:t>
      </w:r>
      <w:r w:rsidR="00BF3584" w:rsidRPr="00C16CD7">
        <w:rPr>
          <w:rFonts w:ascii="Arial" w:hAnsi="Arial" w:cs="Arial"/>
          <w:sz w:val="20"/>
          <w:szCs w:val="20"/>
          <w:lang w:val="fr-BE"/>
        </w:rPr>
        <w:t>conséquences disproportionnées – trouble social »</w:t>
      </w:r>
      <w:r w:rsidRPr="00C16CD7">
        <w:rPr>
          <w:rFonts w:ascii="Arial" w:hAnsi="Arial" w:cs="Arial"/>
          <w:sz w:val="20"/>
          <w:szCs w:val="20"/>
          <w:lang w:val="fr-BE"/>
        </w:rPr>
        <w:t xml:space="preserve"> (</w:t>
      </w:r>
      <w:r w:rsidR="00BF3584" w:rsidRPr="00C16CD7">
        <w:rPr>
          <w:rFonts w:ascii="Arial" w:hAnsi="Arial" w:cs="Arial"/>
          <w:sz w:val="20"/>
          <w:szCs w:val="20"/>
          <w:lang w:val="fr-BE"/>
        </w:rPr>
        <w:t>253</w:t>
      </w:r>
      <w:r w:rsidR="00547CC1" w:rsidRPr="00C16CD7">
        <w:rPr>
          <w:rFonts w:ascii="Arial" w:hAnsi="Arial" w:cs="Arial"/>
          <w:sz w:val="20"/>
          <w:szCs w:val="20"/>
          <w:lang w:val="fr-BE"/>
        </w:rPr>
        <w:t xml:space="preserve"> dossiers</w:t>
      </w:r>
      <w:r w:rsidR="00772FCF" w:rsidRPr="00C16CD7">
        <w:rPr>
          <w:rFonts w:ascii="Arial" w:hAnsi="Arial" w:cs="Arial"/>
          <w:sz w:val="20"/>
          <w:szCs w:val="20"/>
          <w:lang w:val="fr-BE"/>
        </w:rPr>
        <w:t xml:space="preserve"> – </w:t>
      </w:r>
      <w:r w:rsidR="00BF3584" w:rsidRPr="00C16CD7">
        <w:rPr>
          <w:rFonts w:ascii="Arial" w:hAnsi="Arial" w:cs="Arial"/>
          <w:sz w:val="20"/>
          <w:szCs w:val="20"/>
          <w:lang w:val="fr-BE"/>
        </w:rPr>
        <w:t>7,11</w:t>
      </w:r>
      <w:r w:rsidR="00772FCF" w:rsidRPr="00C16CD7">
        <w:rPr>
          <w:rFonts w:ascii="Arial" w:hAnsi="Arial" w:cs="Arial"/>
          <w:sz w:val="20"/>
          <w:szCs w:val="20"/>
          <w:lang w:val="fr-BE"/>
        </w:rPr>
        <w:t>%)</w:t>
      </w:r>
      <w:r w:rsidR="00547CC1" w:rsidRPr="00C16CD7">
        <w:rPr>
          <w:rFonts w:ascii="Arial" w:hAnsi="Arial" w:cs="Arial"/>
          <w:sz w:val="20"/>
          <w:szCs w:val="20"/>
          <w:lang w:val="fr-BE"/>
        </w:rPr>
        <w:t>.</w:t>
      </w:r>
    </w:p>
    <w:p w14:paraId="11F62F31" w14:textId="77777777" w:rsidR="00CC353D" w:rsidRPr="00C16CD7" w:rsidRDefault="00CC353D">
      <w:pPr>
        <w:rPr>
          <w:rFonts w:ascii="Arial" w:hAnsi="Arial" w:cs="Arial"/>
          <w:sz w:val="20"/>
          <w:szCs w:val="20"/>
          <w:lang w:val="fr-BE"/>
        </w:rPr>
      </w:pPr>
    </w:p>
    <w:p w14:paraId="53502C6C" w14:textId="77777777" w:rsidR="00BF3584" w:rsidRPr="00C16CD7" w:rsidRDefault="00BF3584" w:rsidP="00FD0ECF">
      <w:pPr>
        <w:rPr>
          <w:rFonts w:ascii="Arial" w:hAnsi="Arial" w:cs="Arial"/>
          <w:sz w:val="20"/>
          <w:szCs w:val="20"/>
          <w:lang w:val="fr-BE"/>
        </w:rPr>
        <w:sectPr w:rsidR="00BF3584" w:rsidRPr="00C16CD7" w:rsidSect="002E1226">
          <w:pgSz w:w="16838" w:h="11906" w:orient="landscape" w:code="9"/>
          <w:pgMar w:top="1134" w:right="1701" w:bottom="1134" w:left="993" w:header="709" w:footer="561" w:gutter="0"/>
          <w:cols w:space="708"/>
          <w:formProt w:val="0"/>
          <w:docGrid w:linePitch="360"/>
        </w:sectPr>
      </w:pPr>
    </w:p>
    <w:p w14:paraId="37216110" w14:textId="67FF1D29" w:rsidR="0021520F" w:rsidRPr="00BA3540" w:rsidRDefault="00BA3540" w:rsidP="0021520F">
      <w:pPr>
        <w:rPr>
          <w:rFonts w:ascii="Arial" w:hAnsi="Arial" w:cs="Arial"/>
          <w:b/>
          <w:sz w:val="20"/>
          <w:szCs w:val="20"/>
          <w:u w:val="single"/>
          <w:lang w:val="fr-BE"/>
        </w:rPr>
      </w:pPr>
      <w:r w:rsidRPr="00BA3540">
        <w:rPr>
          <w:rFonts w:ascii="Arial" w:hAnsi="Arial" w:cs="Arial"/>
          <w:b/>
          <w:sz w:val="20"/>
          <w:szCs w:val="20"/>
          <w:u w:val="single"/>
          <w:lang w:val="fr-BE"/>
        </w:rPr>
        <w:lastRenderedPageBreak/>
        <w:t>D</w:t>
      </w:r>
      <w:r w:rsidR="0021520F" w:rsidRPr="00BA3540">
        <w:rPr>
          <w:rFonts w:ascii="Arial" w:hAnsi="Arial" w:cs="Arial"/>
          <w:b/>
          <w:sz w:val="20"/>
          <w:szCs w:val="20"/>
          <w:u w:val="single"/>
          <w:lang w:val="fr-BE"/>
        </w:rPr>
        <w:t>escriptif des états d’avancement</w:t>
      </w:r>
    </w:p>
    <w:p w14:paraId="1695638E" w14:textId="77777777" w:rsidR="0021520F" w:rsidRPr="00C16CD7" w:rsidRDefault="0021520F" w:rsidP="0021520F">
      <w:pPr>
        <w:rPr>
          <w:rFonts w:ascii="Arial" w:hAnsi="Arial" w:cs="Arial"/>
          <w:sz w:val="20"/>
          <w:szCs w:val="20"/>
          <w:lang w:val="fr-BE"/>
        </w:rPr>
      </w:pPr>
    </w:p>
    <w:p w14:paraId="7C18EFA9" w14:textId="77777777" w:rsidR="002920A4" w:rsidRPr="00C16CD7" w:rsidRDefault="002920A4" w:rsidP="002920A4">
      <w:pPr>
        <w:rPr>
          <w:rFonts w:ascii="Arial" w:hAnsi="Arial" w:cs="Arial"/>
          <w:b/>
          <w:bCs/>
          <w:sz w:val="20"/>
          <w:szCs w:val="20"/>
          <w:lang w:val="fr-BE" w:eastAsia="nl-NL"/>
        </w:rPr>
      </w:pPr>
      <w:r w:rsidRPr="00C16CD7">
        <w:rPr>
          <w:rFonts w:ascii="Arial" w:hAnsi="Arial" w:cs="Arial"/>
          <w:b/>
          <w:bCs/>
          <w:sz w:val="20"/>
          <w:szCs w:val="20"/>
          <w:lang w:val="fr-BE" w:eastAsia="nl-NL"/>
        </w:rPr>
        <w:t>Information :</w:t>
      </w:r>
    </w:p>
    <w:p w14:paraId="63AF259F" w14:textId="77777777" w:rsidR="002920A4" w:rsidRPr="00C16CD7" w:rsidRDefault="002920A4" w:rsidP="002920A4">
      <w:pPr>
        <w:jc w:val="both"/>
        <w:rPr>
          <w:rFonts w:ascii="Arial" w:hAnsi="Arial" w:cs="Arial"/>
          <w:sz w:val="20"/>
          <w:szCs w:val="20"/>
          <w:lang w:val="fr-BE"/>
        </w:rPr>
      </w:pPr>
      <w:r w:rsidRPr="00C16CD7">
        <w:rPr>
          <w:rFonts w:ascii="Arial" w:hAnsi="Arial" w:cs="Arial"/>
          <w:sz w:val="20"/>
          <w:szCs w:val="20"/>
          <w:lang w:val="fr-BE"/>
        </w:rPr>
        <w:t>Cette catégorie contient toutes les affaires qui étaient encore à l’information à la date de l’extraction.</w:t>
      </w:r>
    </w:p>
    <w:p w14:paraId="51432F16" w14:textId="77777777" w:rsidR="002920A4" w:rsidRPr="00C16CD7" w:rsidRDefault="002920A4" w:rsidP="002920A4">
      <w:pPr>
        <w:rPr>
          <w:rFonts w:ascii="Arial" w:hAnsi="Arial" w:cs="Arial"/>
          <w:i/>
          <w:sz w:val="16"/>
          <w:szCs w:val="16"/>
          <w:lang w:val="fr-BE"/>
        </w:rPr>
      </w:pPr>
    </w:p>
    <w:p w14:paraId="19722F2B" w14:textId="77777777" w:rsidR="002920A4" w:rsidRPr="00C16CD7" w:rsidRDefault="002920A4" w:rsidP="002920A4">
      <w:pPr>
        <w:rPr>
          <w:rFonts w:ascii="Arial" w:hAnsi="Arial" w:cs="Arial"/>
          <w:b/>
          <w:bCs/>
          <w:sz w:val="20"/>
          <w:szCs w:val="20"/>
          <w:lang w:val="fr-BE" w:eastAsia="nl-NL"/>
        </w:rPr>
      </w:pPr>
      <w:r w:rsidRPr="00C16CD7">
        <w:rPr>
          <w:rFonts w:ascii="Arial" w:hAnsi="Arial" w:cs="Arial"/>
          <w:b/>
          <w:bCs/>
          <w:sz w:val="20"/>
          <w:szCs w:val="20"/>
          <w:lang w:val="fr-BE" w:eastAsia="nl-NL"/>
        </w:rPr>
        <w:t xml:space="preserve">Signalement de l’auteur : </w:t>
      </w:r>
    </w:p>
    <w:p w14:paraId="4C8845BC" w14:textId="77777777" w:rsidR="002920A4" w:rsidRPr="00C16CD7" w:rsidRDefault="002920A4" w:rsidP="002920A4">
      <w:pPr>
        <w:jc w:val="both"/>
        <w:rPr>
          <w:rFonts w:ascii="Arial" w:hAnsi="Arial" w:cs="Arial"/>
          <w:sz w:val="20"/>
          <w:szCs w:val="20"/>
          <w:lang w:val="fr-BE"/>
        </w:rPr>
      </w:pPr>
      <w:r w:rsidRPr="00C16CD7">
        <w:rPr>
          <w:rFonts w:ascii="Arial" w:hAnsi="Arial" w:cs="Arial"/>
          <w:sz w:val="20"/>
          <w:szCs w:val="20"/>
          <w:lang w:val="fr-BE"/>
        </w:rPr>
        <w:t>Cette rubrique comprend les affaires pour lesquelles le suspect fait l’objet d’un signalement à la date de l’extraction (avant l’entrée en vigueur de la COL 16/2014, au 1</w:t>
      </w:r>
      <w:r w:rsidRPr="00C16CD7">
        <w:rPr>
          <w:rFonts w:ascii="Arial" w:hAnsi="Arial" w:cs="Arial"/>
          <w:sz w:val="20"/>
          <w:szCs w:val="20"/>
          <w:vertAlign w:val="superscript"/>
          <w:lang w:val="fr-BE"/>
        </w:rPr>
        <w:t>er</w:t>
      </w:r>
      <w:r w:rsidRPr="00C16CD7">
        <w:rPr>
          <w:rFonts w:ascii="Arial" w:hAnsi="Arial" w:cs="Arial"/>
          <w:sz w:val="20"/>
          <w:szCs w:val="20"/>
          <w:lang w:val="fr-BE"/>
        </w:rPr>
        <w:t xml:space="preserve"> janvier 2015, cet état d’avancement était considéré comme un classement sans suite  avec pour motif « signalement de l’auteur »). L’affaire conserve cet état d’avancement tant que l’auteur des faits n’a pas été retrouvé. </w:t>
      </w:r>
    </w:p>
    <w:p w14:paraId="22E81138" w14:textId="77777777" w:rsidR="002920A4" w:rsidRPr="00C16CD7" w:rsidRDefault="002920A4" w:rsidP="002920A4">
      <w:pPr>
        <w:rPr>
          <w:rFonts w:ascii="Arial" w:hAnsi="Arial" w:cs="Arial"/>
          <w:sz w:val="16"/>
          <w:szCs w:val="16"/>
          <w:lang w:val="fr-BE"/>
        </w:rPr>
      </w:pPr>
    </w:p>
    <w:p w14:paraId="3BE9559B" w14:textId="77777777" w:rsidR="002920A4" w:rsidRPr="00C16CD7" w:rsidRDefault="002920A4" w:rsidP="002920A4">
      <w:pPr>
        <w:rPr>
          <w:rFonts w:ascii="Arial" w:hAnsi="Arial" w:cs="Arial"/>
          <w:b/>
          <w:bCs/>
          <w:sz w:val="20"/>
          <w:szCs w:val="20"/>
          <w:lang w:val="fr-BE" w:eastAsia="nl-NL"/>
        </w:rPr>
      </w:pPr>
      <w:r w:rsidRPr="00C16CD7">
        <w:rPr>
          <w:rFonts w:ascii="Arial" w:hAnsi="Arial" w:cs="Arial"/>
          <w:b/>
          <w:bCs/>
          <w:sz w:val="20"/>
          <w:szCs w:val="20"/>
          <w:lang w:val="fr-BE" w:eastAsia="nl-NL"/>
        </w:rPr>
        <w:t xml:space="preserve">Sans suite : </w:t>
      </w:r>
    </w:p>
    <w:p w14:paraId="0185E0FF" w14:textId="77777777" w:rsidR="002920A4" w:rsidRPr="00C16CD7" w:rsidRDefault="002920A4" w:rsidP="002920A4">
      <w:pPr>
        <w:jc w:val="both"/>
        <w:rPr>
          <w:rFonts w:ascii="Arial" w:hAnsi="Arial" w:cs="Arial"/>
          <w:sz w:val="20"/>
          <w:szCs w:val="20"/>
          <w:lang w:val="fr-BE"/>
        </w:rPr>
      </w:pPr>
      <w:r w:rsidRPr="00C16CD7">
        <w:rPr>
          <w:rFonts w:ascii="Arial" w:hAnsi="Arial" w:cs="Arial"/>
          <w:sz w:val="20"/>
          <w:szCs w:val="20"/>
          <w:lang w:val="fr-BE"/>
        </w:rPr>
        <w:t>Le classement sans suite constitue une renonciation provisoire aux poursuites, mettant fin à l'information. Tant que l'action publique n'est pas éteinte, l’affaire peut être rouverte.</w:t>
      </w:r>
    </w:p>
    <w:p w14:paraId="08154745" w14:textId="77777777" w:rsidR="002920A4" w:rsidRPr="00C16CD7" w:rsidRDefault="002920A4" w:rsidP="002920A4">
      <w:pPr>
        <w:jc w:val="both"/>
        <w:rPr>
          <w:rFonts w:ascii="Arial" w:hAnsi="Arial" w:cs="Arial"/>
          <w:i/>
          <w:sz w:val="16"/>
          <w:szCs w:val="16"/>
          <w:lang w:val="fr-BE"/>
        </w:rPr>
      </w:pPr>
    </w:p>
    <w:p w14:paraId="335BD120" w14:textId="77777777" w:rsidR="002920A4" w:rsidRPr="00C16CD7" w:rsidRDefault="002920A4" w:rsidP="002920A4">
      <w:pPr>
        <w:rPr>
          <w:rFonts w:ascii="Arial" w:hAnsi="Arial" w:cs="Arial"/>
          <w:b/>
          <w:bCs/>
          <w:sz w:val="20"/>
          <w:szCs w:val="20"/>
          <w:lang w:val="fr-BE" w:eastAsia="nl-NL"/>
        </w:rPr>
      </w:pPr>
      <w:r w:rsidRPr="00C16CD7">
        <w:rPr>
          <w:rFonts w:ascii="Arial" w:hAnsi="Arial" w:cs="Arial"/>
          <w:b/>
          <w:bCs/>
          <w:sz w:val="20"/>
          <w:szCs w:val="20"/>
          <w:lang w:val="fr-BE" w:eastAsia="nl-NL"/>
        </w:rPr>
        <w:t xml:space="preserve">Pour disposition : </w:t>
      </w:r>
    </w:p>
    <w:p w14:paraId="64727A4C" w14:textId="77777777" w:rsidR="002920A4" w:rsidRPr="00C16CD7" w:rsidRDefault="002920A4" w:rsidP="002920A4">
      <w:pPr>
        <w:jc w:val="both"/>
        <w:rPr>
          <w:rFonts w:ascii="Arial" w:hAnsi="Arial" w:cs="Arial"/>
          <w:sz w:val="20"/>
          <w:szCs w:val="20"/>
          <w:lang w:val="fr-BE"/>
        </w:rPr>
      </w:pPr>
      <w:r w:rsidRPr="00C16CD7">
        <w:rPr>
          <w:rFonts w:ascii="Arial" w:hAnsi="Arial" w:cs="Arial"/>
          <w:sz w:val="20"/>
          <w:szCs w:val="20"/>
          <w:lang w:val="fr-BE"/>
        </w:rPr>
        <w:t>Cette rubrique reprend les affaires qui, à la date de l’extraction, ont été transmises pour disposition.  Pour autant qu'elles ne reviennent pas vers le parquet expéditeur, les affaires transmises pour disposition restent dans cet état pour le parquet initial. Elles peuvent donc être considérées comme clôturées pour ce parquet. Ces affaires sont rouvertes sous un autre numéro de notice auprès du parquet destinataire.</w:t>
      </w:r>
    </w:p>
    <w:p w14:paraId="16CAAA9D" w14:textId="77777777" w:rsidR="002920A4" w:rsidRPr="00C16CD7" w:rsidRDefault="002920A4" w:rsidP="002920A4">
      <w:pPr>
        <w:rPr>
          <w:rFonts w:ascii="Arial" w:hAnsi="Arial" w:cs="Arial"/>
          <w:i/>
          <w:sz w:val="16"/>
          <w:szCs w:val="16"/>
          <w:lang w:val="fr-BE"/>
        </w:rPr>
      </w:pPr>
    </w:p>
    <w:p w14:paraId="78000187" w14:textId="77777777" w:rsidR="002920A4" w:rsidRPr="00C16CD7" w:rsidRDefault="002920A4" w:rsidP="002920A4">
      <w:pPr>
        <w:rPr>
          <w:rFonts w:ascii="Arial" w:hAnsi="Arial" w:cs="Arial"/>
          <w:b/>
          <w:bCs/>
          <w:sz w:val="20"/>
          <w:szCs w:val="20"/>
          <w:lang w:val="fr-BE" w:eastAsia="nl-NL"/>
        </w:rPr>
      </w:pPr>
      <w:r w:rsidRPr="00C16CD7">
        <w:rPr>
          <w:rFonts w:ascii="Arial" w:hAnsi="Arial" w:cs="Arial"/>
          <w:b/>
          <w:bCs/>
          <w:sz w:val="20"/>
          <w:szCs w:val="20"/>
          <w:lang w:val="fr-BE" w:eastAsia="nl-NL"/>
        </w:rPr>
        <w:t xml:space="preserve">Probation prétorienne : </w:t>
      </w:r>
    </w:p>
    <w:p w14:paraId="33479699" w14:textId="77777777" w:rsidR="002920A4" w:rsidRPr="00C16CD7" w:rsidRDefault="002920A4" w:rsidP="002920A4">
      <w:pPr>
        <w:keepNext/>
        <w:spacing w:line="260" w:lineRule="exact"/>
        <w:jc w:val="both"/>
        <w:outlineLvl w:val="0"/>
        <w:rPr>
          <w:rFonts w:ascii="Arial" w:hAnsi="Arial" w:cs="Arial"/>
          <w:sz w:val="20"/>
          <w:szCs w:val="20"/>
          <w:lang w:val="fr-BE"/>
        </w:rPr>
      </w:pPr>
      <w:r w:rsidRPr="00C16CD7">
        <w:rPr>
          <w:rFonts w:ascii="Arial" w:hAnsi="Arial" w:cs="Arial"/>
          <w:bCs/>
          <w:sz w:val="20"/>
          <w:szCs w:val="20"/>
          <w:lang w:val="fr-BE" w:eastAsia="nl-NL"/>
        </w:rPr>
        <w:t>C</w:t>
      </w:r>
      <w:r w:rsidRPr="00C16CD7">
        <w:rPr>
          <w:rFonts w:ascii="Arial" w:hAnsi="Arial" w:cs="Arial"/>
          <w:sz w:val="20"/>
          <w:szCs w:val="20"/>
          <w:lang w:val="fr-BE"/>
        </w:rPr>
        <w:t>ette rubrique reprend les affaires dans le cadre desquelles une probation prétorienne a été proposée et pour lesquelles il n’y aura pas de poursuite pénale si les conditions reprises dans la probation sont respectées par l’auteur des faits (avant l’entrée en vigueur de la COL 16/2014, au 1</w:t>
      </w:r>
      <w:r w:rsidRPr="00C16CD7">
        <w:rPr>
          <w:rFonts w:ascii="Arial" w:hAnsi="Arial" w:cs="Arial"/>
          <w:sz w:val="20"/>
          <w:szCs w:val="20"/>
          <w:vertAlign w:val="superscript"/>
          <w:lang w:val="fr-BE"/>
        </w:rPr>
        <w:t>er</w:t>
      </w:r>
      <w:r w:rsidRPr="00C16CD7">
        <w:rPr>
          <w:rFonts w:ascii="Arial" w:hAnsi="Arial" w:cs="Arial"/>
          <w:sz w:val="20"/>
          <w:szCs w:val="20"/>
          <w:lang w:val="fr-BE"/>
        </w:rPr>
        <w:t xml:space="preserve"> janvier 2015, cet état d’avancement était considéré  comme un classement sans suite avec pour  motif « probation prétorienne »). </w:t>
      </w:r>
    </w:p>
    <w:p w14:paraId="5C693D7A" w14:textId="77777777" w:rsidR="002920A4" w:rsidRPr="00C16CD7" w:rsidRDefault="002920A4" w:rsidP="002920A4">
      <w:pPr>
        <w:rPr>
          <w:rFonts w:ascii="Arial" w:hAnsi="Arial" w:cs="Arial"/>
          <w:b/>
          <w:bCs/>
          <w:sz w:val="16"/>
          <w:szCs w:val="16"/>
          <w:lang w:val="fr-BE" w:eastAsia="nl-NL"/>
        </w:rPr>
      </w:pPr>
    </w:p>
    <w:p w14:paraId="4C685F9D" w14:textId="77777777" w:rsidR="002920A4" w:rsidRPr="00C16CD7" w:rsidRDefault="002920A4" w:rsidP="002920A4">
      <w:pPr>
        <w:rPr>
          <w:rFonts w:ascii="Arial" w:hAnsi="Arial" w:cs="Arial"/>
          <w:b/>
          <w:bCs/>
          <w:sz w:val="20"/>
          <w:szCs w:val="20"/>
          <w:lang w:val="fr-BE" w:eastAsia="nl-NL"/>
        </w:rPr>
      </w:pPr>
      <w:r w:rsidRPr="00C16CD7">
        <w:rPr>
          <w:rFonts w:ascii="Arial" w:hAnsi="Arial" w:cs="Arial"/>
          <w:b/>
          <w:bCs/>
          <w:sz w:val="20"/>
          <w:szCs w:val="20"/>
          <w:lang w:val="fr-BE" w:eastAsia="nl-NL"/>
        </w:rPr>
        <w:t xml:space="preserve">Transaction : </w:t>
      </w:r>
    </w:p>
    <w:p w14:paraId="5B28F242" w14:textId="77777777" w:rsidR="002920A4" w:rsidRPr="00C16CD7" w:rsidRDefault="002920A4" w:rsidP="002920A4">
      <w:pPr>
        <w:jc w:val="both"/>
        <w:rPr>
          <w:rFonts w:ascii="Arial" w:hAnsi="Arial" w:cs="Arial"/>
          <w:sz w:val="20"/>
          <w:szCs w:val="20"/>
          <w:lang w:val="fr-BE"/>
        </w:rPr>
      </w:pPr>
      <w:r w:rsidRPr="00C16CD7">
        <w:rPr>
          <w:rFonts w:ascii="Arial" w:hAnsi="Arial" w:cs="Arial"/>
          <w:sz w:val="20"/>
          <w:szCs w:val="20"/>
          <w:lang w:val="fr-BE"/>
        </w:rPr>
        <w:t>Dans cette catégorie figurent les affaires pour lesquelles une transaction a été proposée et qui sont en attente d’une décision finale (en ce compris les transactions partiellement payées), les affaires qui ont été clôturées par le paiement de la transaction et pour lesquelles l’action publique est éteinte et, enfin, les affaires pour lesquelles la transaction a été refusée mais qui, depuis lors, n’ont pas encore évolué vers un nouvel état d’avancement.</w:t>
      </w:r>
    </w:p>
    <w:p w14:paraId="4CE2C137" w14:textId="77777777" w:rsidR="002920A4" w:rsidRPr="00C16CD7" w:rsidRDefault="002920A4" w:rsidP="002920A4">
      <w:pPr>
        <w:rPr>
          <w:rFonts w:ascii="Arial" w:hAnsi="Arial" w:cs="Arial"/>
          <w:sz w:val="16"/>
          <w:szCs w:val="16"/>
          <w:lang w:val="fr-BE"/>
        </w:rPr>
      </w:pPr>
    </w:p>
    <w:p w14:paraId="321B42C2" w14:textId="77777777" w:rsidR="002920A4" w:rsidRPr="00C16CD7" w:rsidRDefault="002920A4" w:rsidP="002920A4">
      <w:pPr>
        <w:rPr>
          <w:rFonts w:ascii="Arial" w:hAnsi="Arial" w:cs="Arial"/>
          <w:b/>
          <w:bCs/>
          <w:sz w:val="20"/>
          <w:szCs w:val="20"/>
          <w:lang w:val="fr-BE" w:eastAsia="nl-NL"/>
        </w:rPr>
      </w:pPr>
      <w:r w:rsidRPr="00C16CD7">
        <w:rPr>
          <w:rFonts w:ascii="Arial" w:hAnsi="Arial" w:cs="Arial"/>
          <w:b/>
          <w:bCs/>
          <w:sz w:val="20"/>
          <w:szCs w:val="20"/>
          <w:lang w:val="fr-BE" w:eastAsia="nl-NL"/>
        </w:rPr>
        <w:t xml:space="preserve">Médiation pénale : </w:t>
      </w:r>
    </w:p>
    <w:p w14:paraId="5ADCD5E8" w14:textId="77777777" w:rsidR="002920A4" w:rsidRPr="00C16CD7" w:rsidRDefault="002920A4" w:rsidP="002920A4">
      <w:pPr>
        <w:jc w:val="both"/>
        <w:rPr>
          <w:rFonts w:ascii="Arial" w:hAnsi="Arial" w:cs="Arial"/>
          <w:sz w:val="20"/>
          <w:szCs w:val="20"/>
          <w:lang w:val="fr-BE"/>
        </w:rPr>
      </w:pPr>
      <w:r w:rsidRPr="00C16CD7">
        <w:rPr>
          <w:rFonts w:ascii="Arial" w:hAnsi="Arial" w:cs="Arial"/>
          <w:sz w:val="20"/>
          <w:szCs w:val="20"/>
          <w:lang w:val="fr-BE"/>
        </w:rPr>
        <w:t>Dans cette catégorie figurent les affaires pour lesquelles une médiation pénale a été proposée et qui sont en attente d’une décision finale, les affaires clôturées par le respect des conditions de la médiation et pour lesquelles l’action publique est éteinte et, enfin, les affaires pour lesquelles la médiation pénale a échoué mais qui, depuis lors, n’ont pas encore évolué vers un nouvel état d’avancement.</w:t>
      </w:r>
    </w:p>
    <w:p w14:paraId="6506FF6B" w14:textId="77777777" w:rsidR="002920A4" w:rsidRPr="00C16CD7" w:rsidRDefault="002920A4" w:rsidP="002920A4">
      <w:pPr>
        <w:rPr>
          <w:rFonts w:ascii="Arial" w:hAnsi="Arial" w:cs="Arial"/>
          <w:i/>
          <w:sz w:val="16"/>
          <w:szCs w:val="16"/>
          <w:lang w:val="fr-BE"/>
        </w:rPr>
      </w:pPr>
    </w:p>
    <w:p w14:paraId="5881996A" w14:textId="77777777" w:rsidR="002920A4" w:rsidRPr="00C16CD7" w:rsidRDefault="002920A4" w:rsidP="002920A4">
      <w:pPr>
        <w:rPr>
          <w:rFonts w:ascii="Arial" w:hAnsi="Arial" w:cs="Arial"/>
          <w:b/>
          <w:bCs/>
          <w:sz w:val="20"/>
          <w:szCs w:val="20"/>
          <w:lang w:val="fr-BE" w:eastAsia="nl-NL"/>
        </w:rPr>
      </w:pPr>
      <w:r w:rsidRPr="00C16CD7">
        <w:rPr>
          <w:rFonts w:ascii="Arial" w:hAnsi="Arial" w:cs="Arial"/>
          <w:b/>
          <w:bCs/>
          <w:sz w:val="20"/>
          <w:szCs w:val="20"/>
          <w:lang w:val="fr-BE" w:eastAsia="nl-NL"/>
        </w:rPr>
        <w:t xml:space="preserve">Instruction : </w:t>
      </w:r>
    </w:p>
    <w:p w14:paraId="7EE766C6" w14:textId="77777777" w:rsidR="002920A4" w:rsidRPr="00C16CD7" w:rsidRDefault="002920A4" w:rsidP="002920A4">
      <w:pPr>
        <w:jc w:val="both"/>
        <w:rPr>
          <w:rFonts w:ascii="Arial" w:hAnsi="Arial" w:cs="Arial"/>
          <w:sz w:val="20"/>
          <w:szCs w:val="20"/>
          <w:lang w:val="fr-BE"/>
        </w:rPr>
      </w:pPr>
      <w:r w:rsidRPr="00C16CD7">
        <w:rPr>
          <w:rFonts w:ascii="Arial" w:hAnsi="Arial" w:cs="Arial"/>
          <w:sz w:val="20"/>
          <w:szCs w:val="20"/>
          <w:lang w:val="fr-BE"/>
        </w:rPr>
        <w:t>La rubrique instruction reprend les affaires mises à l’instruction judiciaire et qui n’ont pas</w:t>
      </w:r>
      <w:r w:rsidRPr="00C16CD7">
        <w:rPr>
          <w:rFonts w:ascii="Arial" w:hAnsi="Arial" w:cs="Arial"/>
          <w:lang w:val="fr-BE"/>
        </w:rPr>
        <w:t xml:space="preserve"> </w:t>
      </w:r>
      <w:r w:rsidRPr="00C16CD7">
        <w:rPr>
          <w:rFonts w:ascii="Arial" w:hAnsi="Arial" w:cs="Arial"/>
          <w:sz w:val="20"/>
          <w:szCs w:val="20"/>
          <w:lang w:val="fr-BE"/>
        </w:rPr>
        <w:t xml:space="preserve">encore été fixées devant la chambre du conseil en vue du règlement de la procédure. </w:t>
      </w:r>
    </w:p>
    <w:p w14:paraId="0E5EB005" w14:textId="77777777" w:rsidR="002920A4" w:rsidRPr="00C16CD7" w:rsidRDefault="002920A4" w:rsidP="002920A4">
      <w:pPr>
        <w:rPr>
          <w:rFonts w:ascii="Arial" w:hAnsi="Arial" w:cs="Arial"/>
          <w:i/>
          <w:sz w:val="16"/>
          <w:szCs w:val="16"/>
          <w:lang w:val="fr-BE"/>
        </w:rPr>
      </w:pPr>
    </w:p>
    <w:p w14:paraId="61936D7B" w14:textId="77777777" w:rsidR="002920A4" w:rsidRPr="00C16CD7" w:rsidRDefault="002920A4" w:rsidP="002920A4">
      <w:pPr>
        <w:rPr>
          <w:rFonts w:ascii="Arial" w:hAnsi="Arial" w:cs="Arial"/>
          <w:b/>
          <w:bCs/>
          <w:sz w:val="20"/>
          <w:szCs w:val="20"/>
          <w:lang w:val="fr-BE" w:eastAsia="nl-NL"/>
        </w:rPr>
      </w:pPr>
      <w:r w:rsidRPr="00C16CD7">
        <w:rPr>
          <w:rFonts w:ascii="Arial" w:hAnsi="Arial" w:cs="Arial"/>
          <w:b/>
          <w:bCs/>
          <w:sz w:val="20"/>
          <w:szCs w:val="20"/>
          <w:lang w:val="fr-BE" w:eastAsia="nl-NL"/>
        </w:rPr>
        <w:t xml:space="preserve">Chambre du conseil : </w:t>
      </w:r>
    </w:p>
    <w:p w14:paraId="6FDBF454" w14:textId="77777777" w:rsidR="002920A4" w:rsidRPr="00C16CD7" w:rsidRDefault="002920A4" w:rsidP="002920A4">
      <w:pPr>
        <w:jc w:val="both"/>
        <w:rPr>
          <w:rFonts w:ascii="Arial" w:hAnsi="Arial" w:cs="Arial"/>
          <w:sz w:val="20"/>
          <w:szCs w:val="20"/>
          <w:lang w:val="fr-BE"/>
        </w:rPr>
      </w:pPr>
      <w:r w:rsidRPr="00C16CD7">
        <w:rPr>
          <w:rFonts w:ascii="Arial" w:hAnsi="Arial" w:cs="Arial"/>
          <w:sz w:val="20"/>
          <w:szCs w:val="20"/>
          <w:lang w:val="fr-BE"/>
        </w:rPr>
        <w:t xml:space="preserve">Cette rubrique comprend les affaires depuis la phase de règlement de la procédure jusqu’au moment d’une fixation éventuelle devant le tribunal correctionnel.  Les affaires dans lesquelles on a renoncé  aux poursuites, conservent cet état d’avancement. </w:t>
      </w:r>
    </w:p>
    <w:p w14:paraId="643922E4" w14:textId="77777777" w:rsidR="002920A4" w:rsidRPr="00C16CD7" w:rsidRDefault="002920A4" w:rsidP="002920A4">
      <w:pPr>
        <w:rPr>
          <w:rFonts w:ascii="Arial" w:hAnsi="Arial" w:cs="Arial"/>
          <w:sz w:val="16"/>
          <w:szCs w:val="16"/>
          <w:lang w:val="fr-BE"/>
        </w:rPr>
      </w:pPr>
    </w:p>
    <w:p w14:paraId="7EFC5FB6" w14:textId="77777777" w:rsidR="002920A4" w:rsidRPr="00C16CD7" w:rsidRDefault="002920A4" w:rsidP="002920A4">
      <w:pPr>
        <w:rPr>
          <w:rFonts w:ascii="Arial" w:hAnsi="Arial" w:cs="Arial"/>
          <w:b/>
          <w:bCs/>
          <w:sz w:val="20"/>
          <w:szCs w:val="20"/>
          <w:lang w:val="fr-BE" w:eastAsia="nl-NL"/>
        </w:rPr>
      </w:pPr>
      <w:r w:rsidRPr="00C16CD7">
        <w:rPr>
          <w:rFonts w:ascii="Arial" w:hAnsi="Arial" w:cs="Arial"/>
          <w:b/>
          <w:bCs/>
          <w:sz w:val="20"/>
          <w:szCs w:val="20"/>
          <w:lang w:val="fr-BE" w:eastAsia="nl-NL"/>
        </w:rPr>
        <w:t xml:space="preserve">Citation et suites : </w:t>
      </w:r>
    </w:p>
    <w:p w14:paraId="32F0D5FC" w14:textId="77777777" w:rsidR="002920A4" w:rsidRPr="00C16CD7" w:rsidRDefault="002920A4" w:rsidP="002920A4">
      <w:pPr>
        <w:jc w:val="both"/>
        <w:rPr>
          <w:rFonts w:ascii="Arial" w:hAnsi="Arial" w:cs="Arial"/>
          <w:sz w:val="20"/>
          <w:szCs w:val="20"/>
          <w:lang w:val="fr-BE"/>
        </w:rPr>
      </w:pPr>
      <w:r w:rsidRPr="00C16CD7">
        <w:rPr>
          <w:rFonts w:ascii="Arial" w:hAnsi="Arial" w:cs="Arial"/>
          <w:sz w:val="20"/>
          <w:szCs w:val="20"/>
          <w:lang w:val="fr-BE"/>
        </w:rPr>
        <w:t xml:space="preserve">Cette rubrique comprend les affaires pour lesquelles une citation ou une décision postérieure à la citation a été attribuée.  Il s’agit des affaires pour lesquelles une citation, une fixation devant le tribunal correctionnel, un jugement, une opposition, un appel etc. intervient. </w:t>
      </w:r>
    </w:p>
    <w:p w14:paraId="5C4DEA9A" w14:textId="77777777" w:rsidR="002920A4" w:rsidRPr="00C16CD7" w:rsidRDefault="002920A4" w:rsidP="002920A4">
      <w:pPr>
        <w:rPr>
          <w:rFonts w:ascii="Arial" w:hAnsi="Arial" w:cs="Arial"/>
          <w:i/>
          <w:lang w:val="fr-BE"/>
        </w:rPr>
      </w:pPr>
    </w:p>
    <w:p w14:paraId="342E0FC8" w14:textId="77777777" w:rsidR="002920A4" w:rsidRPr="00C16CD7" w:rsidRDefault="002920A4" w:rsidP="002920A4">
      <w:pPr>
        <w:rPr>
          <w:rFonts w:ascii="Arial" w:hAnsi="Arial" w:cs="Arial"/>
          <w:b/>
          <w:bCs/>
          <w:sz w:val="20"/>
          <w:szCs w:val="20"/>
          <w:lang w:val="fr-BE" w:eastAsia="nl-NL"/>
        </w:rPr>
      </w:pPr>
      <w:r w:rsidRPr="00C16CD7">
        <w:rPr>
          <w:rFonts w:ascii="Arial" w:hAnsi="Arial" w:cs="Arial"/>
          <w:b/>
          <w:bCs/>
          <w:sz w:val="20"/>
          <w:szCs w:val="20"/>
          <w:lang w:val="fr-BE" w:eastAsia="nl-NL"/>
        </w:rPr>
        <w:t xml:space="preserve">Inconnu/erreur : </w:t>
      </w:r>
    </w:p>
    <w:p w14:paraId="66202C78" w14:textId="77777777" w:rsidR="002920A4" w:rsidRPr="00C16CD7" w:rsidRDefault="002920A4" w:rsidP="002920A4">
      <w:pPr>
        <w:keepNext/>
        <w:adjustRightInd w:val="0"/>
        <w:jc w:val="both"/>
        <w:rPr>
          <w:rFonts w:ascii="Arial" w:hAnsi="Arial" w:cs="Arial"/>
          <w:sz w:val="20"/>
          <w:szCs w:val="20"/>
          <w:lang w:val="fr-BE"/>
        </w:rPr>
      </w:pPr>
      <w:r w:rsidRPr="00C16CD7">
        <w:rPr>
          <w:rFonts w:ascii="Arial" w:hAnsi="Arial" w:cs="Arial"/>
          <w:sz w:val="20"/>
          <w:szCs w:val="20"/>
          <w:lang w:val="fr-BE"/>
        </w:rPr>
        <w:t>Cette rubrique comprend les affaires pour lesquelles il n’est pas possible d’obtenir des informations sur l’état d’avancement de l’affaire au moment de l’extraction de données.</w:t>
      </w:r>
    </w:p>
    <w:p w14:paraId="7B56D600" w14:textId="77777777" w:rsidR="00FD0ECF" w:rsidRPr="00C16CD7" w:rsidRDefault="00FD0ECF" w:rsidP="00FD0ECF">
      <w:pPr>
        <w:jc w:val="right"/>
        <w:rPr>
          <w:rFonts w:ascii="Arial" w:hAnsi="Arial" w:cs="Arial"/>
          <w:sz w:val="20"/>
          <w:szCs w:val="20"/>
          <w:lang w:val="fr-BE"/>
        </w:rPr>
      </w:pPr>
    </w:p>
    <w:sectPr w:rsidR="00FD0ECF" w:rsidRPr="00C16CD7" w:rsidSect="00BA3F36">
      <w:pgSz w:w="11906" w:h="16838" w:code="9"/>
      <w:pgMar w:top="1701" w:right="1134" w:bottom="993" w:left="1134" w:header="709" w:footer="561"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6A53CB" w14:textId="77777777" w:rsidR="0030458E" w:rsidRDefault="0030458E">
      <w:r>
        <w:separator/>
      </w:r>
    </w:p>
  </w:endnote>
  <w:endnote w:type="continuationSeparator" w:id="0">
    <w:p w14:paraId="74B909B7" w14:textId="77777777" w:rsidR="0030458E" w:rsidRDefault="00304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9948432"/>
      <w:docPartObj>
        <w:docPartGallery w:val="Page Numbers (Bottom of Page)"/>
        <w:docPartUnique/>
      </w:docPartObj>
    </w:sdtPr>
    <w:sdtEndPr/>
    <w:sdtContent>
      <w:p w14:paraId="4FE75375" w14:textId="68FB8D9F" w:rsidR="002E1226" w:rsidRDefault="002E1226">
        <w:pPr>
          <w:pStyle w:val="Pieddepage"/>
          <w:jc w:val="right"/>
        </w:pPr>
        <w:r>
          <w:fldChar w:fldCharType="begin"/>
        </w:r>
        <w:r>
          <w:instrText>PAGE   \* MERGEFORMAT</w:instrText>
        </w:r>
        <w:r>
          <w:fldChar w:fldCharType="separate"/>
        </w:r>
        <w:r w:rsidR="00EA5282" w:rsidRPr="00EA5282">
          <w:rPr>
            <w:noProof/>
            <w:lang w:val="fr-FR"/>
          </w:rPr>
          <w:t>8</w:t>
        </w:r>
        <w:r>
          <w:fldChar w:fldCharType="end"/>
        </w:r>
      </w:p>
    </w:sdtContent>
  </w:sdt>
  <w:p w14:paraId="176D4581" w14:textId="77777777" w:rsidR="002E1226" w:rsidRDefault="002E1226">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735913"/>
      <w:docPartObj>
        <w:docPartGallery w:val="Page Numbers (Bottom of Page)"/>
        <w:docPartUnique/>
      </w:docPartObj>
    </w:sdtPr>
    <w:sdtEndPr/>
    <w:sdtContent>
      <w:p w14:paraId="4F599112" w14:textId="5D4A747E" w:rsidR="002E1226" w:rsidRDefault="002E1226">
        <w:pPr>
          <w:pStyle w:val="Pieddepage"/>
          <w:jc w:val="right"/>
        </w:pPr>
        <w:r>
          <w:fldChar w:fldCharType="begin"/>
        </w:r>
        <w:r>
          <w:instrText>PAGE   \* MERGEFORMAT</w:instrText>
        </w:r>
        <w:r>
          <w:fldChar w:fldCharType="separate"/>
        </w:r>
        <w:r w:rsidR="00EA5282" w:rsidRPr="00EA5282">
          <w:rPr>
            <w:noProof/>
            <w:lang w:val="fr-FR"/>
          </w:rPr>
          <w:t>9</w:t>
        </w:r>
        <w:r>
          <w:fldChar w:fldCharType="end"/>
        </w:r>
      </w:p>
    </w:sdtContent>
  </w:sdt>
  <w:p w14:paraId="01850035" w14:textId="77777777" w:rsidR="0016299E" w:rsidRDefault="0016299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72AEDF" w14:textId="77777777" w:rsidR="0030458E" w:rsidRDefault="0030458E">
      <w:r>
        <w:separator/>
      </w:r>
    </w:p>
  </w:footnote>
  <w:footnote w:type="continuationSeparator" w:id="0">
    <w:p w14:paraId="3B4220A9" w14:textId="77777777" w:rsidR="0030458E" w:rsidRDefault="0030458E">
      <w:r>
        <w:continuationSeparator/>
      </w:r>
    </w:p>
  </w:footnote>
  <w:footnote w:id="1">
    <w:p w14:paraId="37F08A25" w14:textId="77777777" w:rsidR="0030458E" w:rsidRPr="00AD69F3" w:rsidRDefault="0030458E" w:rsidP="0059052F">
      <w:pPr>
        <w:pStyle w:val="Notedebasdepage"/>
        <w:rPr>
          <w:lang w:val="fr-BE"/>
        </w:rPr>
      </w:pPr>
      <w:r>
        <w:rPr>
          <w:rStyle w:val="Appelnotedebasdep"/>
        </w:rPr>
        <w:footnoteRef/>
      </w:r>
      <w:r>
        <w:t xml:space="preserve"> </w:t>
      </w:r>
      <w:r w:rsidRPr="00AD69F3">
        <w:rPr>
          <w:rFonts w:ascii="Arial" w:hAnsi="Arial" w:cs="Arial"/>
          <w:sz w:val="16"/>
          <w:szCs w:val="16"/>
        </w:rPr>
        <w:t xml:space="preserve">Dans ce cas, l’affaire sera encodée avec les codes de prévention </w:t>
      </w:r>
      <w:r>
        <w:rPr>
          <w:rFonts w:ascii="Arial" w:hAnsi="Arial" w:cs="Arial"/>
          <w:sz w:val="16"/>
          <w:szCs w:val="16"/>
        </w:rPr>
        <w:t>« </w:t>
      </w:r>
      <w:r w:rsidRPr="00AD69F3">
        <w:rPr>
          <w:rFonts w:ascii="Arial" w:hAnsi="Arial" w:cs="Arial"/>
          <w:sz w:val="16"/>
          <w:szCs w:val="16"/>
        </w:rPr>
        <w:t>56A racisme</w:t>
      </w:r>
      <w:r>
        <w:rPr>
          <w:rFonts w:ascii="Arial" w:hAnsi="Arial" w:cs="Arial"/>
          <w:sz w:val="16"/>
          <w:szCs w:val="16"/>
        </w:rPr>
        <w:t> »</w:t>
      </w:r>
      <w:r w:rsidRPr="00AD69F3">
        <w:rPr>
          <w:rFonts w:ascii="Arial" w:hAnsi="Arial" w:cs="Arial"/>
          <w:sz w:val="16"/>
          <w:szCs w:val="16"/>
        </w:rPr>
        <w:t xml:space="preserve"> ainsi que « 43A – coups et blessures volontaires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E6B1FF" w14:textId="77777777" w:rsidR="0030458E" w:rsidRDefault="0030458E" w:rsidP="00B6445D">
    <w:pPr>
      <w:pStyle w:val="En-tte"/>
      <w:tabs>
        <w:tab w:val="clear" w:pos="4536"/>
        <w:tab w:val="clear" w:pos="9072"/>
        <w:tab w:val="left" w:pos="3225"/>
      </w:tabs>
    </w:pPr>
    <w:r>
      <w:tab/>
    </w:r>
  </w:p>
  <w:p w14:paraId="73478051" w14:textId="77777777" w:rsidR="0030458E" w:rsidRDefault="0030458E" w:rsidP="00B6445D">
    <w:pPr>
      <w:pStyle w:val="En-tte"/>
    </w:pPr>
    <w:r>
      <w:rPr>
        <w:noProof/>
        <w:lang w:val="en-GB" w:eastAsia="en-GB"/>
      </w:rPr>
      <w:drawing>
        <wp:anchor distT="0" distB="0" distL="114300" distR="114300" simplePos="0" relativeHeight="251668480" behindDoc="1" locked="1" layoutInCell="1" allowOverlap="1" wp14:anchorId="1800B1BD" wp14:editId="6DAF583B">
          <wp:simplePos x="0" y="0"/>
          <wp:positionH relativeFrom="page">
            <wp:posOffset>925195</wp:posOffset>
          </wp:positionH>
          <wp:positionV relativeFrom="page">
            <wp:posOffset>360045</wp:posOffset>
          </wp:positionV>
          <wp:extent cx="718820" cy="540385"/>
          <wp:effectExtent l="0" t="0" r="5080" b="0"/>
          <wp:wrapNone/>
          <wp:docPr id="2" name="Image 2" descr="logo_OM_f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logo_OM_f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8820" cy="5403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1286DC" w14:textId="77777777" w:rsidR="0030458E" w:rsidRPr="00B6445D" w:rsidRDefault="0030458E" w:rsidP="00B6445D">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E14BD"/>
    <w:multiLevelType w:val="hybridMultilevel"/>
    <w:tmpl w:val="8A5A47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C327C9"/>
    <w:multiLevelType w:val="hybridMultilevel"/>
    <w:tmpl w:val="0FE29D52"/>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D0109FA"/>
    <w:multiLevelType w:val="multilevel"/>
    <w:tmpl w:val="76562FA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14E135D"/>
    <w:multiLevelType w:val="hybridMultilevel"/>
    <w:tmpl w:val="36D63D8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48023B4"/>
    <w:multiLevelType w:val="hybridMultilevel"/>
    <w:tmpl w:val="C76C042E"/>
    <w:lvl w:ilvl="0" w:tplc="8D9292FE">
      <w:start w:val="1"/>
      <w:numFmt w:val="decimal"/>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9580CAD"/>
    <w:multiLevelType w:val="hybridMultilevel"/>
    <w:tmpl w:val="FE8607F0"/>
    <w:lvl w:ilvl="0" w:tplc="686205AA">
      <w:start w:val="3"/>
      <w:numFmt w:val="bullet"/>
      <w:lvlText w:val="–"/>
      <w:lvlJc w:val="left"/>
      <w:pPr>
        <w:tabs>
          <w:tab w:val="num" w:pos="1260"/>
        </w:tabs>
        <w:ind w:left="126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D3C2DD5"/>
    <w:multiLevelType w:val="hybridMultilevel"/>
    <w:tmpl w:val="CC9C26EA"/>
    <w:lvl w:ilvl="0" w:tplc="4F4A28DA">
      <w:start w:val="1"/>
      <w:numFmt w:val="decimal"/>
      <w:pStyle w:val="Titre2"/>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1DA90D37"/>
    <w:multiLevelType w:val="hybridMultilevel"/>
    <w:tmpl w:val="722EDBC6"/>
    <w:lvl w:ilvl="0" w:tplc="080C0001">
      <w:start w:val="1"/>
      <w:numFmt w:val="bullet"/>
      <w:lvlText w:val=""/>
      <w:lvlJc w:val="left"/>
      <w:pPr>
        <w:ind w:left="2160" w:hanging="360"/>
      </w:pPr>
      <w:rPr>
        <w:rFonts w:ascii="Symbol" w:hAnsi="Symbol" w:hint="default"/>
      </w:rPr>
    </w:lvl>
    <w:lvl w:ilvl="1" w:tplc="080C0003" w:tentative="1">
      <w:start w:val="1"/>
      <w:numFmt w:val="bullet"/>
      <w:lvlText w:val="o"/>
      <w:lvlJc w:val="left"/>
      <w:pPr>
        <w:ind w:left="2880" w:hanging="360"/>
      </w:pPr>
      <w:rPr>
        <w:rFonts w:ascii="Courier New" w:hAnsi="Courier New" w:cs="Courier New" w:hint="default"/>
      </w:rPr>
    </w:lvl>
    <w:lvl w:ilvl="2" w:tplc="080C0005" w:tentative="1">
      <w:start w:val="1"/>
      <w:numFmt w:val="bullet"/>
      <w:lvlText w:val=""/>
      <w:lvlJc w:val="left"/>
      <w:pPr>
        <w:ind w:left="3600" w:hanging="360"/>
      </w:pPr>
      <w:rPr>
        <w:rFonts w:ascii="Wingdings" w:hAnsi="Wingdings" w:hint="default"/>
      </w:rPr>
    </w:lvl>
    <w:lvl w:ilvl="3" w:tplc="080C0001" w:tentative="1">
      <w:start w:val="1"/>
      <w:numFmt w:val="bullet"/>
      <w:lvlText w:val=""/>
      <w:lvlJc w:val="left"/>
      <w:pPr>
        <w:ind w:left="4320" w:hanging="360"/>
      </w:pPr>
      <w:rPr>
        <w:rFonts w:ascii="Symbol" w:hAnsi="Symbol" w:hint="default"/>
      </w:rPr>
    </w:lvl>
    <w:lvl w:ilvl="4" w:tplc="080C0003" w:tentative="1">
      <w:start w:val="1"/>
      <w:numFmt w:val="bullet"/>
      <w:lvlText w:val="o"/>
      <w:lvlJc w:val="left"/>
      <w:pPr>
        <w:ind w:left="5040" w:hanging="360"/>
      </w:pPr>
      <w:rPr>
        <w:rFonts w:ascii="Courier New" w:hAnsi="Courier New" w:cs="Courier New" w:hint="default"/>
      </w:rPr>
    </w:lvl>
    <w:lvl w:ilvl="5" w:tplc="080C0005" w:tentative="1">
      <w:start w:val="1"/>
      <w:numFmt w:val="bullet"/>
      <w:lvlText w:val=""/>
      <w:lvlJc w:val="left"/>
      <w:pPr>
        <w:ind w:left="5760" w:hanging="360"/>
      </w:pPr>
      <w:rPr>
        <w:rFonts w:ascii="Wingdings" w:hAnsi="Wingdings" w:hint="default"/>
      </w:rPr>
    </w:lvl>
    <w:lvl w:ilvl="6" w:tplc="080C0001" w:tentative="1">
      <w:start w:val="1"/>
      <w:numFmt w:val="bullet"/>
      <w:lvlText w:val=""/>
      <w:lvlJc w:val="left"/>
      <w:pPr>
        <w:ind w:left="6480" w:hanging="360"/>
      </w:pPr>
      <w:rPr>
        <w:rFonts w:ascii="Symbol" w:hAnsi="Symbol" w:hint="default"/>
      </w:rPr>
    </w:lvl>
    <w:lvl w:ilvl="7" w:tplc="080C0003" w:tentative="1">
      <w:start w:val="1"/>
      <w:numFmt w:val="bullet"/>
      <w:lvlText w:val="o"/>
      <w:lvlJc w:val="left"/>
      <w:pPr>
        <w:ind w:left="7200" w:hanging="360"/>
      </w:pPr>
      <w:rPr>
        <w:rFonts w:ascii="Courier New" w:hAnsi="Courier New" w:cs="Courier New" w:hint="default"/>
      </w:rPr>
    </w:lvl>
    <w:lvl w:ilvl="8" w:tplc="080C0005" w:tentative="1">
      <w:start w:val="1"/>
      <w:numFmt w:val="bullet"/>
      <w:lvlText w:val=""/>
      <w:lvlJc w:val="left"/>
      <w:pPr>
        <w:ind w:left="7920" w:hanging="360"/>
      </w:pPr>
      <w:rPr>
        <w:rFonts w:ascii="Wingdings" w:hAnsi="Wingdings" w:hint="default"/>
      </w:rPr>
    </w:lvl>
  </w:abstractNum>
  <w:abstractNum w:abstractNumId="8" w15:restartNumberingAfterBreak="0">
    <w:nsid w:val="1F397C60"/>
    <w:multiLevelType w:val="hybridMultilevel"/>
    <w:tmpl w:val="3FD8A0A0"/>
    <w:lvl w:ilvl="0" w:tplc="D8F4C0F6">
      <w:start w:val="2"/>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02C633E"/>
    <w:multiLevelType w:val="hybridMultilevel"/>
    <w:tmpl w:val="2EF28134"/>
    <w:lvl w:ilvl="0" w:tplc="686205AA">
      <w:start w:val="3"/>
      <w:numFmt w:val="bullet"/>
      <w:lvlText w:val="–"/>
      <w:lvlJc w:val="left"/>
      <w:pPr>
        <w:tabs>
          <w:tab w:val="num" w:pos="1620"/>
        </w:tabs>
        <w:ind w:left="162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C1E441F"/>
    <w:multiLevelType w:val="hybridMultilevel"/>
    <w:tmpl w:val="D172A5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60B7CFC"/>
    <w:multiLevelType w:val="hybridMultilevel"/>
    <w:tmpl w:val="F0C07EE6"/>
    <w:lvl w:ilvl="0" w:tplc="040C000F">
      <w:start w:val="1"/>
      <w:numFmt w:val="decimal"/>
      <w:lvlText w:val="%1."/>
      <w:lvlJc w:val="left"/>
      <w:pPr>
        <w:tabs>
          <w:tab w:val="num" w:pos="720"/>
        </w:tabs>
        <w:ind w:left="720" w:hanging="360"/>
      </w:pPr>
      <w:rPr>
        <w:rFonts w:hint="default"/>
      </w:rPr>
    </w:lvl>
    <w:lvl w:ilvl="1" w:tplc="A69412BC">
      <w:numFmt w:val="bullet"/>
      <w:lvlText w:val="-"/>
      <w:lvlJc w:val="left"/>
      <w:pPr>
        <w:tabs>
          <w:tab w:val="num" w:pos="1440"/>
        </w:tabs>
        <w:ind w:left="1440" w:hanging="360"/>
      </w:pPr>
      <w:rPr>
        <w:rFonts w:ascii="Times New Roman" w:eastAsia="Times New Roman" w:hAnsi="Times New Roman" w:cs="Times New Roman"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3D6B6468"/>
    <w:multiLevelType w:val="hybridMultilevel"/>
    <w:tmpl w:val="76562FAE"/>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41B04492"/>
    <w:multiLevelType w:val="hybridMultilevel"/>
    <w:tmpl w:val="6706ABF0"/>
    <w:lvl w:ilvl="0" w:tplc="190E7EDE">
      <w:start w:val="3"/>
      <w:numFmt w:val="bullet"/>
      <w:lvlText w:val="-"/>
      <w:lvlJc w:val="left"/>
      <w:pPr>
        <w:tabs>
          <w:tab w:val="num" w:pos="1080"/>
        </w:tabs>
        <w:ind w:left="1080" w:hanging="360"/>
      </w:pPr>
      <w:rPr>
        <w:rFonts w:ascii="Arial" w:eastAsia="Times New Roman" w:hAnsi="Arial" w:cs="Arial"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456A31A2"/>
    <w:multiLevelType w:val="hybridMultilevel"/>
    <w:tmpl w:val="34D67466"/>
    <w:lvl w:ilvl="0" w:tplc="FEF487D0">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45E229CB"/>
    <w:multiLevelType w:val="hybridMultilevel"/>
    <w:tmpl w:val="19009450"/>
    <w:lvl w:ilvl="0" w:tplc="4B2065E6">
      <w:start w:val="3"/>
      <w:numFmt w:val="bullet"/>
      <w:lvlText w:val="-"/>
      <w:lvlJc w:val="left"/>
      <w:pPr>
        <w:tabs>
          <w:tab w:val="num" w:pos="1068"/>
        </w:tabs>
        <w:ind w:left="1068"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1A3FD0"/>
    <w:multiLevelType w:val="hybridMultilevel"/>
    <w:tmpl w:val="945E7E0E"/>
    <w:lvl w:ilvl="0" w:tplc="080C0001">
      <w:start w:val="1"/>
      <w:numFmt w:val="bullet"/>
      <w:lvlText w:val=""/>
      <w:lvlJc w:val="left"/>
      <w:pPr>
        <w:ind w:left="2160" w:hanging="360"/>
      </w:pPr>
      <w:rPr>
        <w:rFonts w:ascii="Symbol" w:hAnsi="Symbol" w:hint="default"/>
      </w:rPr>
    </w:lvl>
    <w:lvl w:ilvl="1" w:tplc="080C0003">
      <w:start w:val="1"/>
      <w:numFmt w:val="bullet"/>
      <w:lvlText w:val="o"/>
      <w:lvlJc w:val="left"/>
      <w:pPr>
        <w:ind w:left="2880" w:hanging="360"/>
      </w:pPr>
      <w:rPr>
        <w:rFonts w:ascii="Courier New" w:hAnsi="Courier New" w:cs="Courier New" w:hint="default"/>
      </w:rPr>
    </w:lvl>
    <w:lvl w:ilvl="2" w:tplc="080C0005">
      <w:start w:val="1"/>
      <w:numFmt w:val="bullet"/>
      <w:lvlText w:val=""/>
      <w:lvlJc w:val="left"/>
      <w:pPr>
        <w:ind w:left="3600" w:hanging="360"/>
      </w:pPr>
      <w:rPr>
        <w:rFonts w:ascii="Wingdings" w:hAnsi="Wingdings" w:hint="default"/>
      </w:rPr>
    </w:lvl>
    <w:lvl w:ilvl="3" w:tplc="080C0001">
      <w:start w:val="1"/>
      <w:numFmt w:val="bullet"/>
      <w:lvlText w:val=""/>
      <w:lvlJc w:val="left"/>
      <w:pPr>
        <w:ind w:left="4320" w:hanging="360"/>
      </w:pPr>
      <w:rPr>
        <w:rFonts w:ascii="Symbol" w:hAnsi="Symbol" w:hint="default"/>
      </w:rPr>
    </w:lvl>
    <w:lvl w:ilvl="4" w:tplc="080C0003">
      <w:start w:val="1"/>
      <w:numFmt w:val="bullet"/>
      <w:lvlText w:val="o"/>
      <w:lvlJc w:val="left"/>
      <w:pPr>
        <w:ind w:left="5040" w:hanging="360"/>
      </w:pPr>
      <w:rPr>
        <w:rFonts w:ascii="Courier New" w:hAnsi="Courier New" w:cs="Courier New" w:hint="default"/>
      </w:rPr>
    </w:lvl>
    <w:lvl w:ilvl="5" w:tplc="080C0005">
      <w:start w:val="1"/>
      <w:numFmt w:val="bullet"/>
      <w:lvlText w:val=""/>
      <w:lvlJc w:val="left"/>
      <w:pPr>
        <w:ind w:left="5760" w:hanging="360"/>
      </w:pPr>
      <w:rPr>
        <w:rFonts w:ascii="Wingdings" w:hAnsi="Wingdings" w:hint="default"/>
      </w:rPr>
    </w:lvl>
    <w:lvl w:ilvl="6" w:tplc="080C0001">
      <w:start w:val="1"/>
      <w:numFmt w:val="bullet"/>
      <w:lvlText w:val=""/>
      <w:lvlJc w:val="left"/>
      <w:pPr>
        <w:ind w:left="6480" w:hanging="360"/>
      </w:pPr>
      <w:rPr>
        <w:rFonts w:ascii="Symbol" w:hAnsi="Symbol" w:hint="default"/>
      </w:rPr>
    </w:lvl>
    <w:lvl w:ilvl="7" w:tplc="080C0003">
      <w:start w:val="1"/>
      <w:numFmt w:val="bullet"/>
      <w:lvlText w:val="o"/>
      <w:lvlJc w:val="left"/>
      <w:pPr>
        <w:ind w:left="7200" w:hanging="360"/>
      </w:pPr>
      <w:rPr>
        <w:rFonts w:ascii="Courier New" w:hAnsi="Courier New" w:cs="Courier New" w:hint="default"/>
      </w:rPr>
    </w:lvl>
    <w:lvl w:ilvl="8" w:tplc="080C0005">
      <w:start w:val="1"/>
      <w:numFmt w:val="bullet"/>
      <w:lvlText w:val=""/>
      <w:lvlJc w:val="left"/>
      <w:pPr>
        <w:ind w:left="7920" w:hanging="360"/>
      </w:pPr>
      <w:rPr>
        <w:rFonts w:ascii="Wingdings" w:hAnsi="Wingdings" w:hint="default"/>
      </w:rPr>
    </w:lvl>
  </w:abstractNum>
  <w:abstractNum w:abstractNumId="17" w15:restartNumberingAfterBreak="0">
    <w:nsid w:val="4EE45386"/>
    <w:multiLevelType w:val="hybridMultilevel"/>
    <w:tmpl w:val="CC1CE0B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F8A1C4D"/>
    <w:multiLevelType w:val="hybridMultilevel"/>
    <w:tmpl w:val="AFA25694"/>
    <w:lvl w:ilvl="0" w:tplc="04090011">
      <w:start w:val="1"/>
      <w:numFmt w:val="decimal"/>
      <w:lvlText w:val="%1)"/>
      <w:lvlJc w:val="left"/>
      <w:pPr>
        <w:tabs>
          <w:tab w:val="num" w:pos="720"/>
        </w:tabs>
        <w:ind w:left="720" w:hanging="360"/>
      </w:pPr>
      <w:rPr>
        <w:rFonts w:hint="default"/>
      </w:rPr>
    </w:lvl>
    <w:lvl w:ilvl="1" w:tplc="040C001B">
      <w:start w:val="1"/>
      <w:numFmt w:val="lowerRoman"/>
      <w:lvlText w:val="%2."/>
      <w:lvlJc w:val="righ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1E919E0"/>
    <w:multiLevelType w:val="hybridMultilevel"/>
    <w:tmpl w:val="C4C8B122"/>
    <w:lvl w:ilvl="0" w:tplc="686205AA">
      <w:start w:val="3"/>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4014F4"/>
    <w:multiLevelType w:val="hybridMultilevel"/>
    <w:tmpl w:val="83DE6CF4"/>
    <w:lvl w:ilvl="0" w:tplc="686205AA">
      <w:start w:val="3"/>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1" w15:restartNumberingAfterBreak="0">
    <w:nsid w:val="561A6868"/>
    <w:multiLevelType w:val="hybridMultilevel"/>
    <w:tmpl w:val="25CA4426"/>
    <w:lvl w:ilvl="0" w:tplc="0409000F">
      <w:start w:val="2"/>
      <w:numFmt w:val="decimal"/>
      <w:lvlText w:val="%1."/>
      <w:lvlJc w:val="left"/>
      <w:pPr>
        <w:tabs>
          <w:tab w:val="num" w:pos="720"/>
        </w:tabs>
        <w:ind w:left="720" w:hanging="360"/>
      </w:pPr>
      <w:rPr>
        <w:rFonts w:hint="default"/>
      </w:rPr>
    </w:lvl>
    <w:lvl w:ilvl="1" w:tplc="D1CC15A6">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BB33449"/>
    <w:multiLevelType w:val="hybridMultilevel"/>
    <w:tmpl w:val="21A4D5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D321906"/>
    <w:multiLevelType w:val="hybridMultilevel"/>
    <w:tmpl w:val="C302A0B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E693092"/>
    <w:multiLevelType w:val="hybridMultilevel"/>
    <w:tmpl w:val="39B08ADE"/>
    <w:lvl w:ilvl="0" w:tplc="4B2065E6">
      <w:start w:val="3"/>
      <w:numFmt w:val="bullet"/>
      <w:lvlText w:val="-"/>
      <w:lvlJc w:val="left"/>
      <w:pPr>
        <w:tabs>
          <w:tab w:val="num" w:pos="1440"/>
        </w:tabs>
        <w:ind w:left="1440" w:hanging="360"/>
      </w:pPr>
      <w:rPr>
        <w:rFonts w:ascii="Times New Roman" w:eastAsia="Times New Roman" w:hAnsi="Times New Roman" w:cs="Times New Roman"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5FA2188B"/>
    <w:multiLevelType w:val="hybridMultilevel"/>
    <w:tmpl w:val="73C26FD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63BC6BAF"/>
    <w:multiLevelType w:val="hybridMultilevel"/>
    <w:tmpl w:val="889C7104"/>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27" w15:restartNumberingAfterBreak="0">
    <w:nsid w:val="66E40BBE"/>
    <w:multiLevelType w:val="hybridMultilevel"/>
    <w:tmpl w:val="D150A86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6ACB4EA0"/>
    <w:multiLevelType w:val="hybridMultilevel"/>
    <w:tmpl w:val="026A1A04"/>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9" w15:restartNumberingAfterBreak="0">
    <w:nsid w:val="70024739"/>
    <w:multiLevelType w:val="hybridMultilevel"/>
    <w:tmpl w:val="A8126278"/>
    <w:lvl w:ilvl="0" w:tplc="341683D6">
      <w:start w:val="1"/>
      <w:numFmt w:val="decimal"/>
      <w:lvlText w:val="%1."/>
      <w:lvlJc w:val="left"/>
      <w:pPr>
        <w:tabs>
          <w:tab w:val="num" w:pos="720"/>
        </w:tabs>
        <w:ind w:left="720" w:hanging="360"/>
      </w:pPr>
      <w:rPr>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15:restartNumberingAfterBreak="0">
    <w:nsid w:val="7137144C"/>
    <w:multiLevelType w:val="hybridMultilevel"/>
    <w:tmpl w:val="C4C8B122"/>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E019DC"/>
    <w:multiLevelType w:val="hybridMultilevel"/>
    <w:tmpl w:val="908CF3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7622C48"/>
    <w:multiLevelType w:val="hybridMultilevel"/>
    <w:tmpl w:val="E98055A8"/>
    <w:lvl w:ilvl="0" w:tplc="686205AA">
      <w:start w:val="3"/>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900"/>
        </w:tabs>
        <w:ind w:left="900" w:hanging="360"/>
      </w:pPr>
      <w:rPr>
        <w:rFonts w:ascii="Courier New" w:hAnsi="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33" w15:restartNumberingAfterBreak="0">
    <w:nsid w:val="7FC45D74"/>
    <w:multiLevelType w:val="multilevel"/>
    <w:tmpl w:val="A8126278"/>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11"/>
  </w:num>
  <w:num w:numId="3">
    <w:abstractNumId w:val="31"/>
  </w:num>
  <w:num w:numId="4">
    <w:abstractNumId w:val="14"/>
  </w:num>
  <w:num w:numId="5">
    <w:abstractNumId w:val="3"/>
  </w:num>
  <w:num w:numId="6">
    <w:abstractNumId w:val="1"/>
  </w:num>
  <w:num w:numId="7">
    <w:abstractNumId w:val="20"/>
  </w:num>
  <w:num w:numId="8">
    <w:abstractNumId w:val="9"/>
  </w:num>
  <w:num w:numId="9">
    <w:abstractNumId w:val="5"/>
  </w:num>
  <w:num w:numId="10">
    <w:abstractNumId w:val="32"/>
  </w:num>
  <w:num w:numId="11">
    <w:abstractNumId w:val="19"/>
  </w:num>
  <w:num w:numId="12">
    <w:abstractNumId w:val="30"/>
  </w:num>
  <w:num w:numId="13">
    <w:abstractNumId w:val="0"/>
  </w:num>
  <w:num w:numId="14">
    <w:abstractNumId w:val="12"/>
  </w:num>
  <w:num w:numId="15">
    <w:abstractNumId w:val="2"/>
  </w:num>
  <w:num w:numId="16">
    <w:abstractNumId w:val="24"/>
  </w:num>
  <w:num w:numId="17">
    <w:abstractNumId w:val="25"/>
  </w:num>
  <w:num w:numId="18">
    <w:abstractNumId w:val="29"/>
  </w:num>
  <w:num w:numId="19">
    <w:abstractNumId w:val="4"/>
  </w:num>
  <w:num w:numId="20">
    <w:abstractNumId w:val="6"/>
  </w:num>
  <w:num w:numId="21">
    <w:abstractNumId w:val="33"/>
  </w:num>
  <w:num w:numId="22">
    <w:abstractNumId w:val="13"/>
  </w:num>
  <w:num w:numId="23">
    <w:abstractNumId w:val="15"/>
  </w:num>
  <w:num w:numId="24">
    <w:abstractNumId w:val="21"/>
  </w:num>
  <w:num w:numId="25">
    <w:abstractNumId w:val="17"/>
  </w:num>
  <w:num w:numId="26">
    <w:abstractNumId w:val="23"/>
  </w:num>
  <w:num w:numId="27">
    <w:abstractNumId w:val="28"/>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8"/>
  </w:num>
  <w:num w:numId="32">
    <w:abstractNumId w:val="16"/>
  </w:num>
  <w:num w:numId="33">
    <w:abstractNumId w:val="18"/>
  </w:num>
  <w:num w:numId="34">
    <w:abstractNumId w:val="26"/>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9EF"/>
    <w:rsid w:val="000004FA"/>
    <w:rsid w:val="000206EF"/>
    <w:rsid w:val="00044311"/>
    <w:rsid w:val="0005082B"/>
    <w:rsid w:val="00051DC3"/>
    <w:rsid w:val="0005247D"/>
    <w:rsid w:val="00054AFC"/>
    <w:rsid w:val="000652D9"/>
    <w:rsid w:val="00067029"/>
    <w:rsid w:val="00073762"/>
    <w:rsid w:val="0007676C"/>
    <w:rsid w:val="000767D7"/>
    <w:rsid w:val="000848B4"/>
    <w:rsid w:val="00085BAA"/>
    <w:rsid w:val="00086D68"/>
    <w:rsid w:val="000977D6"/>
    <w:rsid w:val="000A76C6"/>
    <w:rsid w:val="000B0048"/>
    <w:rsid w:val="000B2B66"/>
    <w:rsid w:val="000C3C66"/>
    <w:rsid w:val="000D4783"/>
    <w:rsid w:val="000E7643"/>
    <w:rsid w:val="000E7F8E"/>
    <w:rsid w:val="000F4D19"/>
    <w:rsid w:val="000F654D"/>
    <w:rsid w:val="000F706A"/>
    <w:rsid w:val="00100176"/>
    <w:rsid w:val="00100CED"/>
    <w:rsid w:val="00106D2E"/>
    <w:rsid w:val="00111A65"/>
    <w:rsid w:val="00124666"/>
    <w:rsid w:val="00133816"/>
    <w:rsid w:val="00136742"/>
    <w:rsid w:val="001412A1"/>
    <w:rsid w:val="00154E44"/>
    <w:rsid w:val="001571A7"/>
    <w:rsid w:val="001575A2"/>
    <w:rsid w:val="001613FB"/>
    <w:rsid w:val="0016299E"/>
    <w:rsid w:val="00170A40"/>
    <w:rsid w:val="00171DFB"/>
    <w:rsid w:val="001737EB"/>
    <w:rsid w:val="00177B8A"/>
    <w:rsid w:val="00180371"/>
    <w:rsid w:val="00180FE3"/>
    <w:rsid w:val="00193EB5"/>
    <w:rsid w:val="001A3C5D"/>
    <w:rsid w:val="001C39EC"/>
    <w:rsid w:val="001C7900"/>
    <w:rsid w:val="001C7FE1"/>
    <w:rsid w:val="001D318E"/>
    <w:rsid w:val="001F147A"/>
    <w:rsid w:val="001F18AE"/>
    <w:rsid w:val="002037AF"/>
    <w:rsid w:val="00207874"/>
    <w:rsid w:val="00212299"/>
    <w:rsid w:val="00213D3A"/>
    <w:rsid w:val="0021520F"/>
    <w:rsid w:val="00235F8D"/>
    <w:rsid w:val="00236C36"/>
    <w:rsid w:val="002432D7"/>
    <w:rsid w:val="0024689D"/>
    <w:rsid w:val="00251BA6"/>
    <w:rsid w:val="0025798D"/>
    <w:rsid w:val="00263323"/>
    <w:rsid w:val="00266BD8"/>
    <w:rsid w:val="00280859"/>
    <w:rsid w:val="002920A4"/>
    <w:rsid w:val="002929BE"/>
    <w:rsid w:val="002A59AD"/>
    <w:rsid w:val="002B1BD6"/>
    <w:rsid w:val="002B7F9B"/>
    <w:rsid w:val="002C0688"/>
    <w:rsid w:val="002C2DCF"/>
    <w:rsid w:val="002C59B6"/>
    <w:rsid w:val="002C61AB"/>
    <w:rsid w:val="002C77CB"/>
    <w:rsid w:val="002D0389"/>
    <w:rsid w:val="002D281B"/>
    <w:rsid w:val="002D3708"/>
    <w:rsid w:val="002D45D2"/>
    <w:rsid w:val="002D5742"/>
    <w:rsid w:val="002E1226"/>
    <w:rsid w:val="002E43DC"/>
    <w:rsid w:val="002F0A31"/>
    <w:rsid w:val="002F1750"/>
    <w:rsid w:val="002F5774"/>
    <w:rsid w:val="002F7F51"/>
    <w:rsid w:val="003016AA"/>
    <w:rsid w:val="00303258"/>
    <w:rsid w:val="0030458E"/>
    <w:rsid w:val="003116BC"/>
    <w:rsid w:val="00312FED"/>
    <w:rsid w:val="00314BB6"/>
    <w:rsid w:val="00316131"/>
    <w:rsid w:val="003209C4"/>
    <w:rsid w:val="003227C9"/>
    <w:rsid w:val="00324A3D"/>
    <w:rsid w:val="0032604E"/>
    <w:rsid w:val="003265F8"/>
    <w:rsid w:val="00327E21"/>
    <w:rsid w:val="00331E6C"/>
    <w:rsid w:val="0033779E"/>
    <w:rsid w:val="00350074"/>
    <w:rsid w:val="00350083"/>
    <w:rsid w:val="00364635"/>
    <w:rsid w:val="003702BA"/>
    <w:rsid w:val="0037071D"/>
    <w:rsid w:val="00372EB1"/>
    <w:rsid w:val="0038164F"/>
    <w:rsid w:val="00384BB6"/>
    <w:rsid w:val="00387CBF"/>
    <w:rsid w:val="003915F6"/>
    <w:rsid w:val="003A35A0"/>
    <w:rsid w:val="003B7BC4"/>
    <w:rsid w:val="003C38C4"/>
    <w:rsid w:val="003C4806"/>
    <w:rsid w:val="003C7237"/>
    <w:rsid w:val="003D1D03"/>
    <w:rsid w:val="003D5420"/>
    <w:rsid w:val="003E5E4C"/>
    <w:rsid w:val="003E7112"/>
    <w:rsid w:val="003F4CB0"/>
    <w:rsid w:val="0040342F"/>
    <w:rsid w:val="00403A48"/>
    <w:rsid w:val="00405F6A"/>
    <w:rsid w:val="00415289"/>
    <w:rsid w:val="00421DF5"/>
    <w:rsid w:val="00425E02"/>
    <w:rsid w:val="00427B2D"/>
    <w:rsid w:val="00435094"/>
    <w:rsid w:val="00436798"/>
    <w:rsid w:val="00445C4F"/>
    <w:rsid w:val="00446BC9"/>
    <w:rsid w:val="004511E7"/>
    <w:rsid w:val="00453CF2"/>
    <w:rsid w:val="004616C7"/>
    <w:rsid w:val="00490C30"/>
    <w:rsid w:val="00496BEC"/>
    <w:rsid w:val="004970E0"/>
    <w:rsid w:val="004974C0"/>
    <w:rsid w:val="004976D9"/>
    <w:rsid w:val="004B485C"/>
    <w:rsid w:val="004B7F3F"/>
    <w:rsid w:val="004C3580"/>
    <w:rsid w:val="004C610F"/>
    <w:rsid w:val="004D6C72"/>
    <w:rsid w:val="004E2A78"/>
    <w:rsid w:val="004E674A"/>
    <w:rsid w:val="004E6F0F"/>
    <w:rsid w:val="004F7C0B"/>
    <w:rsid w:val="004F7DB9"/>
    <w:rsid w:val="00513321"/>
    <w:rsid w:val="0053026E"/>
    <w:rsid w:val="00532F7B"/>
    <w:rsid w:val="00534142"/>
    <w:rsid w:val="0053479A"/>
    <w:rsid w:val="00545C22"/>
    <w:rsid w:val="00547CC1"/>
    <w:rsid w:val="005514BA"/>
    <w:rsid w:val="0055251F"/>
    <w:rsid w:val="005525A4"/>
    <w:rsid w:val="005538BA"/>
    <w:rsid w:val="00554437"/>
    <w:rsid w:val="00555F99"/>
    <w:rsid w:val="0055656A"/>
    <w:rsid w:val="00557352"/>
    <w:rsid w:val="0057172B"/>
    <w:rsid w:val="00580A1D"/>
    <w:rsid w:val="00582627"/>
    <w:rsid w:val="00583034"/>
    <w:rsid w:val="005834EE"/>
    <w:rsid w:val="0058640A"/>
    <w:rsid w:val="005902A4"/>
    <w:rsid w:val="0059052F"/>
    <w:rsid w:val="005940F1"/>
    <w:rsid w:val="00596A08"/>
    <w:rsid w:val="005A01BC"/>
    <w:rsid w:val="005A42A6"/>
    <w:rsid w:val="005A70FA"/>
    <w:rsid w:val="005B0D2D"/>
    <w:rsid w:val="005B5737"/>
    <w:rsid w:val="005C0646"/>
    <w:rsid w:val="005D166D"/>
    <w:rsid w:val="005D67B3"/>
    <w:rsid w:val="005D70CA"/>
    <w:rsid w:val="005F0967"/>
    <w:rsid w:val="005F3D88"/>
    <w:rsid w:val="006038F0"/>
    <w:rsid w:val="00603D23"/>
    <w:rsid w:val="00604AFB"/>
    <w:rsid w:val="006054F0"/>
    <w:rsid w:val="006101FB"/>
    <w:rsid w:val="00611548"/>
    <w:rsid w:val="006145BD"/>
    <w:rsid w:val="00614A92"/>
    <w:rsid w:val="00616FA6"/>
    <w:rsid w:val="00626F23"/>
    <w:rsid w:val="0064596E"/>
    <w:rsid w:val="00645EC0"/>
    <w:rsid w:val="00647AD9"/>
    <w:rsid w:val="00654729"/>
    <w:rsid w:val="006579F5"/>
    <w:rsid w:val="006612BE"/>
    <w:rsid w:val="00664F4A"/>
    <w:rsid w:val="0066673E"/>
    <w:rsid w:val="00671822"/>
    <w:rsid w:val="00674C59"/>
    <w:rsid w:val="00683628"/>
    <w:rsid w:val="00687151"/>
    <w:rsid w:val="006948EF"/>
    <w:rsid w:val="006A0864"/>
    <w:rsid w:val="006A4139"/>
    <w:rsid w:val="006B6992"/>
    <w:rsid w:val="006C3C11"/>
    <w:rsid w:val="006C4432"/>
    <w:rsid w:val="006C6B1D"/>
    <w:rsid w:val="006C7BA8"/>
    <w:rsid w:val="006D0CAA"/>
    <w:rsid w:val="006F0D26"/>
    <w:rsid w:val="00710E11"/>
    <w:rsid w:val="0071131A"/>
    <w:rsid w:val="00712092"/>
    <w:rsid w:val="007121E8"/>
    <w:rsid w:val="007131DC"/>
    <w:rsid w:val="00715326"/>
    <w:rsid w:val="0072628F"/>
    <w:rsid w:val="007319EF"/>
    <w:rsid w:val="00733A5C"/>
    <w:rsid w:val="00733E6B"/>
    <w:rsid w:val="00741CEF"/>
    <w:rsid w:val="007424A5"/>
    <w:rsid w:val="007460FB"/>
    <w:rsid w:val="00746ED0"/>
    <w:rsid w:val="0075028A"/>
    <w:rsid w:val="00751358"/>
    <w:rsid w:val="007535AA"/>
    <w:rsid w:val="0075714E"/>
    <w:rsid w:val="00762B61"/>
    <w:rsid w:val="007636EE"/>
    <w:rsid w:val="0077203A"/>
    <w:rsid w:val="00772FCF"/>
    <w:rsid w:val="0077424B"/>
    <w:rsid w:val="00781440"/>
    <w:rsid w:val="00785188"/>
    <w:rsid w:val="0078688E"/>
    <w:rsid w:val="00786C56"/>
    <w:rsid w:val="00791A74"/>
    <w:rsid w:val="00792A88"/>
    <w:rsid w:val="00795F9D"/>
    <w:rsid w:val="007A61E0"/>
    <w:rsid w:val="007B189E"/>
    <w:rsid w:val="007B2ABD"/>
    <w:rsid w:val="007B5F12"/>
    <w:rsid w:val="007B65A5"/>
    <w:rsid w:val="007C0ABC"/>
    <w:rsid w:val="007C273C"/>
    <w:rsid w:val="007C2B80"/>
    <w:rsid w:val="007C57CB"/>
    <w:rsid w:val="007F0F66"/>
    <w:rsid w:val="007F4B03"/>
    <w:rsid w:val="007F5005"/>
    <w:rsid w:val="007F6226"/>
    <w:rsid w:val="00800BC4"/>
    <w:rsid w:val="00802810"/>
    <w:rsid w:val="00822C2E"/>
    <w:rsid w:val="00826DF1"/>
    <w:rsid w:val="008436F4"/>
    <w:rsid w:val="0084412D"/>
    <w:rsid w:val="00846062"/>
    <w:rsid w:val="008608FD"/>
    <w:rsid w:val="008814FB"/>
    <w:rsid w:val="00882F35"/>
    <w:rsid w:val="0088716C"/>
    <w:rsid w:val="00887D3D"/>
    <w:rsid w:val="0089548B"/>
    <w:rsid w:val="00896875"/>
    <w:rsid w:val="008A441A"/>
    <w:rsid w:val="008A56F6"/>
    <w:rsid w:val="008A66D0"/>
    <w:rsid w:val="008B26FF"/>
    <w:rsid w:val="008B31CF"/>
    <w:rsid w:val="008B7BDE"/>
    <w:rsid w:val="008C53CD"/>
    <w:rsid w:val="008C567F"/>
    <w:rsid w:val="008D002E"/>
    <w:rsid w:val="008D17C1"/>
    <w:rsid w:val="008D2F3C"/>
    <w:rsid w:val="008D41F3"/>
    <w:rsid w:val="008E1A36"/>
    <w:rsid w:val="008F0620"/>
    <w:rsid w:val="008F288C"/>
    <w:rsid w:val="008F43BA"/>
    <w:rsid w:val="008F6091"/>
    <w:rsid w:val="00905E8C"/>
    <w:rsid w:val="0091007B"/>
    <w:rsid w:val="009159E8"/>
    <w:rsid w:val="009161A9"/>
    <w:rsid w:val="00921CB6"/>
    <w:rsid w:val="009338FF"/>
    <w:rsid w:val="009361AB"/>
    <w:rsid w:val="00941036"/>
    <w:rsid w:val="00944343"/>
    <w:rsid w:val="009549DA"/>
    <w:rsid w:val="00963A50"/>
    <w:rsid w:val="0096424F"/>
    <w:rsid w:val="00965BB6"/>
    <w:rsid w:val="00974654"/>
    <w:rsid w:val="00980AAC"/>
    <w:rsid w:val="009864F5"/>
    <w:rsid w:val="00986B69"/>
    <w:rsid w:val="00986C91"/>
    <w:rsid w:val="009903FC"/>
    <w:rsid w:val="00990CE4"/>
    <w:rsid w:val="00994312"/>
    <w:rsid w:val="009B0E89"/>
    <w:rsid w:val="009B58FE"/>
    <w:rsid w:val="009B63B9"/>
    <w:rsid w:val="009C49E7"/>
    <w:rsid w:val="009D0C6A"/>
    <w:rsid w:val="009D7EB4"/>
    <w:rsid w:val="009E2CF9"/>
    <w:rsid w:val="009E51A1"/>
    <w:rsid w:val="009E7F69"/>
    <w:rsid w:val="009F55DA"/>
    <w:rsid w:val="009F64D5"/>
    <w:rsid w:val="00A030FE"/>
    <w:rsid w:val="00A03846"/>
    <w:rsid w:val="00A07285"/>
    <w:rsid w:val="00A10F2D"/>
    <w:rsid w:val="00A11D99"/>
    <w:rsid w:val="00A142A4"/>
    <w:rsid w:val="00A177D8"/>
    <w:rsid w:val="00A2486A"/>
    <w:rsid w:val="00A24DF4"/>
    <w:rsid w:val="00A31325"/>
    <w:rsid w:val="00A31EB5"/>
    <w:rsid w:val="00A4470C"/>
    <w:rsid w:val="00A44B46"/>
    <w:rsid w:val="00A4557D"/>
    <w:rsid w:val="00A47957"/>
    <w:rsid w:val="00A47F23"/>
    <w:rsid w:val="00A51B33"/>
    <w:rsid w:val="00A55AED"/>
    <w:rsid w:val="00A6109A"/>
    <w:rsid w:val="00A62B21"/>
    <w:rsid w:val="00A67E55"/>
    <w:rsid w:val="00A70F6B"/>
    <w:rsid w:val="00A74247"/>
    <w:rsid w:val="00A76048"/>
    <w:rsid w:val="00A77A5F"/>
    <w:rsid w:val="00A8438E"/>
    <w:rsid w:val="00A902E4"/>
    <w:rsid w:val="00A903A7"/>
    <w:rsid w:val="00A92662"/>
    <w:rsid w:val="00AA38B6"/>
    <w:rsid w:val="00AA41B8"/>
    <w:rsid w:val="00AA50CB"/>
    <w:rsid w:val="00AA651B"/>
    <w:rsid w:val="00AB40CF"/>
    <w:rsid w:val="00AC42D9"/>
    <w:rsid w:val="00AD3CD3"/>
    <w:rsid w:val="00AD4059"/>
    <w:rsid w:val="00AD4B4D"/>
    <w:rsid w:val="00AD69F3"/>
    <w:rsid w:val="00AE3976"/>
    <w:rsid w:val="00AE46E1"/>
    <w:rsid w:val="00AE6D62"/>
    <w:rsid w:val="00AF3322"/>
    <w:rsid w:val="00AF7AB6"/>
    <w:rsid w:val="00B06802"/>
    <w:rsid w:val="00B0685A"/>
    <w:rsid w:val="00B107B7"/>
    <w:rsid w:val="00B10980"/>
    <w:rsid w:val="00B13806"/>
    <w:rsid w:val="00B16EFF"/>
    <w:rsid w:val="00B20CCB"/>
    <w:rsid w:val="00B210DC"/>
    <w:rsid w:val="00B26045"/>
    <w:rsid w:val="00B279ED"/>
    <w:rsid w:val="00B3214A"/>
    <w:rsid w:val="00B41215"/>
    <w:rsid w:val="00B5203D"/>
    <w:rsid w:val="00B62F73"/>
    <w:rsid w:val="00B6445D"/>
    <w:rsid w:val="00B702D4"/>
    <w:rsid w:val="00B8639E"/>
    <w:rsid w:val="00B921B0"/>
    <w:rsid w:val="00B9257A"/>
    <w:rsid w:val="00B9661B"/>
    <w:rsid w:val="00BA0453"/>
    <w:rsid w:val="00BA1554"/>
    <w:rsid w:val="00BA3540"/>
    <w:rsid w:val="00BA3F36"/>
    <w:rsid w:val="00BA63A2"/>
    <w:rsid w:val="00BC2BF7"/>
    <w:rsid w:val="00BC7067"/>
    <w:rsid w:val="00BD013C"/>
    <w:rsid w:val="00BD1A4E"/>
    <w:rsid w:val="00BD1E1B"/>
    <w:rsid w:val="00BD55B9"/>
    <w:rsid w:val="00BD5A29"/>
    <w:rsid w:val="00BD65F2"/>
    <w:rsid w:val="00BE4722"/>
    <w:rsid w:val="00BF0BAF"/>
    <w:rsid w:val="00BF3584"/>
    <w:rsid w:val="00C04B3F"/>
    <w:rsid w:val="00C130B4"/>
    <w:rsid w:val="00C13FF8"/>
    <w:rsid w:val="00C16CD7"/>
    <w:rsid w:val="00C1717E"/>
    <w:rsid w:val="00C17E5C"/>
    <w:rsid w:val="00C22990"/>
    <w:rsid w:val="00C2595A"/>
    <w:rsid w:val="00C27946"/>
    <w:rsid w:val="00C30409"/>
    <w:rsid w:val="00C31173"/>
    <w:rsid w:val="00C32E78"/>
    <w:rsid w:val="00C4382C"/>
    <w:rsid w:val="00C455CD"/>
    <w:rsid w:val="00C55C15"/>
    <w:rsid w:val="00C56123"/>
    <w:rsid w:val="00C57957"/>
    <w:rsid w:val="00C651B9"/>
    <w:rsid w:val="00C7175C"/>
    <w:rsid w:val="00C85A97"/>
    <w:rsid w:val="00C9461F"/>
    <w:rsid w:val="00CB01DB"/>
    <w:rsid w:val="00CB24ED"/>
    <w:rsid w:val="00CB529F"/>
    <w:rsid w:val="00CB6604"/>
    <w:rsid w:val="00CC353D"/>
    <w:rsid w:val="00CC688F"/>
    <w:rsid w:val="00CD3291"/>
    <w:rsid w:val="00CD5FD7"/>
    <w:rsid w:val="00CD6D90"/>
    <w:rsid w:val="00CE117F"/>
    <w:rsid w:val="00CE201E"/>
    <w:rsid w:val="00CE32AB"/>
    <w:rsid w:val="00CE57D1"/>
    <w:rsid w:val="00D00B44"/>
    <w:rsid w:val="00D05D85"/>
    <w:rsid w:val="00D1031A"/>
    <w:rsid w:val="00D10F87"/>
    <w:rsid w:val="00D14686"/>
    <w:rsid w:val="00D1521C"/>
    <w:rsid w:val="00D275FC"/>
    <w:rsid w:val="00D317C2"/>
    <w:rsid w:val="00D35833"/>
    <w:rsid w:val="00D470F1"/>
    <w:rsid w:val="00D633D4"/>
    <w:rsid w:val="00D65180"/>
    <w:rsid w:val="00D76484"/>
    <w:rsid w:val="00D81E7A"/>
    <w:rsid w:val="00D95043"/>
    <w:rsid w:val="00D97083"/>
    <w:rsid w:val="00DA013C"/>
    <w:rsid w:val="00DA03E9"/>
    <w:rsid w:val="00DB6DBA"/>
    <w:rsid w:val="00DB7F0B"/>
    <w:rsid w:val="00DD0ABC"/>
    <w:rsid w:val="00DD400D"/>
    <w:rsid w:val="00DE12E6"/>
    <w:rsid w:val="00DE4828"/>
    <w:rsid w:val="00DE4D29"/>
    <w:rsid w:val="00DF020C"/>
    <w:rsid w:val="00DF0C98"/>
    <w:rsid w:val="00DF6BF0"/>
    <w:rsid w:val="00E16BCD"/>
    <w:rsid w:val="00E17F18"/>
    <w:rsid w:val="00E25209"/>
    <w:rsid w:val="00E25B7B"/>
    <w:rsid w:val="00E26BE1"/>
    <w:rsid w:val="00E30989"/>
    <w:rsid w:val="00E3229D"/>
    <w:rsid w:val="00E509CC"/>
    <w:rsid w:val="00E75911"/>
    <w:rsid w:val="00E76DA8"/>
    <w:rsid w:val="00E80032"/>
    <w:rsid w:val="00E85588"/>
    <w:rsid w:val="00E91D33"/>
    <w:rsid w:val="00E94EC5"/>
    <w:rsid w:val="00EA3754"/>
    <w:rsid w:val="00EA5282"/>
    <w:rsid w:val="00EB0091"/>
    <w:rsid w:val="00EC261D"/>
    <w:rsid w:val="00ED0700"/>
    <w:rsid w:val="00EE159A"/>
    <w:rsid w:val="00EE588A"/>
    <w:rsid w:val="00EE60B1"/>
    <w:rsid w:val="00EE6AA6"/>
    <w:rsid w:val="00EF145F"/>
    <w:rsid w:val="00EF208B"/>
    <w:rsid w:val="00EF35E2"/>
    <w:rsid w:val="00EF68D2"/>
    <w:rsid w:val="00EF6B65"/>
    <w:rsid w:val="00F022E0"/>
    <w:rsid w:val="00F02FC8"/>
    <w:rsid w:val="00F04FA1"/>
    <w:rsid w:val="00F057B4"/>
    <w:rsid w:val="00F06AF8"/>
    <w:rsid w:val="00F1708B"/>
    <w:rsid w:val="00F2360B"/>
    <w:rsid w:val="00F26CD5"/>
    <w:rsid w:val="00F306CB"/>
    <w:rsid w:val="00F30EAE"/>
    <w:rsid w:val="00F31BE6"/>
    <w:rsid w:val="00F3739C"/>
    <w:rsid w:val="00F375A0"/>
    <w:rsid w:val="00F379B2"/>
    <w:rsid w:val="00F40AA5"/>
    <w:rsid w:val="00F41B68"/>
    <w:rsid w:val="00F422DD"/>
    <w:rsid w:val="00F42D57"/>
    <w:rsid w:val="00F44E9F"/>
    <w:rsid w:val="00F47BE6"/>
    <w:rsid w:val="00F656C0"/>
    <w:rsid w:val="00F671D3"/>
    <w:rsid w:val="00F71936"/>
    <w:rsid w:val="00F91CB8"/>
    <w:rsid w:val="00F975F4"/>
    <w:rsid w:val="00FA443E"/>
    <w:rsid w:val="00FB3FB5"/>
    <w:rsid w:val="00FB503B"/>
    <w:rsid w:val="00FB613A"/>
    <w:rsid w:val="00FB7A44"/>
    <w:rsid w:val="00FC1461"/>
    <w:rsid w:val="00FD0ECF"/>
    <w:rsid w:val="00FD1389"/>
    <w:rsid w:val="00FD2DD2"/>
    <w:rsid w:val="00FD7FC9"/>
    <w:rsid w:val="00FE0D50"/>
    <w:rsid w:val="00FE1432"/>
    <w:rsid w:val="00FE749B"/>
    <w:rsid w:val="00FF1742"/>
    <w:rsid w:val="00FF4C0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65AECB11"/>
  <w15:docId w15:val="{257BE309-FF22-4608-BA8D-63CAE5A3B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US"/>
    </w:rPr>
  </w:style>
  <w:style w:type="paragraph" w:styleId="Titre1">
    <w:name w:val="heading 1"/>
    <w:basedOn w:val="Normal"/>
    <w:next w:val="Normal"/>
    <w:link w:val="Titre1Car"/>
    <w:qFormat/>
    <w:pPr>
      <w:keepNext/>
      <w:keepLines/>
      <w:spacing w:line="260" w:lineRule="exact"/>
      <w:jc w:val="both"/>
      <w:outlineLvl w:val="0"/>
    </w:pPr>
    <w:rPr>
      <w:rFonts w:ascii="Arial" w:hAnsi="Arial"/>
      <w:b/>
      <w:bCs/>
      <w:sz w:val="20"/>
      <w:lang w:val="fr-BE" w:eastAsia="nl-NL"/>
    </w:rPr>
  </w:style>
  <w:style w:type="paragraph" w:styleId="Titre2">
    <w:name w:val="heading 2"/>
    <w:basedOn w:val="Normal"/>
    <w:next w:val="Normal"/>
    <w:autoRedefine/>
    <w:qFormat/>
    <w:pPr>
      <w:keepNext/>
      <w:numPr>
        <w:numId w:val="20"/>
      </w:numPr>
      <w:outlineLvl w:val="1"/>
    </w:pPr>
    <w:rPr>
      <w:b/>
      <w:u w:val="single"/>
      <w:lang w:val="fr-FR"/>
    </w:rPr>
  </w:style>
  <w:style w:type="paragraph" w:styleId="Titre3">
    <w:name w:val="heading 3"/>
    <w:basedOn w:val="Normal"/>
    <w:next w:val="Normal"/>
    <w:link w:val="Titre3Car"/>
    <w:qFormat/>
    <w:pPr>
      <w:keepNext/>
      <w:spacing w:line="260" w:lineRule="exact"/>
      <w:jc w:val="both"/>
      <w:outlineLvl w:val="2"/>
    </w:pPr>
    <w:rPr>
      <w:rFonts w:ascii="Arial" w:hAnsi="Arial"/>
      <w:b/>
      <w:bCs/>
      <w:sz w:val="20"/>
      <w:u w:val="single"/>
      <w:lang w:val="fr-BE" w:eastAsia="nl-NL"/>
    </w:rPr>
  </w:style>
  <w:style w:type="paragraph" w:styleId="Titre4">
    <w:name w:val="heading 4"/>
    <w:basedOn w:val="Normal"/>
    <w:next w:val="Normal"/>
    <w:qFormat/>
    <w:pPr>
      <w:keepNext/>
      <w:tabs>
        <w:tab w:val="left" w:pos="2665"/>
        <w:tab w:val="left" w:pos="5330"/>
        <w:tab w:val="left" w:pos="6294"/>
      </w:tabs>
      <w:spacing w:line="200" w:lineRule="exact"/>
      <w:jc w:val="center"/>
      <w:outlineLvl w:val="3"/>
    </w:pPr>
    <w:rPr>
      <w:sz w:val="52"/>
    </w:rPr>
  </w:style>
  <w:style w:type="paragraph" w:styleId="Titre5">
    <w:name w:val="heading 5"/>
    <w:basedOn w:val="Normal"/>
    <w:next w:val="Normal"/>
    <w:qFormat/>
    <w:pPr>
      <w:keepNext/>
      <w:outlineLvl w:val="4"/>
    </w:pPr>
    <w:rPr>
      <w:b/>
      <w:bCs/>
      <w:u w:val="single"/>
      <w:lang w:val="fr-BE"/>
    </w:rPr>
  </w:style>
  <w:style w:type="paragraph" w:styleId="Titre6">
    <w:name w:val="heading 6"/>
    <w:basedOn w:val="Normal"/>
    <w:next w:val="Normal"/>
    <w:qFormat/>
    <w:pPr>
      <w:keepNext/>
      <w:widowControl w:val="0"/>
      <w:tabs>
        <w:tab w:val="left" w:pos="-567"/>
        <w:tab w:val="left" w:pos="1701"/>
      </w:tabs>
      <w:autoSpaceDE w:val="0"/>
      <w:autoSpaceDN w:val="0"/>
      <w:adjustRightInd w:val="0"/>
      <w:jc w:val="center"/>
      <w:outlineLvl w:val="5"/>
    </w:pPr>
    <w:rPr>
      <w:b/>
      <w:bCs/>
      <w:sz w:val="52"/>
      <w:lang w:val="fr-BE"/>
    </w:rPr>
  </w:style>
  <w:style w:type="paragraph" w:styleId="Titre7">
    <w:name w:val="heading 7"/>
    <w:basedOn w:val="Normal"/>
    <w:next w:val="Normal"/>
    <w:qFormat/>
    <w:pPr>
      <w:keepNext/>
      <w:outlineLvl w:val="6"/>
    </w:pPr>
    <w:rPr>
      <w:u w:val="single"/>
    </w:rPr>
  </w:style>
  <w:style w:type="paragraph" w:styleId="Titre8">
    <w:name w:val="heading 8"/>
    <w:basedOn w:val="Normal"/>
    <w:next w:val="Normal"/>
    <w:qFormat/>
    <w:pPr>
      <w:keepNext/>
      <w:outlineLvl w:val="7"/>
    </w:pPr>
    <w:rPr>
      <w:b/>
      <w:bCs/>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apportfinal">
    <w:name w:val="rapport final"/>
    <w:basedOn w:val="Normal"/>
    <w:next w:val="Normal"/>
    <w:pPr>
      <w:jc w:val="both"/>
    </w:pPr>
    <w:rPr>
      <w:szCs w:val="20"/>
      <w:lang w:val="fr-BE"/>
    </w:rPr>
  </w:style>
  <w:style w:type="paragraph" w:styleId="Retraitcorpsdetexte">
    <w:name w:val="Body Text Indent"/>
    <w:basedOn w:val="Normal"/>
    <w:pPr>
      <w:widowControl w:val="0"/>
      <w:autoSpaceDE w:val="0"/>
      <w:autoSpaceDN w:val="0"/>
      <w:adjustRightInd w:val="0"/>
      <w:ind w:firstLine="2410"/>
      <w:jc w:val="both"/>
    </w:pPr>
    <w:rPr>
      <w:rFonts w:ascii="Book Antiqua" w:hAnsi="Book Antiqua"/>
      <w:lang w:val="fr-BE"/>
    </w:rPr>
  </w:style>
  <w:style w:type="paragraph" w:styleId="Corpsdetexte2">
    <w:name w:val="Body Text 2"/>
    <w:basedOn w:val="Normal"/>
    <w:pPr>
      <w:framePr w:w="7323" w:h="851" w:hRule="exact" w:wrap="around" w:vAnchor="page" w:hAnchor="page" w:x="3132" w:y="6091" w:anchorLock="1"/>
      <w:jc w:val="both"/>
    </w:pPr>
    <w:rPr>
      <w:b/>
      <w:bCs/>
      <w:szCs w:val="20"/>
      <w:lang w:val="fr-BE"/>
    </w:rPr>
  </w:style>
  <w:style w:type="paragraph" w:styleId="En-tte">
    <w:name w:val="header"/>
    <w:basedOn w:val="Normal"/>
    <w:link w:val="En-tteCar"/>
    <w:uiPriority w:val="99"/>
    <w:pPr>
      <w:tabs>
        <w:tab w:val="center" w:pos="4536"/>
        <w:tab w:val="right" w:pos="9072"/>
      </w:tabs>
      <w:spacing w:line="260" w:lineRule="exact"/>
    </w:pPr>
    <w:rPr>
      <w:rFonts w:ascii="Arial" w:hAnsi="Arial"/>
      <w:sz w:val="20"/>
      <w:lang w:val="nl-NL" w:eastAsia="nl-NL"/>
    </w:rPr>
  </w:style>
  <w:style w:type="paragraph" w:styleId="Corpsdetexte">
    <w:name w:val="Body Text"/>
    <w:basedOn w:val="Normal"/>
    <w:pPr>
      <w:spacing w:line="260" w:lineRule="exact"/>
      <w:jc w:val="both"/>
    </w:pPr>
    <w:rPr>
      <w:rFonts w:ascii="Arial" w:hAnsi="Arial"/>
      <w:sz w:val="20"/>
      <w:szCs w:val="20"/>
      <w:lang w:val="fr-BE" w:eastAsia="nl-NL"/>
    </w:rPr>
  </w:style>
  <w:style w:type="paragraph" w:styleId="Pieddepage">
    <w:name w:val="footer"/>
    <w:basedOn w:val="Normal"/>
    <w:link w:val="PieddepageCar"/>
    <w:uiPriority w:val="99"/>
    <w:pPr>
      <w:tabs>
        <w:tab w:val="center" w:pos="4536"/>
        <w:tab w:val="right" w:pos="9072"/>
      </w:tabs>
      <w:spacing w:line="260" w:lineRule="exact"/>
    </w:pPr>
    <w:rPr>
      <w:rFonts w:ascii="Arial" w:hAnsi="Arial"/>
      <w:sz w:val="20"/>
      <w:lang w:val="nl-NL" w:eastAsia="nl-NL"/>
    </w:rPr>
  </w:style>
  <w:style w:type="paragraph" w:styleId="Lgende">
    <w:name w:val="caption"/>
    <w:basedOn w:val="Normal"/>
    <w:next w:val="Normal"/>
    <w:qFormat/>
    <w:pPr>
      <w:framePr w:w="4978" w:h="1809" w:hRule="exact" w:hSpace="142" w:wrap="around" w:vAnchor="page" w:hAnchor="page" w:x="6040" w:y="3029" w:anchorLock="1"/>
    </w:pPr>
    <w:rPr>
      <w:b/>
      <w:bCs/>
    </w:rPr>
  </w:style>
  <w:style w:type="paragraph" w:styleId="Retraitcorpsdetexte2">
    <w:name w:val="Body Text Indent 2"/>
    <w:basedOn w:val="Normal"/>
    <w:pPr>
      <w:tabs>
        <w:tab w:val="left" w:pos="360"/>
      </w:tabs>
      <w:ind w:left="720"/>
      <w:jc w:val="both"/>
    </w:pPr>
    <w:rPr>
      <w:lang w:val="fr-BE"/>
    </w:rPr>
  </w:style>
  <w:style w:type="paragraph" w:styleId="Notedebasdepage">
    <w:name w:val="footnote text"/>
    <w:basedOn w:val="Normal"/>
    <w:link w:val="NotedebasdepageCar"/>
    <w:semiHidden/>
    <w:rPr>
      <w:sz w:val="20"/>
      <w:szCs w:val="20"/>
      <w:lang w:val="fr-FR" w:eastAsia="fr-FR"/>
    </w:rPr>
  </w:style>
  <w:style w:type="character" w:styleId="Appelnotedebasdep">
    <w:name w:val="footnote reference"/>
    <w:semiHidden/>
    <w:rPr>
      <w:vertAlign w:val="superscript"/>
    </w:rPr>
  </w:style>
  <w:style w:type="character" w:customStyle="1" w:styleId="systrantokenpunctuation">
    <w:name w:val="systran_token_punctuation"/>
    <w:basedOn w:val="Policepardfaut"/>
  </w:style>
  <w:style w:type="character" w:customStyle="1" w:styleId="systranseg">
    <w:name w:val="systran_seg"/>
    <w:basedOn w:val="Policepardfaut"/>
  </w:style>
  <w:style w:type="character" w:customStyle="1" w:styleId="systrantokenword">
    <w:name w:val="systran_token_word"/>
    <w:basedOn w:val="Policepardfaut"/>
  </w:style>
  <w:style w:type="character" w:customStyle="1" w:styleId="systrantokennumeric">
    <w:name w:val="systran_token_numeric"/>
    <w:basedOn w:val="Policepardfaut"/>
  </w:style>
  <w:style w:type="paragraph" w:styleId="Textedebulles">
    <w:name w:val="Balloon Text"/>
    <w:basedOn w:val="Normal"/>
    <w:semiHidden/>
    <w:rPr>
      <w:rFonts w:ascii="Tahoma" w:hAnsi="Tahoma" w:cs="Tahoma"/>
      <w:sz w:val="16"/>
      <w:szCs w:val="16"/>
    </w:rPr>
  </w:style>
  <w:style w:type="paragraph" w:customStyle="1" w:styleId="classvar">
    <w:name w:val="classvar"/>
    <w:basedOn w:val="Normal"/>
    <w:rsid w:val="008F6091"/>
    <w:pPr>
      <w:spacing w:before="100" w:beforeAutospacing="1" w:after="100" w:afterAutospacing="1"/>
    </w:pPr>
    <w:rPr>
      <w:lang w:val="fr-FR" w:eastAsia="fr-FR"/>
    </w:rPr>
  </w:style>
  <w:style w:type="character" w:styleId="Marquedecommentaire">
    <w:name w:val="annotation reference"/>
    <w:rsid w:val="007A61E0"/>
    <w:rPr>
      <w:sz w:val="16"/>
      <w:szCs w:val="16"/>
    </w:rPr>
  </w:style>
  <w:style w:type="paragraph" w:styleId="Commentaire">
    <w:name w:val="annotation text"/>
    <w:basedOn w:val="Normal"/>
    <w:link w:val="CommentaireCar"/>
    <w:rsid w:val="007A61E0"/>
    <w:rPr>
      <w:sz w:val="20"/>
      <w:szCs w:val="20"/>
    </w:rPr>
  </w:style>
  <w:style w:type="paragraph" w:styleId="Objetducommentaire">
    <w:name w:val="annotation subject"/>
    <w:basedOn w:val="Commentaire"/>
    <w:next w:val="Commentaire"/>
    <w:semiHidden/>
    <w:rsid w:val="007A61E0"/>
    <w:rPr>
      <w:b/>
      <w:bCs/>
    </w:rPr>
  </w:style>
  <w:style w:type="character" w:customStyle="1" w:styleId="En-tteCar">
    <w:name w:val="En-tête Car"/>
    <w:link w:val="En-tte"/>
    <w:uiPriority w:val="99"/>
    <w:rsid w:val="00582627"/>
    <w:rPr>
      <w:rFonts w:ascii="Arial" w:hAnsi="Arial"/>
      <w:szCs w:val="24"/>
      <w:lang w:val="nl-NL" w:eastAsia="nl-NL"/>
    </w:rPr>
  </w:style>
  <w:style w:type="character" w:customStyle="1" w:styleId="Titre1Car">
    <w:name w:val="Titre 1 Car"/>
    <w:link w:val="Titre1"/>
    <w:rsid w:val="00BC7067"/>
    <w:rPr>
      <w:rFonts w:ascii="Arial" w:hAnsi="Arial"/>
      <w:b/>
      <w:bCs/>
      <w:szCs w:val="24"/>
      <w:lang w:val="fr-BE" w:eastAsia="nl-NL"/>
    </w:rPr>
  </w:style>
  <w:style w:type="character" w:customStyle="1" w:styleId="Titre3Car">
    <w:name w:val="Titre 3 Car"/>
    <w:link w:val="Titre3"/>
    <w:rsid w:val="00BC7067"/>
    <w:rPr>
      <w:rFonts w:ascii="Arial" w:hAnsi="Arial"/>
      <w:b/>
      <w:bCs/>
      <w:szCs w:val="24"/>
      <w:u w:val="single"/>
      <w:lang w:val="fr-BE" w:eastAsia="nl-NL"/>
    </w:rPr>
  </w:style>
  <w:style w:type="paragraph" w:styleId="NormalWeb">
    <w:name w:val="Normal (Web)"/>
    <w:basedOn w:val="Normal"/>
    <w:uiPriority w:val="99"/>
    <w:unhideWhenUsed/>
    <w:rsid w:val="00067029"/>
    <w:pPr>
      <w:spacing w:before="100" w:beforeAutospacing="1" w:after="100" w:afterAutospacing="1"/>
    </w:pPr>
    <w:rPr>
      <w:color w:val="000000"/>
      <w:sz w:val="18"/>
      <w:szCs w:val="18"/>
      <w:lang w:eastAsia="en-GB"/>
    </w:rPr>
  </w:style>
  <w:style w:type="paragraph" w:styleId="Paragraphedeliste">
    <w:name w:val="List Paragraph"/>
    <w:basedOn w:val="Normal"/>
    <w:uiPriority w:val="34"/>
    <w:qFormat/>
    <w:rsid w:val="007460FB"/>
    <w:pPr>
      <w:ind w:left="720"/>
      <w:contextualSpacing/>
    </w:pPr>
  </w:style>
  <w:style w:type="paragraph" w:customStyle="1" w:styleId="Normaaltxt">
    <w:name w:val="Normaaltxt"/>
    <w:basedOn w:val="Normal"/>
    <w:rsid w:val="00A6109A"/>
    <w:pPr>
      <w:spacing w:line="260" w:lineRule="exact"/>
      <w:jc w:val="both"/>
    </w:pPr>
    <w:rPr>
      <w:rFonts w:ascii="Arial" w:hAnsi="Arial" w:cs="Arial"/>
      <w:sz w:val="20"/>
      <w:szCs w:val="20"/>
      <w:lang w:val="nl-BE"/>
    </w:rPr>
  </w:style>
  <w:style w:type="character" w:customStyle="1" w:styleId="NotedebasdepageCar">
    <w:name w:val="Note de bas de page Car"/>
    <w:basedOn w:val="Policepardfaut"/>
    <w:link w:val="Notedebasdepage"/>
    <w:semiHidden/>
    <w:rsid w:val="006054F0"/>
    <w:rPr>
      <w:lang w:val="fr-FR" w:eastAsia="fr-FR"/>
    </w:rPr>
  </w:style>
  <w:style w:type="character" w:customStyle="1" w:styleId="CommentaireCar">
    <w:name w:val="Commentaire Car"/>
    <w:basedOn w:val="Policepardfaut"/>
    <w:link w:val="Commentaire"/>
    <w:rsid w:val="006054F0"/>
    <w:rPr>
      <w:lang w:val="en-GB" w:eastAsia="en-US"/>
    </w:rPr>
  </w:style>
  <w:style w:type="character" w:customStyle="1" w:styleId="PieddepageCar">
    <w:name w:val="Pied de page Car"/>
    <w:basedOn w:val="Policepardfaut"/>
    <w:link w:val="Pieddepage"/>
    <w:uiPriority w:val="99"/>
    <w:rsid w:val="0016299E"/>
    <w:rPr>
      <w:rFonts w:ascii="Arial" w:hAnsi="Arial"/>
      <w:szCs w:val="24"/>
      <w:lang w:val="nl-NL" w:eastAsia="nl-NL"/>
    </w:rPr>
  </w:style>
  <w:style w:type="paragraph" w:styleId="Titre">
    <w:name w:val="Title"/>
    <w:basedOn w:val="Normal"/>
    <w:next w:val="Normal"/>
    <w:link w:val="TitreCar"/>
    <w:qFormat/>
    <w:rsid w:val="00EA5282"/>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EA5282"/>
    <w:rPr>
      <w:rFonts w:asciiTheme="majorHAnsi" w:eastAsiaTheme="majorEastAsia" w:hAnsiTheme="majorHAnsi" w:cstheme="majorBidi"/>
      <w:spacing w:val="-10"/>
      <w:kern w:val="28"/>
      <w:sz w:val="56"/>
      <w:szCs w:val="5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140">
      <w:bodyDiv w:val="1"/>
      <w:marLeft w:val="0"/>
      <w:marRight w:val="0"/>
      <w:marTop w:val="0"/>
      <w:marBottom w:val="0"/>
      <w:divBdr>
        <w:top w:val="none" w:sz="0" w:space="0" w:color="auto"/>
        <w:left w:val="none" w:sz="0" w:space="0" w:color="auto"/>
        <w:bottom w:val="none" w:sz="0" w:space="0" w:color="auto"/>
        <w:right w:val="none" w:sz="0" w:space="0" w:color="auto"/>
      </w:divBdr>
    </w:div>
    <w:div w:id="148401268">
      <w:bodyDiv w:val="1"/>
      <w:marLeft w:val="0"/>
      <w:marRight w:val="0"/>
      <w:marTop w:val="0"/>
      <w:marBottom w:val="0"/>
      <w:divBdr>
        <w:top w:val="none" w:sz="0" w:space="0" w:color="auto"/>
        <w:left w:val="none" w:sz="0" w:space="0" w:color="auto"/>
        <w:bottom w:val="none" w:sz="0" w:space="0" w:color="auto"/>
        <w:right w:val="none" w:sz="0" w:space="0" w:color="auto"/>
      </w:divBdr>
    </w:div>
    <w:div w:id="261841660">
      <w:bodyDiv w:val="1"/>
      <w:marLeft w:val="500"/>
      <w:marRight w:val="500"/>
      <w:marTop w:val="0"/>
      <w:marBottom w:val="0"/>
      <w:divBdr>
        <w:top w:val="none" w:sz="0" w:space="0" w:color="auto"/>
        <w:left w:val="none" w:sz="0" w:space="0" w:color="auto"/>
        <w:bottom w:val="none" w:sz="0" w:space="0" w:color="auto"/>
        <w:right w:val="none" w:sz="0" w:space="0" w:color="auto"/>
      </w:divBdr>
    </w:div>
    <w:div w:id="386684260">
      <w:bodyDiv w:val="1"/>
      <w:marLeft w:val="0"/>
      <w:marRight w:val="0"/>
      <w:marTop w:val="0"/>
      <w:marBottom w:val="0"/>
      <w:divBdr>
        <w:top w:val="none" w:sz="0" w:space="0" w:color="auto"/>
        <w:left w:val="none" w:sz="0" w:space="0" w:color="auto"/>
        <w:bottom w:val="none" w:sz="0" w:space="0" w:color="auto"/>
        <w:right w:val="none" w:sz="0" w:space="0" w:color="auto"/>
      </w:divBdr>
    </w:div>
    <w:div w:id="610429947">
      <w:bodyDiv w:val="1"/>
      <w:marLeft w:val="0"/>
      <w:marRight w:val="0"/>
      <w:marTop w:val="0"/>
      <w:marBottom w:val="0"/>
      <w:divBdr>
        <w:top w:val="none" w:sz="0" w:space="0" w:color="auto"/>
        <w:left w:val="none" w:sz="0" w:space="0" w:color="auto"/>
        <w:bottom w:val="none" w:sz="0" w:space="0" w:color="auto"/>
        <w:right w:val="none" w:sz="0" w:space="0" w:color="auto"/>
      </w:divBdr>
    </w:div>
    <w:div w:id="758209738">
      <w:bodyDiv w:val="1"/>
      <w:marLeft w:val="0"/>
      <w:marRight w:val="0"/>
      <w:marTop w:val="0"/>
      <w:marBottom w:val="0"/>
      <w:divBdr>
        <w:top w:val="none" w:sz="0" w:space="0" w:color="auto"/>
        <w:left w:val="none" w:sz="0" w:space="0" w:color="auto"/>
        <w:bottom w:val="none" w:sz="0" w:space="0" w:color="auto"/>
        <w:right w:val="none" w:sz="0" w:space="0" w:color="auto"/>
      </w:divBdr>
    </w:div>
    <w:div w:id="786001470">
      <w:bodyDiv w:val="1"/>
      <w:marLeft w:val="0"/>
      <w:marRight w:val="0"/>
      <w:marTop w:val="0"/>
      <w:marBottom w:val="0"/>
      <w:divBdr>
        <w:top w:val="none" w:sz="0" w:space="0" w:color="auto"/>
        <w:left w:val="none" w:sz="0" w:space="0" w:color="auto"/>
        <w:bottom w:val="none" w:sz="0" w:space="0" w:color="auto"/>
        <w:right w:val="none" w:sz="0" w:space="0" w:color="auto"/>
      </w:divBdr>
    </w:div>
    <w:div w:id="1335494358">
      <w:bodyDiv w:val="1"/>
      <w:marLeft w:val="0"/>
      <w:marRight w:val="0"/>
      <w:marTop w:val="0"/>
      <w:marBottom w:val="0"/>
      <w:divBdr>
        <w:top w:val="none" w:sz="0" w:space="0" w:color="auto"/>
        <w:left w:val="none" w:sz="0" w:space="0" w:color="auto"/>
        <w:bottom w:val="none" w:sz="0" w:space="0" w:color="auto"/>
        <w:right w:val="none" w:sz="0" w:space="0" w:color="auto"/>
      </w:divBdr>
    </w:div>
    <w:div w:id="1354916599">
      <w:bodyDiv w:val="1"/>
      <w:marLeft w:val="0"/>
      <w:marRight w:val="0"/>
      <w:marTop w:val="0"/>
      <w:marBottom w:val="0"/>
      <w:divBdr>
        <w:top w:val="none" w:sz="0" w:space="0" w:color="auto"/>
        <w:left w:val="none" w:sz="0" w:space="0" w:color="auto"/>
        <w:bottom w:val="none" w:sz="0" w:space="0" w:color="auto"/>
        <w:right w:val="none" w:sz="0" w:space="0" w:color="auto"/>
      </w:divBdr>
    </w:div>
    <w:div w:id="1422994969">
      <w:bodyDiv w:val="1"/>
      <w:marLeft w:val="0"/>
      <w:marRight w:val="0"/>
      <w:marTop w:val="0"/>
      <w:marBottom w:val="0"/>
      <w:divBdr>
        <w:top w:val="none" w:sz="0" w:space="0" w:color="auto"/>
        <w:left w:val="none" w:sz="0" w:space="0" w:color="auto"/>
        <w:bottom w:val="none" w:sz="0" w:space="0" w:color="auto"/>
        <w:right w:val="none" w:sz="0" w:space="0" w:color="auto"/>
      </w:divBdr>
    </w:div>
    <w:div w:id="1558852988">
      <w:bodyDiv w:val="1"/>
      <w:marLeft w:val="0"/>
      <w:marRight w:val="0"/>
      <w:marTop w:val="0"/>
      <w:marBottom w:val="0"/>
      <w:divBdr>
        <w:top w:val="none" w:sz="0" w:space="0" w:color="auto"/>
        <w:left w:val="none" w:sz="0" w:space="0" w:color="auto"/>
        <w:bottom w:val="none" w:sz="0" w:space="0" w:color="auto"/>
        <w:right w:val="none" w:sz="0" w:space="0" w:color="auto"/>
      </w:divBdr>
    </w:div>
    <w:div w:id="201630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44A541-601A-4A2C-AAFD-0765094E9698}"/>
</file>

<file path=customXml/itemProps2.xml><?xml version="1.0" encoding="utf-8"?>
<ds:datastoreItem xmlns:ds="http://schemas.openxmlformats.org/officeDocument/2006/customXml" ds:itemID="{95ADD71B-264C-4454-9457-1BF11B754D18}"/>
</file>

<file path=customXml/itemProps3.xml><?xml version="1.0" encoding="utf-8"?>
<ds:datastoreItem xmlns:ds="http://schemas.openxmlformats.org/officeDocument/2006/customXml" ds:itemID="{D05937BC-3B21-4F7C-8821-3E6A0A8D1F0D}"/>
</file>

<file path=customXml/itemProps4.xml><?xml version="1.0" encoding="utf-8"?>
<ds:datastoreItem xmlns:ds="http://schemas.openxmlformats.org/officeDocument/2006/customXml" ds:itemID="{42B8E397-7647-4163-867E-111B2DB36360}"/>
</file>

<file path=docProps/app.xml><?xml version="1.0" encoding="utf-8"?>
<Properties xmlns="http://schemas.openxmlformats.org/officeDocument/2006/extended-properties" xmlns:vt="http://schemas.openxmlformats.org/officeDocument/2006/docPropsVTypes">
  <Template>5726CB55.dotm</Template>
  <TotalTime>0</TotalTime>
  <Pages>9</Pages>
  <Words>4900</Words>
  <Characters>27931</Characters>
  <Application>Microsoft Office Word</Application>
  <DocSecurity>0</DocSecurity>
  <Lines>232</Lines>
  <Paragraphs>65</Paragraphs>
  <ScaleCrop>false</ScaleCrop>
  <HeadingPairs>
    <vt:vector size="2" baseType="variant">
      <vt:variant>
        <vt:lpstr>Titre</vt:lpstr>
      </vt:variant>
      <vt:variant>
        <vt:i4>1</vt:i4>
      </vt:variant>
    </vt:vector>
  </HeadingPairs>
  <TitlesOfParts>
    <vt:vector size="1" baseType="lpstr">
      <vt:lpstr>Parquet général près la Cour d'appel de Liège</vt:lpstr>
    </vt:vector>
  </TitlesOfParts>
  <Company>Minjus</Company>
  <LinksUpToDate>false</LinksUpToDate>
  <CharactersWithSpaces>32766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Parquet général près la Cour d'appel de Liège</dc:title>
  <dc:creator>Minjus</dc:creator>
  <cp:lastModifiedBy>Leclercq Isabelle</cp:lastModifiedBy>
  <cp:revision>8</cp:revision>
  <cp:lastPrinted>2017-11-27T10:36:00Z</cp:lastPrinted>
  <dcterms:created xsi:type="dcterms:W3CDTF">2017-11-27T09:05:00Z</dcterms:created>
  <dcterms:modified xsi:type="dcterms:W3CDTF">2018-03-07T15:32:00Z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