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FF721" w14:textId="77777777" w:rsidR="002F2E23" w:rsidRPr="002F2E23" w:rsidRDefault="00B4618B" w:rsidP="00A836A7">
      <w:pPr>
        <w:ind w:left="397" w:hanging="397"/>
        <w:jc w:val="center"/>
        <w:rPr>
          <w:sz w:val="28"/>
          <w:szCs w:val="28"/>
        </w:rPr>
      </w:pPr>
      <w:bookmarkStart w:id="0" w:name="_GoBack"/>
      <w:bookmarkEnd w:id="0"/>
      <w:r>
        <w:rPr>
          <w:noProof/>
        </w:rPr>
        <w:drawing>
          <wp:anchor distT="0" distB="0" distL="114300" distR="114300" simplePos="0" relativeHeight="251658752" behindDoc="0" locked="0" layoutInCell="1" allowOverlap="1" wp14:anchorId="08C40C88" wp14:editId="642179A6">
            <wp:simplePos x="0" y="0"/>
            <wp:positionH relativeFrom="margin">
              <wp:align>right</wp:align>
            </wp:positionH>
            <wp:positionV relativeFrom="margin">
              <wp:align>top</wp:align>
            </wp:positionV>
            <wp:extent cx="1968500" cy="182880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828800"/>
                    </a:xfrm>
                    <a:prstGeom prst="rect">
                      <a:avLst/>
                    </a:prstGeom>
                    <a:noFill/>
                    <a:ln>
                      <a:noFill/>
                    </a:ln>
                  </pic:spPr>
                </pic:pic>
              </a:graphicData>
            </a:graphic>
          </wp:anchor>
        </w:drawing>
      </w:r>
    </w:p>
    <w:p w14:paraId="01D87765" w14:textId="42FB7785" w:rsidR="00DF26B7" w:rsidRPr="009F05B3" w:rsidRDefault="00DF26B7" w:rsidP="00884559">
      <w:pPr>
        <w:spacing w:after="120"/>
        <w:rPr>
          <w:sz w:val="30"/>
          <w:szCs w:val="30"/>
        </w:rPr>
      </w:pPr>
      <w:r w:rsidRPr="00926887">
        <w:rPr>
          <w:b/>
          <w:sz w:val="30"/>
          <w:szCs w:val="30"/>
        </w:rPr>
        <w:t xml:space="preserve">BRIEFING </w:t>
      </w:r>
      <w:r w:rsidR="00390791" w:rsidRPr="00926887">
        <w:rPr>
          <w:b/>
          <w:sz w:val="30"/>
          <w:szCs w:val="30"/>
        </w:rPr>
        <w:t>ON</w:t>
      </w:r>
      <w:r w:rsidR="009549DE">
        <w:rPr>
          <w:b/>
          <w:sz w:val="30"/>
          <w:szCs w:val="30"/>
        </w:rPr>
        <w:t xml:space="preserve"> </w:t>
      </w:r>
      <w:r w:rsidR="00880071">
        <w:rPr>
          <w:b/>
          <w:sz w:val="30"/>
          <w:szCs w:val="30"/>
          <w:u w:val="single"/>
        </w:rPr>
        <w:t>AUSTRALIA</w:t>
      </w:r>
      <w:r w:rsidR="00390791" w:rsidRPr="00926887">
        <w:rPr>
          <w:b/>
          <w:sz w:val="30"/>
          <w:szCs w:val="30"/>
        </w:rPr>
        <w:t xml:space="preserve"> </w:t>
      </w:r>
      <w:r w:rsidRPr="00926887">
        <w:rPr>
          <w:b/>
          <w:sz w:val="30"/>
          <w:szCs w:val="30"/>
        </w:rPr>
        <w:t xml:space="preserve">FOR THE </w:t>
      </w:r>
      <w:r w:rsidR="000960E7">
        <w:rPr>
          <w:b/>
          <w:sz w:val="30"/>
          <w:szCs w:val="30"/>
        </w:rPr>
        <w:t>COMMITTEE AGAINST TORTURE</w:t>
      </w:r>
      <w:r w:rsidR="00F96A9C" w:rsidRPr="00926887">
        <w:rPr>
          <w:b/>
          <w:sz w:val="30"/>
          <w:szCs w:val="30"/>
        </w:rPr>
        <w:t xml:space="preserve"> </w:t>
      </w:r>
      <w:r w:rsidR="000960E7">
        <w:rPr>
          <w:b/>
          <w:sz w:val="30"/>
          <w:szCs w:val="30"/>
        </w:rPr>
        <w:t>PRESESSIONAL WORKING GROUP</w:t>
      </w:r>
      <w:r w:rsidR="009F05B3">
        <w:rPr>
          <w:b/>
          <w:sz w:val="30"/>
          <w:szCs w:val="30"/>
        </w:rPr>
        <w:t xml:space="preserve">, </w:t>
      </w:r>
      <w:r w:rsidR="000960E7">
        <w:rPr>
          <w:b/>
          <w:sz w:val="30"/>
          <w:szCs w:val="30"/>
        </w:rPr>
        <w:t>5</w:t>
      </w:r>
      <w:r w:rsidR="00D9604D">
        <w:rPr>
          <w:b/>
          <w:sz w:val="30"/>
          <w:szCs w:val="30"/>
        </w:rPr>
        <w:t>9</w:t>
      </w:r>
      <w:r w:rsidR="00884559" w:rsidRPr="00884559">
        <w:rPr>
          <w:b/>
          <w:sz w:val="30"/>
          <w:szCs w:val="30"/>
          <w:vertAlign w:val="superscript"/>
        </w:rPr>
        <w:t>th</w:t>
      </w:r>
      <w:r w:rsidR="00967613">
        <w:rPr>
          <w:b/>
          <w:sz w:val="30"/>
          <w:szCs w:val="30"/>
        </w:rPr>
        <w:t xml:space="preserve"> </w:t>
      </w:r>
      <w:r w:rsidR="009F05B3">
        <w:rPr>
          <w:b/>
          <w:sz w:val="30"/>
          <w:szCs w:val="30"/>
        </w:rPr>
        <w:t>session (</w:t>
      </w:r>
      <w:r w:rsidR="00880071">
        <w:rPr>
          <w:b/>
          <w:sz w:val="30"/>
          <w:szCs w:val="30"/>
          <w:u w:val="single"/>
        </w:rPr>
        <w:t>Nov/Dec</w:t>
      </w:r>
      <w:r w:rsidR="000960E7">
        <w:rPr>
          <w:b/>
          <w:sz w:val="30"/>
          <w:szCs w:val="30"/>
          <w:u w:val="single"/>
        </w:rPr>
        <w:t xml:space="preserve"> 201</w:t>
      </w:r>
      <w:r w:rsidR="008E1A9E">
        <w:rPr>
          <w:b/>
          <w:sz w:val="30"/>
          <w:szCs w:val="30"/>
          <w:u w:val="single"/>
        </w:rPr>
        <w:t>6</w:t>
      </w:r>
      <w:r w:rsidR="009F05B3">
        <w:rPr>
          <w:b/>
          <w:sz w:val="30"/>
          <w:szCs w:val="30"/>
        </w:rPr>
        <w:t>)</w:t>
      </w:r>
    </w:p>
    <w:p w14:paraId="68691F54" w14:textId="0EA2094B" w:rsidR="007A651F" w:rsidRDefault="00DF26B7" w:rsidP="00884559">
      <w:pPr>
        <w:spacing w:after="120"/>
        <w:rPr>
          <w:rStyle w:val="Hyperlink"/>
          <w:i/>
        </w:rPr>
      </w:pPr>
      <w:r w:rsidRPr="00D43906">
        <w:rPr>
          <w:i/>
        </w:rPr>
        <w:t xml:space="preserve">From </w:t>
      </w:r>
      <w:r w:rsidR="00CA118A">
        <w:rPr>
          <w:i/>
        </w:rPr>
        <w:t>Dr Sharon Owen</w:t>
      </w:r>
      <w:r w:rsidRPr="00D43906">
        <w:rPr>
          <w:i/>
        </w:rPr>
        <w:t>, Coordinator, Global Initiative</w:t>
      </w:r>
      <w:r w:rsidR="00CE7B57">
        <w:rPr>
          <w:i/>
        </w:rPr>
        <w:t xml:space="preserve">, </w:t>
      </w:r>
      <w:hyperlink r:id="rId13" w:history="1">
        <w:r w:rsidR="00884559" w:rsidRPr="00A347B6">
          <w:rPr>
            <w:rStyle w:val="Hyperlink"/>
            <w:i/>
          </w:rPr>
          <w:t>sharon@endcorporalpunishment.org</w:t>
        </w:r>
      </w:hyperlink>
    </w:p>
    <w:p w14:paraId="123A4BDC" w14:textId="6159943F" w:rsidR="00726D20" w:rsidRPr="00726D20" w:rsidRDefault="00726D20" w:rsidP="00884559">
      <w:pPr>
        <w:spacing w:after="120"/>
        <w:rPr>
          <w:rStyle w:val="Hyperlink"/>
          <w:color w:val="000000" w:themeColor="text1"/>
          <w:u w:val="none"/>
        </w:rPr>
      </w:pPr>
    </w:p>
    <w:p w14:paraId="046D47E2" w14:textId="11634808" w:rsidR="00491D60" w:rsidRDefault="00491D60" w:rsidP="00884559">
      <w:pPr>
        <w:spacing w:after="120"/>
        <w:rPr>
          <w:rStyle w:val="Hyperlink"/>
          <w:i/>
        </w:rPr>
      </w:pPr>
    </w:p>
    <w:p w14:paraId="6C48E0F5" w14:textId="015359EF" w:rsidR="00491D60" w:rsidRPr="00491D60" w:rsidRDefault="008E1A9E" w:rsidP="00491D60">
      <w:pPr>
        <w:rPr>
          <w:b/>
          <w:i/>
        </w:rPr>
      </w:pPr>
      <w:r>
        <w:rPr>
          <w:noProof/>
        </w:rPr>
        <mc:AlternateContent>
          <mc:Choice Requires="wps">
            <w:drawing>
              <wp:anchor distT="0" distB="0" distL="114300" distR="114300" simplePos="0" relativeHeight="251657728" behindDoc="0" locked="0" layoutInCell="1" allowOverlap="1" wp14:anchorId="7344B0A4" wp14:editId="42C4FED8">
                <wp:simplePos x="0" y="0"/>
                <wp:positionH relativeFrom="margin">
                  <wp:posOffset>-20320</wp:posOffset>
                </wp:positionH>
                <wp:positionV relativeFrom="margin">
                  <wp:posOffset>2000250</wp:posOffset>
                </wp:positionV>
                <wp:extent cx="6306820" cy="4034790"/>
                <wp:effectExtent l="0" t="0" r="17780" b="292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820" cy="4034790"/>
                        </a:xfrm>
                        <a:prstGeom prst="rect">
                          <a:avLst/>
                        </a:prstGeom>
                        <a:noFill/>
                        <a:ln w="9525">
                          <a:solidFill>
                            <a:srgbClr val="000000"/>
                          </a:solidFill>
                          <a:miter lim="800000"/>
                          <a:headEnd/>
                          <a:tailEnd/>
                        </a:ln>
                      </wps:spPr>
                      <wps:txbx>
                        <w:txbxContent>
                          <w:p w14:paraId="79B3BFBB" w14:textId="47D1DF83" w:rsidR="00957038" w:rsidRPr="00DB1A94" w:rsidRDefault="00957038" w:rsidP="00DA3E1D">
                            <w:pPr>
                              <w:spacing w:after="120"/>
                              <w:rPr>
                                <w:b/>
                                <w:sz w:val="28"/>
                                <w:szCs w:val="28"/>
                              </w:rPr>
                            </w:pPr>
                            <w:r w:rsidRPr="00DB1A94">
                              <w:rPr>
                                <w:b/>
                                <w:sz w:val="28"/>
                                <w:szCs w:val="28"/>
                              </w:rPr>
                              <w:t>This briefing describes the legality of corporal punishment of children in</w:t>
                            </w:r>
                            <w:r w:rsidR="008E1A9E">
                              <w:rPr>
                                <w:b/>
                                <w:sz w:val="28"/>
                                <w:szCs w:val="28"/>
                              </w:rPr>
                              <w:t xml:space="preserve"> </w:t>
                            </w:r>
                            <w:r w:rsidR="00880071">
                              <w:rPr>
                                <w:b/>
                                <w:sz w:val="28"/>
                                <w:szCs w:val="28"/>
                              </w:rPr>
                              <w:t>Australia</w:t>
                            </w:r>
                            <w:r w:rsidRPr="00DB1A94">
                              <w:rPr>
                                <w:b/>
                                <w:sz w:val="28"/>
                                <w:szCs w:val="28"/>
                              </w:rPr>
                              <w:t>. In light of the obligation under international human rights law to prohibit all corporal punishment of children, the recommendations of the UN Secretary General’s Stu</w:t>
                            </w:r>
                            <w:r>
                              <w:rPr>
                                <w:b/>
                                <w:sz w:val="28"/>
                                <w:szCs w:val="28"/>
                              </w:rPr>
                              <w:t xml:space="preserve">dy on Violence against Children, the previous recommendations to prohibit corporal punishment made to </w:t>
                            </w:r>
                            <w:r w:rsidR="00880071">
                              <w:rPr>
                                <w:b/>
                                <w:sz w:val="28"/>
                                <w:szCs w:val="28"/>
                              </w:rPr>
                              <w:t>Australia</w:t>
                            </w:r>
                            <w:r>
                              <w:rPr>
                                <w:b/>
                                <w:sz w:val="28"/>
                                <w:szCs w:val="28"/>
                              </w:rPr>
                              <w:t xml:space="preserve"> b</w:t>
                            </w:r>
                            <w:r w:rsidR="008E1A9E">
                              <w:rPr>
                                <w:b/>
                                <w:sz w:val="28"/>
                                <w:szCs w:val="28"/>
                              </w:rPr>
                              <w:t>y the Committee Against Torture</w:t>
                            </w:r>
                            <w:r w:rsidR="00880071">
                              <w:rPr>
                                <w:b/>
                                <w:sz w:val="28"/>
                                <w:szCs w:val="28"/>
                              </w:rPr>
                              <w:t>, the Committee on the Rights of the Child</w:t>
                            </w:r>
                            <w:r>
                              <w:rPr>
                                <w:b/>
                                <w:sz w:val="28"/>
                                <w:szCs w:val="28"/>
                              </w:rPr>
                              <w:t xml:space="preserve"> and during the UPR, </w:t>
                            </w:r>
                            <w:r w:rsidR="00880071">
                              <w:rPr>
                                <w:b/>
                                <w:sz w:val="28"/>
                                <w:szCs w:val="28"/>
                              </w:rPr>
                              <w:t>and the new global commitment to ending all violence against children in the context of the 2030 Agenda for Sustainable Development,</w:t>
                            </w:r>
                            <w:r>
                              <w:rPr>
                                <w:b/>
                                <w:sz w:val="28"/>
                                <w:szCs w:val="28"/>
                              </w:rPr>
                              <w:t xml:space="preserve"> </w:t>
                            </w:r>
                            <w:r w:rsidRPr="00DB1A94">
                              <w:rPr>
                                <w:b/>
                                <w:sz w:val="28"/>
                                <w:szCs w:val="28"/>
                              </w:rPr>
                              <w:t xml:space="preserve">we hope the </w:t>
                            </w:r>
                            <w:r>
                              <w:rPr>
                                <w:b/>
                                <w:sz w:val="28"/>
                                <w:szCs w:val="28"/>
                              </w:rPr>
                              <w:t>Committee Against Torture</w:t>
                            </w:r>
                            <w:r w:rsidRPr="00DB1A94">
                              <w:rPr>
                                <w:b/>
                                <w:sz w:val="28"/>
                                <w:szCs w:val="28"/>
                              </w:rPr>
                              <w:t xml:space="preserve"> will:</w:t>
                            </w:r>
                          </w:p>
                          <w:p w14:paraId="7FCF5474" w14:textId="78CC96A0" w:rsidR="00957038" w:rsidRPr="00DB1A94" w:rsidRDefault="00957038" w:rsidP="002F2E23">
                            <w:pPr>
                              <w:numPr>
                                <w:ilvl w:val="0"/>
                                <w:numId w:val="4"/>
                              </w:numPr>
                              <w:spacing w:after="120"/>
                              <w:ind w:left="714" w:hanging="357"/>
                              <w:rPr>
                                <w:b/>
                                <w:sz w:val="28"/>
                                <w:szCs w:val="28"/>
                              </w:rPr>
                            </w:pPr>
                            <w:r w:rsidRPr="00DB1A94">
                              <w:rPr>
                                <w:b/>
                                <w:sz w:val="28"/>
                                <w:szCs w:val="28"/>
                              </w:rPr>
                              <w:t xml:space="preserve">raise the issue of corporal punishment of children in its List of Issues </w:t>
                            </w:r>
                            <w:r>
                              <w:rPr>
                                <w:b/>
                                <w:sz w:val="28"/>
                                <w:szCs w:val="28"/>
                              </w:rPr>
                              <w:t xml:space="preserve">Prior to Reporting </w:t>
                            </w:r>
                            <w:r w:rsidRPr="00DB1A94">
                              <w:rPr>
                                <w:b/>
                                <w:sz w:val="28"/>
                                <w:szCs w:val="28"/>
                              </w:rPr>
                              <w:t xml:space="preserve">for </w:t>
                            </w:r>
                            <w:r w:rsidR="00880071">
                              <w:rPr>
                                <w:b/>
                                <w:sz w:val="28"/>
                                <w:szCs w:val="28"/>
                              </w:rPr>
                              <w:t>Australia</w:t>
                            </w:r>
                            <w:r w:rsidRPr="00DB1A94">
                              <w:rPr>
                                <w:b/>
                                <w:sz w:val="28"/>
                                <w:szCs w:val="28"/>
                              </w:rPr>
                              <w:t xml:space="preserve">, in particular asking what </w:t>
                            </w:r>
                            <w:r>
                              <w:rPr>
                                <w:b/>
                                <w:sz w:val="28"/>
                                <w:szCs w:val="28"/>
                              </w:rPr>
                              <w:t xml:space="preserve">measures are being taken to </w:t>
                            </w:r>
                            <w:r w:rsidR="00880071">
                              <w:rPr>
                                <w:b/>
                                <w:sz w:val="28"/>
                                <w:szCs w:val="28"/>
                              </w:rPr>
                              <w:t xml:space="preserve">ensure Australian law clearly prohibits all </w:t>
                            </w:r>
                            <w:r w:rsidRPr="00DB1A94">
                              <w:rPr>
                                <w:b/>
                                <w:sz w:val="28"/>
                                <w:szCs w:val="28"/>
                              </w:rPr>
                              <w:t xml:space="preserve">corporal punishment </w:t>
                            </w:r>
                            <w:r w:rsidR="00880071">
                              <w:rPr>
                                <w:b/>
                                <w:sz w:val="28"/>
                                <w:szCs w:val="28"/>
                              </w:rPr>
                              <w:t xml:space="preserve">of children, including </w:t>
                            </w:r>
                            <w:r w:rsidRPr="00DB1A94">
                              <w:rPr>
                                <w:b/>
                                <w:sz w:val="28"/>
                                <w:szCs w:val="28"/>
                              </w:rPr>
                              <w:t xml:space="preserve">in </w:t>
                            </w:r>
                            <w:r>
                              <w:rPr>
                                <w:b/>
                                <w:sz w:val="28"/>
                                <w:szCs w:val="28"/>
                              </w:rPr>
                              <w:t>the home</w:t>
                            </w:r>
                            <w:r w:rsidRPr="00DB1A94">
                              <w:rPr>
                                <w:b/>
                                <w:sz w:val="28"/>
                                <w:szCs w:val="28"/>
                              </w:rPr>
                              <w:t>, and</w:t>
                            </w:r>
                          </w:p>
                          <w:p w14:paraId="4FE7D928" w14:textId="1A8892CC" w:rsidR="00957038" w:rsidRPr="00DB1A94" w:rsidRDefault="00957038" w:rsidP="002F2E23">
                            <w:pPr>
                              <w:numPr>
                                <w:ilvl w:val="0"/>
                                <w:numId w:val="4"/>
                              </w:numPr>
                              <w:spacing w:after="120"/>
                              <w:ind w:left="714" w:hanging="357"/>
                              <w:rPr>
                                <w:b/>
                                <w:sz w:val="28"/>
                                <w:szCs w:val="28"/>
                              </w:rPr>
                            </w:pPr>
                            <w:r w:rsidRPr="00DB1A94">
                              <w:rPr>
                                <w:b/>
                                <w:sz w:val="28"/>
                                <w:szCs w:val="28"/>
                              </w:rPr>
                              <w:t xml:space="preserve">recommend to </w:t>
                            </w:r>
                            <w:r w:rsidR="00880071">
                              <w:rPr>
                                <w:b/>
                                <w:sz w:val="28"/>
                                <w:szCs w:val="28"/>
                              </w:rPr>
                              <w:t>Australia</w:t>
                            </w:r>
                            <w:r w:rsidRPr="00DB1A94">
                              <w:rPr>
                                <w:b/>
                                <w:sz w:val="28"/>
                                <w:szCs w:val="28"/>
                              </w:rPr>
                              <w:t>, following its examination of the state party</w:t>
                            </w:r>
                            <w:r>
                              <w:rPr>
                                <w:b/>
                                <w:sz w:val="28"/>
                                <w:szCs w:val="28"/>
                              </w:rPr>
                              <w:t xml:space="preserve">’s </w:t>
                            </w:r>
                            <w:r w:rsidRPr="00DB1A94">
                              <w:rPr>
                                <w:b/>
                                <w:sz w:val="28"/>
                                <w:szCs w:val="28"/>
                              </w:rPr>
                              <w:t xml:space="preserve">report, that legislation is enacted </w:t>
                            </w:r>
                            <w:r w:rsidR="008E1A9E">
                              <w:rPr>
                                <w:b/>
                                <w:sz w:val="28"/>
                                <w:szCs w:val="28"/>
                              </w:rPr>
                              <w:t>as a matter of priority</w:t>
                            </w:r>
                            <w:r w:rsidRPr="00DB1A94">
                              <w:rPr>
                                <w:b/>
                                <w:sz w:val="28"/>
                                <w:szCs w:val="28"/>
                              </w:rPr>
                              <w:t xml:space="preserve"> which </w:t>
                            </w:r>
                            <w:r w:rsidR="00880071">
                              <w:rPr>
                                <w:b/>
                                <w:sz w:val="28"/>
                                <w:szCs w:val="28"/>
                              </w:rPr>
                              <w:t>clearly</w:t>
                            </w:r>
                            <w:r w:rsidRPr="00DB1A94">
                              <w:rPr>
                                <w:b/>
                                <w:sz w:val="28"/>
                                <w:szCs w:val="28"/>
                              </w:rPr>
                              <w:t xml:space="preserve"> prohibits corporal punishment in the home</w:t>
                            </w:r>
                            <w:r>
                              <w:rPr>
                                <w:b/>
                                <w:sz w:val="28"/>
                                <w:szCs w:val="28"/>
                              </w:rPr>
                              <w:t xml:space="preserve"> and all other settings</w:t>
                            </w:r>
                            <w:r w:rsidR="00880071">
                              <w:rPr>
                                <w:b/>
                                <w:sz w:val="28"/>
                                <w:szCs w:val="28"/>
                              </w:rPr>
                              <w:t xml:space="preserve"> and explicitly repeals all legal defences for the use of corporal punishment in childrearing</w:t>
                            </w:r>
                            <w:r w:rsidRPr="00DB1A94">
                              <w:rPr>
                                <w:b/>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type w14:anchorId="7344B0A4" id="_x0000_t202" coordsize="21600,21600" o:spt="202" path="m0,0l0,21600,21600,21600,21600,0xe">
                <v:stroke joinstyle="miter"/>
                <v:path gradientshapeok="t" o:connecttype="rect"/>
              </v:shapetype>
              <v:shape id="Text Box 2" o:spid="_x0000_s1026" type="#_x0000_t202" style="position:absolute;margin-left:-1.6pt;margin-top:157.5pt;width:496.6pt;height:317.7pt;z-index:251657728;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" filled="f">
                <v:textbox style="mso-fit-shape-to-text:t">
                  <w:txbxContent>
                    <w:p w14:paraId="79B3BFBB" w14:textId="47D1DF83" w:rsidR="00957038" w:rsidRPr="00DB1A94" w:rsidRDefault="00957038" w:rsidP="00DA3E1D">
                      <w:pPr>
                        <w:spacing w:after="120"/>
                        <w:rPr>
                          <w:b/>
                          <w:sz w:val="28"/>
                          <w:szCs w:val="28"/>
                        </w:rPr>
                      </w:pPr>
                      <w:r w:rsidRPr="00DB1A94">
                        <w:rPr>
                          <w:b/>
                          <w:sz w:val="28"/>
                          <w:szCs w:val="28"/>
                        </w:rPr>
                        <w:t>This briefing describes the legality of corporal punishment of children in</w:t>
                      </w:r>
                      <w:r w:rsidR="008E1A9E">
                        <w:rPr>
                          <w:b/>
                          <w:sz w:val="28"/>
                          <w:szCs w:val="28"/>
                        </w:rPr>
                        <w:t xml:space="preserve"> </w:t>
                      </w:r>
                      <w:r w:rsidR="00880071">
                        <w:rPr>
                          <w:b/>
                          <w:sz w:val="28"/>
                          <w:szCs w:val="28"/>
                        </w:rPr>
                        <w:t>Australia</w:t>
                      </w:r>
                      <w:r w:rsidRPr="00DB1A94">
                        <w:rPr>
                          <w:b/>
                          <w:sz w:val="28"/>
                          <w:szCs w:val="28"/>
                        </w:rPr>
                        <w:t>. In light of the obligation under international human rights law to prohibit all corporal punishment of children, the recommendations of the UN Secretary General’s Stu</w:t>
                      </w:r>
                      <w:r>
                        <w:rPr>
                          <w:b/>
                          <w:sz w:val="28"/>
                          <w:szCs w:val="28"/>
                        </w:rPr>
                        <w:t xml:space="preserve">dy on Violence against Children, the previous recommendations to prohibit corporal punishment made to </w:t>
                      </w:r>
                      <w:r w:rsidR="00880071">
                        <w:rPr>
                          <w:b/>
                          <w:sz w:val="28"/>
                          <w:szCs w:val="28"/>
                        </w:rPr>
                        <w:t>Australia</w:t>
                      </w:r>
                      <w:r>
                        <w:rPr>
                          <w:b/>
                          <w:sz w:val="28"/>
                          <w:szCs w:val="28"/>
                        </w:rPr>
                        <w:t xml:space="preserve"> b</w:t>
                      </w:r>
                      <w:r w:rsidR="008E1A9E">
                        <w:rPr>
                          <w:b/>
                          <w:sz w:val="28"/>
                          <w:szCs w:val="28"/>
                        </w:rPr>
                        <w:t>y the Committee Against Torture</w:t>
                      </w:r>
                      <w:r w:rsidR="00880071">
                        <w:rPr>
                          <w:b/>
                          <w:sz w:val="28"/>
                          <w:szCs w:val="28"/>
                        </w:rPr>
                        <w:t>, the Committee on the Rights of the Child</w:t>
                      </w:r>
                      <w:r>
                        <w:rPr>
                          <w:b/>
                          <w:sz w:val="28"/>
                          <w:szCs w:val="28"/>
                        </w:rPr>
                        <w:t xml:space="preserve"> and during the UPR, </w:t>
                      </w:r>
                      <w:r w:rsidR="00880071">
                        <w:rPr>
                          <w:b/>
                          <w:sz w:val="28"/>
                          <w:szCs w:val="28"/>
                        </w:rPr>
                        <w:t>and the new global commitment to ending all violence against children in the context of the 2030 Agenda for Sustainable Development,</w:t>
                      </w:r>
                      <w:r>
                        <w:rPr>
                          <w:b/>
                          <w:sz w:val="28"/>
                          <w:szCs w:val="28"/>
                        </w:rPr>
                        <w:t xml:space="preserve"> </w:t>
                      </w:r>
                      <w:r w:rsidRPr="00DB1A94">
                        <w:rPr>
                          <w:b/>
                          <w:sz w:val="28"/>
                          <w:szCs w:val="28"/>
                        </w:rPr>
                        <w:t xml:space="preserve">we hope the </w:t>
                      </w:r>
                      <w:r>
                        <w:rPr>
                          <w:b/>
                          <w:sz w:val="28"/>
                          <w:szCs w:val="28"/>
                        </w:rPr>
                        <w:t>Committee Against Torture</w:t>
                      </w:r>
                      <w:r w:rsidRPr="00DB1A94">
                        <w:rPr>
                          <w:b/>
                          <w:sz w:val="28"/>
                          <w:szCs w:val="28"/>
                        </w:rPr>
                        <w:t xml:space="preserve"> will:</w:t>
                      </w:r>
                    </w:p>
                    <w:p w14:paraId="7FCF5474" w14:textId="78CC96A0" w:rsidR="00957038" w:rsidRPr="00DB1A94" w:rsidRDefault="00957038" w:rsidP="002F2E23">
                      <w:pPr>
                        <w:numPr>
                          <w:ilvl w:val="0"/>
                          <w:numId w:val="4"/>
                        </w:numPr>
                        <w:spacing w:after="120"/>
                        <w:ind w:left="714" w:hanging="357"/>
                        <w:rPr>
                          <w:b/>
                          <w:sz w:val="28"/>
                          <w:szCs w:val="28"/>
                        </w:rPr>
                      </w:pPr>
                      <w:r w:rsidRPr="00DB1A94">
                        <w:rPr>
                          <w:b/>
                          <w:sz w:val="28"/>
                          <w:szCs w:val="28"/>
                        </w:rPr>
                        <w:t xml:space="preserve">raise the issue of corporal punishment of children in its List of Issues </w:t>
                      </w:r>
                      <w:r>
                        <w:rPr>
                          <w:b/>
                          <w:sz w:val="28"/>
                          <w:szCs w:val="28"/>
                        </w:rPr>
                        <w:t xml:space="preserve">Prior to Reporting </w:t>
                      </w:r>
                      <w:r w:rsidRPr="00DB1A94">
                        <w:rPr>
                          <w:b/>
                          <w:sz w:val="28"/>
                          <w:szCs w:val="28"/>
                        </w:rPr>
                        <w:t xml:space="preserve">for </w:t>
                      </w:r>
                      <w:r w:rsidR="00880071">
                        <w:rPr>
                          <w:b/>
                          <w:sz w:val="28"/>
                          <w:szCs w:val="28"/>
                        </w:rPr>
                        <w:t>Australia</w:t>
                      </w:r>
                      <w:r w:rsidRPr="00DB1A94">
                        <w:rPr>
                          <w:b/>
                          <w:sz w:val="28"/>
                          <w:szCs w:val="28"/>
                        </w:rPr>
                        <w:t xml:space="preserve">, in particular asking what </w:t>
                      </w:r>
                      <w:r>
                        <w:rPr>
                          <w:b/>
                          <w:sz w:val="28"/>
                          <w:szCs w:val="28"/>
                        </w:rPr>
                        <w:t xml:space="preserve">measures are being taken to </w:t>
                      </w:r>
                      <w:r w:rsidR="00880071">
                        <w:rPr>
                          <w:b/>
                          <w:sz w:val="28"/>
                          <w:szCs w:val="28"/>
                        </w:rPr>
                        <w:t xml:space="preserve">ensure Australian law clearly prohibits all </w:t>
                      </w:r>
                      <w:r w:rsidRPr="00DB1A94">
                        <w:rPr>
                          <w:b/>
                          <w:sz w:val="28"/>
                          <w:szCs w:val="28"/>
                        </w:rPr>
                        <w:t xml:space="preserve">corporal punishment </w:t>
                      </w:r>
                      <w:r w:rsidR="00880071">
                        <w:rPr>
                          <w:b/>
                          <w:sz w:val="28"/>
                          <w:szCs w:val="28"/>
                        </w:rPr>
                        <w:t xml:space="preserve">of children, including </w:t>
                      </w:r>
                      <w:r w:rsidRPr="00DB1A94">
                        <w:rPr>
                          <w:b/>
                          <w:sz w:val="28"/>
                          <w:szCs w:val="28"/>
                        </w:rPr>
                        <w:t xml:space="preserve">in </w:t>
                      </w:r>
                      <w:r>
                        <w:rPr>
                          <w:b/>
                          <w:sz w:val="28"/>
                          <w:szCs w:val="28"/>
                        </w:rPr>
                        <w:t>the home</w:t>
                      </w:r>
                      <w:r w:rsidRPr="00DB1A94">
                        <w:rPr>
                          <w:b/>
                          <w:sz w:val="28"/>
                          <w:szCs w:val="28"/>
                        </w:rPr>
                        <w:t>, and</w:t>
                      </w:r>
                    </w:p>
                    <w:p w14:paraId="4FE7D928" w14:textId="1A8892CC" w:rsidR="00957038" w:rsidRPr="00DB1A94" w:rsidRDefault="00957038" w:rsidP="002F2E23">
                      <w:pPr>
                        <w:numPr>
                          <w:ilvl w:val="0"/>
                          <w:numId w:val="4"/>
                        </w:numPr>
                        <w:spacing w:after="120"/>
                        <w:ind w:left="714" w:hanging="357"/>
                        <w:rPr>
                          <w:b/>
                          <w:sz w:val="28"/>
                          <w:szCs w:val="28"/>
                        </w:rPr>
                      </w:pPr>
                      <w:r w:rsidRPr="00DB1A94">
                        <w:rPr>
                          <w:b/>
                          <w:sz w:val="28"/>
                          <w:szCs w:val="28"/>
                        </w:rPr>
                        <w:t xml:space="preserve">recommend to </w:t>
                      </w:r>
                      <w:r w:rsidR="00880071">
                        <w:rPr>
                          <w:b/>
                          <w:sz w:val="28"/>
                          <w:szCs w:val="28"/>
                        </w:rPr>
                        <w:t>Australia</w:t>
                      </w:r>
                      <w:r w:rsidRPr="00DB1A94">
                        <w:rPr>
                          <w:b/>
                          <w:sz w:val="28"/>
                          <w:szCs w:val="28"/>
                        </w:rPr>
                        <w:t>, following its examination of the state party</w:t>
                      </w:r>
                      <w:r>
                        <w:rPr>
                          <w:b/>
                          <w:sz w:val="28"/>
                          <w:szCs w:val="28"/>
                        </w:rPr>
                        <w:t xml:space="preserve">’s </w:t>
                      </w:r>
                      <w:r w:rsidRPr="00DB1A94">
                        <w:rPr>
                          <w:b/>
                          <w:sz w:val="28"/>
                          <w:szCs w:val="28"/>
                        </w:rPr>
                        <w:t xml:space="preserve">report, that legislation is enacted </w:t>
                      </w:r>
                      <w:r w:rsidR="008E1A9E">
                        <w:rPr>
                          <w:b/>
                          <w:sz w:val="28"/>
                          <w:szCs w:val="28"/>
                        </w:rPr>
                        <w:t>as a matter of priority</w:t>
                      </w:r>
                      <w:r w:rsidRPr="00DB1A94">
                        <w:rPr>
                          <w:b/>
                          <w:sz w:val="28"/>
                          <w:szCs w:val="28"/>
                        </w:rPr>
                        <w:t xml:space="preserve"> which </w:t>
                      </w:r>
                      <w:r w:rsidR="00880071">
                        <w:rPr>
                          <w:b/>
                          <w:sz w:val="28"/>
                          <w:szCs w:val="28"/>
                        </w:rPr>
                        <w:t>clearly</w:t>
                      </w:r>
                      <w:r w:rsidRPr="00DB1A94">
                        <w:rPr>
                          <w:b/>
                          <w:sz w:val="28"/>
                          <w:szCs w:val="28"/>
                        </w:rPr>
                        <w:t xml:space="preserve"> prohibits corporal punishment in the home</w:t>
                      </w:r>
                      <w:r>
                        <w:rPr>
                          <w:b/>
                          <w:sz w:val="28"/>
                          <w:szCs w:val="28"/>
                        </w:rPr>
                        <w:t xml:space="preserve"> and all other settings</w:t>
                      </w:r>
                      <w:r w:rsidR="00880071">
                        <w:rPr>
                          <w:b/>
                          <w:sz w:val="28"/>
                          <w:szCs w:val="28"/>
                        </w:rPr>
                        <w:t xml:space="preserve"> and explicitly repeals all legal defences for the use of corporal punishment in childrearing</w:t>
                      </w:r>
                      <w:r w:rsidRPr="00DB1A94">
                        <w:rPr>
                          <w:b/>
                          <w:sz w:val="28"/>
                          <w:szCs w:val="28"/>
                        </w:rPr>
                        <w:t>.</w:t>
                      </w:r>
                    </w:p>
                  </w:txbxContent>
                </v:textbox>
                <w10:wrap type="square" anchorx="margin" anchory="margin"/>
              </v:shape>
            </w:pict>
          </mc:Fallback>
        </mc:AlternateContent>
      </w:r>
    </w:p>
    <w:p w14:paraId="2D7A0162" w14:textId="6DB9F5F5" w:rsidR="0010622D" w:rsidRPr="00491D60" w:rsidRDefault="0010622D" w:rsidP="00491D60">
      <w:pPr>
        <w:spacing w:after="120"/>
        <w:rPr>
          <w:b/>
          <w:sz w:val="28"/>
          <w:szCs w:val="28"/>
        </w:rPr>
      </w:pPr>
      <w:bookmarkStart w:id="1" w:name="OLE_LINK52"/>
      <w:bookmarkStart w:id="2" w:name="OLE_LINK53"/>
    </w:p>
    <w:p w14:paraId="3C93C8EB" w14:textId="7D577C93" w:rsidR="0010622D" w:rsidRPr="00294DD9" w:rsidRDefault="00AA3AD4" w:rsidP="00957038">
      <w:pPr>
        <w:tabs>
          <w:tab w:val="left" w:pos="8244"/>
          <w:tab w:val="left" w:pos="9160"/>
          <w:tab w:val="left" w:pos="10076"/>
          <w:tab w:val="left" w:pos="10992"/>
          <w:tab w:val="left" w:pos="11908"/>
          <w:tab w:val="left" w:pos="12824"/>
          <w:tab w:val="left" w:pos="13740"/>
          <w:tab w:val="left" w:pos="14656"/>
        </w:tabs>
        <w:spacing w:after="120"/>
        <w:ind w:left="482" w:hanging="482"/>
        <w:rPr>
          <w:b/>
          <w:sz w:val="28"/>
          <w:szCs w:val="28"/>
        </w:rPr>
      </w:pPr>
      <w:r>
        <w:rPr>
          <w:b/>
          <w:sz w:val="28"/>
          <w:szCs w:val="28"/>
        </w:rPr>
        <w:t>1</w:t>
      </w:r>
      <w:r w:rsidR="00294DD9">
        <w:rPr>
          <w:b/>
          <w:sz w:val="28"/>
          <w:szCs w:val="28"/>
        </w:rPr>
        <w:t xml:space="preserve"> </w:t>
      </w:r>
      <w:r w:rsidR="0010622D" w:rsidRPr="00294DD9">
        <w:rPr>
          <w:b/>
          <w:sz w:val="28"/>
          <w:szCs w:val="28"/>
        </w:rPr>
        <w:t>The legality of corporal p</w:t>
      </w:r>
      <w:r>
        <w:rPr>
          <w:b/>
          <w:sz w:val="28"/>
          <w:szCs w:val="28"/>
        </w:rPr>
        <w:t xml:space="preserve">unishment of children in </w:t>
      </w:r>
      <w:r w:rsidR="00880071">
        <w:rPr>
          <w:b/>
          <w:sz w:val="28"/>
          <w:szCs w:val="28"/>
        </w:rPr>
        <w:t>Australia</w:t>
      </w:r>
    </w:p>
    <w:p w14:paraId="55883CFD" w14:textId="44251091" w:rsidR="00880071" w:rsidRDefault="00957038" w:rsidP="00726D20">
      <w:pPr>
        <w:tabs>
          <w:tab w:val="left" w:pos="8244"/>
          <w:tab w:val="left" w:pos="9160"/>
          <w:tab w:val="left" w:pos="10076"/>
          <w:tab w:val="left" w:pos="10992"/>
          <w:tab w:val="left" w:pos="11908"/>
          <w:tab w:val="left" w:pos="12824"/>
          <w:tab w:val="left" w:pos="13740"/>
          <w:tab w:val="left" w:pos="14656"/>
        </w:tabs>
        <w:spacing w:after="120"/>
        <w:ind w:left="284" w:hanging="284"/>
        <w:rPr>
          <w:szCs w:val="26"/>
        </w:rPr>
      </w:pPr>
      <w:r>
        <w:rPr>
          <w:szCs w:val="26"/>
        </w:rPr>
        <w:t>1</w:t>
      </w:r>
      <w:r w:rsidR="00967613" w:rsidRPr="00967613">
        <w:rPr>
          <w:szCs w:val="26"/>
        </w:rPr>
        <w:t xml:space="preserve">.1 </w:t>
      </w:r>
      <w:r w:rsidR="00967613" w:rsidRPr="00967613">
        <w:rPr>
          <w:b/>
          <w:i/>
          <w:szCs w:val="26"/>
        </w:rPr>
        <w:t>Summary:</w:t>
      </w:r>
      <w:r w:rsidR="00967613" w:rsidRPr="00967613">
        <w:rPr>
          <w:i/>
          <w:szCs w:val="26"/>
        </w:rPr>
        <w:t xml:space="preserve"> </w:t>
      </w:r>
      <w:r w:rsidR="00726D20">
        <w:rPr>
          <w:szCs w:val="26"/>
        </w:rPr>
        <w:t>C</w:t>
      </w:r>
      <w:r w:rsidR="00967613" w:rsidRPr="00967613">
        <w:rPr>
          <w:szCs w:val="26"/>
        </w:rPr>
        <w:t xml:space="preserve">orporal punishment </w:t>
      </w:r>
      <w:r w:rsidR="0010622D">
        <w:rPr>
          <w:szCs w:val="26"/>
        </w:rPr>
        <w:t xml:space="preserve">of children </w:t>
      </w:r>
      <w:r w:rsidR="00967613" w:rsidRPr="00967613">
        <w:rPr>
          <w:szCs w:val="26"/>
        </w:rPr>
        <w:t xml:space="preserve">is </w:t>
      </w:r>
      <w:r w:rsidR="00880071">
        <w:rPr>
          <w:szCs w:val="26"/>
        </w:rPr>
        <w:t>lawful in the home in all states and territories</w:t>
      </w:r>
      <w:r w:rsidR="00726D20">
        <w:rPr>
          <w:szCs w:val="26"/>
        </w:rPr>
        <w:t xml:space="preserve"> in Australia</w:t>
      </w:r>
      <w:r w:rsidR="00880071">
        <w:rPr>
          <w:szCs w:val="26"/>
        </w:rPr>
        <w:t>; it is unlawful as a sentence for crime throughout the state party. With regard to other settings – alternative care settings, day care, schools and penal institutions –</w:t>
      </w:r>
      <w:r w:rsidR="00726D20">
        <w:rPr>
          <w:szCs w:val="26"/>
        </w:rPr>
        <w:t xml:space="preserve"> corporal punishment</w:t>
      </w:r>
      <w:r w:rsidR="00880071">
        <w:rPr>
          <w:szCs w:val="26"/>
        </w:rPr>
        <w:t xml:space="preserve"> is prohibited in some but not all states and territories. The legality in each state and territory is summarised in the following table, with further detail</w:t>
      </w:r>
      <w:r w:rsidR="00D9604D">
        <w:rPr>
          <w:szCs w:val="26"/>
        </w:rPr>
        <w:t>s</w:t>
      </w:r>
      <w:r w:rsidR="00880071">
        <w:rPr>
          <w:szCs w:val="26"/>
        </w:rPr>
        <w:t xml:space="preserve"> set out below.</w:t>
      </w:r>
    </w:p>
    <w:p w14:paraId="0C8FC1AE" w14:textId="4BCF1C86" w:rsidR="00967613" w:rsidRDefault="00967613" w:rsidP="00726D20">
      <w:pPr>
        <w:tabs>
          <w:tab w:val="left" w:pos="8244"/>
          <w:tab w:val="left" w:pos="9160"/>
          <w:tab w:val="left" w:pos="10076"/>
          <w:tab w:val="left" w:pos="10992"/>
          <w:tab w:val="left" w:pos="11908"/>
          <w:tab w:val="left" w:pos="12824"/>
          <w:tab w:val="left" w:pos="13740"/>
          <w:tab w:val="left" w:pos="14656"/>
        </w:tabs>
        <w:spacing w:after="120"/>
        <w:ind w:left="284" w:hanging="284"/>
        <w:rPr>
          <w:szCs w:val="26"/>
        </w:rPr>
      </w:pPr>
    </w:p>
    <w:p w14:paraId="0AC22814" w14:textId="77777777" w:rsidR="00880071" w:rsidRDefault="00880071" w:rsidP="008E1A9E">
      <w:pPr>
        <w:tabs>
          <w:tab w:val="left" w:pos="8244"/>
          <w:tab w:val="left" w:pos="9160"/>
          <w:tab w:val="left" w:pos="10076"/>
          <w:tab w:val="left" w:pos="10992"/>
          <w:tab w:val="left" w:pos="11908"/>
          <w:tab w:val="left" w:pos="12824"/>
          <w:tab w:val="left" w:pos="13740"/>
          <w:tab w:val="left" w:pos="14656"/>
        </w:tabs>
        <w:spacing w:after="120"/>
        <w:ind w:left="482" w:hanging="482"/>
        <w:rPr>
          <w:szCs w:val="2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1276"/>
        <w:gridCol w:w="1417"/>
        <w:gridCol w:w="1276"/>
        <w:gridCol w:w="1284"/>
        <w:gridCol w:w="1172"/>
        <w:gridCol w:w="1230"/>
      </w:tblGrid>
      <w:tr w:rsidR="00880071" w:rsidRPr="008E5015" w14:paraId="6DE61010" w14:textId="77777777" w:rsidTr="008E52A0">
        <w:trPr>
          <w:cantSplit/>
          <w:tblHeader/>
        </w:trPr>
        <w:tc>
          <w:tcPr>
            <w:tcW w:w="2518" w:type="dxa"/>
            <w:shd w:val="clear" w:color="auto" w:fill="F2F2F2" w:themeFill="background1" w:themeFillShade="F2"/>
          </w:tcPr>
          <w:p w14:paraId="6A3CE4FC" w14:textId="77777777" w:rsidR="00880071" w:rsidRPr="008E5015" w:rsidRDefault="00880071" w:rsidP="008E52A0">
            <w:pPr>
              <w:spacing w:after="120"/>
              <w:rPr>
                <w:b/>
                <w:sz w:val="20"/>
                <w:szCs w:val="20"/>
              </w:rPr>
            </w:pPr>
            <w:r w:rsidRPr="008E5015">
              <w:rPr>
                <w:b/>
                <w:sz w:val="20"/>
                <w:szCs w:val="20"/>
              </w:rPr>
              <w:lastRenderedPageBreak/>
              <w:t>State/territory</w:t>
            </w:r>
          </w:p>
        </w:tc>
        <w:tc>
          <w:tcPr>
            <w:tcW w:w="1276" w:type="dxa"/>
            <w:shd w:val="clear" w:color="auto" w:fill="F2F2F2" w:themeFill="background1" w:themeFillShade="F2"/>
          </w:tcPr>
          <w:p w14:paraId="3D298505" w14:textId="77777777" w:rsidR="00880071" w:rsidRPr="008E5015" w:rsidRDefault="00880071" w:rsidP="008E52A0">
            <w:pPr>
              <w:spacing w:after="120"/>
              <w:rPr>
                <w:b/>
                <w:sz w:val="20"/>
                <w:szCs w:val="20"/>
              </w:rPr>
            </w:pPr>
            <w:r w:rsidRPr="008E5015">
              <w:rPr>
                <w:b/>
                <w:sz w:val="20"/>
                <w:szCs w:val="20"/>
              </w:rPr>
              <w:t>Prohibited in the home</w:t>
            </w:r>
          </w:p>
        </w:tc>
        <w:tc>
          <w:tcPr>
            <w:tcW w:w="1417" w:type="dxa"/>
            <w:shd w:val="clear" w:color="auto" w:fill="F2F2F2" w:themeFill="background1" w:themeFillShade="F2"/>
          </w:tcPr>
          <w:p w14:paraId="7CE0E9C1" w14:textId="77777777" w:rsidR="00880071" w:rsidRPr="008E5015" w:rsidRDefault="00880071" w:rsidP="008E52A0">
            <w:pPr>
              <w:spacing w:after="120"/>
              <w:rPr>
                <w:b/>
                <w:sz w:val="20"/>
                <w:szCs w:val="20"/>
              </w:rPr>
            </w:pPr>
            <w:r w:rsidRPr="008E5015">
              <w:rPr>
                <w:b/>
                <w:sz w:val="20"/>
                <w:szCs w:val="20"/>
              </w:rPr>
              <w:t>Prohibited in alternative care settings</w:t>
            </w:r>
          </w:p>
        </w:tc>
        <w:tc>
          <w:tcPr>
            <w:tcW w:w="1276" w:type="dxa"/>
            <w:shd w:val="clear" w:color="auto" w:fill="F2F2F2" w:themeFill="background1" w:themeFillShade="F2"/>
          </w:tcPr>
          <w:p w14:paraId="5B748241" w14:textId="77777777" w:rsidR="00880071" w:rsidRPr="008E5015" w:rsidRDefault="00880071" w:rsidP="008E52A0">
            <w:pPr>
              <w:spacing w:after="120"/>
              <w:rPr>
                <w:b/>
                <w:sz w:val="20"/>
                <w:szCs w:val="20"/>
              </w:rPr>
            </w:pPr>
            <w:r w:rsidRPr="008E5015">
              <w:rPr>
                <w:b/>
                <w:sz w:val="20"/>
                <w:szCs w:val="20"/>
              </w:rPr>
              <w:t>Prohibited in day care</w:t>
            </w:r>
          </w:p>
        </w:tc>
        <w:tc>
          <w:tcPr>
            <w:tcW w:w="1284" w:type="dxa"/>
            <w:shd w:val="clear" w:color="auto" w:fill="F2F2F2" w:themeFill="background1" w:themeFillShade="F2"/>
          </w:tcPr>
          <w:p w14:paraId="1FB5DC3F" w14:textId="77777777" w:rsidR="00880071" w:rsidRPr="008E5015" w:rsidRDefault="00880071" w:rsidP="008E52A0">
            <w:pPr>
              <w:spacing w:after="120"/>
              <w:rPr>
                <w:b/>
                <w:sz w:val="20"/>
                <w:szCs w:val="20"/>
              </w:rPr>
            </w:pPr>
            <w:r w:rsidRPr="008E5015">
              <w:rPr>
                <w:b/>
                <w:sz w:val="20"/>
                <w:szCs w:val="20"/>
              </w:rPr>
              <w:t>Prohibited in schools</w:t>
            </w:r>
          </w:p>
        </w:tc>
        <w:tc>
          <w:tcPr>
            <w:tcW w:w="1172" w:type="dxa"/>
            <w:shd w:val="clear" w:color="auto" w:fill="F2F2F2" w:themeFill="background1" w:themeFillShade="F2"/>
          </w:tcPr>
          <w:p w14:paraId="1ECF0E31" w14:textId="77777777" w:rsidR="00880071" w:rsidRPr="008E5015" w:rsidRDefault="00880071" w:rsidP="008E52A0">
            <w:pPr>
              <w:spacing w:after="120"/>
              <w:rPr>
                <w:b/>
                <w:sz w:val="20"/>
                <w:szCs w:val="20"/>
              </w:rPr>
            </w:pPr>
            <w:r w:rsidRPr="008E5015">
              <w:rPr>
                <w:b/>
                <w:sz w:val="20"/>
                <w:szCs w:val="20"/>
              </w:rPr>
              <w:t>Prohibited in penal institutions</w:t>
            </w:r>
          </w:p>
        </w:tc>
        <w:tc>
          <w:tcPr>
            <w:tcW w:w="1230" w:type="dxa"/>
            <w:shd w:val="clear" w:color="auto" w:fill="F2F2F2" w:themeFill="background1" w:themeFillShade="F2"/>
          </w:tcPr>
          <w:p w14:paraId="08603536" w14:textId="77777777" w:rsidR="00880071" w:rsidRPr="008E5015" w:rsidRDefault="00880071" w:rsidP="008E52A0">
            <w:pPr>
              <w:spacing w:after="120"/>
              <w:rPr>
                <w:b/>
                <w:sz w:val="20"/>
                <w:szCs w:val="20"/>
              </w:rPr>
            </w:pPr>
            <w:r w:rsidRPr="008E5015">
              <w:rPr>
                <w:b/>
                <w:sz w:val="20"/>
                <w:szCs w:val="20"/>
              </w:rPr>
              <w:t>Prohibited as sentence for crime</w:t>
            </w:r>
          </w:p>
        </w:tc>
      </w:tr>
      <w:tr w:rsidR="00880071" w:rsidRPr="008E5015" w14:paraId="4BE14329" w14:textId="77777777" w:rsidTr="008E52A0">
        <w:trPr>
          <w:cantSplit/>
        </w:trPr>
        <w:tc>
          <w:tcPr>
            <w:tcW w:w="2518" w:type="dxa"/>
          </w:tcPr>
          <w:p w14:paraId="2E031F8A" w14:textId="77777777" w:rsidR="00880071" w:rsidRPr="008E5015" w:rsidRDefault="00880071" w:rsidP="008E52A0">
            <w:pPr>
              <w:spacing w:after="120"/>
              <w:rPr>
                <w:b/>
                <w:sz w:val="20"/>
                <w:szCs w:val="20"/>
              </w:rPr>
            </w:pPr>
            <w:r w:rsidRPr="008E5015">
              <w:rPr>
                <w:b/>
                <w:sz w:val="20"/>
                <w:szCs w:val="20"/>
              </w:rPr>
              <w:t>Australian Capital Territory</w:t>
            </w:r>
          </w:p>
        </w:tc>
        <w:tc>
          <w:tcPr>
            <w:tcW w:w="1276" w:type="dxa"/>
          </w:tcPr>
          <w:p w14:paraId="48DDAFFF" w14:textId="77777777" w:rsidR="00880071" w:rsidRPr="008E5015" w:rsidRDefault="00880071" w:rsidP="008E52A0">
            <w:pPr>
              <w:spacing w:after="120"/>
              <w:rPr>
                <w:sz w:val="20"/>
                <w:szCs w:val="20"/>
              </w:rPr>
            </w:pPr>
            <w:r w:rsidRPr="008E5015">
              <w:rPr>
                <w:sz w:val="20"/>
                <w:szCs w:val="20"/>
              </w:rPr>
              <w:t>NO</w:t>
            </w:r>
          </w:p>
        </w:tc>
        <w:tc>
          <w:tcPr>
            <w:tcW w:w="1417" w:type="dxa"/>
          </w:tcPr>
          <w:p w14:paraId="7BB5B2AF" w14:textId="77777777" w:rsidR="00880071" w:rsidRPr="008E5015" w:rsidRDefault="00880071" w:rsidP="008E52A0">
            <w:pPr>
              <w:spacing w:after="120"/>
              <w:rPr>
                <w:sz w:val="20"/>
                <w:szCs w:val="20"/>
              </w:rPr>
            </w:pPr>
            <w:r w:rsidRPr="008E5015">
              <w:rPr>
                <w:sz w:val="20"/>
                <w:szCs w:val="20"/>
              </w:rPr>
              <w:t>YES</w:t>
            </w:r>
          </w:p>
        </w:tc>
        <w:tc>
          <w:tcPr>
            <w:tcW w:w="1276" w:type="dxa"/>
          </w:tcPr>
          <w:p w14:paraId="0494D6BE" w14:textId="77777777" w:rsidR="00880071" w:rsidRPr="008E5015" w:rsidRDefault="00880071" w:rsidP="008E52A0">
            <w:pPr>
              <w:spacing w:after="120"/>
              <w:rPr>
                <w:sz w:val="20"/>
                <w:szCs w:val="20"/>
              </w:rPr>
            </w:pPr>
            <w:r w:rsidRPr="008E5015">
              <w:rPr>
                <w:sz w:val="20"/>
                <w:szCs w:val="20"/>
              </w:rPr>
              <w:t>[YES]</w:t>
            </w:r>
            <w:r w:rsidRPr="008E5015">
              <w:rPr>
                <w:rStyle w:val="FootnoteReference"/>
                <w:sz w:val="20"/>
                <w:szCs w:val="20"/>
              </w:rPr>
              <w:footnoteReference w:id="1"/>
            </w:r>
          </w:p>
        </w:tc>
        <w:tc>
          <w:tcPr>
            <w:tcW w:w="1284" w:type="dxa"/>
          </w:tcPr>
          <w:p w14:paraId="5CFEF18A" w14:textId="77777777" w:rsidR="00880071" w:rsidRPr="008E5015" w:rsidRDefault="00880071" w:rsidP="008E52A0">
            <w:pPr>
              <w:spacing w:after="120"/>
              <w:rPr>
                <w:sz w:val="20"/>
                <w:szCs w:val="20"/>
              </w:rPr>
            </w:pPr>
            <w:r w:rsidRPr="008E5015">
              <w:rPr>
                <w:sz w:val="20"/>
                <w:szCs w:val="20"/>
              </w:rPr>
              <w:t>YES</w:t>
            </w:r>
          </w:p>
        </w:tc>
        <w:tc>
          <w:tcPr>
            <w:tcW w:w="1172" w:type="dxa"/>
          </w:tcPr>
          <w:p w14:paraId="3B853604" w14:textId="77777777" w:rsidR="00880071" w:rsidRPr="008E5015" w:rsidRDefault="00880071" w:rsidP="008E52A0">
            <w:pPr>
              <w:spacing w:after="120"/>
              <w:rPr>
                <w:sz w:val="20"/>
                <w:szCs w:val="20"/>
              </w:rPr>
            </w:pPr>
            <w:r w:rsidRPr="008E5015">
              <w:rPr>
                <w:sz w:val="20"/>
                <w:szCs w:val="20"/>
              </w:rPr>
              <w:t>YES</w:t>
            </w:r>
            <w:r w:rsidRPr="008E5015">
              <w:rPr>
                <w:rStyle w:val="FootnoteReference"/>
                <w:sz w:val="20"/>
                <w:szCs w:val="20"/>
              </w:rPr>
              <w:footnoteReference w:id="2"/>
            </w:r>
          </w:p>
        </w:tc>
        <w:tc>
          <w:tcPr>
            <w:tcW w:w="1230" w:type="dxa"/>
          </w:tcPr>
          <w:p w14:paraId="00760D1A" w14:textId="77777777" w:rsidR="00880071" w:rsidRPr="008E5015" w:rsidRDefault="00880071" w:rsidP="008E52A0">
            <w:pPr>
              <w:spacing w:after="120"/>
              <w:rPr>
                <w:sz w:val="20"/>
                <w:szCs w:val="20"/>
              </w:rPr>
            </w:pPr>
            <w:r w:rsidRPr="008E5015">
              <w:rPr>
                <w:sz w:val="20"/>
                <w:szCs w:val="20"/>
              </w:rPr>
              <w:t>YES</w:t>
            </w:r>
          </w:p>
        </w:tc>
      </w:tr>
      <w:tr w:rsidR="00880071" w:rsidRPr="008E5015" w14:paraId="22D74B2E" w14:textId="77777777" w:rsidTr="008E52A0">
        <w:trPr>
          <w:cantSplit/>
        </w:trPr>
        <w:tc>
          <w:tcPr>
            <w:tcW w:w="2518" w:type="dxa"/>
          </w:tcPr>
          <w:p w14:paraId="1BDA55E3" w14:textId="77777777" w:rsidR="00880071" w:rsidRPr="008E5015" w:rsidRDefault="00880071" w:rsidP="008E52A0">
            <w:pPr>
              <w:spacing w:after="120"/>
              <w:rPr>
                <w:b/>
                <w:sz w:val="20"/>
                <w:szCs w:val="20"/>
              </w:rPr>
            </w:pPr>
            <w:r w:rsidRPr="008E5015">
              <w:rPr>
                <w:b/>
                <w:sz w:val="20"/>
                <w:szCs w:val="20"/>
              </w:rPr>
              <w:t>New South Wales</w:t>
            </w:r>
          </w:p>
        </w:tc>
        <w:tc>
          <w:tcPr>
            <w:tcW w:w="1276" w:type="dxa"/>
          </w:tcPr>
          <w:p w14:paraId="221DAA2D" w14:textId="77777777" w:rsidR="00880071" w:rsidRPr="008E5015" w:rsidRDefault="00880071" w:rsidP="008E52A0">
            <w:pPr>
              <w:spacing w:after="120"/>
              <w:rPr>
                <w:sz w:val="20"/>
                <w:szCs w:val="20"/>
              </w:rPr>
            </w:pPr>
            <w:r w:rsidRPr="008E5015">
              <w:rPr>
                <w:sz w:val="20"/>
                <w:szCs w:val="20"/>
              </w:rPr>
              <w:t>NO</w:t>
            </w:r>
          </w:p>
        </w:tc>
        <w:tc>
          <w:tcPr>
            <w:tcW w:w="1417" w:type="dxa"/>
          </w:tcPr>
          <w:p w14:paraId="6716497A" w14:textId="77777777" w:rsidR="00880071" w:rsidRPr="008E5015" w:rsidRDefault="00880071" w:rsidP="008E52A0">
            <w:pPr>
              <w:spacing w:after="120"/>
              <w:rPr>
                <w:sz w:val="20"/>
                <w:szCs w:val="20"/>
              </w:rPr>
            </w:pPr>
            <w:r w:rsidRPr="008E5015">
              <w:rPr>
                <w:sz w:val="20"/>
                <w:szCs w:val="20"/>
              </w:rPr>
              <w:t>YES</w:t>
            </w:r>
          </w:p>
        </w:tc>
        <w:tc>
          <w:tcPr>
            <w:tcW w:w="1276" w:type="dxa"/>
          </w:tcPr>
          <w:p w14:paraId="5D0DB1F3" w14:textId="77777777" w:rsidR="00880071" w:rsidRPr="008E5015" w:rsidRDefault="00880071" w:rsidP="008E52A0">
            <w:pPr>
              <w:spacing w:after="120"/>
              <w:rPr>
                <w:sz w:val="20"/>
                <w:szCs w:val="20"/>
              </w:rPr>
            </w:pPr>
            <w:r w:rsidRPr="008E5015">
              <w:rPr>
                <w:sz w:val="20"/>
                <w:szCs w:val="20"/>
              </w:rPr>
              <w:t>[YES]</w:t>
            </w:r>
            <w:r w:rsidRPr="008E5015">
              <w:rPr>
                <w:rStyle w:val="FootnoteReference"/>
                <w:sz w:val="20"/>
                <w:szCs w:val="20"/>
              </w:rPr>
              <w:footnoteReference w:id="3"/>
            </w:r>
          </w:p>
        </w:tc>
        <w:tc>
          <w:tcPr>
            <w:tcW w:w="1284" w:type="dxa"/>
          </w:tcPr>
          <w:p w14:paraId="71708EF1" w14:textId="77777777" w:rsidR="00880071" w:rsidRPr="008E5015" w:rsidRDefault="00880071" w:rsidP="008E52A0">
            <w:pPr>
              <w:spacing w:after="120"/>
              <w:rPr>
                <w:sz w:val="20"/>
                <w:szCs w:val="20"/>
              </w:rPr>
            </w:pPr>
            <w:r w:rsidRPr="008E5015">
              <w:rPr>
                <w:sz w:val="20"/>
                <w:szCs w:val="20"/>
              </w:rPr>
              <w:t>YES</w:t>
            </w:r>
          </w:p>
        </w:tc>
        <w:tc>
          <w:tcPr>
            <w:tcW w:w="1172" w:type="dxa"/>
          </w:tcPr>
          <w:p w14:paraId="0628A153" w14:textId="77777777" w:rsidR="00880071" w:rsidRPr="008E5015" w:rsidRDefault="00880071" w:rsidP="008E52A0">
            <w:pPr>
              <w:spacing w:after="120"/>
              <w:rPr>
                <w:sz w:val="20"/>
                <w:szCs w:val="20"/>
              </w:rPr>
            </w:pPr>
            <w:r w:rsidRPr="008E5015">
              <w:rPr>
                <w:sz w:val="20"/>
                <w:szCs w:val="20"/>
              </w:rPr>
              <w:t>YES</w:t>
            </w:r>
          </w:p>
        </w:tc>
        <w:tc>
          <w:tcPr>
            <w:tcW w:w="1230" w:type="dxa"/>
          </w:tcPr>
          <w:p w14:paraId="5FC1A4AC" w14:textId="77777777" w:rsidR="00880071" w:rsidRPr="008E5015" w:rsidRDefault="00880071" w:rsidP="008E52A0">
            <w:pPr>
              <w:spacing w:after="120"/>
              <w:rPr>
                <w:sz w:val="20"/>
                <w:szCs w:val="20"/>
              </w:rPr>
            </w:pPr>
            <w:r w:rsidRPr="008E5015">
              <w:rPr>
                <w:sz w:val="20"/>
                <w:szCs w:val="20"/>
              </w:rPr>
              <w:t>YES</w:t>
            </w:r>
          </w:p>
        </w:tc>
      </w:tr>
      <w:tr w:rsidR="00880071" w:rsidRPr="008E5015" w14:paraId="30117CF6" w14:textId="77777777" w:rsidTr="008E52A0">
        <w:trPr>
          <w:cantSplit/>
        </w:trPr>
        <w:tc>
          <w:tcPr>
            <w:tcW w:w="2518" w:type="dxa"/>
          </w:tcPr>
          <w:p w14:paraId="386BDE61" w14:textId="77777777" w:rsidR="00880071" w:rsidRPr="008E5015" w:rsidRDefault="00880071" w:rsidP="008E52A0">
            <w:pPr>
              <w:spacing w:after="120"/>
              <w:rPr>
                <w:b/>
                <w:sz w:val="20"/>
                <w:szCs w:val="20"/>
              </w:rPr>
            </w:pPr>
            <w:r w:rsidRPr="008E5015">
              <w:rPr>
                <w:b/>
                <w:sz w:val="20"/>
                <w:szCs w:val="20"/>
              </w:rPr>
              <w:t>Northern Territory</w:t>
            </w:r>
          </w:p>
        </w:tc>
        <w:tc>
          <w:tcPr>
            <w:tcW w:w="1276" w:type="dxa"/>
          </w:tcPr>
          <w:p w14:paraId="1D3F11B2" w14:textId="77777777" w:rsidR="00880071" w:rsidRPr="008E5015" w:rsidRDefault="00880071" w:rsidP="008E52A0">
            <w:pPr>
              <w:spacing w:after="120"/>
              <w:rPr>
                <w:sz w:val="20"/>
                <w:szCs w:val="20"/>
              </w:rPr>
            </w:pPr>
            <w:r w:rsidRPr="008E5015">
              <w:rPr>
                <w:sz w:val="20"/>
                <w:szCs w:val="20"/>
              </w:rPr>
              <w:t>NO</w:t>
            </w:r>
          </w:p>
        </w:tc>
        <w:tc>
          <w:tcPr>
            <w:tcW w:w="1417" w:type="dxa"/>
          </w:tcPr>
          <w:p w14:paraId="1796A711" w14:textId="77777777" w:rsidR="00880071" w:rsidRPr="008E5015" w:rsidRDefault="00880071" w:rsidP="008E52A0">
            <w:pPr>
              <w:spacing w:after="120"/>
              <w:rPr>
                <w:sz w:val="20"/>
                <w:szCs w:val="20"/>
              </w:rPr>
            </w:pPr>
            <w:r w:rsidRPr="008E5015">
              <w:rPr>
                <w:sz w:val="20"/>
                <w:szCs w:val="20"/>
              </w:rPr>
              <w:t>NO</w:t>
            </w:r>
          </w:p>
        </w:tc>
        <w:tc>
          <w:tcPr>
            <w:tcW w:w="1276" w:type="dxa"/>
          </w:tcPr>
          <w:p w14:paraId="09940302" w14:textId="77777777" w:rsidR="00880071" w:rsidRPr="008E5015" w:rsidRDefault="00880071" w:rsidP="008E52A0">
            <w:pPr>
              <w:spacing w:after="120"/>
              <w:rPr>
                <w:sz w:val="20"/>
                <w:szCs w:val="20"/>
              </w:rPr>
            </w:pPr>
            <w:r w:rsidRPr="008E5015">
              <w:rPr>
                <w:sz w:val="20"/>
                <w:szCs w:val="20"/>
              </w:rPr>
              <w:t>SOME</w:t>
            </w:r>
            <w:r w:rsidRPr="008E5015">
              <w:rPr>
                <w:rStyle w:val="FootnoteReference"/>
                <w:sz w:val="20"/>
                <w:szCs w:val="20"/>
              </w:rPr>
              <w:footnoteReference w:id="4"/>
            </w:r>
          </w:p>
        </w:tc>
        <w:tc>
          <w:tcPr>
            <w:tcW w:w="1284" w:type="dxa"/>
          </w:tcPr>
          <w:p w14:paraId="0E441050" w14:textId="77777777" w:rsidR="00880071" w:rsidRPr="008E5015" w:rsidRDefault="00880071" w:rsidP="008E52A0">
            <w:pPr>
              <w:spacing w:after="120"/>
              <w:rPr>
                <w:sz w:val="20"/>
                <w:szCs w:val="20"/>
              </w:rPr>
            </w:pPr>
            <w:r w:rsidRPr="008E5015">
              <w:rPr>
                <w:sz w:val="20"/>
                <w:szCs w:val="20"/>
              </w:rPr>
              <w:t>SOME</w:t>
            </w:r>
            <w:r w:rsidRPr="008E5015">
              <w:rPr>
                <w:rStyle w:val="FootnoteReference"/>
                <w:sz w:val="20"/>
                <w:szCs w:val="20"/>
              </w:rPr>
              <w:footnoteReference w:id="5"/>
            </w:r>
          </w:p>
        </w:tc>
        <w:tc>
          <w:tcPr>
            <w:tcW w:w="1172" w:type="dxa"/>
          </w:tcPr>
          <w:p w14:paraId="64328375" w14:textId="77777777" w:rsidR="00880071" w:rsidRPr="008E5015" w:rsidRDefault="00880071" w:rsidP="008E52A0">
            <w:pPr>
              <w:spacing w:after="120"/>
              <w:rPr>
                <w:sz w:val="20"/>
                <w:szCs w:val="20"/>
              </w:rPr>
            </w:pPr>
            <w:r w:rsidRPr="008E5015">
              <w:rPr>
                <w:sz w:val="20"/>
                <w:szCs w:val="20"/>
              </w:rPr>
              <w:t>YES</w:t>
            </w:r>
          </w:p>
        </w:tc>
        <w:tc>
          <w:tcPr>
            <w:tcW w:w="1230" w:type="dxa"/>
          </w:tcPr>
          <w:p w14:paraId="00EA1AC4" w14:textId="77777777" w:rsidR="00880071" w:rsidRPr="008E5015" w:rsidRDefault="00880071" w:rsidP="008E52A0">
            <w:pPr>
              <w:spacing w:after="120"/>
              <w:rPr>
                <w:sz w:val="20"/>
                <w:szCs w:val="20"/>
              </w:rPr>
            </w:pPr>
            <w:r w:rsidRPr="008E5015">
              <w:rPr>
                <w:sz w:val="20"/>
                <w:szCs w:val="20"/>
              </w:rPr>
              <w:t>YES</w:t>
            </w:r>
          </w:p>
        </w:tc>
      </w:tr>
      <w:tr w:rsidR="00880071" w:rsidRPr="008E5015" w14:paraId="2310C864" w14:textId="77777777" w:rsidTr="008E52A0">
        <w:trPr>
          <w:cantSplit/>
        </w:trPr>
        <w:tc>
          <w:tcPr>
            <w:tcW w:w="2518" w:type="dxa"/>
          </w:tcPr>
          <w:p w14:paraId="29F3C635" w14:textId="77777777" w:rsidR="00880071" w:rsidRPr="008E5015" w:rsidRDefault="00880071" w:rsidP="008E52A0">
            <w:pPr>
              <w:spacing w:after="120"/>
              <w:rPr>
                <w:b/>
                <w:sz w:val="20"/>
                <w:szCs w:val="20"/>
              </w:rPr>
            </w:pPr>
            <w:r w:rsidRPr="008E5015">
              <w:rPr>
                <w:b/>
                <w:sz w:val="20"/>
                <w:szCs w:val="20"/>
              </w:rPr>
              <w:t>Queensland</w:t>
            </w:r>
          </w:p>
        </w:tc>
        <w:tc>
          <w:tcPr>
            <w:tcW w:w="1276" w:type="dxa"/>
          </w:tcPr>
          <w:p w14:paraId="0807A042" w14:textId="77777777" w:rsidR="00880071" w:rsidRPr="008E5015" w:rsidRDefault="00880071" w:rsidP="008E52A0">
            <w:pPr>
              <w:spacing w:after="120"/>
              <w:rPr>
                <w:sz w:val="20"/>
                <w:szCs w:val="20"/>
              </w:rPr>
            </w:pPr>
            <w:r w:rsidRPr="008E5015">
              <w:rPr>
                <w:sz w:val="20"/>
                <w:szCs w:val="20"/>
              </w:rPr>
              <w:t>NO</w:t>
            </w:r>
          </w:p>
        </w:tc>
        <w:tc>
          <w:tcPr>
            <w:tcW w:w="1417" w:type="dxa"/>
          </w:tcPr>
          <w:p w14:paraId="279BBA44" w14:textId="77777777" w:rsidR="00880071" w:rsidRPr="008E5015" w:rsidRDefault="00880071" w:rsidP="008E52A0">
            <w:pPr>
              <w:spacing w:after="120"/>
              <w:rPr>
                <w:sz w:val="20"/>
                <w:szCs w:val="20"/>
              </w:rPr>
            </w:pPr>
            <w:r w:rsidRPr="008E5015">
              <w:rPr>
                <w:sz w:val="20"/>
                <w:szCs w:val="20"/>
              </w:rPr>
              <w:t>YES</w:t>
            </w:r>
          </w:p>
        </w:tc>
        <w:tc>
          <w:tcPr>
            <w:tcW w:w="1276" w:type="dxa"/>
          </w:tcPr>
          <w:p w14:paraId="1C4579F7" w14:textId="77777777" w:rsidR="00880071" w:rsidRPr="008E5015" w:rsidRDefault="00880071" w:rsidP="008E52A0">
            <w:pPr>
              <w:spacing w:after="120"/>
              <w:rPr>
                <w:sz w:val="20"/>
                <w:szCs w:val="20"/>
              </w:rPr>
            </w:pPr>
            <w:r w:rsidRPr="008E5015">
              <w:rPr>
                <w:sz w:val="20"/>
                <w:szCs w:val="20"/>
              </w:rPr>
              <w:t>[YES]</w:t>
            </w:r>
            <w:r w:rsidRPr="008E5015">
              <w:rPr>
                <w:rStyle w:val="FootnoteReference"/>
                <w:sz w:val="20"/>
                <w:szCs w:val="20"/>
              </w:rPr>
              <w:footnoteReference w:id="6"/>
            </w:r>
          </w:p>
        </w:tc>
        <w:tc>
          <w:tcPr>
            <w:tcW w:w="1284" w:type="dxa"/>
          </w:tcPr>
          <w:p w14:paraId="3064BDDA" w14:textId="77777777" w:rsidR="00880071" w:rsidRPr="008E5015" w:rsidRDefault="00880071" w:rsidP="008E52A0">
            <w:pPr>
              <w:spacing w:after="120"/>
              <w:rPr>
                <w:sz w:val="20"/>
                <w:szCs w:val="20"/>
              </w:rPr>
            </w:pPr>
            <w:r w:rsidRPr="008E5015">
              <w:rPr>
                <w:sz w:val="20"/>
                <w:szCs w:val="20"/>
              </w:rPr>
              <w:t>NO</w:t>
            </w:r>
            <w:r w:rsidRPr="008E5015">
              <w:rPr>
                <w:rStyle w:val="FootnoteReference"/>
                <w:sz w:val="20"/>
                <w:szCs w:val="20"/>
              </w:rPr>
              <w:footnoteReference w:id="7"/>
            </w:r>
          </w:p>
        </w:tc>
        <w:tc>
          <w:tcPr>
            <w:tcW w:w="1172" w:type="dxa"/>
          </w:tcPr>
          <w:p w14:paraId="23D43079" w14:textId="77777777" w:rsidR="00880071" w:rsidRPr="008E5015" w:rsidRDefault="00880071" w:rsidP="008E52A0">
            <w:pPr>
              <w:spacing w:after="120"/>
              <w:rPr>
                <w:sz w:val="20"/>
                <w:szCs w:val="20"/>
              </w:rPr>
            </w:pPr>
            <w:r w:rsidRPr="008E5015">
              <w:rPr>
                <w:sz w:val="20"/>
                <w:szCs w:val="20"/>
              </w:rPr>
              <w:t>YES</w:t>
            </w:r>
          </w:p>
        </w:tc>
        <w:tc>
          <w:tcPr>
            <w:tcW w:w="1230" w:type="dxa"/>
          </w:tcPr>
          <w:p w14:paraId="1E544CBE" w14:textId="77777777" w:rsidR="00880071" w:rsidRPr="008E5015" w:rsidRDefault="00880071" w:rsidP="008E52A0">
            <w:pPr>
              <w:spacing w:after="120"/>
              <w:rPr>
                <w:sz w:val="20"/>
                <w:szCs w:val="20"/>
              </w:rPr>
            </w:pPr>
            <w:r w:rsidRPr="008E5015">
              <w:rPr>
                <w:sz w:val="20"/>
                <w:szCs w:val="20"/>
              </w:rPr>
              <w:t>YES</w:t>
            </w:r>
          </w:p>
        </w:tc>
      </w:tr>
      <w:tr w:rsidR="00880071" w:rsidRPr="008E5015" w14:paraId="108662C7" w14:textId="77777777" w:rsidTr="008E52A0">
        <w:trPr>
          <w:cantSplit/>
        </w:trPr>
        <w:tc>
          <w:tcPr>
            <w:tcW w:w="2518" w:type="dxa"/>
          </w:tcPr>
          <w:p w14:paraId="55E4585D" w14:textId="77777777" w:rsidR="00880071" w:rsidRPr="008E5015" w:rsidRDefault="00880071" w:rsidP="008E52A0">
            <w:pPr>
              <w:spacing w:after="120"/>
              <w:rPr>
                <w:b/>
                <w:sz w:val="20"/>
                <w:szCs w:val="20"/>
              </w:rPr>
            </w:pPr>
            <w:r w:rsidRPr="008E5015">
              <w:rPr>
                <w:b/>
                <w:sz w:val="20"/>
                <w:szCs w:val="20"/>
              </w:rPr>
              <w:t>South Australia</w:t>
            </w:r>
          </w:p>
        </w:tc>
        <w:tc>
          <w:tcPr>
            <w:tcW w:w="1276" w:type="dxa"/>
          </w:tcPr>
          <w:p w14:paraId="341EDA8A" w14:textId="77777777" w:rsidR="00880071" w:rsidRPr="008E5015" w:rsidRDefault="00880071" w:rsidP="008E52A0">
            <w:pPr>
              <w:spacing w:after="120"/>
              <w:rPr>
                <w:sz w:val="20"/>
                <w:szCs w:val="20"/>
              </w:rPr>
            </w:pPr>
            <w:r w:rsidRPr="008E5015">
              <w:rPr>
                <w:sz w:val="20"/>
                <w:szCs w:val="20"/>
              </w:rPr>
              <w:t>NO</w:t>
            </w:r>
            <w:r>
              <w:rPr>
                <w:rStyle w:val="FootnoteReference"/>
                <w:sz w:val="20"/>
                <w:szCs w:val="20"/>
              </w:rPr>
              <w:footnoteReference w:id="8"/>
            </w:r>
          </w:p>
        </w:tc>
        <w:tc>
          <w:tcPr>
            <w:tcW w:w="1417" w:type="dxa"/>
          </w:tcPr>
          <w:p w14:paraId="1EB2ADC3" w14:textId="77777777" w:rsidR="00880071" w:rsidRPr="008E5015" w:rsidRDefault="00880071" w:rsidP="008E52A0">
            <w:pPr>
              <w:spacing w:after="120"/>
              <w:rPr>
                <w:sz w:val="20"/>
                <w:szCs w:val="20"/>
              </w:rPr>
            </w:pPr>
            <w:r w:rsidRPr="008E5015">
              <w:rPr>
                <w:sz w:val="20"/>
                <w:szCs w:val="20"/>
              </w:rPr>
              <w:t>YES</w:t>
            </w:r>
          </w:p>
        </w:tc>
        <w:tc>
          <w:tcPr>
            <w:tcW w:w="1276" w:type="dxa"/>
          </w:tcPr>
          <w:p w14:paraId="47C0CC35" w14:textId="77777777" w:rsidR="00880071" w:rsidRPr="008E5015" w:rsidRDefault="00880071" w:rsidP="008E52A0">
            <w:pPr>
              <w:spacing w:after="120"/>
              <w:rPr>
                <w:sz w:val="20"/>
                <w:szCs w:val="20"/>
              </w:rPr>
            </w:pPr>
            <w:r w:rsidRPr="008E5015">
              <w:rPr>
                <w:sz w:val="20"/>
                <w:szCs w:val="20"/>
              </w:rPr>
              <w:t>[YES]</w:t>
            </w:r>
            <w:r w:rsidRPr="008E5015">
              <w:rPr>
                <w:rStyle w:val="FootnoteReference"/>
                <w:sz w:val="20"/>
                <w:szCs w:val="20"/>
              </w:rPr>
              <w:footnoteReference w:id="9"/>
            </w:r>
          </w:p>
        </w:tc>
        <w:tc>
          <w:tcPr>
            <w:tcW w:w="1284" w:type="dxa"/>
          </w:tcPr>
          <w:p w14:paraId="4A66FA33" w14:textId="77777777" w:rsidR="00880071" w:rsidRPr="008E5015" w:rsidRDefault="00880071" w:rsidP="008E52A0">
            <w:pPr>
              <w:spacing w:after="120"/>
              <w:rPr>
                <w:sz w:val="20"/>
                <w:szCs w:val="20"/>
              </w:rPr>
            </w:pPr>
            <w:r w:rsidRPr="008E5015">
              <w:rPr>
                <w:sz w:val="20"/>
                <w:szCs w:val="20"/>
              </w:rPr>
              <w:t>YES</w:t>
            </w:r>
          </w:p>
        </w:tc>
        <w:tc>
          <w:tcPr>
            <w:tcW w:w="1172" w:type="dxa"/>
          </w:tcPr>
          <w:p w14:paraId="6B995469" w14:textId="77777777" w:rsidR="00880071" w:rsidRPr="008E5015" w:rsidRDefault="00880071" w:rsidP="008E52A0">
            <w:pPr>
              <w:spacing w:after="120"/>
              <w:rPr>
                <w:sz w:val="20"/>
                <w:szCs w:val="20"/>
              </w:rPr>
            </w:pPr>
            <w:r w:rsidRPr="008E5015">
              <w:rPr>
                <w:sz w:val="20"/>
                <w:szCs w:val="20"/>
              </w:rPr>
              <w:t>YES</w:t>
            </w:r>
          </w:p>
        </w:tc>
        <w:tc>
          <w:tcPr>
            <w:tcW w:w="1230" w:type="dxa"/>
          </w:tcPr>
          <w:p w14:paraId="744830D5" w14:textId="77777777" w:rsidR="00880071" w:rsidRPr="008E5015" w:rsidRDefault="00880071" w:rsidP="008E52A0">
            <w:pPr>
              <w:spacing w:after="120"/>
              <w:rPr>
                <w:sz w:val="20"/>
                <w:szCs w:val="20"/>
              </w:rPr>
            </w:pPr>
            <w:r w:rsidRPr="008E5015">
              <w:rPr>
                <w:sz w:val="20"/>
                <w:szCs w:val="20"/>
              </w:rPr>
              <w:t>YES</w:t>
            </w:r>
          </w:p>
        </w:tc>
      </w:tr>
      <w:tr w:rsidR="00880071" w:rsidRPr="008E5015" w14:paraId="7F82EEA4" w14:textId="77777777" w:rsidTr="008E52A0">
        <w:trPr>
          <w:cantSplit/>
        </w:trPr>
        <w:tc>
          <w:tcPr>
            <w:tcW w:w="2518" w:type="dxa"/>
          </w:tcPr>
          <w:p w14:paraId="0E882877" w14:textId="77777777" w:rsidR="00880071" w:rsidRPr="008E5015" w:rsidRDefault="00880071" w:rsidP="008E52A0">
            <w:pPr>
              <w:spacing w:after="120"/>
              <w:rPr>
                <w:b/>
                <w:sz w:val="20"/>
                <w:szCs w:val="20"/>
              </w:rPr>
            </w:pPr>
            <w:r w:rsidRPr="008E5015">
              <w:rPr>
                <w:b/>
                <w:sz w:val="20"/>
                <w:szCs w:val="20"/>
              </w:rPr>
              <w:t>Tasmania</w:t>
            </w:r>
          </w:p>
        </w:tc>
        <w:tc>
          <w:tcPr>
            <w:tcW w:w="1276" w:type="dxa"/>
          </w:tcPr>
          <w:p w14:paraId="18850B3D" w14:textId="77777777" w:rsidR="00880071" w:rsidRPr="008E5015" w:rsidRDefault="00880071" w:rsidP="008E52A0">
            <w:pPr>
              <w:spacing w:after="120"/>
              <w:rPr>
                <w:sz w:val="20"/>
                <w:szCs w:val="20"/>
              </w:rPr>
            </w:pPr>
            <w:r w:rsidRPr="008E5015">
              <w:rPr>
                <w:sz w:val="20"/>
                <w:szCs w:val="20"/>
              </w:rPr>
              <w:t>NO</w:t>
            </w:r>
          </w:p>
        </w:tc>
        <w:tc>
          <w:tcPr>
            <w:tcW w:w="1417" w:type="dxa"/>
          </w:tcPr>
          <w:p w14:paraId="430CEADE" w14:textId="77777777" w:rsidR="00880071" w:rsidRPr="008E5015" w:rsidRDefault="00880071" w:rsidP="008E52A0">
            <w:pPr>
              <w:spacing w:after="120"/>
              <w:rPr>
                <w:sz w:val="20"/>
                <w:szCs w:val="20"/>
              </w:rPr>
            </w:pPr>
            <w:r w:rsidRPr="008E5015">
              <w:rPr>
                <w:sz w:val="20"/>
                <w:szCs w:val="20"/>
              </w:rPr>
              <w:t>NO</w:t>
            </w:r>
          </w:p>
        </w:tc>
        <w:tc>
          <w:tcPr>
            <w:tcW w:w="1276" w:type="dxa"/>
          </w:tcPr>
          <w:p w14:paraId="619B19F8" w14:textId="77777777" w:rsidR="00880071" w:rsidRPr="008E5015" w:rsidRDefault="00880071" w:rsidP="008E52A0">
            <w:pPr>
              <w:spacing w:after="120"/>
              <w:rPr>
                <w:sz w:val="20"/>
                <w:szCs w:val="20"/>
              </w:rPr>
            </w:pPr>
            <w:r>
              <w:rPr>
                <w:sz w:val="20"/>
                <w:szCs w:val="20"/>
              </w:rPr>
              <w:t>SOME</w:t>
            </w:r>
            <w:r>
              <w:rPr>
                <w:rStyle w:val="FootnoteReference"/>
                <w:sz w:val="20"/>
                <w:szCs w:val="20"/>
              </w:rPr>
              <w:footnoteReference w:id="10"/>
            </w:r>
          </w:p>
        </w:tc>
        <w:tc>
          <w:tcPr>
            <w:tcW w:w="1284" w:type="dxa"/>
          </w:tcPr>
          <w:p w14:paraId="16401856" w14:textId="77777777" w:rsidR="00880071" w:rsidRPr="008E5015" w:rsidRDefault="00880071" w:rsidP="008E52A0">
            <w:pPr>
              <w:spacing w:after="120"/>
              <w:rPr>
                <w:sz w:val="20"/>
                <w:szCs w:val="20"/>
              </w:rPr>
            </w:pPr>
            <w:r w:rsidRPr="008E5015">
              <w:rPr>
                <w:sz w:val="20"/>
                <w:szCs w:val="20"/>
              </w:rPr>
              <w:t>YES</w:t>
            </w:r>
          </w:p>
        </w:tc>
        <w:tc>
          <w:tcPr>
            <w:tcW w:w="1172" w:type="dxa"/>
          </w:tcPr>
          <w:p w14:paraId="33F25B88" w14:textId="77777777" w:rsidR="00880071" w:rsidRPr="008E5015" w:rsidRDefault="00880071" w:rsidP="008E52A0">
            <w:pPr>
              <w:spacing w:after="120"/>
              <w:rPr>
                <w:sz w:val="20"/>
                <w:szCs w:val="20"/>
              </w:rPr>
            </w:pPr>
            <w:r w:rsidRPr="008E5015">
              <w:rPr>
                <w:sz w:val="20"/>
                <w:szCs w:val="20"/>
              </w:rPr>
              <w:t>YES</w:t>
            </w:r>
          </w:p>
        </w:tc>
        <w:tc>
          <w:tcPr>
            <w:tcW w:w="1230" w:type="dxa"/>
          </w:tcPr>
          <w:p w14:paraId="73AE4466" w14:textId="77777777" w:rsidR="00880071" w:rsidRPr="008E5015" w:rsidRDefault="00880071" w:rsidP="008E52A0">
            <w:pPr>
              <w:spacing w:after="120"/>
              <w:rPr>
                <w:sz w:val="20"/>
                <w:szCs w:val="20"/>
              </w:rPr>
            </w:pPr>
            <w:r w:rsidRPr="008E5015">
              <w:rPr>
                <w:sz w:val="20"/>
                <w:szCs w:val="20"/>
              </w:rPr>
              <w:t>YES</w:t>
            </w:r>
          </w:p>
        </w:tc>
      </w:tr>
      <w:tr w:rsidR="00880071" w:rsidRPr="008E5015" w14:paraId="1EABC0CA" w14:textId="77777777" w:rsidTr="008E52A0">
        <w:trPr>
          <w:cantSplit/>
        </w:trPr>
        <w:tc>
          <w:tcPr>
            <w:tcW w:w="2518" w:type="dxa"/>
          </w:tcPr>
          <w:p w14:paraId="5D0A17DE" w14:textId="77777777" w:rsidR="00880071" w:rsidRPr="008E5015" w:rsidRDefault="00880071" w:rsidP="008E52A0">
            <w:pPr>
              <w:spacing w:after="120"/>
              <w:rPr>
                <w:b/>
                <w:sz w:val="20"/>
                <w:szCs w:val="20"/>
              </w:rPr>
            </w:pPr>
            <w:r w:rsidRPr="008E5015">
              <w:rPr>
                <w:b/>
                <w:sz w:val="20"/>
                <w:szCs w:val="20"/>
              </w:rPr>
              <w:t>Victoria</w:t>
            </w:r>
          </w:p>
        </w:tc>
        <w:tc>
          <w:tcPr>
            <w:tcW w:w="1276" w:type="dxa"/>
          </w:tcPr>
          <w:p w14:paraId="67427716" w14:textId="77777777" w:rsidR="00880071" w:rsidRPr="008E5015" w:rsidRDefault="00880071" w:rsidP="008E52A0">
            <w:pPr>
              <w:spacing w:after="120"/>
              <w:rPr>
                <w:sz w:val="20"/>
                <w:szCs w:val="20"/>
              </w:rPr>
            </w:pPr>
            <w:r w:rsidRPr="008E5015">
              <w:rPr>
                <w:sz w:val="20"/>
                <w:szCs w:val="20"/>
              </w:rPr>
              <w:t>NO</w:t>
            </w:r>
          </w:p>
        </w:tc>
        <w:tc>
          <w:tcPr>
            <w:tcW w:w="1417" w:type="dxa"/>
          </w:tcPr>
          <w:p w14:paraId="7BDF8638" w14:textId="77777777" w:rsidR="00880071" w:rsidRPr="008E5015" w:rsidRDefault="00880071" w:rsidP="008E52A0">
            <w:pPr>
              <w:spacing w:after="120"/>
              <w:rPr>
                <w:sz w:val="20"/>
                <w:szCs w:val="20"/>
              </w:rPr>
            </w:pPr>
            <w:r w:rsidRPr="008E5015">
              <w:rPr>
                <w:sz w:val="20"/>
                <w:szCs w:val="20"/>
              </w:rPr>
              <w:t>NO</w:t>
            </w:r>
          </w:p>
        </w:tc>
        <w:tc>
          <w:tcPr>
            <w:tcW w:w="1276" w:type="dxa"/>
          </w:tcPr>
          <w:p w14:paraId="492CFC84" w14:textId="77777777" w:rsidR="00880071" w:rsidRPr="008E5015" w:rsidRDefault="00880071" w:rsidP="008E52A0">
            <w:pPr>
              <w:spacing w:after="120"/>
              <w:rPr>
                <w:sz w:val="20"/>
                <w:szCs w:val="20"/>
              </w:rPr>
            </w:pPr>
            <w:r w:rsidRPr="008E5015">
              <w:rPr>
                <w:sz w:val="20"/>
                <w:szCs w:val="20"/>
              </w:rPr>
              <w:t>[YES]</w:t>
            </w:r>
            <w:r w:rsidRPr="008E5015">
              <w:rPr>
                <w:rStyle w:val="FootnoteReference"/>
                <w:sz w:val="20"/>
                <w:szCs w:val="20"/>
              </w:rPr>
              <w:footnoteReference w:id="11"/>
            </w:r>
          </w:p>
        </w:tc>
        <w:tc>
          <w:tcPr>
            <w:tcW w:w="1284" w:type="dxa"/>
          </w:tcPr>
          <w:p w14:paraId="5DE03CA0" w14:textId="77777777" w:rsidR="00880071" w:rsidRPr="008E5015" w:rsidRDefault="00880071" w:rsidP="008E52A0">
            <w:pPr>
              <w:spacing w:after="120"/>
              <w:rPr>
                <w:sz w:val="20"/>
                <w:szCs w:val="20"/>
              </w:rPr>
            </w:pPr>
            <w:r w:rsidRPr="008E5015">
              <w:rPr>
                <w:sz w:val="20"/>
                <w:szCs w:val="20"/>
              </w:rPr>
              <w:t>YES</w:t>
            </w:r>
          </w:p>
        </w:tc>
        <w:tc>
          <w:tcPr>
            <w:tcW w:w="1172" w:type="dxa"/>
          </w:tcPr>
          <w:p w14:paraId="7E82BCCF" w14:textId="77777777" w:rsidR="00880071" w:rsidRPr="008E5015" w:rsidRDefault="00880071" w:rsidP="008E52A0">
            <w:pPr>
              <w:spacing w:after="120"/>
              <w:rPr>
                <w:sz w:val="20"/>
                <w:szCs w:val="20"/>
              </w:rPr>
            </w:pPr>
            <w:r w:rsidRPr="008E5015">
              <w:rPr>
                <w:sz w:val="20"/>
                <w:szCs w:val="20"/>
              </w:rPr>
              <w:t>YES</w:t>
            </w:r>
          </w:p>
        </w:tc>
        <w:tc>
          <w:tcPr>
            <w:tcW w:w="1230" w:type="dxa"/>
          </w:tcPr>
          <w:p w14:paraId="7892469C" w14:textId="77777777" w:rsidR="00880071" w:rsidRPr="008E5015" w:rsidRDefault="00880071" w:rsidP="008E52A0">
            <w:pPr>
              <w:spacing w:after="120"/>
              <w:rPr>
                <w:sz w:val="20"/>
                <w:szCs w:val="20"/>
              </w:rPr>
            </w:pPr>
            <w:r w:rsidRPr="008E5015">
              <w:rPr>
                <w:sz w:val="20"/>
                <w:szCs w:val="20"/>
              </w:rPr>
              <w:t>YES</w:t>
            </w:r>
          </w:p>
        </w:tc>
      </w:tr>
      <w:tr w:rsidR="00880071" w:rsidRPr="008E5015" w14:paraId="27FCA19A" w14:textId="77777777" w:rsidTr="008E52A0">
        <w:trPr>
          <w:cantSplit/>
        </w:trPr>
        <w:tc>
          <w:tcPr>
            <w:tcW w:w="2518" w:type="dxa"/>
          </w:tcPr>
          <w:p w14:paraId="3E0FD16F" w14:textId="77777777" w:rsidR="00880071" w:rsidRPr="008E5015" w:rsidRDefault="00880071" w:rsidP="008E52A0">
            <w:pPr>
              <w:spacing w:after="120"/>
              <w:rPr>
                <w:b/>
                <w:sz w:val="20"/>
                <w:szCs w:val="20"/>
              </w:rPr>
            </w:pPr>
            <w:r w:rsidRPr="008E5015">
              <w:rPr>
                <w:b/>
                <w:sz w:val="20"/>
                <w:szCs w:val="20"/>
              </w:rPr>
              <w:t>Western Australia</w:t>
            </w:r>
          </w:p>
        </w:tc>
        <w:tc>
          <w:tcPr>
            <w:tcW w:w="1276" w:type="dxa"/>
          </w:tcPr>
          <w:p w14:paraId="7FE2772C" w14:textId="77777777" w:rsidR="00880071" w:rsidRPr="008E5015" w:rsidRDefault="00880071" w:rsidP="008E52A0">
            <w:pPr>
              <w:spacing w:after="120"/>
              <w:rPr>
                <w:sz w:val="20"/>
                <w:szCs w:val="20"/>
              </w:rPr>
            </w:pPr>
            <w:r w:rsidRPr="008E5015">
              <w:rPr>
                <w:sz w:val="20"/>
                <w:szCs w:val="20"/>
              </w:rPr>
              <w:t>NO</w:t>
            </w:r>
          </w:p>
        </w:tc>
        <w:tc>
          <w:tcPr>
            <w:tcW w:w="1417" w:type="dxa"/>
          </w:tcPr>
          <w:p w14:paraId="2E02C9BF" w14:textId="77777777" w:rsidR="00880071" w:rsidRPr="008E5015" w:rsidRDefault="00880071" w:rsidP="008E52A0">
            <w:pPr>
              <w:spacing w:after="120"/>
              <w:rPr>
                <w:sz w:val="20"/>
                <w:szCs w:val="20"/>
              </w:rPr>
            </w:pPr>
            <w:r w:rsidRPr="008E5015">
              <w:rPr>
                <w:sz w:val="20"/>
                <w:szCs w:val="20"/>
              </w:rPr>
              <w:t>NO</w:t>
            </w:r>
          </w:p>
        </w:tc>
        <w:tc>
          <w:tcPr>
            <w:tcW w:w="1276" w:type="dxa"/>
          </w:tcPr>
          <w:p w14:paraId="3C027A7B" w14:textId="77777777" w:rsidR="00880071" w:rsidRPr="008E5015" w:rsidRDefault="00880071" w:rsidP="008E52A0">
            <w:pPr>
              <w:spacing w:after="120"/>
              <w:rPr>
                <w:sz w:val="20"/>
                <w:szCs w:val="20"/>
              </w:rPr>
            </w:pPr>
            <w:r w:rsidRPr="008E5015">
              <w:rPr>
                <w:sz w:val="20"/>
                <w:szCs w:val="20"/>
              </w:rPr>
              <w:t>[YES]</w:t>
            </w:r>
            <w:r w:rsidRPr="008E5015">
              <w:rPr>
                <w:rStyle w:val="FootnoteReference"/>
                <w:sz w:val="20"/>
                <w:szCs w:val="20"/>
              </w:rPr>
              <w:footnoteReference w:id="12"/>
            </w:r>
          </w:p>
        </w:tc>
        <w:tc>
          <w:tcPr>
            <w:tcW w:w="1284" w:type="dxa"/>
          </w:tcPr>
          <w:p w14:paraId="46218F35" w14:textId="77777777" w:rsidR="00880071" w:rsidRPr="008E5015" w:rsidRDefault="00880071" w:rsidP="008E52A0">
            <w:pPr>
              <w:spacing w:after="120"/>
              <w:rPr>
                <w:sz w:val="20"/>
                <w:szCs w:val="20"/>
              </w:rPr>
            </w:pPr>
            <w:r w:rsidRPr="008E5015">
              <w:rPr>
                <w:sz w:val="20"/>
                <w:szCs w:val="20"/>
              </w:rPr>
              <w:t>SOME</w:t>
            </w:r>
            <w:r w:rsidRPr="008E5015">
              <w:rPr>
                <w:rStyle w:val="FootnoteReference"/>
                <w:sz w:val="20"/>
                <w:szCs w:val="20"/>
              </w:rPr>
              <w:footnoteReference w:id="13"/>
            </w:r>
          </w:p>
        </w:tc>
        <w:tc>
          <w:tcPr>
            <w:tcW w:w="1172" w:type="dxa"/>
          </w:tcPr>
          <w:p w14:paraId="107FCBE2" w14:textId="77777777" w:rsidR="00880071" w:rsidRPr="008E5015" w:rsidRDefault="00880071" w:rsidP="008E52A0">
            <w:pPr>
              <w:spacing w:after="120"/>
              <w:rPr>
                <w:sz w:val="20"/>
                <w:szCs w:val="20"/>
              </w:rPr>
            </w:pPr>
            <w:r w:rsidRPr="008E5015">
              <w:rPr>
                <w:sz w:val="20"/>
                <w:szCs w:val="20"/>
              </w:rPr>
              <w:t>NO</w:t>
            </w:r>
          </w:p>
        </w:tc>
        <w:tc>
          <w:tcPr>
            <w:tcW w:w="1230" w:type="dxa"/>
          </w:tcPr>
          <w:p w14:paraId="11BD5899" w14:textId="77777777" w:rsidR="00880071" w:rsidRPr="008E5015" w:rsidRDefault="00880071" w:rsidP="008E52A0">
            <w:pPr>
              <w:spacing w:after="120"/>
              <w:rPr>
                <w:sz w:val="20"/>
                <w:szCs w:val="20"/>
              </w:rPr>
            </w:pPr>
            <w:r w:rsidRPr="008E5015">
              <w:rPr>
                <w:sz w:val="20"/>
                <w:szCs w:val="20"/>
              </w:rPr>
              <w:t>YES</w:t>
            </w:r>
          </w:p>
        </w:tc>
      </w:tr>
    </w:tbl>
    <w:p w14:paraId="02E6C5BF" w14:textId="77777777" w:rsidR="00880071" w:rsidRPr="00967613" w:rsidRDefault="00880071" w:rsidP="008E1A9E">
      <w:pPr>
        <w:tabs>
          <w:tab w:val="left" w:pos="8244"/>
          <w:tab w:val="left" w:pos="9160"/>
          <w:tab w:val="left" w:pos="10076"/>
          <w:tab w:val="left" w:pos="10992"/>
          <w:tab w:val="left" w:pos="11908"/>
          <w:tab w:val="left" w:pos="12824"/>
          <w:tab w:val="left" w:pos="13740"/>
          <w:tab w:val="left" w:pos="14656"/>
        </w:tabs>
        <w:spacing w:after="120"/>
        <w:ind w:left="482" w:hanging="482"/>
        <w:rPr>
          <w:szCs w:val="26"/>
        </w:rPr>
      </w:pPr>
    </w:p>
    <w:bookmarkEnd w:id="1"/>
    <w:bookmarkEnd w:id="2"/>
    <w:p w14:paraId="0F5A72EE" w14:textId="1F14CC06" w:rsidR="00880071" w:rsidRPr="00726D20" w:rsidRDefault="00726D20" w:rsidP="00726D20">
      <w:pPr>
        <w:autoSpaceDE w:val="0"/>
        <w:autoSpaceDN w:val="0"/>
        <w:adjustRightInd w:val="0"/>
        <w:spacing w:after="120"/>
        <w:ind w:left="284" w:hanging="284"/>
        <w:rPr>
          <w:color w:val="000000" w:themeColor="text1"/>
          <w:lang w:val="en-US"/>
        </w:rPr>
      </w:pPr>
      <w:r>
        <w:t>1</w:t>
      </w:r>
      <w:r w:rsidR="00880071" w:rsidRPr="001A29FA">
        <w:t xml:space="preserve">.2 </w:t>
      </w:r>
      <w:r w:rsidR="00880071" w:rsidRPr="001A29FA">
        <w:rPr>
          <w:b/>
          <w:i/>
        </w:rPr>
        <w:t>Home (</w:t>
      </w:r>
      <w:r w:rsidR="00880071" w:rsidRPr="001A29FA">
        <w:rPr>
          <w:b/>
          <w:i/>
          <w:u w:val="single"/>
        </w:rPr>
        <w:t>lawful</w:t>
      </w:r>
      <w:bookmarkStart w:id="3" w:name="OLE_LINK1"/>
      <w:bookmarkStart w:id="4" w:name="OLE_LINK2"/>
      <w:r w:rsidR="00880071" w:rsidRPr="001A29FA">
        <w:rPr>
          <w:b/>
          <w:i/>
        </w:rPr>
        <w:t xml:space="preserve">): </w:t>
      </w:r>
      <w:r w:rsidR="00880071" w:rsidRPr="001A29FA">
        <w:t>Corporal punishment in the home is lawful throughout Australia under the right of “reasonable chastisement” and similar provisions</w:t>
      </w:r>
      <w:r w:rsidR="00880071">
        <w:t xml:space="preserve"> in state and territory laws</w:t>
      </w:r>
      <w:r w:rsidR="00880071" w:rsidRPr="001A29FA">
        <w:t xml:space="preserve"> – in </w:t>
      </w:r>
      <w:r w:rsidR="00880071" w:rsidRPr="001A29FA">
        <w:rPr>
          <w:b/>
        </w:rPr>
        <w:t xml:space="preserve">Australian Capital Territory </w:t>
      </w:r>
      <w:r w:rsidR="00880071" w:rsidRPr="001A29FA">
        <w:t xml:space="preserve">under common law, </w:t>
      </w:r>
      <w:r w:rsidR="00880071" w:rsidRPr="001A29FA">
        <w:rPr>
          <w:b/>
        </w:rPr>
        <w:t xml:space="preserve">Northern Territory </w:t>
      </w:r>
      <w:r w:rsidR="00880071" w:rsidRPr="001A29FA">
        <w:t>the</w:t>
      </w:r>
      <w:r w:rsidR="00880071" w:rsidRPr="001A29FA">
        <w:rPr>
          <w:b/>
        </w:rPr>
        <w:t xml:space="preserve"> </w:t>
      </w:r>
      <w:r w:rsidR="00880071" w:rsidRPr="001A29FA">
        <w:t xml:space="preserve">Criminal Code Act (s27), </w:t>
      </w:r>
      <w:r w:rsidR="00880071" w:rsidRPr="001A29FA">
        <w:rPr>
          <w:b/>
        </w:rPr>
        <w:t xml:space="preserve">Queensland </w:t>
      </w:r>
      <w:r w:rsidR="00880071" w:rsidRPr="001A29FA">
        <w:t>the</w:t>
      </w:r>
      <w:r w:rsidR="00880071" w:rsidRPr="001A29FA">
        <w:rPr>
          <w:b/>
        </w:rPr>
        <w:t xml:space="preserve"> </w:t>
      </w:r>
      <w:r w:rsidR="00880071" w:rsidRPr="001A29FA">
        <w:t xml:space="preserve">Criminal Code Act 1899 (s280), </w:t>
      </w:r>
      <w:r w:rsidR="00880071" w:rsidRPr="001A29FA">
        <w:rPr>
          <w:b/>
        </w:rPr>
        <w:t xml:space="preserve">South Australia </w:t>
      </w:r>
      <w:r w:rsidR="00880071" w:rsidRPr="001A29FA">
        <w:t>the</w:t>
      </w:r>
      <w:r w:rsidR="00880071" w:rsidRPr="001A29FA">
        <w:rPr>
          <w:b/>
        </w:rPr>
        <w:t xml:space="preserve"> </w:t>
      </w:r>
      <w:r w:rsidR="00880071" w:rsidRPr="001A29FA">
        <w:t xml:space="preserve">Criminal Law Consolidation Act 1935 (s20), </w:t>
      </w:r>
      <w:r w:rsidR="00880071" w:rsidRPr="001A29FA">
        <w:rPr>
          <w:b/>
        </w:rPr>
        <w:t xml:space="preserve">Tasmania </w:t>
      </w:r>
      <w:r w:rsidR="00880071" w:rsidRPr="001A29FA">
        <w:t>the</w:t>
      </w:r>
      <w:r w:rsidR="00880071" w:rsidRPr="001A29FA">
        <w:rPr>
          <w:b/>
        </w:rPr>
        <w:t xml:space="preserve"> </w:t>
      </w:r>
      <w:r w:rsidR="00880071" w:rsidRPr="001A29FA">
        <w:t xml:space="preserve">Criminal Code Act 1924 (s50), </w:t>
      </w:r>
      <w:r w:rsidR="00880071" w:rsidRPr="001A29FA">
        <w:rPr>
          <w:b/>
        </w:rPr>
        <w:t>Western Australia</w:t>
      </w:r>
      <w:r w:rsidR="00880071" w:rsidRPr="001A29FA">
        <w:t xml:space="preserve"> the Criminal Code 1913 (s257) and </w:t>
      </w:r>
      <w:r w:rsidR="00880071" w:rsidRPr="001A29FA">
        <w:rPr>
          <w:b/>
        </w:rPr>
        <w:t xml:space="preserve">Victoria </w:t>
      </w:r>
      <w:r w:rsidR="00880071" w:rsidRPr="001A29FA">
        <w:t>under common law rule.</w:t>
      </w:r>
      <w:r w:rsidR="00880071">
        <w:t xml:space="preserve"> In 2001, law reform in </w:t>
      </w:r>
      <w:r w:rsidR="00880071">
        <w:rPr>
          <w:b/>
        </w:rPr>
        <w:t>New South Wales</w:t>
      </w:r>
      <w:r w:rsidR="00880071">
        <w:t xml:space="preserve"> limited the defence of “awful correction” in the Crimes Act (s61AA) but did not repeal it.</w:t>
      </w:r>
      <w:r>
        <w:t xml:space="preserve"> </w:t>
      </w:r>
      <w:r>
        <w:rPr>
          <w:color w:val="000000" w:themeColor="text1"/>
          <w:lang w:val="en-US"/>
        </w:rPr>
        <w:t>In March 2016, a ruling by the South Australian Supreme Court found in favour of “reasonable” corporal punishment of children by parents.</w:t>
      </w:r>
      <w:r>
        <w:rPr>
          <w:rStyle w:val="FootnoteReference"/>
          <w:color w:val="000000" w:themeColor="text1"/>
          <w:lang w:val="en-US"/>
        </w:rPr>
        <w:footnoteReference w:id="14"/>
      </w:r>
    </w:p>
    <w:p w14:paraId="1BF7D4E7" w14:textId="14238ECD" w:rsidR="00880071" w:rsidRPr="001A29FA" w:rsidRDefault="00726D20" w:rsidP="00726D20">
      <w:pPr>
        <w:spacing w:after="120"/>
        <w:ind w:left="284" w:hanging="284"/>
      </w:pPr>
      <w:r>
        <w:t>1.3</w:t>
      </w:r>
      <w:r w:rsidR="00880071" w:rsidRPr="001A29FA">
        <w:t xml:space="preserve"> </w:t>
      </w:r>
      <w:r w:rsidR="00880071" w:rsidRPr="001A29FA">
        <w:rPr>
          <w:b/>
          <w:i/>
        </w:rPr>
        <w:t xml:space="preserve">Alternative care settings </w:t>
      </w:r>
      <w:r w:rsidR="00880071" w:rsidRPr="001A29FA">
        <w:rPr>
          <w:b/>
          <w:i/>
          <w:szCs w:val="26"/>
        </w:rPr>
        <w:t>(</w:t>
      </w:r>
      <w:r w:rsidR="00880071">
        <w:rPr>
          <w:b/>
          <w:i/>
          <w:szCs w:val="26"/>
          <w:u w:val="single"/>
        </w:rPr>
        <w:t>partially prohibited</w:t>
      </w:r>
      <w:r w:rsidR="00880071" w:rsidRPr="001A29FA">
        <w:rPr>
          <w:b/>
          <w:i/>
          <w:szCs w:val="26"/>
        </w:rPr>
        <w:t>):</w:t>
      </w:r>
      <w:r w:rsidR="00880071" w:rsidRPr="001A29FA">
        <w:rPr>
          <w:i/>
          <w:szCs w:val="26"/>
        </w:rPr>
        <w:t xml:space="preserve"> </w:t>
      </w:r>
      <w:r w:rsidR="00880071" w:rsidRPr="001A29FA">
        <w:t xml:space="preserve">In residential centres, corporal punishment is prohibited in </w:t>
      </w:r>
      <w:r w:rsidR="00880071" w:rsidRPr="001A29FA">
        <w:rPr>
          <w:b/>
        </w:rPr>
        <w:t>New South Wales</w:t>
      </w:r>
      <w:r w:rsidR="00880071" w:rsidRPr="001A29FA">
        <w:t xml:space="preserve"> </w:t>
      </w:r>
      <w:r w:rsidR="00880071">
        <w:t>(</w:t>
      </w:r>
      <w:r w:rsidR="00880071" w:rsidRPr="001A29FA">
        <w:t>Children and Young Persons (Care and Protection) Regulation 2000</w:t>
      </w:r>
      <w:r w:rsidR="00880071">
        <w:t xml:space="preserve">, </w:t>
      </w:r>
      <w:r w:rsidR="00880071" w:rsidRPr="001A29FA">
        <w:t xml:space="preserve">s35), </w:t>
      </w:r>
      <w:r w:rsidR="00880071" w:rsidRPr="001A29FA">
        <w:rPr>
          <w:b/>
        </w:rPr>
        <w:t>Queensland</w:t>
      </w:r>
      <w:r w:rsidR="00880071" w:rsidRPr="001A29FA">
        <w:t xml:space="preserve"> </w:t>
      </w:r>
      <w:r w:rsidR="00880071">
        <w:t>(</w:t>
      </w:r>
      <w:r w:rsidR="00880071" w:rsidRPr="001A29FA">
        <w:t>Child Protection Act 1999</w:t>
      </w:r>
      <w:r w:rsidR="00880071">
        <w:t xml:space="preserve">, </w:t>
      </w:r>
      <w:r w:rsidR="00880071" w:rsidRPr="001A29FA">
        <w:t xml:space="preserve">s122), </w:t>
      </w:r>
      <w:r w:rsidR="00880071" w:rsidRPr="001A29FA">
        <w:rPr>
          <w:b/>
        </w:rPr>
        <w:t>South Australia</w:t>
      </w:r>
      <w:r w:rsidR="00880071" w:rsidRPr="001A29FA">
        <w:t xml:space="preserve"> </w:t>
      </w:r>
      <w:r w:rsidR="00880071">
        <w:t>(</w:t>
      </w:r>
      <w:r w:rsidR="00880071" w:rsidRPr="001A29FA">
        <w:t>Family and Community Services Regulations 1996</w:t>
      </w:r>
      <w:r w:rsidR="00880071">
        <w:t xml:space="preserve">, </w:t>
      </w:r>
      <w:r w:rsidR="00880071" w:rsidRPr="001A29FA">
        <w:t xml:space="preserve">s13) and </w:t>
      </w:r>
      <w:r w:rsidR="00880071" w:rsidRPr="001A29FA">
        <w:rPr>
          <w:b/>
        </w:rPr>
        <w:t>Australian Capital Territory</w:t>
      </w:r>
      <w:r w:rsidR="00880071" w:rsidRPr="001A29FA">
        <w:t xml:space="preserve"> </w:t>
      </w:r>
      <w:r w:rsidR="00880071">
        <w:t>(</w:t>
      </w:r>
      <w:r w:rsidR="00880071" w:rsidRPr="001A29FA">
        <w:t>Children and Young People Act 2008</w:t>
      </w:r>
      <w:r w:rsidR="00880071">
        <w:t xml:space="preserve">, </w:t>
      </w:r>
      <w:r w:rsidR="00880071" w:rsidRPr="001A29FA">
        <w:t xml:space="preserve">s741). It is lawful in the </w:t>
      </w:r>
      <w:r w:rsidR="00880071" w:rsidRPr="001A29FA">
        <w:rPr>
          <w:b/>
        </w:rPr>
        <w:t>Northern Territory</w:t>
      </w:r>
      <w:r w:rsidR="00880071" w:rsidRPr="001A29FA">
        <w:t xml:space="preserve"> under provisions for the use of force “to discipline, manage or control” a child </w:t>
      </w:r>
      <w:r w:rsidR="00880071">
        <w:t>(</w:t>
      </w:r>
      <w:r w:rsidR="00880071" w:rsidRPr="001A29FA">
        <w:t>Criminal Code Act</w:t>
      </w:r>
      <w:r w:rsidR="00880071">
        <w:t xml:space="preserve">, </w:t>
      </w:r>
      <w:r w:rsidR="00880071" w:rsidRPr="001A29FA">
        <w:t xml:space="preserve">s27), in </w:t>
      </w:r>
      <w:r w:rsidR="00880071" w:rsidRPr="001A29FA">
        <w:rPr>
          <w:b/>
        </w:rPr>
        <w:t>Tasmania</w:t>
      </w:r>
      <w:r w:rsidR="00880071" w:rsidRPr="001A29FA">
        <w:t xml:space="preserve"> under the authority to use force “by way of correction” </w:t>
      </w:r>
      <w:r w:rsidR="00880071">
        <w:t>(</w:t>
      </w:r>
      <w:r w:rsidR="00880071" w:rsidRPr="001A29FA">
        <w:t>Criminal Code Act</w:t>
      </w:r>
      <w:r w:rsidR="00880071">
        <w:t xml:space="preserve">, </w:t>
      </w:r>
      <w:r w:rsidR="00880071" w:rsidRPr="001A29FA">
        <w:t xml:space="preserve">s50), in </w:t>
      </w:r>
      <w:r w:rsidR="00880071" w:rsidRPr="001A29FA">
        <w:rPr>
          <w:b/>
        </w:rPr>
        <w:t>Victoria</w:t>
      </w:r>
      <w:r w:rsidR="00880071" w:rsidRPr="001A29FA">
        <w:t xml:space="preserve"> under common law and in </w:t>
      </w:r>
      <w:r w:rsidR="00880071" w:rsidRPr="001A29FA">
        <w:rPr>
          <w:b/>
        </w:rPr>
        <w:t xml:space="preserve">Western Australia </w:t>
      </w:r>
      <w:r w:rsidR="00880071" w:rsidRPr="001A29FA">
        <w:t xml:space="preserve">under the authority to use force “by way of correction” </w:t>
      </w:r>
      <w:r w:rsidR="00880071">
        <w:t xml:space="preserve">(Criminal Code Act, </w:t>
      </w:r>
      <w:r w:rsidR="00880071" w:rsidRPr="001A29FA">
        <w:t>s257).</w:t>
      </w:r>
    </w:p>
    <w:p w14:paraId="0DAF5D7D" w14:textId="707C57B6" w:rsidR="00880071" w:rsidRPr="001A29FA" w:rsidRDefault="00726D20" w:rsidP="00726D20">
      <w:pPr>
        <w:spacing w:after="120"/>
        <w:ind w:left="284" w:hanging="284"/>
      </w:pPr>
      <w:r>
        <w:t>1</w:t>
      </w:r>
      <w:r w:rsidR="00880071">
        <w:t xml:space="preserve">.4 </w:t>
      </w:r>
      <w:r w:rsidR="00880071" w:rsidRPr="001A29FA">
        <w:t xml:space="preserve">In foster care, corporal punishment is prohibited in </w:t>
      </w:r>
      <w:r w:rsidR="00880071" w:rsidRPr="001A29FA">
        <w:rPr>
          <w:b/>
        </w:rPr>
        <w:t>New South Wales</w:t>
      </w:r>
      <w:r w:rsidR="00880071" w:rsidRPr="001A29FA">
        <w:t xml:space="preserve"> </w:t>
      </w:r>
      <w:r w:rsidR="00880071">
        <w:t>(</w:t>
      </w:r>
      <w:r w:rsidR="00880071" w:rsidRPr="001A29FA">
        <w:t>Children and Young Persons (Care and Protection) Regulation 2000</w:t>
      </w:r>
      <w:r w:rsidR="00880071">
        <w:t>, s35),</w:t>
      </w:r>
      <w:r w:rsidR="00880071" w:rsidRPr="001A29FA">
        <w:t xml:space="preserve"> </w:t>
      </w:r>
      <w:r w:rsidR="00880071" w:rsidRPr="001A29FA">
        <w:rPr>
          <w:b/>
        </w:rPr>
        <w:t>Queensland</w:t>
      </w:r>
      <w:r w:rsidR="00880071" w:rsidRPr="001A29FA">
        <w:t xml:space="preserve"> </w:t>
      </w:r>
      <w:r w:rsidR="00880071">
        <w:t xml:space="preserve">(Child Protection Act 1999, s122), </w:t>
      </w:r>
      <w:r w:rsidR="00880071" w:rsidRPr="001A29FA">
        <w:rPr>
          <w:b/>
        </w:rPr>
        <w:t>South Australia</w:t>
      </w:r>
      <w:r w:rsidR="00880071" w:rsidRPr="001A29FA">
        <w:t xml:space="preserve"> </w:t>
      </w:r>
      <w:r w:rsidR="00880071">
        <w:t>(by licensing requirements) and</w:t>
      </w:r>
      <w:r w:rsidR="00880071" w:rsidRPr="001A29FA">
        <w:t xml:space="preserve"> </w:t>
      </w:r>
      <w:r w:rsidR="00880071" w:rsidRPr="001A29FA">
        <w:rPr>
          <w:b/>
        </w:rPr>
        <w:t>Australian Capital Territory</w:t>
      </w:r>
      <w:r w:rsidR="00880071" w:rsidRPr="001A29FA">
        <w:t xml:space="preserve"> </w:t>
      </w:r>
      <w:r w:rsidR="00880071">
        <w:t>(</w:t>
      </w:r>
      <w:r w:rsidR="00880071" w:rsidRPr="001A29FA">
        <w:t>Children and Young People Act 2008</w:t>
      </w:r>
      <w:r w:rsidR="00880071">
        <w:t xml:space="preserve">, </w:t>
      </w:r>
      <w:r w:rsidR="00880071" w:rsidRPr="001A29FA">
        <w:t xml:space="preserve">s741). It is lawful in the </w:t>
      </w:r>
      <w:r w:rsidR="00880071" w:rsidRPr="001A29FA">
        <w:rPr>
          <w:b/>
        </w:rPr>
        <w:t>Northern Territory</w:t>
      </w:r>
      <w:r w:rsidR="00880071" w:rsidRPr="001A29FA">
        <w:t xml:space="preserve"> under provisions for the use of force “to discipline, manage or control” a child </w:t>
      </w:r>
      <w:r w:rsidR="00880071">
        <w:t>(</w:t>
      </w:r>
      <w:r w:rsidR="00880071" w:rsidRPr="001A29FA">
        <w:t>Criminal Co</w:t>
      </w:r>
      <w:r w:rsidR="00880071">
        <w:t xml:space="preserve">de Act, </w:t>
      </w:r>
      <w:r w:rsidR="00880071" w:rsidRPr="001A29FA">
        <w:t xml:space="preserve">s27), in </w:t>
      </w:r>
      <w:r w:rsidR="00880071" w:rsidRPr="001A29FA">
        <w:rPr>
          <w:b/>
        </w:rPr>
        <w:t>Tasmania</w:t>
      </w:r>
      <w:r w:rsidR="00880071" w:rsidRPr="001A29FA">
        <w:t xml:space="preserve"> and </w:t>
      </w:r>
      <w:r w:rsidR="00880071" w:rsidRPr="001A29FA">
        <w:rPr>
          <w:b/>
        </w:rPr>
        <w:lastRenderedPageBreak/>
        <w:t>Western Australia</w:t>
      </w:r>
      <w:r w:rsidR="00880071" w:rsidRPr="001A29FA">
        <w:t xml:space="preserve"> under the authority to use force “by way of correction” </w:t>
      </w:r>
      <w:r w:rsidR="00880071">
        <w:t>(</w:t>
      </w:r>
      <w:r w:rsidR="00880071" w:rsidRPr="001A29FA">
        <w:t>respective Criminal Code Acts</w:t>
      </w:r>
      <w:r w:rsidR="00880071">
        <w:t xml:space="preserve">, </w:t>
      </w:r>
      <w:r w:rsidR="00880071" w:rsidRPr="001A29FA">
        <w:t xml:space="preserve">s50 and s257) and in </w:t>
      </w:r>
      <w:r w:rsidR="00880071" w:rsidRPr="001A29FA">
        <w:rPr>
          <w:b/>
        </w:rPr>
        <w:t>Victoria</w:t>
      </w:r>
      <w:r w:rsidR="00880071" w:rsidRPr="001A29FA">
        <w:t xml:space="preserve"> under common law.</w:t>
      </w:r>
    </w:p>
    <w:bookmarkEnd w:id="3"/>
    <w:bookmarkEnd w:id="4"/>
    <w:p w14:paraId="1BA24766" w14:textId="766AA19B" w:rsidR="00880071" w:rsidRPr="001A29FA" w:rsidRDefault="00726D20" w:rsidP="00726D20">
      <w:pPr>
        <w:autoSpaceDE w:val="0"/>
        <w:autoSpaceDN w:val="0"/>
        <w:adjustRightInd w:val="0"/>
        <w:spacing w:after="120"/>
        <w:ind w:left="284" w:hanging="284"/>
      </w:pPr>
      <w:r>
        <w:t>1</w:t>
      </w:r>
      <w:r w:rsidR="00880071" w:rsidRPr="001A29FA">
        <w:t xml:space="preserve">.5 </w:t>
      </w:r>
      <w:r w:rsidR="00880071" w:rsidRPr="001A29FA">
        <w:rPr>
          <w:b/>
          <w:i/>
        </w:rPr>
        <w:t xml:space="preserve">Day care </w:t>
      </w:r>
      <w:r w:rsidR="00880071" w:rsidRPr="001A29FA">
        <w:rPr>
          <w:b/>
          <w:i/>
          <w:szCs w:val="26"/>
        </w:rPr>
        <w:t>(</w:t>
      </w:r>
      <w:r w:rsidR="00880071">
        <w:rPr>
          <w:b/>
          <w:i/>
          <w:szCs w:val="26"/>
          <w:u w:val="single"/>
        </w:rPr>
        <w:t>partially prohibited</w:t>
      </w:r>
      <w:r w:rsidR="00880071" w:rsidRPr="001A29FA">
        <w:rPr>
          <w:b/>
          <w:i/>
          <w:szCs w:val="26"/>
        </w:rPr>
        <w:t>):</w:t>
      </w:r>
      <w:r w:rsidR="00880071" w:rsidRPr="001A29FA">
        <w:rPr>
          <w:i/>
          <w:szCs w:val="26"/>
        </w:rPr>
        <w:t xml:space="preserve"> </w:t>
      </w:r>
      <w:r w:rsidR="00880071" w:rsidRPr="001A29FA">
        <w:t xml:space="preserve">Corporal punishment is prohibited in child care centres in </w:t>
      </w:r>
      <w:r w:rsidR="00880071" w:rsidRPr="001A29FA">
        <w:rPr>
          <w:b/>
        </w:rPr>
        <w:t>Australian Capital Territory</w:t>
      </w:r>
      <w:r w:rsidR="00880071" w:rsidRPr="001A29FA">
        <w:t xml:space="preserve"> </w:t>
      </w:r>
      <w:r w:rsidR="00880071">
        <w:t>(</w:t>
      </w:r>
      <w:r w:rsidR="00880071" w:rsidRPr="001A29FA">
        <w:t>Chil</w:t>
      </w:r>
      <w:r w:rsidR="00880071">
        <w:t xml:space="preserve">dren and Young People Act 200, s741), </w:t>
      </w:r>
      <w:r w:rsidR="00880071" w:rsidRPr="001A29FA">
        <w:rPr>
          <w:b/>
        </w:rPr>
        <w:t>New South Wales</w:t>
      </w:r>
      <w:r w:rsidR="00880071" w:rsidRPr="001A29FA">
        <w:t xml:space="preserve"> </w:t>
      </w:r>
      <w:r w:rsidR="00880071">
        <w:t>(</w:t>
      </w:r>
      <w:r w:rsidR="00880071" w:rsidRPr="001A29FA">
        <w:t>Child</w:t>
      </w:r>
      <w:r w:rsidR="00880071">
        <w:t xml:space="preserve">ren’s Services Regulation 2004, </w:t>
      </w:r>
      <w:r w:rsidR="00880071" w:rsidRPr="001A29FA">
        <w:t xml:space="preserve">s65), </w:t>
      </w:r>
      <w:r w:rsidR="00880071" w:rsidRPr="001A29FA">
        <w:rPr>
          <w:b/>
        </w:rPr>
        <w:t>Queensland</w:t>
      </w:r>
      <w:r w:rsidR="00880071" w:rsidRPr="001A29FA">
        <w:t xml:space="preserve"> </w:t>
      </w:r>
      <w:r w:rsidR="00880071">
        <w:t xml:space="preserve">(Child Protection Act 1999 , s122), </w:t>
      </w:r>
      <w:r w:rsidR="00880071" w:rsidRPr="001A29FA">
        <w:rPr>
          <w:b/>
        </w:rPr>
        <w:t>South Australia</w:t>
      </w:r>
      <w:r w:rsidR="00880071" w:rsidRPr="001A29FA">
        <w:t xml:space="preserve"> </w:t>
      </w:r>
      <w:r w:rsidR="00880071">
        <w:t>(</w:t>
      </w:r>
      <w:r w:rsidR="00880071" w:rsidRPr="001A29FA">
        <w:t xml:space="preserve">Children’s Services (Child </w:t>
      </w:r>
      <w:r w:rsidR="00880071">
        <w:t xml:space="preserve">Care Centres) Regulations 199, s39), </w:t>
      </w:r>
      <w:r w:rsidR="00880071" w:rsidRPr="001A29FA">
        <w:rPr>
          <w:b/>
        </w:rPr>
        <w:t>Victoria</w:t>
      </w:r>
      <w:r w:rsidR="00880071">
        <w:t xml:space="preserve"> Children’s Services Act 1996, </w:t>
      </w:r>
      <w:r w:rsidR="00880071" w:rsidRPr="001A29FA">
        <w:t xml:space="preserve">s28) and </w:t>
      </w:r>
      <w:r w:rsidR="00880071" w:rsidRPr="001A29FA">
        <w:rPr>
          <w:b/>
        </w:rPr>
        <w:t>Western Australia</w:t>
      </w:r>
      <w:r w:rsidR="00880071" w:rsidRPr="001A29FA">
        <w:t xml:space="preserve"> </w:t>
      </w:r>
      <w:r w:rsidR="00880071">
        <w:t>(</w:t>
      </w:r>
      <w:r w:rsidR="00880071" w:rsidRPr="001A29FA">
        <w:t>Child Care Services</w:t>
      </w:r>
      <w:r w:rsidR="00880071">
        <w:t xml:space="preserve"> (Child Care) Regulations 2006, s85; </w:t>
      </w:r>
      <w:r w:rsidR="00880071" w:rsidRPr="001A29FA">
        <w:rPr>
          <w:bCs/>
        </w:rPr>
        <w:t>Child Care Services (Family Day Care) Regulations 2006</w:t>
      </w:r>
      <w:r w:rsidR="00880071">
        <w:rPr>
          <w:bCs/>
        </w:rPr>
        <w:t xml:space="preserve">, </w:t>
      </w:r>
      <w:r w:rsidR="00880071" w:rsidRPr="001A29FA">
        <w:rPr>
          <w:bCs/>
        </w:rPr>
        <w:t>s69</w:t>
      </w:r>
      <w:r w:rsidR="00880071">
        <w:rPr>
          <w:bCs/>
        </w:rPr>
        <w:t>;</w:t>
      </w:r>
      <w:r w:rsidR="00880071" w:rsidRPr="001A29FA">
        <w:rPr>
          <w:bCs/>
        </w:rPr>
        <w:t xml:space="preserve"> Child Care Services (Outside Schoo</w:t>
      </w:r>
      <w:r w:rsidR="00880071">
        <w:rPr>
          <w:bCs/>
        </w:rPr>
        <w:t xml:space="preserve">l Hours Care) Regulations 2006, </w:t>
      </w:r>
      <w:r w:rsidR="00880071" w:rsidRPr="001A29FA">
        <w:rPr>
          <w:bCs/>
        </w:rPr>
        <w:t>s66</w:t>
      </w:r>
      <w:r w:rsidR="00880071">
        <w:rPr>
          <w:bCs/>
        </w:rPr>
        <w:t>;</w:t>
      </w:r>
      <w:r w:rsidR="00880071" w:rsidRPr="001A29FA">
        <w:rPr>
          <w:bCs/>
        </w:rPr>
        <w:t xml:space="preserve"> Child Care Services (Outside School Hours Fam</w:t>
      </w:r>
      <w:r w:rsidR="00880071">
        <w:rPr>
          <w:bCs/>
        </w:rPr>
        <w:t xml:space="preserve">ily Day Care) Regulations 2006, </w:t>
      </w:r>
      <w:r w:rsidR="00880071" w:rsidRPr="001A29FA">
        <w:rPr>
          <w:bCs/>
        </w:rPr>
        <w:t>s52</w:t>
      </w:r>
      <w:r w:rsidR="00880071" w:rsidRPr="001A29FA">
        <w:t xml:space="preserve">). Corporal punishment is lawful in the </w:t>
      </w:r>
      <w:r w:rsidR="00880071" w:rsidRPr="001A29FA">
        <w:rPr>
          <w:b/>
        </w:rPr>
        <w:t>Northern Territory</w:t>
      </w:r>
      <w:r w:rsidR="00880071" w:rsidRPr="001A29FA">
        <w:t xml:space="preserve"> under provisions for the use of force “to discipline, manage or control” a child </w:t>
      </w:r>
      <w:r w:rsidR="00880071">
        <w:t xml:space="preserve">(Criminal Code Act, </w:t>
      </w:r>
      <w:r w:rsidR="00880071" w:rsidRPr="001A29FA">
        <w:t xml:space="preserve">s27) and in </w:t>
      </w:r>
      <w:r w:rsidR="00880071" w:rsidRPr="001A29FA">
        <w:rPr>
          <w:b/>
        </w:rPr>
        <w:t>Tasmania</w:t>
      </w:r>
      <w:r w:rsidR="00880071" w:rsidRPr="001A29FA">
        <w:t xml:space="preserve"> under the authority to use force “by way of correction” </w:t>
      </w:r>
      <w:r w:rsidR="00880071">
        <w:t xml:space="preserve">(Criminal Code Act, </w:t>
      </w:r>
      <w:r w:rsidR="00880071" w:rsidRPr="001A29FA">
        <w:t xml:space="preserve">s50). </w:t>
      </w:r>
    </w:p>
    <w:p w14:paraId="3B99D65E" w14:textId="261115A7" w:rsidR="00880071" w:rsidRPr="004E29CD" w:rsidRDefault="00726D20" w:rsidP="00726D20">
      <w:pPr>
        <w:autoSpaceDE w:val="0"/>
        <w:autoSpaceDN w:val="0"/>
        <w:adjustRightInd w:val="0"/>
        <w:spacing w:after="120"/>
        <w:ind w:left="284" w:hanging="284"/>
        <w:rPr>
          <w:bCs/>
        </w:rPr>
      </w:pPr>
      <w:r>
        <w:t>1</w:t>
      </w:r>
      <w:r w:rsidR="00880071">
        <w:t xml:space="preserve">.6 </w:t>
      </w:r>
      <w:r w:rsidR="00880071" w:rsidRPr="001A29FA">
        <w:t xml:space="preserve">As a result of legal reform in 2011/2012, explicit prohibition is also to be found in article 166 of the </w:t>
      </w:r>
      <w:r w:rsidR="00880071" w:rsidRPr="001A29FA">
        <w:rPr>
          <w:bCs/>
        </w:rPr>
        <w:t xml:space="preserve">Education and Early Childhood Services (Registration and Standards) Act 2011 in </w:t>
      </w:r>
      <w:r w:rsidR="00880071" w:rsidRPr="001A29FA">
        <w:rPr>
          <w:b/>
          <w:bCs/>
        </w:rPr>
        <w:t>South Australia</w:t>
      </w:r>
      <w:r w:rsidR="00880071" w:rsidRPr="001A29FA">
        <w:rPr>
          <w:bCs/>
        </w:rPr>
        <w:t xml:space="preserve">, the Education and Care Services (National Uniform Legislation) Act 2011 </w:t>
      </w:r>
      <w:r w:rsidR="00880071" w:rsidRPr="001A29FA">
        <w:t xml:space="preserve">in </w:t>
      </w:r>
      <w:r w:rsidR="00880071" w:rsidRPr="001A29FA">
        <w:rPr>
          <w:b/>
        </w:rPr>
        <w:t>Northern Territory</w:t>
      </w:r>
      <w:r w:rsidR="00880071" w:rsidRPr="001A29FA">
        <w:t xml:space="preserve">, the Education and Care Services National Law (Application) Act 2011 in </w:t>
      </w:r>
      <w:r w:rsidR="00880071" w:rsidRPr="001A29FA">
        <w:rPr>
          <w:b/>
        </w:rPr>
        <w:t>Tasmania</w:t>
      </w:r>
      <w:r w:rsidR="00880071" w:rsidRPr="001A29FA">
        <w:t xml:space="preserve">, and the </w:t>
      </w:r>
      <w:r w:rsidR="00880071" w:rsidRPr="001A29FA">
        <w:rPr>
          <w:bCs/>
        </w:rPr>
        <w:t xml:space="preserve">Education and Care Services National Law Act 2010 in </w:t>
      </w:r>
      <w:r w:rsidR="00880071" w:rsidRPr="001A29FA">
        <w:rPr>
          <w:b/>
          <w:bCs/>
        </w:rPr>
        <w:t>Victoria</w:t>
      </w:r>
      <w:r w:rsidR="00880071" w:rsidRPr="001A29FA">
        <w:rPr>
          <w:bCs/>
        </w:rPr>
        <w:t xml:space="preserve"> and the Children (Education and Care Services) National Law (NSW) No 104a 2010 in</w:t>
      </w:r>
      <w:r w:rsidR="00880071" w:rsidRPr="001A29FA">
        <w:rPr>
          <w:b/>
          <w:bCs/>
        </w:rPr>
        <w:t xml:space="preserve"> New South Wales</w:t>
      </w:r>
      <w:r w:rsidR="00880071" w:rsidRPr="001A29FA">
        <w:rPr>
          <w:bCs/>
        </w:rPr>
        <w:t xml:space="preserve">. In </w:t>
      </w:r>
      <w:r w:rsidR="00880071" w:rsidRPr="001A29FA">
        <w:rPr>
          <w:b/>
          <w:bCs/>
        </w:rPr>
        <w:t>Western Australia</w:t>
      </w:r>
      <w:r w:rsidR="00880071" w:rsidRPr="001A29FA">
        <w:rPr>
          <w:bCs/>
        </w:rPr>
        <w:t xml:space="preserve"> it is prohibited in the Education and Care Services National Law (WA) Act 2012. These laws apply to some but not all education and care settings and for children under 13 only.</w:t>
      </w:r>
    </w:p>
    <w:p w14:paraId="17C1A479" w14:textId="41103548" w:rsidR="00880071" w:rsidRPr="001A29FA" w:rsidRDefault="00726D20" w:rsidP="00726D20">
      <w:pPr>
        <w:spacing w:after="120"/>
        <w:ind w:left="284" w:hanging="284"/>
      </w:pPr>
      <w:r>
        <w:t>1</w:t>
      </w:r>
      <w:r w:rsidR="00880071">
        <w:t>.7</w:t>
      </w:r>
      <w:r w:rsidR="00880071" w:rsidRPr="001A29FA">
        <w:t xml:space="preserve"> </w:t>
      </w:r>
      <w:r w:rsidR="00880071" w:rsidRPr="001A29FA">
        <w:rPr>
          <w:b/>
          <w:i/>
        </w:rPr>
        <w:t xml:space="preserve">Schools </w:t>
      </w:r>
      <w:r w:rsidR="00880071" w:rsidRPr="001A29FA">
        <w:rPr>
          <w:b/>
          <w:i/>
          <w:szCs w:val="26"/>
        </w:rPr>
        <w:t>(</w:t>
      </w:r>
      <w:r w:rsidR="00880071">
        <w:rPr>
          <w:b/>
          <w:i/>
          <w:szCs w:val="26"/>
          <w:u w:val="single"/>
        </w:rPr>
        <w:t>partially prohibited</w:t>
      </w:r>
      <w:r w:rsidR="00880071" w:rsidRPr="001A29FA">
        <w:rPr>
          <w:b/>
          <w:i/>
          <w:szCs w:val="26"/>
        </w:rPr>
        <w:t>):</w:t>
      </w:r>
      <w:r w:rsidR="00880071" w:rsidRPr="001A29FA">
        <w:rPr>
          <w:i/>
          <w:szCs w:val="26"/>
        </w:rPr>
        <w:t xml:space="preserve"> </w:t>
      </w:r>
      <w:bookmarkStart w:id="5" w:name="OLE_LINK36"/>
      <w:bookmarkStart w:id="6" w:name="OLE_LINK37"/>
      <w:r w:rsidR="00880071" w:rsidRPr="001A29FA">
        <w:t>In 2012, the Australian Government stated that it “does not endorse” corporal punishment in schools and that in 2011 it had launched the National Safe Schools Framework which promotes children’s safety from violence in schools and is endorsed by all education ministers.</w:t>
      </w:r>
      <w:r w:rsidR="00880071" w:rsidRPr="001A29FA">
        <w:rPr>
          <w:rStyle w:val="FootnoteReference"/>
        </w:rPr>
        <w:footnoteReference w:id="15"/>
      </w:r>
      <w:r w:rsidR="00880071" w:rsidRPr="001A29FA">
        <w:t xml:space="preserve"> However, the Framework is silent on the issue of corporal punishment.</w:t>
      </w:r>
    </w:p>
    <w:p w14:paraId="7ACF8501" w14:textId="09A5810A" w:rsidR="00880071" w:rsidRPr="001A29FA" w:rsidRDefault="00726D20" w:rsidP="00726D20">
      <w:pPr>
        <w:autoSpaceDE w:val="0"/>
        <w:autoSpaceDN w:val="0"/>
        <w:adjustRightInd w:val="0"/>
        <w:spacing w:after="120"/>
        <w:ind w:left="284" w:hanging="284"/>
        <w:rPr>
          <w:bCs/>
        </w:rPr>
      </w:pPr>
      <w:r>
        <w:t>1</w:t>
      </w:r>
      <w:r w:rsidR="00880071">
        <w:t xml:space="preserve">.8 </w:t>
      </w:r>
      <w:r w:rsidR="00880071" w:rsidRPr="001A29FA">
        <w:t xml:space="preserve">Legally, corporal punishment in schools is regulated at state level. It is prohibited in government and independent schools in </w:t>
      </w:r>
      <w:r w:rsidR="00880071" w:rsidRPr="001A29FA">
        <w:rPr>
          <w:b/>
        </w:rPr>
        <w:t>Australian Capital Territory</w:t>
      </w:r>
      <w:r w:rsidR="00880071" w:rsidRPr="001A29FA">
        <w:t xml:space="preserve"> </w:t>
      </w:r>
      <w:r w:rsidR="00880071">
        <w:t xml:space="preserve">(Education Act 2004, </w:t>
      </w:r>
      <w:r w:rsidR="00880071" w:rsidRPr="001A29FA">
        <w:t xml:space="preserve">s7), </w:t>
      </w:r>
      <w:r w:rsidR="00880071" w:rsidRPr="001A29FA">
        <w:rPr>
          <w:b/>
          <w:bCs/>
        </w:rPr>
        <w:t>New South Wales</w:t>
      </w:r>
      <w:r w:rsidR="00880071" w:rsidRPr="001A29FA">
        <w:rPr>
          <w:bCs/>
        </w:rPr>
        <w:t xml:space="preserve"> </w:t>
      </w:r>
      <w:r w:rsidR="00880071">
        <w:rPr>
          <w:bCs/>
        </w:rPr>
        <w:t xml:space="preserve">(Education Act 1990, </w:t>
      </w:r>
      <w:r w:rsidR="00880071" w:rsidRPr="001A29FA">
        <w:rPr>
          <w:bCs/>
        </w:rPr>
        <w:t>s3 and s47</w:t>
      </w:r>
      <w:r w:rsidR="00880071">
        <w:rPr>
          <w:bCs/>
        </w:rPr>
        <w:t xml:space="preserve">; </w:t>
      </w:r>
      <w:r w:rsidR="00880071" w:rsidRPr="001A29FA">
        <w:rPr>
          <w:bCs/>
        </w:rPr>
        <w:t>Children (Education and Care Services) National Law (NSW) No 104a 2010</w:t>
      </w:r>
      <w:r w:rsidR="00880071">
        <w:rPr>
          <w:bCs/>
        </w:rPr>
        <w:t>)</w:t>
      </w:r>
      <w:r w:rsidR="00880071" w:rsidRPr="001A29FA">
        <w:rPr>
          <w:bCs/>
        </w:rPr>
        <w:t xml:space="preserve">, </w:t>
      </w:r>
      <w:r w:rsidR="00880071" w:rsidRPr="001A29FA">
        <w:rPr>
          <w:b/>
        </w:rPr>
        <w:t>Tasmania</w:t>
      </w:r>
      <w:r w:rsidR="00880071" w:rsidRPr="001A29FA">
        <w:t xml:space="preserve"> </w:t>
      </w:r>
      <w:r w:rsidR="00880071">
        <w:t xml:space="preserve">(Education Act 1994, </w:t>
      </w:r>
      <w:r w:rsidR="00880071" w:rsidRPr="001A29FA">
        <w:t>s82A</w:t>
      </w:r>
      <w:r w:rsidR="00880071">
        <w:t>;</w:t>
      </w:r>
      <w:r w:rsidR="00880071" w:rsidRPr="001A29FA">
        <w:t xml:space="preserve"> Education and Care Services National Law (Application) Act 2011</w:t>
      </w:r>
      <w:r w:rsidR="00880071">
        <w:t>)</w:t>
      </w:r>
      <w:r w:rsidR="00880071" w:rsidRPr="001A29FA">
        <w:t xml:space="preserve">, and </w:t>
      </w:r>
      <w:r w:rsidR="00880071" w:rsidRPr="001A29FA">
        <w:rPr>
          <w:b/>
        </w:rPr>
        <w:t>Victoria</w:t>
      </w:r>
      <w:r w:rsidR="00880071" w:rsidRPr="001A29FA">
        <w:t xml:space="preserve"> </w:t>
      </w:r>
      <w:r w:rsidR="00880071">
        <w:t>(</w:t>
      </w:r>
      <w:r w:rsidR="00880071" w:rsidRPr="001A29FA">
        <w:rPr>
          <w:bCs/>
        </w:rPr>
        <w:t>Education and Training Refo</w:t>
      </w:r>
      <w:r w:rsidR="00880071">
        <w:rPr>
          <w:bCs/>
        </w:rPr>
        <w:t xml:space="preserve">rm Act 2006, </w:t>
      </w:r>
      <w:r w:rsidR="00880071" w:rsidRPr="001A29FA">
        <w:rPr>
          <w:bCs/>
        </w:rPr>
        <w:t>s4.3</w:t>
      </w:r>
      <w:r w:rsidR="00880071">
        <w:rPr>
          <w:bCs/>
        </w:rPr>
        <w:t>;</w:t>
      </w:r>
      <w:r w:rsidR="00880071" w:rsidRPr="001A29FA">
        <w:rPr>
          <w:bCs/>
        </w:rPr>
        <w:t xml:space="preserve"> Education and Tr</w:t>
      </w:r>
      <w:r w:rsidR="00880071">
        <w:rPr>
          <w:bCs/>
        </w:rPr>
        <w:t xml:space="preserve">aining Reform Regulations 2007, </w:t>
      </w:r>
      <w:r w:rsidR="00880071" w:rsidRPr="001A29FA">
        <w:rPr>
          <w:bCs/>
        </w:rPr>
        <w:t>reg14</w:t>
      </w:r>
      <w:r w:rsidR="00880071">
        <w:rPr>
          <w:bCs/>
        </w:rPr>
        <w:t>;</w:t>
      </w:r>
      <w:r w:rsidR="00880071" w:rsidRPr="001A29FA">
        <w:rPr>
          <w:bCs/>
        </w:rPr>
        <w:t xml:space="preserve"> Education and Care Services National Law Act 2010</w:t>
      </w:r>
      <w:r w:rsidR="00880071">
        <w:rPr>
          <w:bCs/>
        </w:rPr>
        <w:t>)</w:t>
      </w:r>
      <w:r w:rsidR="00880071" w:rsidRPr="001A29FA">
        <w:rPr>
          <w:bCs/>
        </w:rPr>
        <w:t xml:space="preserve">. It is prohibited in government schools in </w:t>
      </w:r>
      <w:r w:rsidR="00880071" w:rsidRPr="001A29FA">
        <w:rPr>
          <w:b/>
          <w:bCs/>
        </w:rPr>
        <w:t>Western Australia</w:t>
      </w:r>
      <w:r w:rsidR="00880071" w:rsidRPr="001A29FA">
        <w:rPr>
          <w:bCs/>
        </w:rPr>
        <w:t xml:space="preserve"> </w:t>
      </w:r>
      <w:r w:rsidR="00880071">
        <w:rPr>
          <w:bCs/>
        </w:rPr>
        <w:t xml:space="preserve">(School Education Regulations, </w:t>
      </w:r>
      <w:r w:rsidR="00880071" w:rsidRPr="001A29FA">
        <w:rPr>
          <w:bCs/>
        </w:rPr>
        <w:t>s40</w:t>
      </w:r>
      <w:r w:rsidR="00880071">
        <w:rPr>
          <w:bCs/>
        </w:rPr>
        <w:t>;</w:t>
      </w:r>
      <w:r w:rsidR="00880071" w:rsidRPr="001A29FA">
        <w:rPr>
          <w:bCs/>
        </w:rPr>
        <w:t xml:space="preserve"> Education and Care Services National Law (WA) Act 2012</w:t>
      </w:r>
      <w:r w:rsidR="00880071">
        <w:rPr>
          <w:bCs/>
        </w:rPr>
        <w:t>)</w:t>
      </w:r>
      <w:r w:rsidR="00880071" w:rsidRPr="001A29FA">
        <w:rPr>
          <w:bCs/>
        </w:rPr>
        <w:t>, but the use of force “by way of correction” is lawful for schoolteachers under section 257 of the Criminal Code Act and provisions for caning of boys in the Country High School Hostels Authority Act Regulations 1962 have yet to be repealed.</w:t>
      </w:r>
    </w:p>
    <w:p w14:paraId="062E6968" w14:textId="0FD4F300" w:rsidR="00880071" w:rsidRPr="004E29CD" w:rsidRDefault="00726D20" w:rsidP="00726D20">
      <w:pPr>
        <w:pStyle w:val="Default"/>
        <w:spacing w:after="120"/>
        <w:ind w:left="284" w:hanging="284"/>
        <w:rPr>
          <w:bCs/>
          <w:color w:val="auto"/>
        </w:rPr>
      </w:pPr>
      <w:r>
        <w:rPr>
          <w:color w:val="auto"/>
        </w:rPr>
        <w:t>1</w:t>
      </w:r>
      <w:r w:rsidR="00880071">
        <w:rPr>
          <w:color w:val="auto"/>
        </w:rPr>
        <w:t xml:space="preserve">.9 </w:t>
      </w:r>
      <w:r w:rsidR="00880071" w:rsidRPr="001A29FA">
        <w:rPr>
          <w:color w:val="auto"/>
        </w:rPr>
        <w:t xml:space="preserve">In </w:t>
      </w:r>
      <w:r w:rsidR="00880071" w:rsidRPr="001A29FA">
        <w:rPr>
          <w:b/>
          <w:color w:val="auto"/>
        </w:rPr>
        <w:t>Queensland</w:t>
      </w:r>
      <w:r w:rsidR="00880071" w:rsidRPr="001A29FA">
        <w:rPr>
          <w:color w:val="auto"/>
        </w:rPr>
        <w:t xml:space="preserve">, corporal punishment is lawful in schools under the provisions for reasonable force “by way of correction, discipline, management or control” in section 280 of the Criminal Code Act. In </w:t>
      </w:r>
      <w:r w:rsidR="00880071" w:rsidRPr="001A29FA">
        <w:rPr>
          <w:b/>
          <w:color w:val="auto"/>
        </w:rPr>
        <w:t>Northern Territory</w:t>
      </w:r>
      <w:r w:rsidR="00880071" w:rsidRPr="001A29FA">
        <w:rPr>
          <w:color w:val="auto"/>
        </w:rPr>
        <w:t xml:space="preserve"> corporal punishment is prohibited in some but not all education settings in the Education and Care Services (National Uniform Legislation) Act 2011. </w:t>
      </w:r>
      <w:r w:rsidR="00880071" w:rsidRPr="001A29FA">
        <w:rPr>
          <w:bCs/>
          <w:color w:val="auto"/>
        </w:rPr>
        <w:t xml:space="preserve">In </w:t>
      </w:r>
      <w:r w:rsidR="00880071" w:rsidRPr="001A29FA">
        <w:rPr>
          <w:b/>
          <w:bCs/>
          <w:color w:val="auto"/>
        </w:rPr>
        <w:t>South Australia</w:t>
      </w:r>
      <w:r w:rsidR="00880071" w:rsidRPr="001A29FA">
        <w:rPr>
          <w:bCs/>
          <w:color w:val="auto"/>
        </w:rPr>
        <w:t>, provisions for corporal punishment were removed from the Education Regulations in 1991, but it was not prohibited: prohibition is now included in the Education and Early Childhood Services (Registration and Standards) Act 2011.</w:t>
      </w:r>
    </w:p>
    <w:bookmarkEnd w:id="5"/>
    <w:bookmarkEnd w:id="6"/>
    <w:p w14:paraId="3D8E7FF1" w14:textId="4232FFA6" w:rsidR="00880071" w:rsidRDefault="00726D20" w:rsidP="00726D20">
      <w:pPr>
        <w:spacing w:after="120"/>
        <w:ind w:left="284" w:hanging="284"/>
      </w:pPr>
      <w:r>
        <w:t>1</w:t>
      </w:r>
      <w:r w:rsidR="00880071">
        <w:t>.10</w:t>
      </w:r>
      <w:r w:rsidR="00880071" w:rsidRPr="001A29FA">
        <w:t xml:space="preserve"> </w:t>
      </w:r>
      <w:r w:rsidR="00880071" w:rsidRPr="001A29FA">
        <w:rPr>
          <w:b/>
          <w:i/>
        </w:rPr>
        <w:t xml:space="preserve">Penal institutions </w:t>
      </w:r>
      <w:r w:rsidR="00880071" w:rsidRPr="001A29FA">
        <w:rPr>
          <w:b/>
          <w:i/>
          <w:szCs w:val="26"/>
        </w:rPr>
        <w:t>(</w:t>
      </w:r>
      <w:r w:rsidR="00880071">
        <w:rPr>
          <w:b/>
          <w:i/>
          <w:szCs w:val="26"/>
          <w:u w:val="single"/>
        </w:rPr>
        <w:t>partially prohibited</w:t>
      </w:r>
      <w:r w:rsidR="00880071" w:rsidRPr="001A29FA">
        <w:rPr>
          <w:b/>
          <w:i/>
          <w:szCs w:val="26"/>
        </w:rPr>
        <w:t>):</w:t>
      </w:r>
      <w:r w:rsidR="00880071" w:rsidRPr="001A29FA">
        <w:rPr>
          <w:szCs w:val="26"/>
        </w:rPr>
        <w:t xml:space="preserve"> </w:t>
      </w:r>
      <w:r w:rsidR="00880071" w:rsidRPr="001A29FA">
        <w:t>Corporal punishment is unlawful as a disciplinary measure</w:t>
      </w:r>
      <w:r w:rsidR="00880071" w:rsidRPr="001A29FA">
        <w:rPr>
          <w:b/>
        </w:rPr>
        <w:t xml:space="preserve"> </w:t>
      </w:r>
      <w:r w:rsidR="00880071" w:rsidRPr="001A29FA">
        <w:t xml:space="preserve">in penal institutions in </w:t>
      </w:r>
      <w:r w:rsidR="00880071" w:rsidRPr="001A29FA">
        <w:rPr>
          <w:b/>
        </w:rPr>
        <w:t>New South Wales</w:t>
      </w:r>
      <w:r w:rsidR="00880071" w:rsidRPr="001A29FA">
        <w:t xml:space="preserve"> </w:t>
      </w:r>
      <w:r w:rsidR="00880071">
        <w:t>(</w:t>
      </w:r>
      <w:r w:rsidR="00880071" w:rsidRPr="001A29FA">
        <w:t>Children (Deten</w:t>
      </w:r>
      <w:r w:rsidR="00880071">
        <w:t xml:space="preserve">tion Centres) Regulations 2005, </w:t>
      </w:r>
      <w:r w:rsidR="00880071" w:rsidRPr="001A29FA">
        <w:t xml:space="preserve">s50), </w:t>
      </w:r>
      <w:r w:rsidR="00880071" w:rsidRPr="001A29FA">
        <w:rPr>
          <w:b/>
        </w:rPr>
        <w:t>Northern Territory</w:t>
      </w:r>
      <w:r w:rsidR="00880071" w:rsidRPr="001A29FA">
        <w:t xml:space="preserve"> </w:t>
      </w:r>
      <w:r w:rsidR="00880071">
        <w:t>(Youth Justice Act, s153),</w:t>
      </w:r>
      <w:r w:rsidR="00880071" w:rsidRPr="001A29FA">
        <w:t xml:space="preserve"> </w:t>
      </w:r>
      <w:r w:rsidR="00880071" w:rsidRPr="001A29FA">
        <w:rPr>
          <w:b/>
        </w:rPr>
        <w:t>Queensland</w:t>
      </w:r>
      <w:r w:rsidR="00880071" w:rsidRPr="001A29FA">
        <w:t xml:space="preserve"> </w:t>
      </w:r>
      <w:r w:rsidR="00880071">
        <w:t>(</w:t>
      </w:r>
      <w:r w:rsidR="00880071" w:rsidRPr="001A29FA">
        <w:t>Juv</w:t>
      </w:r>
      <w:r w:rsidR="00880071">
        <w:t>enile Justice Regulations 2003, s17),</w:t>
      </w:r>
      <w:r w:rsidR="00880071" w:rsidRPr="001A29FA">
        <w:t xml:space="preserve"> </w:t>
      </w:r>
      <w:r w:rsidR="00880071" w:rsidRPr="001A29FA">
        <w:rPr>
          <w:b/>
        </w:rPr>
        <w:t>South Australia</w:t>
      </w:r>
      <w:r w:rsidR="00880071" w:rsidRPr="001A29FA">
        <w:t xml:space="preserve"> </w:t>
      </w:r>
      <w:r w:rsidR="00880071">
        <w:t>(</w:t>
      </w:r>
      <w:r w:rsidR="00880071" w:rsidRPr="001A29FA">
        <w:t>Family and Community Servi</w:t>
      </w:r>
      <w:r w:rsidR="00880071">
        <w:t>ces Regulations 1996, s7),</w:t>
      </w:r>
      <w:r w:rsidR="00880071" w:rsidRPr="001A29FA">
        <w:t xml:space="preserve"> </w:t>
      </w:r>
      <w:r w:rsidR="00880071" w:rsidRPr="001A29FA">
        <w:rPr>
          <w:b/>
        </w:rPr>
        <w:t>Tasmania</w:t>
      </w:r>
      <w:r w:rsidR="00880071" w:rsidRPr="001A29FA">
        <w:t xml:space="preserve"> </w:t>
      </w:r>
      <w:r w:rsidR="00880071">
        <w:t xml:space="preserve">(Youth Justice Act 1997, s132) and </w:t>
      </w:r>
      <w:r w:rsidR="00880071" w:rsidRPr="001A29FA">
        <w:rPr>
          <w:b/>
        </w:rPr>
        <w:t>Victoria</w:t>
      </w:r>
      <w:r w:rsidR="00880071" w:rsidRPr="001A29FA">
        <w:t xml:space="preserve"> </w:t>
      </w:r>
      <w:r w:rsidR="00880071">
        <w:t>(</w:t>
      </w:r>
      <w:r w:rsidR="00880071" w:rsidRPr="001A29FA">
        <w:t>Childre</w:t>
      </w:r>
      <w:r w:rsidR="00880071">
        <w:t xml:space="preserve">n, Youth and Families Act 2005, </w:t>
      </w:r>
      <w:r w:rsidR="00880071" w:rsidRPr="001A29FA">
        <w:t xml:space="preserve">s487). In </w:t>
      </w:r>
      <w:r w:rsidR="00880071" w:rsidRPr="001A29FA">
        <w:rPr>
          <w:b/>
        </w:rPr>
        <w:lastRenderedPageBreak/>
        <w:t>Australian Capital Territory</w:t>
      </w:r>
      <w:r w:rsidR="00880071" w:rsidRPr="001A29FA">
        <w:t xml:space="preserve">, corporal punishment is not among permitted disciplinary measures in the Children and Young People Act 2008 but is not explicitly prohibited. It is not prohibited in </w:t>
      </w:r>
      <w:r w:rsidR="00880071" w:rsidRPr="001A29FA">
        <w:rPr>
          <w:b/>
        </w:rPr>
        <w:t>Western Australia</w:t>
      </w:r>
      <w:r w:rsidR="00880071" w:rsidRPr="001A29FA">
        <w:t>.</w:t>
      </w:r>
    </w:p>
    <w:p w14:paraId="1ECF0D21" w14:textId="748790E7" w:rsidR="00880071" w:rsidRPr="001A29FA" w:rsidRDefault="00726D20" w:rsidP="00726D20">
      <w:pPr>
        <w:spacing w:after="120"/>
        <w:ind w:left="284" w:hanging="284"/>
      </w:pPr>
      <w:r>
        <w:t>1</w:t>
      </w:r>
      <w:r w:rsidR="00880071">
        <w:t>.11</w:t>
      </w:r>
      <w:r w:rsidR="00880071" w:rsidRPr="001A29FA">
        <w:t xml:space="preserve"> </w:t>
      </w:r>
      <w:r w:rsidR="00880071" w:rsidRPr="001A29FA">
        <w:rPr>
          <w:b/>
          <w:i/>
        </w:rPr>
        <w:t xml:space="preserve">Sentence for crime </w:t>
      </w:r>
      <w:r w:rsidR="00880071" w:rsidRPr="001A29FA">
        <w:rPr>
          <w:b/>
          <w:i/>
          <w:szCs w:val="26"/>
        </w:rPr>
        <w:t>(</w:t>
      </w:r>
      <w:r w:rsidR="00880071" w:rsidRPr="000D29F4">
        <w:rPr>
          <w:b/>
          <w:i/>
          <w:szCs w:val="26"/>
          <w:u w:val="single"/>
        </w:rPr>
        <w:t>un</w:t>
      </w:r>
      <w:r w:rsidR="00880071" w:rsidRPr="001A29FA">
        <w:rPr>
          <w:b/>
          <w:i/>
          <w:szCs w:val="26"/>
          <w:u w:val="single"/>
        </w:rPr>
        <w:t>lawful</w:t>
      </w:r>
      <w:r w:rsidR="00880071" w:rsidRPr="001A29FA">
        <w:rPr>
          <w:b/>
          <w:i/>
          <w:szCs w:val="26"/>
        </w:rPr>
        <w:t xml:space="preserve">): </w:t>
      </w:r>
      <w:r w:rsidR="00880071" w:rsidRPr="001A29FA">
        <w:t xml:space="preserve">Corporal punishment is </w:t>
      </w:r>
      <w:r w:rsidR="00880071">
        <w:t>unlawful</w:t>
      </w:r>
      <w:r w:rsidR="00880071" w:rsidRPr="001A29FA">
        <w:t xml:space="preserve"> as a sentence for crime in all states and territories.</w:t>
      </w:r>
    </w:p>
    <w:p w14:paraId="4AB61916" w14:textId="77777777" w:rsidR="008E1A9E" w:rsidRDefault="008E1A9E" w:rsidP="00726D20">
      <w:pPr>
        <w:spacing w:after="120"/>
        <w:ind w:left="284" w:hanging="284"/>
        <w:rPr>
          <w:b/>
          <w:sz w:val="28"/>
          <w:szCs w:val="28"/>
        </w:rPr>
      </w:pPr>
    </w:p>
    <w:p w14:paraId="288DD07F" w14:textId="0CF456A8" w:rsidR="00487765" w:rsidRPr="00DB55F1" w:rsidRDefault="00726D20" w:rsidP="00957038">
      <w:pPr>
        <w:spacing w:after="120"/>
        <w:ind w:left="482" w:hanging="482"/>
        <w:rPr>
          <w:sz w:val="28"/>
          <w:szCs w:val="28"/>
        </w:rPr>
      </w:pPr>
      <w:r>
        <w:rPr>
          <w:b/>
          <w:sz w:val="28"/>
          <w:szCs w:val="28"/>
        </w:rPr>
        <w:t>2</w:t>
      </w:r>
      <w:r w:rsidR="008A69B7">
        <w:rPr>
          <w:b/>
          <w:sz w:val="28"/>
          <w:szCs w:val="28"/>
        </w:rPr>
        <w:t xml:space="preserve"> </w:t>
      </w:r>
      <w:r w:rsidR="00487765" w:rsidRPr="00DB55F1">
        <w:rPr>
          <w:b/>
          <w:sz w:val="28"/>
          <w:szCs w:val="28"/>
        </w:rPr>
        <w:t>Recommendations by human rights treaty bodies</w:t>
      </w:r>
      <w:r w:rsidR="00957038">
        <w:rPr>
          <w:b/>
          <w:sz w:val="28"/>
          <w:szCs w:val="28"/>
        </w:rPr>
        <w:t xml:space="preserve"> and during the UPR</w:t>
      </w:r>
    </w:p>
    <w:p w14:paraId="51E69323" w14:textId="194285DE" w:rsidR="00880071" w:rsidRPr="000D29F4" w:rsidRDefault="00726D20" w:rsidP="00726D20">
      <w:pPr>
        <w:pStyle w:val="BodyText1"/>
        <w:tabs>
          <w:tab w:val="left" w:pos="8244"/>
          <w:tab w:val="left" w:pos="9160"/>
          <w:tab w:val="left" w:pos="10076"/>
          <w:tab w:val="left" w:pos="10992"/>
          <w:tab w:val="left" w:pos="11908"/>
          <w:tab w:val="left" w:pos="12824"/>
          <w:tab w:val="left" w:pos="13740"/>
          <w:tab w:val="left" w:pos="14656"/>
        </w:tabs>
        <w:spacing w:after="120"/>
        <w:ind w:left="284" w:hanging="284"/>
      </w:pPr>
      <w:r>
        <w:t>2.1</w:t>
      </w:r>
      <w:r w:rsidR="00880071" w:rsidRPr="009D7CFD">
        <w:t xml:space="preserve"> </w:t>
      </w:r>
      <w:r w:rsidR="00880071">
        <w:rPr>
          <w:b/>
          <w:i/>
        </w:rPr>
        <w:t>CAT</w:t>
      </w:r>
      <w:r w:rsidR="00880071" w:rsidRPr="009D7CFD">
        <w:rPr>
          <w:b/>
          <w:i/>
        </w:rPr>
        <w:t>:</w:t>
      </w:r>
      <w:r w:rsidR="00880071" w:rsidRPr="009D7CFD">
        <w:t xml:space="preserve"> </w:t>
      </w:r>
      <w:r w:rsidR="00880071">
        <w:t>In 2008, the Committee Against Torture recommended to Australia that it should “</w:t>
      </w:r>
      <w:r w:rsidR="00880071" w:rsidRPr="008E5015">
        <w:rPr>
          <w:bCs/>
          <w:lang w:eastAsia="en-GB"/>
        </w:rPr>
        <w:t xml:space="preserve">adopt and implement legislation banning corporal punishment at home and in public and private schools, detention centres, and all alternative care settings in all States and </w:t>
      </w:r>
      <w:r w:rsidR="00880071">
        <w:rPr>
          <w:bCs/>
          <w:lang w:eastAsia="en-GB"/>
        </w:rPr>
        <w:t>Territories</w:t>
      </w:r>
      <w:r w:rsidR="00880071" w:rsidRPr="008E5015">
        <w:rPr>
          <w:bCs/>
          <w:lang w:eastAsia="en-GB"/>
        </w:rPr>
        <w:t>”</w:t>
      </w:r>
      <w:r w:rsidR="00880071">
        <w:rPr>
          <w:bCs/>
          <w:lang w:eastAsia="en-GB"/>
        </w:rPr>
        <w:t>.</w:t>
      </w:r>
      <w:r w:rsidR="00880071">
        <w:rPr>
          <w:rStyle w:val="FootnoteReference"/>
          <w:bCs/>
          <w:lang w:eastAsia="en-GB"/>
        </w:rPr>
        <w:footnoteReference w:id="16"/>
      </w:r>
    </w:p>
    <w:p w14:paraId="78528CC7" w14:textId="7B05B686" w:rsidR="00880071" w:rsidRDefault="00726D20" w:rsidP="00726D20">
      <w:pPr>
        <w:pStyle w:val="BodyText1"/>
        <w:tabs>
          <w:tab w:val="left" w:pos="8244"/>
          <w:tab w:val="left" w:pos="9160"/>
          <w:tab w:val="left" w:pos="10076"/>
          <w:tab w:val="left" w:pos="10992"/>
          <w:tab w:val="left" w:pos="11908"/>
          <w:tab w:val="left" w:pos="12824"/>
          <w:tab w:val="left" w:pos="13740"/>
          <w:tab w:val="left" w:pos="14656"/>
        </w:tabs>
        <w:spacing w:after="120"/>
        <w:ind w:left="284" w:hanging="284"/>
      </w:pPr>
      <w:r>
        <w:t>2.2</w:t>
      </w:r>
      <w:r w:rsidR="00880071" w:rsidRPr="009D7CFD">
        <w:t xml:space="preserve"> </w:t>
      </w:r>
      <w:r w:rsidR="00880071" w:rsidRPr="009D7CFD">
        <w:rPr>
          <w:b/>
          <w:i/>
        </w:rPr>
        <w:t>CRC:</w:t>
      </w:r>
      <w:r w:rsidR="00880071" w:rsidRPr="009D7CFD">
        <w:t xml:space="preserve"> </w:t>
      </w:r>
      <w:r w:rsidR="00880071">
        <w:t>The Committee on the Rights of the Child has recommended that corporal punishment of children in Australia be prohibited in the home and other settings on three occasions – in its concluding observations on the initial report in 1997,</w:t>
      </w:r>
      <w:r w:rsidR="00880071">
        <w:rPr>
          <w:rStyle w:val="FootnoteReference"/>
        </w:rPr>
        <w:footnoteReference w:id="17"/>
      </w:r>
      <w:r w:rsidR="00880071">
        <w:t xml:space="preserve"> on the second/third report in 2005</w:t>
      </w:r>
      <w:r w:rsidR="00880071">
        <w:rPr>
          <w:rStyle w:val="FootnoteReference"/>
        </w:rPr>
        <w:footnoteReference w:id="18"/>
      </w:r>
      <w:r w:rsidR="00880071">
        <w:t xml:space="preserve"> and on the fourth report in 2012.</w:t>
      </w:r>
      <w:r w:rsidR="00880071">
        <w:rPr>
          <w:rStyle w:val="FootnoteReference"/>
        </w:rPr>
        <w:footnoteReference w:id="19"/>
      </w:r>
    </w:p>
    <w:p w14:paraId="6AD21227" w14:textId="793E2BAC" w:rsidR="00880071" w:rsidRPr="00880071" w:rsidRDefault="00726D20" w:rsidP="00726D20">
      <w:pPr>
        <w:spacing w:after="120"/>
        <w:ind w:left="284" w:hanging="284"/>
      </w:pPr>
      <w:r>
        <w:t>2.3</w:t>
      </w:r>
      <w:r w:rsidR="00957038">
        <w:t xml:space="preserve"> </w:t>
      </w:r>
      <w:r w:rsidR="00957038" w:rsidRPr="00957038">
        <w:rPr>
          <w:b/>
          <w:i/>
        </w:rPr>
        <w:t>UPR:</w:t>
      </w:r>
      <w:r w:rsidR="00957038">
        <w:t xml:space="preserve"> </w:t>
      </w:r>
      <w:r w:rsidR="00880071">
        <w:t>At the first cycle Universal Periodic Review of Australia in 2011, the Government rejected the recommendation to prohibit corporal punishment in the family in all states and territories.</w:t>
      </w:r>
      <w:r w:rsidR="00880071">
        <w:rPr>
          <w:rStyle w:val="FootnoteReference"/>
          <w:bCs/>
        </w:rPr>
        <w:footnoteReference w:id="20"/>
      </w:r>
      <w:r w:rsidR="00880071">
        <w:t xml:space="preserve"> At the second cycle UPR in 2015, recommendations were made to </w:t>
      </w:r>
      <w:r w:rsidR="00880071">
        <w:rPr>
          <w:color w:val="000000" w:themeColor="text1"/>
          <w:lang w:val="en-US"/>
        </w:rPr>
        <w:t>“r</w:t>
      </w:r>
      <w:r w:rsidR="00880071" w:rsidRPr="00927C06">
        <w:rPr>
          <w:color w:val="000000" w:themeColor="text1"/>
          <w:lang w:val="en-US"/>
        </w:rPr>
        <w:t xml:space="preserve">emove the reservation to the </w:t>
      </w:r>
      <w:r w:rsidR="00880071">
        <w:rPr>
          <w:color w:val="000000" w:themeColor="text1"/>
          <w:lang w:val="en-US"/>
        </w:rPr>
        <w:t>Convention on the Rights of the Child</w:t>
      </w:r>
      <w:r w:rsidR="00880071" w:rsidRPr="00927C06">
        <w:rPr>
          <w:color w:val="000000" w:themeColor="text1"/>
          <w:lang w:val="en-US"/>
        </w:rPr>
        <w:t>, and prohibit corporal punishment of children in the home and all other settings</w:t>
      </w:r>
      <w:r w:rsidR="00880071">
        <w:rPr>
          <w:color w:val="000000" w:themeColor="text1"/>
          <w:lang w:val="en-US"/>
        </w:rPr>
        <w:t>” and to “r</w:t>
      </w:r>
      <w:r w:rsidR="00880071" w:rsidRPr="00927C06">
        <w:rPr>
          <w:color w:val="000000" w:themeColor="text1"/>
          <w:lang w:val="en-US"/>
        </w:rPr>
        <w:t>einforce the measures to improve conditions of detention, especially for persons with disabilities and the young, as well as to elim</w:t>
      </w:r>
      <w:r w:rsidR="00880071">
        <w:rPr>
          <w:color w:val="000000" w:themeColor="text1"/>
          <w:lang w:val="en-US"/>
        </w:rPr>
        <w:t>inate corporal punishment”.</w:t>
      </w:r>
      <w:r w:rsidR="00880071">
        <w:rPr>
          <w:rStyle w:val="FootnoteReference"/>
          <w:bCs/>
          <w:color w:val="000000" w:themeColor="text1"/>
        </w:rPr>
        <w:footnoteReference w:id="21"/>
      </w:r>
      <w:r w:rsidR="00880071">
        <w:rPr>
          <w:color w:val="000000" w:themeColor="text1"/>
          <w:lang w:val="en-US"/>
        </w:rPr>
        <w:t xml:space="preserve"> The Government accepted the second of these but rejected the first.</w:t>
      </w:r>
      <w:r w:rsidR="00880071">
        <w:rPr>
          <w:rStyle w:val="FootnoteReference"/>
          <w:color w:val="000000" w:themeColor="text1"/>
          <w:lang w:val="en-US"/>
        </w:rPr>
        <w:footnoteReference w:id="22"/>
      </w:r>
    </w:p>
    <w:p w14:paraId="679A3D95" w14:textId="77777777" w:rsidR="009549DE" w:rsidRPr="00967613" w:rsidRDefault="009549DE" w:rsidP="00726D20">
      <w:pPr>
        <w:spacing w:after="120"/>
        <w:ind w:left="284" w:hanging="284"/>
        <w:rPr>
          <w:i/>
          <w:sz w:val="22"/>
          <w:szCs w:val="26"/>
        </w:rPr>
      </w:pPr>
    </w:p>
    <w:p w14:paraId="2339620F" w14:textId="684C99B5" w:rsidR="000C275E" w:rsidRPr="00172252" w:rsidRDefault="00D9604D" w:rsidP="000C275E">
      <w:pPr>
        <w:autoSpaceDE w:val="0"/>
        <w:autoSpaceDN w:val="0"/>
        <w:adjustRightInd w:val="0"/>
        <w:rPr>
          <w:rFonts w:eastAsia="Calibri"/>
          <w:bCs/>
          <w:i/>
        </w:rPr>
      </w:pPr>
      <w:r>
        <w:rPr>
          <w:rFonts w:eastAsia="Calibri"/>
          <w:i/>
        </w:rPr>
        <w:t>B</w:t>
      </w:r>
      <w:r w:rsidR="000C275E" w:rsidRPr="00172252">
        <w:rPr>
          <w:rFonts w:eastAsia="Calibri"/>
          <w:i/>
        </w:rPr>
        <w:t>riefing</w:t>
      </w:r>
      <w:r w:rsidR="000C275E" w:rsidRPr="00172252">
        <w:rPr>
          <w:rFonts w:eastAsia="Calibri"/>
        </w:rPr>
        <w:t xml:space="preserve"> </w:t>
      </w:r>
      <w:r w:rsidR="000C275E" w:rsidRPr="00172252">
        <w:rPr>
          <w:rFonts w:eastAsia="Calibri"/>
          <w:bCs/>
          <w:i/>
        </w:rPr>
        <w:t>prepared by the Global Initiative to End All Corporal Punishment of Children</w:t>
      </w:r>
    </w:p>
    <w:p w14:paraId="6B73A69F" w14:textId="77777777" w:rsidR="00700498" w:rsidRDefault="00DB47D0" w:rsidP="00700498">
      <w:pPr>
        <w:autoSpaceDE w:val="0"/>
        <w:autoSpaceDN w:val="0"/>
        <w:adjustRightInd w:val="0"/>
        <w:rPr>
          <w:rFonts w:eastAsia="Calibri"/>
          <w:bCs/>
          <w:i/>
        </w:rPr>
      </w:pPr>
      <w:hyperlink r:id="rId14" w:history="1">
        <w:r w:rsidR="000C275E" w:rsidRPr="00172252">
          <w:rPr>
            <w:rStyle w:val="Hyperlink"/>
            <w:rFonts w:eastAsia="Calibri"/>
            <w:bCs/>
            <w:i/>
          </w:rPr>
          <w:t>www.endcorporalpunishment.org</w:t>
        </w:r>
      </w:hyperlink>
      <w:r w:rsidR="000C275E" w:rsidRPr="00172252">
        <w:rPr>
          <w:rFonts w:eastAsia="Calibri"/>
          <w:bCs/>
          <w:i/>
        </w:rPr>
        <w:t xml:space="preserve">; </w:t>
      </w:r>
      <w:hyperlink r:id="rId15" w:history="1">
        <w:r w:rsidR="000C275E" w:rsidRPr="00172252">
          <w:rPr>
            <w:rStyle w:val="Hyperlink"/>
            <w:rFonts w:eastAsia="Calibri"/>
            <w:bCs/>
            <w:i/>
          </w:rPr>
          <w:t>info@endcorporalpunishment.org</w:t>
        </w:r>
      </w:hyperlink>
      <w:r w:rsidR="00B16561">
        <w:rPr>
          <w:rFonts w:eastAsia="Calibri"/>
          <w:bCs/>
          <w:i/>
        </w:rPr>
        <w:t xml:space="preserve"> </w:t>
      </w:r>
    </w:p>
    <w:p w14:paraId="4ECC2569" w14:textId="02479169" w:rsidR="003574DA" w:rsidRPr="00172252" w:rsidRDefault="00D9604D" w:rsidP="00700498">
      <w:pPr>
        <w:autoSpaceDE w:val="0"/>
        <w:autoSpaceDN w:val="0"/>
        <w:adjustRightInd w:val="0"/>
        <w:rPr>
          <w:rFonts w:eastAsia="Calibri"/>
          <w:bCs/>
          <w:i/>
        </w:rPr>
      </w:pPr>
      <w:r>
        <w:rPr>
          <w:rFonts w:eastAsia="Calibri"/>
          <w:bCs/>
          <w:i/>
        </w:rPr>
        <w:t>June</w:t>
      </w:r>
      <w:r w:rsidR="008E1A9E">
        <w:rPr>
          <w:rFonts w:eastAsia="Calibri"/>
          <w:bCs/>
          <w:i/>
        </w:rPr>
        <w:t xml:space="preserve"> 2016</w:t>
      </w:r>
    </w:p>
    <w:sectPr w:rsidR="003574DA" w:rsidRPr="00172252" w:rsidSect="00215B67">
      <w:headerReference w:type="even" r:id="rId16"/>
      <w:headerReference w:type="default" r:id="rId17"/>
      <w:footerReference w:type="even" r:id="rId18"/>
      <w:footerReference w:type="default" r:id="rId19"/>
      <w:headerReference w:type="first" r:id="rId20"/>
      <w:footerReference w:type="first" r:id="rId21"/>
      <w:endnotePr>
        <w:numFmt w:val="decimal"/>
      </w:end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25C90" w14:textId="77777777" w:rsidR="00AE4669" w:rsidRDefault="00AE4669">
      <w:r>
        <w:separator/>
      </w:r>
    </w:p>
  </w:endnote>
  <w:endnote w:type="continuationSeparator" w:id="0">
    <w:p w14:paraId="4DAF5211" w14:textId="77777777" w:rsidR="00AE4669" w:rsidRDefault="00AE4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7F4D5"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87D27" w14:textId="77777777" w:rsidR="00957038" w:rsidRDefault="009570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268A2"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47D0">
      <w:rPr>
        <w:rStyle w:val="PageNumber"/>
        <w:noProof/>
      </w:rPr>
      <w:t>1</w:t>
    </w:r>
    <w:r>
      <w:rPr>
        <w:rStyle w:val="PageNumber"/>
      </w:rPr>
      <w:fldChar w:fldCharType="end"/>
    </w:r>
  </w:p>
  <w:p w14:paraId="7154C985" w14:textId="77777777" w:rsidR="00957038" w:rsidRDefault="009570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4587A" w14:textId="77777777" w:rsidR="00957038" w:rsidRDefault="00957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81EDEC" w14:textId="77777777" w:rsidR="00AE4669" w:rsidRDefault="00AE4669">
      <w:r>
        <w:separator/>
      </w:r>
    </w:p>
  </w:footnote>
  <w:footnote w:type="continuationSeparator" w:id="0">
    <w:p w14:paraId="723F8CF4" w14:textId="77777777" w:rsidR="00AE4669" w:rsidRDefault="00AE4669">
      <w:r>
        <w:continuationSeparator/>
      </w:r>
    </w:p>
  </w:footnote>
  <w:footnote w:id="1">
    <w:p w14:paraId="21D05761"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color w:val="000000" w:themeColor="text1"/>
          <w:lang w:val="en-GB"/>
        </w:rPr>
        <w:t>Prohibition in childminding unconfirmed</w:t>
      </w:r>
    </w:p>
  </w:footnote>
  <w:footnote w:id="2">
    <w:p w14:paraId="50B4F430"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lang w:val="en-GB"/>
        </w:rPr>
        <w:t xml:space="preserve"> But no explicit prohibition</w:t>
      </w:r>
    </w:p>
  </w:footnote>
  <w:footnote w:id="3">
    <w:p w14:paraId="4908A802"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color w:val="000000" w:themeColor="text1"/>
          <w:lang w:val="en-GB"/>
        </w:rPr>
        <w:t>Prohibition in childminding unconfirmed</w:t>
      </w:r>
    </w:p>
  </w:footnote>
  <w:footnote w:id="4">
    <w:p w14:paraId="6C223502"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color w:val="000000" w:themeColor="text1"/>
          <w:lang w:val="en-GB"/>
        </w:rPr>
        <w:t>Prohibited in some education and care settings for under 13s</w:t>
      </w:r>
    </w:p>
  </w:footnote>
  <w:footnote w:id="5">
    <w:p w14:paraId="77587739"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color w:val="000000" w:themeColor="text1"/>
          <w:lang w:val="en-GB"/>
        </w:rPr>
        <w:t>Prohibited in some education settings under NT Education and Care Services (National Uniform Legislation) Act 2011</w:t>
      </w:r>
    </w:p>
  </w:footnote>
  <w:footnote w:id="6">
    <w:p w14:paraId="17E2BC52"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color w:val="000000" w:themeColor="text1"/>
          <w:lang w:val="en-GB"/>
        </w:rPr>
        <w:t>Prohibition in childminding unconfirmed</w:t>
      </w:r>
    </w:p>
  </w:footnote>
  <w:footnote w:id="7">
    <w:p w14:paraId="705F5DF1"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lang w:val="en-GB"/>
        </w:rPr>
        <w:t xml:space="preserve"> Prohibited in government schools as a matter of policy</w:t>
      </w:r>
    </w:p>
  </w:footnote>
  <w:footnote w:id="8">
    <w:p w14:paraId="15A3E3AF"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color w:val="000000" w:themeColor="text1"/>
          <w:lang w:val="en-GB"/>
        </w:rPr>
        <w:t>2016 South Australian Supreme Court ruling found in favour of “reasonable” corporal punishment by parents</w:t>
      </w:r>
    </w:p>
  </w:footnote>
  <w:footnote w:id="9">
    <w:p w14:paraId="4B62713D"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color w:val="000000" w:themeColor="text1"/>
          <w:lang w:val="en-GB"/>
        </w:rPr>
        <w:t>Prohibition in childminding unconfirmed</w:t>
      </w:r>
    </w:p>
  </w:footnote>
  <w:footnote w:id="10">
    <w:p w14:paraId="1A9F01A3" w14:textId="77777777" w:rsidR="00880071" w:rsidRPr="00694A07" w:rsidRDefault="00880071" w:rsidP="00880071">
      <w:pPr>
        <w:pStyle w:val="FootnoteText"/>
        <w:rPr>
          <w:lang w:val="en-GB"/>
        </w:rPr>
      </w:pPr>
      <w:r>
        <w:rPr>
          <w:rStyle w:val="FootnoteReference"/>
        </w:rPr>
        <w:footnoteRef/>
      </w:r>
      <w:r>
        <w:t xml:space="preserve"> </w:t>
      </w:r>
      <w:r>
        <w:rPr>
          <w:lang w:val="en-GB"/>
        </w:rPr>
        <w:t>Prohibited in some education and care settings for under 13s</w:t>
      </w:r>
    </w:p>
  </w:footnote>
  <w:footnote w:id="11">
    <w:p w14:paraId="610E80D6"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color w:val="000000" w:themeColor="text1"/>
          <w:lang w:val="en-GB"/>
        </w:rPr>
        <w:t>Prohibition in childminding unconfirmed</w:t>
      </w:r>
    </w:p>
  </w:footnote>
  <w:footnote w:id="12">
    <w:p w14:paraId="04717B8B"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color w:val="000000" w:themeColor="text1"/>
          <w:lang w:val="en-GB"/>
        </w:rPr>
        <w:t>Prohibition in childminding unconfirmed</w:t>
      </w:r>
    </w:p>
  </w:footnote>
  <w:footnote w:id="13">
    <w:p w14:paraId="109D4942"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lang w:val="en-GB"/>
        </w:rPr>
        <w:t xml:space="preserve"> Prohibited in government schools</w:t>
      </w:r>
    </w:p>
  </w:footnote>
  <w:footnote w:id="14">
    <w:p w14:paraId="258A6BFD" w14:textId="77777777" w:rsidR="00726D20" w:rsidRPr="003A4ECA" w:rsidRDefault="00726D20" w:rsidP="00726D20">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i/>
          <w:color w:val="000000" w:themeColor="text1"/>
        </w:rPr>
        <w:t>Police v Gray, [2016] SASC 39</w:t>
      </w:r>
      <w:r w:rsidRPr="003A4ECA">
        <w:rPr>
          <w:color w:val="000000" w:themeColor="text1"/>
        </w:rPr>
        <w:t>, Judgment issued 21 March 2016</w:t>
      </w:r>
    </w:p>
  </w:footnote>
  <w:footnote w:id="15">
    <w:p w14:paraId="083776E5" w14:textId="77777777" w:rsidR="00880071" w:rsidRPr="001A29FA" w:rsidRDefault="00880071" w:rsidP="00880071">
      <w:pPr>
        <w:pStyle w:val="FootnoteText"/>
      </w:pPr>
      <w:r w:rsidRPr="001A29FA">
        <w:rPr>
          <w:rStyle w:val="FootnoteReference"/>
        </w:rPr>
        <w:footnoteRef/>
      </w:r>
      <w:r w:rsidRPr="001A29FA">
        <w:t xml:space="preserve"> 9 May 2012, CRC/C/AUS/Q/4/Add.1, Reply to list of issues, para. 66</w:t>
      </w:r>
    </w:p>
  </w:footnote>
  <w:footnote w:id="16">
    <w:p w14:paraId="15A78819" w14:textId="77777777" w:rsidR="00880071" w:rsidRPr="001A29FA" w:rsidRDefault="00880071" w:rsidP="00880071">
      <w:pPr>
        <w:pStyle w:val="FootnoteText"/>
        <w:rPr>
          <w:lang w:val="en-US"/>
        </w:rPr>
      </w:pPr>
      <w:r w:rsidRPr="001A29FA">
        <w:rPr>
          <w:rStyle w:val="FootnoteReference"/>
        </w:rPr>
        <w:footnoteRef/>
      </w:r>
      <w:r w:rsidRPr="001A29FA">
        <w:t xml:space="preserve"> 22 May 2008, CAT/C/AUS/CO/1, Concluding observations on third report, para. 31</w:t>
      </w:r>
    </w:p>
  </w:footnote>
  <w:footnote w:id="17">
    <w:p w14:paraId="340BA431" w14:textId="77777777" w:rsidR="00880071" w:rsidRPr="001A29FA" w:rsidRDefault="00880071" w:rsidP="00880071">
      <w:pPr>
        <w:pStyle w:val="FootnoteText"/>
        <w:rPr>
          <w:lang w:val="en-US"/>
        </w:rPr>
      </w:pPr>
      <w:r w:rsidRPr="001A29FA">
        <w:rPr>
          <w:rStyle w:val="FootnoteReference"/>
        </w:rPr>
        <w:footnoteRef/>
      </w:r>
      <w:r w:rsidRPr="001A29FA">
        <w:t xml:space="preserve"> 10 October 1997, CRC/C/15/Add.79, Concluding observations on initial report, paras. 15 and 26</w:t>
      </w:r>
    </w:p>
  </w:footnote>
  <w:footnote w:id="18">
    <w:p w14:paraId="3DA6B561" w14:textId="77777777" w:rsidR="00880071" w:rsidRPr="001A29FA" w:rsidRDefault="00880071" w:rsidP="00880071">
      <w:pPr>
        <w:pStyle w:val="FootnoteText"/>
        <w:rPr>
          <w:lang w:val="en-US"/>
        </w:rPr>
      </w:pPr>
      <w:r w:rsidRPr="001A29FA">
        <w:rPr>
          <w:rStyle w:val="FootnoteReference"/>
        </w:rPr>
        <w:footnoteRef/>
      </w:r>
      <w:r w:rsidRPr="001A29FA">
        <w:t xml:space="preserve"> 20 October 2005, Concluding observations on second and third report, CRC/C/15/Add.268, paras. 5, 35 and 36</w:t>
      </w:r>
    </w:p>
  </w:footnote>
  <w:footnote w:id="19">
    <w:p w14:paraId="3F893250" w14:textId="77777777" w:rsidR="00880071" w:rsidRPr="001A29FA" w:rsidRDefault="00880071" w:rsidP="00880071">
      <w:pPr>
        <w:pStyle w:val="FootnoteText"/>
        <w:rPr>
          <w:lang w:val="en-US"/>
        </w:rPr>
      </w:pPr>
      <w:r w:rsidRPr="001A29FA">
        <w:rPr>
          <w:rStyle w:val="FootnoteReference"/>
        </w:rPr>
        <w:footnoteRef/>
      </w:r>
      <w:r w:rsidRPr="001A29FA">
        <w:t xml:space="preserve"> </w:t>
      </w:r>
      <w:r w:rsidRPr="001A29FA">
        <w:rPr>
          <w:bCs/>
        </w:rPr>
        <w:t>28 August 2012, CRC/C/AUS/CO/4, Concluding observations on fourth report, paras. 7, 8, 43, 44, 45, 46 and 47</w:t>
      </w:r>
    </w:p>
  </w:footnote>
  <w:footnote w:id="20">
    <w:p w14:paraId="6F7D2C27"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bCs/>
          <w:color w:val="000000" w:themeColor="text1"/>
          <w:lang w:eastAsia="en-GB"/>
        </w:rPr>
        <w:t>31 May 2011, A/HRC/17/10/Add.1, Report of the working group: Addendum</w:t>
      </w:r>
    </w:p>
  </w:footnote>
  <w:footnote w:id="21">
    <w:p w14:paraId="169CF759"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color w:val="000000" w:themeColor="text1"/>
          <w:lang w:val="en-US"/>
        </w:rPr>
        <w:t>13 January 2016, A/HRC/31/14, Report of the working group, paras. 136(165) and 136(193)</w:t>
      </w:r>
    </w:p>
  </w:footnote>
  <w:footnote w:id="22">
    <w:p w14:paraId="76BC01C7" w14:textId="77777777" w:rsidR="00880071" w:rsidRPr="003A4ECA" w:rsidRDefault="00880071" w:rsidP="00880071">
      <w:pPr>
        <w:pStyle w:val="FootnoteText"/>
        <w:rPr>
          <w:color w:val="000000" w:themeColor="text1"/>
          <w:lang w:val="en-GB"/>
        </w:rPr>
      </w:pPr>
      <w:r w:rsidRPr="003A4ECA">
        <w:rPr>
          <w:rStyle w:val="FootnoteReference"/>
          <w:color w:val="000000" w:themeColor="text1"/>
        </w:rPr>
        <w:footnoteRef/>
      </w:r>
      <w:r w:rsidRPr="003A4ECA">
        <w:rPr>
          <w:color w:val="000000" w:themeColor="text1"/>
        </w:rPr>
        <w:t xml:space="preserve"> </w:t>
      </w:r>
      <w:r w:rsidRPr="003A4ECA">
        <w:rPr>
          <w:color w:val="000000" w:themeColor="text1"/>
          <w:lang w:val="en-US"/>
        </w:rPr>
        <w:t>29 February 2016, A/HRC/31/14/Add.1, Report of the working group: Addendum, paras. 47 and 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6DF9B" w14:textId="75EDACFB" w:rsidR="00957038" w:rsidRDefault="009570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BA23F" w14:textId="1B004F44" w:rsidR="00957038" w:rsidRDefault="009570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CDA7B" w14:textId="3A120BC0" w:rsidR="00957038" w:rsidRDefault="009570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C0A"/>
    <w:multiLevelType w:val="hybridMultilevel"/>
    <w:tmpl w:val="8D5EE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085F5C53"/>
    <w:multiLevelType w:val="hybridMultilevel"/>
    <w:tmpl w:val="5E16D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4F"/>
    <w:rsid w:val="00001032"/>
    <w:rsid w:val="00003352"/>
    <w:rsid w:val="000067E2"/>
    <w:rsid w:val="00010345"/>
    <w:rsid w:val="00010B2A"/>
    <w:rsid w:val="00031C51"/>
    <w:rsid w:val="00032044"/>
    <w:rsid w:val="00033180"/>
    <w:rsid w:val="00045E8A"/>
    <w:rsid w:val="00053DBA"/>
    <w:rsid w:val="000608D1"/>
    <w:rsid w:val="000617AB"/>
    <w:rsid w:val="00076082"/>
    <w:rsid w:val="00077584"/>
    <w:rsid w:val="00085CC0"/>
    <w:rsid w:val="000868C8"/>
    <w:rsid w:val="0009062A"/>
    <w:rsid w:val="00091F82"/>
    <w:rsid w:val="000960E7"/>
    <w:rsid w:val="00097B98"/>
    <w:rsid w:val="00097CD7"/>
    <w:rsid w:val="000A0A8E"/>
    <w:rsid w:val="000A2E30"/>
    <w:rsid w:val="000B5E48"/>
    <w:rsid w:val="000C275E"/>
    <w:rsid w:val="000F7B99"/>
    <w:rsid w:val="0010622D"/>
    <w:rsid w:val="001139BF"/>
    <w:rsid w:val="00124306"/>
    <w:rsid w:val="00136FF9"/>
    <w:rsid w:val="00152E61"/>
    <w:rsid w:val="0015561F"/>
    <w:rsid w:val="001677B7"/>
    <w:rsid w:val="00172252"/>
    <w:rsid w:val="00175E8F"/>
    <w:rsid w:val="001955B4"/>
    <w:rsid w:val="0019698E"/>
    <w:rsid w:val="001B3817"/>
    <w:rsid w:val="001B4B48"/>
    <w:rsid w:val="001D6F11"/>
    <w:rsid w:val="001D7474"/>
    <w:rsid w:val="001E1E13"/>
    <w:rsid w:val="001F3D3C"/>
    <w:rsid w:val="00202DBB"/>
    <w:rsid w:val="002141EB"/>
    <w:rsid w:val="00215938"/>
    <w:rsid w:val="00215B67"/>
    <w:rsid w:val="0022201E"/>
    <w:rsid w:val="00231B05"/>
    <w:rsid w:val="00233FA0"/>
    <w:rsid w:val="00242F99"/>
    <w:rsid w:val="00243837"/>
    <w:rsid w:val="002448CD"/>
    <w:rsid w:val="00256BB4"/>
    <w:rsid w:val="00257044"/>
    <w:rsid w:val="00257208"/>
    <w:rsid w:val="00266B4B"/>
    <w:rsid w:val="00280205"/>
    <w:rsid w:val="00281133"/>
    <w:rsid w:val="00293182"/>
    <w:rsid w:val="00294DD9"/>
    <w:rsid w:val="002978BB"/>
    <w:rsid w:val="002A41BF"/>
    <w:rsid w:val="002A4EFB"/>
    <w:rsid w:val="002B3E18"/>
    <w:rsid w:val="002C3481"/>
    <w:rsid w:val="002C42E4"/>
    <w:rsid w:val="002C5B2A"/>
    <w:rsid w:val="002C7C2D"/>
    <w:rsid w:val="002D62CB"/>
    <w:rsid w:val="002E0A08"/>
    <w:rsid w:val="002E49C7"/>
    <w:rsid w:val="002E5233"/>
    <w:rsid w:val="002F1365"/>
    <w:rsid w:val="002F2E23"/>
    <w:rsid w:val="00317AA4"/>
    <w:rsid w:val="0032377D"/>
    <w:rsid w:val="003276B3"/>
    <w:rsid w:val="00327EDD"/>
    <w:rsid w:val="003339DF"/>
    <w:rsid w:val="003375DA"/>
    <w:rsid w:val="0034725D"/>
    <w:rsid w:val="00350466"/>
    <w:rsid w:val="00351BF5"/>
    <w:rsid w:val="00353F85"/>
    <w:rsid w:val="003574DA"/>
    <w:rsid w:val="00373D30"/>
    <w:rsid w:val="0037552C"/>
    <w:rsid w:val="0037552E"/>
    <w:rsid w:val="0037620E"/>
    <w:rsid w:val="003767E7"/>
    <w:rsid w:val="00390791"/>
    <w:rsid w:val="00395D49"/>
    <w:rsid w:val="003A3CD7"/>
    <w:rsid w:val="003A6487"/>
    <w:rsid w:val="003A70B9"/>
    <w:rsid w:val="003C37FC"/>
    <w:rsid w:val="003C6F4D"/>
    <w:rsid w:val="003E6BE2"/>
    <w:rsid w:val="003F2355"/>
    <w:rsid w:val="00412C83"/>
    <w:rsid w:val="0042045D"/>
    <w:rsid w:val="00422CC8"/>
    <w:rsid w:val="004246C5"/>
    <w:rsid w:val="00434FD1"/>
    <w:rsid w:val="004521BB"/>
    <w:rsid w:val="00454AB9"/>
    <w:rsid w:val="004817B7"/>
    <w:rsid w:val="00483852"/>
    <w:rsid w:val="00484137"/>
    <w:rsid w:val="00487765"/>
    <w:rsid w:val="00491D60"/>
    <w:rsid w:val="004973A2"/>
    <w:rsid w:val="004B6C67"/>
    <w:rsid w:val="004D2231"/>
    <w:rsid w:val="004D5821"/>
    <w:rsid w:val="004E3606"/>
    <w:rsid w:val="00506AB4"/>
    <w:rsid w:val="00512740"/>
    <w:rsid w:val="00536791"/>
    <w:rsid w:val="005637DB"/>
    <w:rsid w:val="005674EC"/>
    <w:rsid w:val="00574BD8"/>
    <w:rsid w:val="00576EE5"/>
    <w:rsid w:val="00577A8A"/>
    <w:rsid w:val="005A0DDE"/>
    <w:rsid w:val="005A0E91"/>
    <w:rsid w:val="005A49A2"/>
    <w:rsid w:val="005B0B3E"/>
    <w:rsid w:val="005B1A80"/>
    <w:rsid w:val="005B6842"/>
    <w:rsid w:val="005B79C0"/>
    <w:rsid w:val="005E72AA"/>
    <w:rsid w:val="005F4F6D"/>
    <w:rsid w:val="005F75B4"/>
    <w:rsid w:val="00603F6E"/>
    <w:rsid w:val="00630638"/>
    <w:rsid w:val="00633B8E"/>
    <w:rsid w:val="00657FD5"/>
    <w:rsid w:val="00661604"/>
    <w:rsid w:val="00667A2C"/>
    <w:rsid w:val="00671092"/>
    <w:rsid w:val="00671D64"/>
    <w:rsid w:val="00672369"/>
    <w:rsid w:val="00677FBF"/>
    <w:rsid w:val="00685B09"/>
    <w:rsid w:val="006C2C96"/>
    <w:rsid w:val="006C36EE"/>
    <w:rsid w:val="006C6278"/>
    <w:rsid w:val="006D08C5"/>
    <w:rsid w:val="006E043A"/>
    <w:rsid w:val="006F03CE"/>
    <w:rsid w:val="006F3B2B"/>
    <w:rsid w:val="00700498"/>
    <w:rsid w:val="00701279"/>
    <w:rsid w:val="00702960"/>
    <w:rsid w:val="007056C2"/>
    <w:rsid w:val="00707097"/>
    <w:rsid w:val="00717022"/>
    <w:rsid w:val="007177C4"/>
    <w:rsid w:val="007259F2"/>
    <w:rsid w:val="00726CAE"/>
    <w:rsid w:val="00726D20"/>
    <w:rsid w:val="007353D7"/>
    <w:rsid w:val="00774D8E"/>
    <w:rsid w:val="00774E72"/>
    <w:rsid w:val="00775305"/>
    <w:rsid w:val="00790E17"/>
    <w:rsid w:val="007A1A04"/>
    <w:rsid w:val="007A1E76"/>
    <w:rsid w:val="007A5F18"/>
    <w:rsid w:val="007A651F"/>
    <w:rsid w:val="007A6584"/>
    <w:rsid w:val="007B6142"/>
    <w:rsid w:val="007C0D53"/>
    <w:rsid w:val="007C59E4"/>
    <w:rsid w:val="007E4FF0"/>
    <w:rsid w:val="007F78B3"/>
    <w:rsid w:val="008039CE"/>
    <w:rsid w:val="0081007B"/>
    <w:rsid w:val="008147FB"/>
    <w:rsid w:val="00842C7D"/>
    <w:rsid w:val="00846E20"/>
    <w:rsid w:val="008556B3"/>
    <w:rsid w:val="0085664A"/>
    <w:rsid w:val="0086146C"/>
    <w:rsid w:val="00862AE2"/>
    <w:rsid w:val="00871743"/>
    <w:rsid w:val="0087245D"/>
    <w:rsid w:val="00875A0F"/>
    <w:rsid w:val="00880071"/>
    <w:rsid w:val="0088175D"/>
    <w:rsid w:val="008838DA"/>
    <w:rsid w:val="00884559"/>
    <w:rsid w:val="008863CB"/>
    <w:rsid w:val="008A16E7"/>
    <w:rsid w:val="008A1867"/>
    <w:rsid w:val="008A3A6A"/>
    <w:rsid w:val="008A69B7"/>
    <w:rsid w:val="008B13AF"/>
    <w:rsid w:val="008B5A14"/>
    <w:rsid w:val="008C5E37"/>
    <w:rsid w:val="008D067C"/>
    <w:rsid w:val="008D06E2"/>
    <w:rsid w:val="008D1943"/>
    <w:rsid w:val="008D5A9B"/>
    <w:rsid w:val="008E1A9E"/>
    <w:rsid w:val="008E2E0C"/>
    <w:rsid w:val="009021DC"/>
    <w:rsid w:val="00902617"/>
    <w:rsid w:val="009048A2"/>
    <w:rsid w:val="009160D2"/>
    <w:rsid w:val="0092038D"/>
    <w:rsid w:val="009253FC"/>
    <w:rsid w:val="00926887"/>
    <w:rsid w:val="009302DF"/>
    <w:rsid w:val="009464BC"/>
    <w:rsid w:val="00951DD0"/>
    <w:rsid w:val="00952A1D"/>
    <w:rsid w:val="009549DE"/>
    <w:rsid w:val="009554F8"/>
    <w:rsid w:val="00957038"/>
    <w:rsid w:val="00963B55"/>
    <w:rsid w:val="00967613"/>
    <w:rsid w:val="00970241"/>
    <w:rsid w:val="0097418E"/>
    <w:rsid w:val="00983C64"/>
    <w:rsid w:val="0098448F"/>
    <w:rsid w:val="009911D4"/>
    <w:rsid w:val="009A1C42"/>
    <w:rsid w:val="009B565A"/>
    <w:rsid w:val="009C46E9"/>
    <w:rsid w:val="009F05B3"/>
    <w:rsid w:val="009F7D50"/>
    <w:rsid w:val="00A0766C"/>
    <w:rsid w:val="00A16BC1"/>
    <w:rsid w:val="00A34AC1"/>
    <w:rsid w:val="00A37A05"/>
    <w:rsid w:val="00A406B6"/>
    <w:rsid w:val="00A44671"/>
    <w:rsid w:val="00A54ECD"/>
    <w:rsid w:val="00A70D4B"/>
    <w:rsid w:val="00A836A7"/>
    <w:rsid w:val="00A920B0"/>
    <w:rsid w:val="00A93BB6"/>
    <w:rsid w:val="00AA3AD4"/>
    <w:rsid w:val="00AB4CA3"/>
    <w:rsid w:val="00AB4FA2"/>
    <w:rsid w:val="00AB5EF2"/>
    <w:rsid w:val="00AD08EC"/>
    <w:rsid w:val="00AE3420"/>
    <w:rsid w:val="00AE4669"/>
    <w:rsid w:val="00AF3B28"/>
    <w:rsid w:val="00B04BE6"/>
    <w:rsid w:val="00B0584A"/>
    <w:rsid w:val="00B07E89"/>
    <w:rsid w:val="00B13D6B"/>
    <w:rsid w:val="00B1456F"/>
    <w:rsid w:val="00B15398"/>
    <w:rsid w:val="00B16561"/>
    <w:rsid w:val="00B16B9D"/>
    <w:rsid w:val="00B23E82"/>
    <w:rsid w:val="00B27369"/>
    <w:rsid w:val="00B32E1C"/>
    <w:rsid w:val="00B40580"/>
    <w:rsid w:val="00B4284B"/>
    <w:rsid w:val="00B45A44"/>
    <w:rsid w:val="00B4618B"/>
    <w:rsid w:val="00B61CE3"/>
    <w:rsid w:val="00B71AFB"/>
    <w:rsid w:val="00B80D81"/>
    <w:rsid w:val="00B90949"/>
    <w:rsid w:val="00B92669"/>
    <w:rsid w:val="00B95865"/>
    <w:rsid w:val="00BB1C46"/>
    <w:rsid w:val="00BC7F28"/>
    <w:rsid w:val="00BD16CE"/>
    <w:rsid w:val="00BD63D3"/>
    <w:rsid w:val="00BD6A7E"/>
    <w:rsid w:val="00BE5E05"/>
    <w:rsid w:val="00C00DBE"/>
    <w:rsid w:val="00C034F2"/>
    <w:rsid w:val="00C05CD3"/>
    <w:rsid w:val="00C06D87"/>
    <w:rsid w:val="00C275DB"/>
    <w:rsid w:val="00C40578"/>
    <w:rsid w:val="00C436F6"/>
    <w:rsid w:val="00C54C15"/>
    <w:rsid w:val="00C57702"/>
    <w:rsid w:val="00C6214A"/>
    <w:rsid w:val="00C623E2"/>
    <w:rsid w:val="00C715A8"/>
    <w:rsid w:val="00C758BC"/>
    <w:rsid w:val="00C75D61"/>
    <w:rsid w:val="00C81CF0"/>
    <w:rsid w:val="00C836BC"/>
    <w:rsid w:val="00C85045"/>
    <w:rsid w:val="00C95218"/>
    <w:rsid w:val="00C953CB"/>
    <w:rsid w:val="00CA118A"/>
    <w:rsid w:val="00CA19A1"/>
    <w:rsid w:val="00CC00BA"/>
    <w:rsid w:val="00CC7959"/>
    <w:rsid w:val="00CD23D9"/>
    <w:rsid w:val="00CD33A2"/>
    <w:rsid w:val="00CD3FC5"/>
    <w:rsid w:val="00CE7B57"/>
    <w:rsid w:val="00CE7D8F"/>
    <w:rsid w:val="00CF533C"/>
    <w:rsid w:val="00D07B67"/>
    <w:rsid w:val="00D11F4F"/>
    <w:rsid w:val="00D17014"/>
    <w:rsid w:val="00D26A8D"/>
    <w:rsid w:val="00D272BF"/>
    <w:rsid w:val="00D30920"/>
    <w:rsid w:val="00D34216"/>
    <w:rsid w:val="00D4245C"/>
    <w:rsid w:val="00D42C35"/>
    <w:rsid w:val="00D43906"/>
    <w:rsid w:val="00D44107"/>
    <w:rsid w:val="00D51FAF"/>
    <w:rsid w:val="00D63330"/>
    <w:rsid w:val="00D63DBA"/>
    <w:rsid w:val="00D75A0B"/>
    <w:rsid w:val="00D810CF"/>
    <w:rsid w:val="00D9589C"/>
    <w:rsid w:val="00D9604D"/>
    <w:rsid w:val="00DA3E1D"/>
    <w:rsid w:val="00DB1A94"/>
    <w:rsid w:val="00DB342F"/>
    <w:rsid w:val="00DB47D0"/>
    <w:rsid w:val="00DB55F1"/>
    <w:rsid w:val="00DC0E49"/>
    <w:rsid w:val="00DC7D78"/>
    <w:rsid w:val="00DD1845"/>
    <w:rsid w:val="00DE1C45"/>
    <w:rsid w:val="00DF26B7"/>
    <w:rsid w:val="00DF5518"/>
    <w:rsid w:val="00E074E7"/>
    <w:rsid w:val="00E1250A"/>
    <w:rsid w:val="00E14661"/>
    <w:rsid w:val="00E22152"/>
    <w:rsid w:val="00E24852"/>
    <w:rsid w:val="00E3291E"/>
    <w:rsid w:val="00E54E7F"/>
    <w:rsid w:val="00E6155F"/>
    <w:rsid w:val="00E82FFB"/>
    <w:rsid w:val="00EE0C34"/>
    <w:rsid w:val="00EE1583"/>
    <w:rsid w:val="00EE2760"/>
    <w:rsid w:val="00EF3E5A"/>
    <w:rsid w:val="00EF565D"/>
    <w:rsid w:val="00F00694"/>
    <w:rsid w:val="00F027BF"/>
    <w:rsid w:val="00F12F87"/>
    <w:rsid w:val="00F21FEE"/>
    <w:rsid w:val="00F25BAE"/>
    <w:rsid w:val="00F268F9"/>
    <w:rsid w:val="00F30C05"/>
    <w:rsid w:val="00F43B4F"/>
    <w:rsid w:val="00F45C16"/>
    <w:rsid w:val="00F46FAC"/>
    <w:rsid w:val="00F5224A"/>
    <w:rsid w:val="00F55CE0"/>
    <w:rsid w:val="00F8124B"/>
    <w:rsid w:val="00F92F82"/>
    <w:rsid w:val="00F96A9C"/>
    <w:rsid w:val="00FB060B"/>
    <w:rsid w:val="00FB1B8F"/>
    <w:rsid w:val="00FB30B0"/>
    <w:rsid w:val="00FC3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0D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uiPriority w:val="99"/>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uiPriority w:val="99"/>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822951">
      <w:bodyDiv w:val="1"/>
      <w:marLeft w:val="0"/>
      <w:marRight w:val="0"/>
      <w:marTop w:val="0"/>
      <w:marBottom w:val="0"/>
      <w:divBdr>
        <w:top w:val="none" w:sz="0" w:space="0" w:color="auto"/>
        <w:left w:val="none" w:sz="0" w:space="0" w:color="auto"/>
        <w:bottom w:val="none" w:sz="0" w:space="0" w:color="auto"/>
        <w:right w:val="none" w:sz="0" w:space="0" w:color="auto"/>
      </w:divBdr>
    </w:div>
    <w:div w:id="1375693794">
      <w:bodyDiv w:val="1"/>
      <w:marLeft w:val="0"/>
      <w:marRight w:val="0"/>
      <w:marTop w:val="0"/>
      <w:marBottom w:val="0"/>
      <w:divBdr>
        <w:top w:val="none" w:sz="0" w:space="0" w:color="auto"/>
        <w:left w:val="none" w:sz="0" w:space="0" w:color="auto"/>
        <w:bottom w:val="none" w:sz="0" w:space="0" w:color="auto"/>
        <w:right w:val="none" w:sz="0" w:space="0" w:color="auto"/>
      </w:divBdr>
      <w:divsChild>
        <w:div w:id="1836990406">
          <w:marLeft w:val="0"/>
          <w:marRight w:val="0"/>
          <w:marTop w:val="0"/>
          <w:marBottom w:val="0"/>
          <w:divBdr>
            <w:top w:val="none" w:sz="0" w:space="0" w:color="auto"/>
            <w:left w:val="none" w:sz="0" w:space="0" w:color="auto"/>
            <w:bottom w:val="none" w:sz="0" w:space="0" w:color="auto"/>
            <w:right w:val="none" w:sz="0" w:space="0" w:color="auto"/>
          </w:divBdr>
        </w:div>
      </w:divsChild>
    </w:div>
    <w:div w:id="141474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haron@endcorporalpunishment.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endcorporalpunishment.org"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dcorporalpunishment.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C30D54-0061-4DDD-A6AA-6920CF86B775}"/>
</file>

<file path=customXml/itemProps2.xml><?xml version="1.0" encoding="utf-8"?>
<ds:datastoreItem xmlns:ds="http://schemas.openxmlformats.org/officeDocument/2006/customXml" ds:itemID="{E960E7C8-2824-4015-9498-11FB916394D2}"/>
</file>

<file path=customXml/itemProps3.xml><?xml version="1.0" encoding="utf-8"?>
<ds:datastoreItem xmlns:ds="http://schemas.openxmlformats.org/officeDocument/2006/customXml" ds:itemID="{9646B89C-59D3-4F0A-BB0D-42E260A1A2BB}"/>
</file>

<file path=customXml/itemProps4.xml><?xml version="1.0" encoding="utf-8"?>
<ds:datastoreItem xmlns:ds="http://schemas.openxmlformats.org/officeDocument/2006/customXml" ds:itemID="{C59874D6-2D19-49B6-A0BD-E0FFC44C302C}"/>
</file>

<file path=docProps/app.xml><?xml version="1.0" encoding="utf-8"?>
<Properties xmlns="http://schemas.openxmlformats.org/officeDocument/2006/extended-properties" xmlns:vt="http://schemas.openxmlformats.org/officeDocument/2006/docPropsVTypes">
  <Template>Normal.dotm</Template>
  <TotalTime>2</TotalTime>
  <Pages>4</Pages>
  <Words>1431</Words>
  <Characters>8149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GI briefings Armenia</vt:lpstr>
    </vt:vector>
  </TitlesOfParts>
  <Company>Freelance Writing &amp; Research</Company>
  <LinksUpToDate>false</LinksUpToDate>
  <CharactersWithSpaces>9561</CharactersWithSpaces>
  <SharedDoc>false</SharedDoc>
  <HLinks>
    <vt:vector size="18" baseType="variant">
      <vt:variant>
        <vt:i4>7209025</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briefings Armenia</dc:title>
  <dc:creator>Sharon Owen</dc:creator>
  <cp:lastModifiedBy>Liliana Trillo Diaz</cp:lastModifiedBy>
  <cp:revision>2</cp:revision>
  <cp:lastPrinted>2004-08-23T14:41:00Z</cp:lastPrinted>
  <dcterms:created xsi:type="dcterms:W3CDTF">2016-06-24T08:02:00Z</dcterms:created>
  <dcterms:modified xsi:type="dcterms:W3CDTF">2016-06-24T08:02:00Z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