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C2729" w:rsidRPr="00BA3945" w14:paraId="38A85743" w14:textId="77777777" w:rsidTr="00251426">
        <w:trPr>
          <w:trHeight w:hRule="exact" w:val="851"/>
        </w:trPr>
        <w:tc>
          <w:tcPr>
            <w:tcW w:w="1276" w:type="dxa"/>
            <w:tcBorders>
              <w:bottom w:val="single" w:sz="4" w:space="0" w:color="auto"/>
            </w:tcBorders>
          </w:tcPr>
          <w:p w14:paraId="327666F5" w14:textId="77777777" w:rsidR="00AC2729" w:rsidRPr="00DB58B5" w:rsidRDefault="00AC2729" w:rsidP="00266837"/>
        </w:tc>
        <w:tc>
          <w:tcPr>
            <w:tcW w:w="2268" w:type="dxa"/>
            <w:tcBorders>
              <w:bottom w:val="single" w:sz="4" w:space="0" w:color="auto"/>
            </w:tcBorders>
            <w:vAlign w:val="bottom"/>
          </w:tcPr>
          <w:p w14:paraId="03589615" w14:textId="2B171A50" w:rsidR="00AC2729" w:rsidRPr="00DB58B5" w:rsidRDefault="00AC2729" w:rsidP="00266837">
            <w:pPr>
              <w:spacing w:after="80" w:line="300" w:lineRule="exact"/>
              <w:rPr>
                <w:sz w:val="28"/>
              </w:rPr>
            </w:pPr>
          </w:p>
        </w:tc>
        <w:tc>
          <w:tcPr>
            <w:tcW w:w="6095" w:type="dxa"/>
            <w:gridSpan w:val="2"/>
            <w:tcBorders>
              <w:bottom w:val="single" w:sz="4" w:space="0" w:color="auto"/>
            </w:tcBorders>
            <w:vAlign w:val="bottom"/>
          </w:tcPr>
          <w:p w14:paraId="78824545" w14:textId="0CD2CF0C" w:rsidR="00AC2729" w:rsidRPr="008019AD" w:rsidRDefault="00AC2729" w:rsidP="008019AD">
            <w:pPr>
              <w:jc w:val="right"/>
              <w:rPr>
                <w:lang w:val="en-GB"/>
              </w:rPr>
            </w:pPr>
          </w:p>
        </w:tc>
      </w:tr>
      <w:tr w:rsidR="00AC2729" w:rsidRPr="00DB58B5" w14:paraId="1D0FF9F7" w14:textId="77777777" w:rsidTr="00266837">
        <w:trPr>
          <w:trHeight w:hRule="exact" w:val="2835"/>
        </w:trPr>
        <w:tc>
          <w:tcPr>
            <w:tcW w:w="1276" w:type="dxa"/>
            <w:tcBorders>
              <w:top w:val="single" w:sz="4" w:space="0" w:color="auto"/>
              <w:bottom w:val="single" w:sz="12" w:space="0" w:color="auto"/>
            </w:tcBorders>
          </w:tcPr>
          <w:p w14:paraId="2D286E19" w14:textId="346C7339" w:rsidR="00AC2729" w:rsidRPr="00DB58B5" w:rsidRDefault="00AC2729" w:rsidP="00266837">
            <w:pPr>
              <w:spacing w:before="120"/>
              <w:jc w:val="center"/>
            </w:pPr>
          </w:p>
        </w:tc>
        <w:tc>
          <w:tcPr>
            <w:tcW w:w="5528" w:type="dxa"/>
            <w:gridSpan w:val="2"/>
            <w:tcBorders>
              <w:top w:val="single" w:sz="4" w:space="0" w:color="auto"/>
              <w:bottom w:val="single" w:sz="12" w:space="0" w:color="auto"/>
            </w:tcBorders>
          </w:tcPr>
          <w:p w14:paraId="031476E0" w14:textId="533CD3DB" w:rsidR="00AC2729" w:rsidRPr="0089028E" w:rsidRDefault="006933EF" w:rsidP="00266837">
            <w:pPr>
              <w:spacing w:before="120" w:line="380" w:lineRule="exact"/>
              <w:rPr>
                <w:b/>
                <w:sz w:val="34"/>
                <w:szCs w:val="34"/>
              </w:rPr>
            </w:pPr>
            <w:r>
              <w:rPr>
                <w:b/>
                <w:sz w:val="34"/>
                <w:szCs w:val="34"/>
              </w:rPr>
              <w:t>V</w:t>
            </w:r>
            <w:r w:rsidRPr="006933EF">
              <w:rPr>
                <w:b/>
                <w:sz w:val="34"/>
                <w:szCs w:val="34"/>
              </w:rPr>
              <w:t>ersion avancée non éditée</w:t>
            </w:r>
          </w:p>
        </w:tc>
        <w:tc>
          <w:tcPr>
            <w:tcW w:w="2835" w:type="dxa"/>
            <w:tcBorders>
              <w:top w:val="single" w:sz="4" w:space="0" w:color="auto"/>
              <w:bottom w:val="single" w:sz="12" w:space="0" w:color="auto"/>
            </w:tcBorders>
          </w:tcPr>
          <w:p w14:paraId="43210EEC" w14:textId="103F75D8" w:rsidR="00AC2729" w:rsidRDefault="00AA35F2" w:rsidP="00AA35F2">
            <w:pPr>
              <w:spacing w:before="240" w:line="240" w:lineRule="exact"/>
            </w:pPr>
            <w:proofErr w:type="spellStart"/>
            <w:r>
              <w:t>Distr</w:t>
            </w:r>
            <w:proofErr w:type="spellEnd"/>
            <w:r>
              <w:t xml:space="preserve">. </w:t>
            </w:r>
            <w:proofErr w:type="gramStart"/>
            <w:r w:rsidR="006933EF">
              <w:t>générale</w:t>
            </w:r>
            <w:bookmarkStart w:id="0" w:name="_GoBack"/>
            <w:bookmarkEnd w:id="0"/>
            <w:proofErr w:type="gramEnd"/>
          </w:p>
          <w:p w14:paraId="66463945" w14:textId="44DA0457" w:rsidR="00AA35F2" w:rsidRDefault="00BA3945" w:rsidP="00AA35F2">
            <w:pPr>
              <w:spacing w:line="240" w:lineRule="exact"/>
            </w:pPr>
            <w:r>
              <w:t>16 février</w:t>
            </w:r>
            <w:r w:rsidR="00862569">
              <w:t xml:space="preserve"> </w:t>
            </w:r>
            <w:r>
              <w:t>2021</w:t>
            </w:r>
          </w:p>
          <w:p w14:paraId="2F0FEC20" w14:textId="77777777" w:rsidR="00AA35F2" w:rsidRDefault="00AA35F2" w:rsidP="00AA35F2">
            <w:pPr>
              <w:spacing w:line="240" w:lineRule="exact"/>
            </w:pPr>
          </w:p>
          <w:p w14:paraId="10E25C39" w14:textId="77777777" w:rsidR="00A12C14" w:rsidRPr="00A12C14" w:rsidRDefault="00A12C14" w:rsidP="00A12C14">
            <w:pPr>
              <w:spacing w:line="240" w:lineRule="exact"/>
            </w:pPr>
            <w:r w:rsidRPr="00A12C14">
              <w:t>Original : français</w:t>
            </w:r>
          </w:p>
          <w:p w14:paraId="56F8ACF4" w14:textId="77777777" w:rsidR="00A12C14" w:rsidRPr="00DB58B5" w:rsidRDefault="00A12C14" w:rsidP="00A12C14">
            <w:pPr>
              <w:spacing w:line="240" w:lineRule="exact"/>
            </w:pPr>
            <w:r w:rsidRPr="00A12C14">
              <w:t>Anglais, espagnol et français seulement</w:t>
            </w:r>
          </w:p>
        </w:tc>
      </w:tr>
    </w:tbl>
    <w:p w14:paraId="08F52CBC" w14:textId="77777777" w:rsidR="00251426" w:rsidRPr="0066421A" w:rsidRDefault="00251426" w:rsidP="00251426">
      <w:pPr>
        <w:suppressAutoHyphens w:val="0"/>
        <w:spacing w:before="120" w:line="240" w:lineRule="auto"/>
        <w:rPr>
          <w:rFonts w:eastAsia="SimSun"/>
          <w:b/>
          <w:sz w:val="24"/>
          <w:szCs w:val="24"/>
          <w:lang w:eastAsia="zh-CN"/>
        </w:rPr>
      </w:pPr>
      <w:r w:rsidRPr="0066421A">
        <w:rPr>
          <w:rFonts w:eastAsia="SimSun"/>
          <w:b/>
          <w:sz w:val="24"/>
          <w:szCs w:val="24"/>
          <w:lang w:eastAsia="zh-CN"/>
        </w:rPr>
        <w:t>Sous-Comité pour la prévention de la torture et autres peines</w:t>
      </w:r>
      <w:r w:rsidRPr="0066421A">
        <w:rPr>
          <w:rFonts w:eastAsia="SimSun"/>
          <w:b/>
          <w:sz w:val="24"/>
          <w:szCs w:val="24"/>
          <w:lang w:eastAsia="zh-CN"/>
        </w:rPr>
        <w:br/>
        <w:t>ou traitements cruels, inhumains ou dégradants</w:t>
      </w:r>
    </w:p>
    <w:p w14:paraId="40C1DE05" w14:textId="0D292C38" w:rsidR="00197671" w:rsidRDefault="004D01CF" w:rsidP="00401003">
      <w:pPr>
        <w:pStyle w:val="HMG"/>
      </w:pPr>
      <w:r w:rsidRPr="004D01CF">
        <w:tab/>
      </w:r>
      <w:r w:rsidRPr="004D01CF">
        <w:tab/>
      </w:r>
      <w:r w:rsidR="00197671">
        <w:rPr>
          <w:rFonts w:eastAsia="SimSun"/>
        </w:rPr>
        <w:t>Visite effectuée au Sénégal</w:t>
      </w:r>
      <w:r w:rsidR="00197671" w:rsidRPr="009B3378">
        <w:rPr>
          <w:rFonts w:eastAsia="SimSun"/>
        </w:rPr>
        <w:t xml:space="preserve"> du </w:t>
      </w:r>
      <w:r w:rsidR="00197671">
        <w:rPr>
          <w:rFonts w:eastAsia="SimSun"/>
        </w:rPr>
        <w:t>5 au 16 mai 2019</w:t>
      </w:r>
      <w:r w:rsidR="006A7500">
        <w:rPr>
          <w:rFonts w:eastAsia="SimSun"/>
        </w:rPr>
        <w:t> </w:t>
      </w:r>
      <w:r w:rsidR="00197671" w:rsidRPr="009B3378">
        <w:rPr>
          <w:rFonts w:eastAsia="SimSun"/>
        </w:rPr>
        <w:t>: recommandat</w:t>
      </w:r>
      <w:r w:rsidR="00197671">
        <w:rPr>
          <w:rFonts w:eastAsia="SimSun"/>
        </w:rPr>
        <w:t>ions et observations adressées au mécanisme national de prévention</w:t>
      </w:r>
    </w:p>
    <w:p w14:paraId="686F48B8" w14:textId="75AA6AD3" w:rsidR="004D01CF" w:rsidRPr="004D01CF" w:rsidRDefault="004D01CF" w:rsidP="004D01CF">
      <w:pPr>
        <w:pStyle w:val="HChG"/>
      </w:pPr>
      <w:r w:rsidRPr="004D01CF">
        <w:tab/>
      </w:r>
      <w:r w:rsidRPr="004D01CF">
        <w:tab/>
        <w:t>Rapport établi par le Sous-Comité</w:t>
      </w:r>
      <w:r w:rsidR="006F584A" w:rsidRPr="00C74FD4">
        <w:rPr>
          <w:b w:val="0"/>
          <w:bCs/>
          <w:sz w:val="20"/>
        </w:rPr>
        <w:footnoteReference w:customMarkFollows="1" w:id="2"/>
        <w:t>*</w:t>
      </w:r>
      <w:r w:rsidR="008F554C" w:rsidRPr="00C74FD4">
        <w:rPr>
          <w:b w:val="0"/>
          <w:bCs/>
          <w:position w:val="6"/>
          <w:sz w:val="20"/>
        </w:rPr>
        <w:t>,</w:t>
      </w:r>
      <w:r w:rsidR="00200A33" w:rsidRPr="00CD2377">
        <w:rPr>
          <w:b w:val="0"/>
          <w:bCs/>
          <w:sz w:val="20"/>
        </w:rPr>
        <w:t xml:space="preserve"> </w:t>
      </w:r>
      <w:r w:rsidR="008F554C" w:rsidRPr="00C74FD4">
        <w:rPr>
          <w:b w:val="0"/>
          <w:bCs/>
          <w:sz w:val="20"/>
        </w:rPr>
        <w:footnoteReference w:customMarkFollows="1" w:id="3"/>
        <w:t>**</w:t>
      </w:r>
    </w:p>
    <w:p w14:paraId="1045B20F" w14:textId="77777777" w:rsidR="00251426" w:rsidRPr="0066421A" w:rsidRDefault="00251426" w:rsidP="00251426">
      <w:pPr>
        <w:spacing w:after="120"/>
        <w:rPr>
          <w:sz w:val="24"/>
          <w:szCs w:val="24"/>
          <w:lang w:val="fr-FR"/>
        </w:rPr>
      </w:pPr>
      <w:r w:rsidRPr="0066421A">
        <w:rPr>
          <w:sz w:val="24"/>
          <w:szCs w:val="24"/>
          <w:lang w:val="fr-FR"/>
        </w:rPr>
        <w:br w:type="page"/>
      </w:r>
    </w:p>
    <w:p w14:paraId="5CCC9C8D" w14:textId="77777777" w:rsidR="00251426" w:rsidRPr="00907535" w:rsidRDefault="00251426" w:rsidP="00251426">
      <w:pPr>
        <w:spacing w:after="120"/>
        <w:rPr>
          <w:sz w:val="28"/>
          <w:szCs w:val="28"/>
        </w:rPr>
      </w:pPr>
      <w:r w:rsidRPr="00907535">
        <w:rPr>
          <w:sz w:val="28"/>
          <w:szCs w:val="28"/>
        </w:rPr>
        <w:lastRenderedPageBreak/>
        <w:t>Table des matières</w:t>
      </w:r>
    </w:p>
    <w:p w14:paraId="309EA26B" w14:textId="77777777" w:rsidR="00251426" w:rsidRPr="00C0638F" w:rsidRDefault="00251426" w:rsidP="0086549F">
      <w:pPr>
        <w:tabs>
          <w:tab w:val="right" w:pos="9638"/>
        </w:tabs>
        <w:spacing w:after="120"/>
        <w:ind w:left="283"/>
        <w:rPr>
          <w:szCs w:val="24"/>
        </w:rPr>
      </w:pPr>
      <w:r w:rsidRPr="0066421A">
        <w:rPr>
          <w:i/>
          <w:sz w:val="24"/>
          <w:szCs w:val="24"/>
        </w:rPr>
        <w:tab/>
      </w:r>
      <w:r w:rsidRPr="00C0638F">
        <w:rPr>
          <w:i/>
          <w:szCs w:val="24"/>
        </w:rPr>
        <w:t>Page</w:t>
      </w:r>
    </w:p>
    <w:p w14:paraId="50C9AA80" w14:textId="77777777" w:rsidR="004D01CF" w:rsidRDefault="002559EE" w:rsidP="004D01CF">
      <w:pPr>
        <w:tabs>
          <w:tab w:val="right" w:pos="850"/>
          <w:tab w:val="left" w:pos="1134"/>
          <w:tab w:val="left" w:pos="1559"/>
          <w:tab w:val="left" w:pos="1984"/>
          <w:tab w:val="left" w:leader="dot" w:pos="8929"/>
          <w:tab w:val="right" w:pos="9638"/>
        </w:tabs>
        <w:spacing w:after="120"/>
        <w:rPr>
          <w:szCs w:val="24"/>
        </w:rPr>
      </w:pPr>
      <w:r>
        <w:rPr>
          <w:szCs w:val="24"/>
        </w:rPr>
        <w:tab/>
        <w:t>I.</w:t>
      </w:r>
      <w:r>
        <w:rPr>
          <w:szCs w:val="24"/>
        </w:rPr>
        <w:tab/>
        <w:t>Introduction</w:t>
      </w:r>
      <w:r>
        <w:rPr>
          <w:szCs w:val="24"/>
        </w:rPr>
        <w:tab/>
      </w:r>
      <w:r>
        <w:rPr>
          <w:szCs w:val="24"/>
        </w:rPr>
        <w:tab/>
      </w:r>
      <w:r w:rsidR="005523FB">
        <w:rPr>
          <w:szCs w:val="24"/>
        </w:rPr>
        <w:t>3</w:t>
      </w:r>
    </w:p>
    <w:p w14:paraId="639EE337" w14:textId="77777777" w:rsidR="00197671" w:rsidRPr="00D71F3F" w:rsidRDefault="00197671" w:rsidP="00197671">
      <w:pPr>
        <w:tabs>
          <w:tab w:val="right" w:pos="850"/>
          <w:tab w:val="left" w:pos="1134"/>
          <w:tab w:val="left" w:pos="1559"/>
          <w:tab w:val="left" w:pos="1984"/>
          <w:tab w:val="left" w:leader="dot" w:pos="8929"/>
          <w:tab w:val="right" w:pos="9638"/>
        </w:tabs>
        <w:spacing w:after="120"/>
      </w:pPr>
      <w:r w:rsidRPr="00D71F3F">
        <w:tab/>
        <w:t>II.</w:t>
      </w:r>
      <w:r w:rsidRPr="00D71F3F">
        <w:tab/>
      </w:r>
      <w:r w:rsidRPr="0089189B">
        <w:rPr>
          <w:lang w:val="fr-FR"/>
        </w:rPr>
        <w:t>Mécanisme national de prévention</w:t>
      </w:r>
      <w:r w:rsidRPr="0089189B">
        <w:t xml:space="preserve"> </w:t>
      </w:r>
      <w:r w:rsidRPr="00D71F3F">
        <w:tab/>
      </w:r>
      <w:r w:rsidRPr="00D71F3F">
        <w:tab/>
        <w:t>4</w:t>
      </w:r>
    </w:p>
    <w:p w14:paraId="617F9257" w14:textId="77777777" w:rsidR="00197671" w:rsidRDefault="00197671" w:rsidP="00197671">
      <w:pPr>
        <w:tabs>
          <w:tab w:val="right" w:pos="850"/>
          <w:tab w:val="left" w:pos="1134"/>
          <w:tab w:val="left" w:pos="1559"/>
          <w:tab w:val="left" w:pos="1984"/>
          <w:tab w:val="left" w:leader="dot" w:pos="8929"/>
          <w:tab w:val="right" w:pos="9638"/>
        </w:tabs>
        <w:spacing w:after="120"/>
        <w:ind w:left="567" w:hanging="567"/>
      </w:pPr>
      <w:r>
        <w:tab/>
        <w:t>III.</w:t>
      </w:r>
      <w:r>
        <w:tab/>
      </w:r>
      <w:r>
        <w:tab/>
      </w:r>
      <w:r w:rsidRPr="0089189B">
        <w:t>Recommandations à l’intention du mécanisme national</w:t>
      </w:r>
      <w:r>
        <w:t xml:space="preserve"> </w:t>
      </w:r>
      <w:r w:rsidRPr="0089189B">
        <w:t xml:space="preserve">de prévention </w:t>
      </w:r>
      <w:r>
        <w:tab/>
      </w:r>
      <w:r>
        <w:tab/>
        <w:t>4</w:t>
      </w:r>
    </w:p>
    <w:p w14:paraId="761DF9E1" w14:textId="77777777" w:rsidR="00197671" w:rsidRPr="00640971" w:rsidRDefault="00197671" w:rsidP="00197671">
      <w:pPr>
        <w:tabs>
          <w:tab w:val="left" w:pos="1134"/>
          <w:tab w:val="left" w:pos="1559"/>
          <w:tab w:val="left" w:pos="1984"/>
          <w:tab w:val="left" w:leader="dot" w:pos="8929"/>
          <w:tab w:val="right" w:pos="9638"/>
        </w:tabs>
        <w:spacing w:after="120"/>
      </w:pPr>
      <w:r>
        <w:tab/>
        <w:t>A.</w:t>
      </w:r>
      <w:r w:rsidRPr="007C6D55">
        <w:t xml:space="preserve"> </w:t>
      </w:r>
      <w:r w:rsidR="00542828">
        <w:tab/>
      </w:r>
      <w:r w:rsidRPr="007C6D55">
        <w:t>Recommandations relatives aux questions juridiques, institutionnelles et structurelles</w:t>
      </w:r>
      <w:r w:rsidRPr="007C6D55">
        <w:tab/>
      </w:r>
      <w:r>
        <w:rPr>
          <w:b/>
        </w:rPr>
        <w:tab/>
      </w:r>
      <w:r w:rsidRPr="00640971">
        <w:t>4</w:t>
      </w:r>
    </w:p>
    <w:p w14:paraId="77082A9D" w14:textId="77777777" w:rsidR="00197671" w:rsidRDefault="00197671" w:rsidP="00197671">
      <w:pPr>
        <w:tabs>
          <w:tab w:val="left" w:pos="1134"/>
          <w:tab w:val="left" w:pos="1559"/>
          <w:tab w:val="left" w:pos="1984"/>
          <w:tab w:val="left" w:leader="dot" w:pos="8929"/>
          <w:tab w:val="right" w:pos="9638"/>
        </w:tabs>
        <w:spacing w:after="120"/>
      </w:pPr>
      <w:r>
        <w:rPr>
          <w:b/>
        </w:rPr>
        <w:tab/>
      </w:r>
      <w:r w:rsidRPr="007C6D55">
        <w:t xml:space="preserve">B. </w:t>
      </w:r>
      <w:r w:rsidRPr="007C6D55">
        <w:tab/>
        <w:t>Recommandations sur la méthode à suivre concernant les visites</w:t>
      </w:r>
      <w:r w:rsidRPr="007C6D55">
        <w:tab/>
      </w:r>
      <w:r w:rsidRPr="007C6D55">
        <w:tab/>
      </w:r>
      <w:r w:rsidR="005523FB">
        <w:t>8</w:t>
      </w:r>
    </w:p>
    <w:p w14:paraId="0F57CF3C" w14:textId="59617764" w:rsidR="00197671" w:rsidRPr="00D71F3F" w:rsidRDefault="00197671" w:rsidP="00197671">
      <w:pPr>
        <w:tabs>
          <w:tab w:val="right" w:pos="850"/>
          <w:tab w:val="left" w:pos="1134"/>
          <w:tab w:val="left" w:pos="1559"/>
          <w:tab w:val="left" w:pos="1984"/>
          <w:tab w:val="left" w:leader="dot" w:pos="8929"/>
          <w:tab w:val="right" w:pos="9638"/>
        </w:tabs>
        <w:spacing w:after="120"/>
      </w:pPr>
      <w:r w:rsidRPr="00D71F3F">
        <w:tab/>
      </w:r>
      <w:r>
        <w:t>I</w:t>
      </w:r>
      <w:r w:rsidRPr="00D71F3F">
        <w:t>V.</w:t>
      </w:r>
      <w:r w:rsidRPr="00D71F3F">
        <w:tab/>
      </w:r>
      <w:r w:rsidR="00395974">
        <w:t>É</w:t>
      </w:r>
      <w:r w:rsidRPr="00D71F3F">
        <w:t>tapes suivantes</w:t>
      </w:r>
      <w:r w:rsidRPr="00D71F3F">
        <w:tab/>
      </w:r>
      <w:r w:rsidRPr="00D71F3F">
        <w:tab/>
      </w:r>
      <w:r>
        <w:t>1</w:t>
      </w:r>
      <w:r w:rsidR="005523FB">
        <w:t>3</w:t>
      </w:r>
    </w:p>
    <w:p w14:paraId="36B5F090" w14:textId="77777777" w:rsidR="00197671" w:rsidRPr="00D71F3F" w:rsidRDefault="00542828" w:rsidP="00197671">
      <w:pPr>
        <w:tabs>
          <w:tab w:val="right" w:pos="850"/>
          <w:tab w:val="left" w:pos="1134"/>
          <w:tab w:val="left" w:pos="1559"/>
          <w:tab w:val="left" w:pos="1984"/>
          <w:tab w:val="left" w:leader="dot" w:pos="8929"/>
          <w:tab w:val="right" w:pos="9638"/>
        </w:tabs>
        <w:spacing w:after="120"/>
      </w:pPr>
      <w:r>
        <w:tab/>
      </w:r>
      <w:r w:rsidR="00197671" w:rsidRPr="00D71F3F">
        <w:t>Annexes</w:t>
      </w:r>
    </w:p>
    <w:p w14:paraId="7CDA8DE4" w14:textId="01EDC971" w:rsidR="00197671" w:rsidRDefault="00197671" w:rsidP="00C74FD4">
      <w:pPr>
        <w:tabs>
          <w:tab w:val="left" w:pos="567"/>
          <w:tab w:val="left" w:pos="1134"/>
          <w:tab w:val="left" w:pos="1984"/>
          <w:tab w:val="left" w:leader="dot" w:pos="8929"/>
          <w:tab w:val="right" w:pos="9638"/>
        </w:tabs>
        <w:spacing w:after="120"/>
      </w:pPr>
      <w:r w:rsidRPr="00D71F3F">
        <w:tab/>
        <w:t>I.</w:t>
      </w:r>
      <w:r w:rsidRPr="00D71F3F">
        <w:tab/>
      </w:r>
      <w:r w:rsidRPr="007C6D55">
        <w:t xml:space="preserve">Liste des </w:t>
      </w:r>
      <w:r w:rsidR="00FA230C">
        <w:t>interlocuteurs du</w:t>
      </w:r>
      <w:r w:rsidRPr="007C6D55">
        <w:t xml:space="preserve"> Sous-Comité</w:t>
      </w:r>
      <w:r w:rsidRPr="007C6D55">
        <w:tab/>
      </w:r>
      <w:r w:rsidRPr="007C6D55">
        <w:tab/>
        <w:t>1</w:t>
      </w:r>
      <w:r w:rsidR="005523FB">
        <w:t>5</w:t>
      </w:r>
    </w:p>
    <w:p w14:paraId="67824BE7" w14:textId="77777777" w:rsidR="00197671" w:rsidRDefault="00197671" w:rsidP="00C74FD4">
      <w:pPr>
        <w:tabs>
          <w:tab w:val="left" w:pos="567"/>
          <w:tab w:val="left" w:pos="1134"/>
          <w:tab w:val="left" w:pos="1984"/>
          <w:tab w:val="left" w:leader="dot" w:pos="8929"/>
          <w:tab w:val="right" w:pos="9638"/>
        </w:tabs>
        <w:spacing w:after="120"/>
        <w:rPr>
          <w:lang w:val="fr-FR"/>
        </w:rPr>
      </w:pPr>
      <w:r>
        <w:tab/>
        <w:t>II.</w:t>
      </w:r>
      <w:r w:rsidRPr="00152BBB">
        <w:tab/>
        <w:t>Lieux de privation de liberté visités par le Sous-Comité</w:t>
      </w:r>
      <w:r w:rsidRPr="00152BBB">
        <w:rPr>
          <w:lang w:val="fr-FR"/>
        </w:rPr>
        <w:t xml:space="preserve"> </w:t>
      </w:r>
      <w:r w:rsidRPr="00152BBB">
        <w:rPr>
          <w:lang w:val="fr-FR"/>
        </w:rPr>
        <w:tab/>
      </w:r>
      <w:r w:rsidRPr="00152BBB">
        <w:rPr>
          <w:lang w:val="fr-FR"/>
        </w:rPr>
        <w:tab/>
        <w:t>1</w:t>
      </w:r>
      <w:r w:rsidR="004F3B38">
        <w:rPr>
          <w:lang w:val="fr-FR"/>
        </w:rPr>
        <w:t>7</w:t>
      </w:r>
    </w:p>
    <w:p w14:paraId="0CA6C24D" w14:textId="5C1D85D0" w:rsidR="001D194D" w:rsidRPr="00197671" w:rsidRDefault="00197671" w:rsidP="00F13C0E">
      <w:pPr>
        <w:tabs>
          <w:tab w:val="left" w:pos="567"/>
          <w:tab w:val="left" w:pos="1134"/>
          <w:tab w:val="left" w:pos="1984"/>
          <w:tab w:val="left" w:leader="dot" w:pos="8929"/>
          <w:tab w:val="right" w:pos="9638"/>
        </w:tabs>
        <w:spacing w:after="120"/>
        <w:ind w:left="1134" w:hanging="1134"/>
      </w:pPr>
      <w:r>
        <w:rPr>
          <w:lang w:val="fr-FR"/>
        </w:rPr>
        <w:tab/>
        <w:t>III.</w:t>
      </w:r>
      <w:r>
        <w:rPr>
          <w:lang w:val="fr-FR"/>
        </w:rPr>
        <w:tab/>
      </w:r>
      <w:r w:rsidRPr="00152BBB">
        <w:t>Lieux de privation de liberté visité</w:t>
      </w:r>
      <w:r w:rsidR="00DC40F0">
        <w:t>s</w:t>
      </w:r>
      <w:r w:rsidRPr="00152BBB">
        <w:t xml:space="preserve"> conjointement par le Sous-Comité et l’Observateur</w:t>
      </w:r>
      <w:r w:rsidR="002A7140">
        <w:br/>
      </w:r>
      <w:r w:rsidR="00206431">
        <w:t>n</w:t>
      </w:r>
      <w:r w:rsidRPr="00152BBB">
        <w:t xml:space="preserve">ational des </w:t>
      </w:r>
      <w:r w:rsidR="00206431">
        <w:t>l</w:t>
      </w:r>
      <w:r w:rsidRPr="00152BBB">
        <w:t xml:space="preserve">ieux de </w:t>
      </w:r>
      <w:r w:rsidR="00206431">
        <w:t>p</w:t>
      </w:r>
      <w:r w:rsidRPr="00152BBB">
        <w:t xml:space="preserve">rivation de </w:t>
      </w:r>
      <w:r w:rsidR="00206431">
        <w:t>l</w:t>
      </w:r>
      <w:r w:rsidRPr="00152BBB">
        <w:t>iberté</w:t>
      </w:r>
      <w:r w:rsidRPr="00152BBB">
        <w:tab/>
      </w:r>
      <w:r w:rsidRPr="00152BBB">
        <w:tab/>
        <w:t>1</w:t>
      </w:r>
      <w:r w:rsidR="004F3B38">
        <w:t>8</w:t>
      </w:r>
    </w:p>
    <w:p w14:paraId="7478AE3B" w14:textId="77777777" w:rsidR="00675E41" w:rsidRPr="00197671" w:rsidRDefault="004D01CF" w:rsidP="00197671">
      <w:pPr>
        <w:pStyle w:val="HChG"/>
      </w:pPr>
      <w:r w:rsidRPr="000C50B1">
        <w:rPr>
          <w:sz w:val="24"/>
          <w:szCs w:val="24"/>
        </w:rPr>
        <w:br w:type="page"/>
      </w:r>
      <w:r w:rsidR="00197671">
        <w:lastRenderedPageBreak/>
        <w:tab/>
        <w:t>I.</w:t>
      </w:r>
      <w:r w:rsidR="00197671">
        <w:tab/>
      </w:r>
      <w:r w:rsidR="00675E41" w:rsidRPr="00197671">
        <w:t>Introduction</w:t>
      </w:r>
    </w:p>
    <w:p w14:paraId="54C0F85B" w14:textId="1D1E159F" w:rsidR="00675E41" w:rsidRPr="00675E41" w:rsidRDefault="00C74FD4" w:rsidP="00C74FD4">
      <w:pPr>
        <w:pStyle w:val="ParNoG"/>
        <w:numPr>
          <w:ilvl w:val="0"/>
          <w:numId w:val="0"/>
        </w:numPr>
        <w:tabs>
          <w:tab w:val="left" w:pos="1701"/>
        </w:tabs>
        <w:ind w:left="1134"/>
      </w:pPr>
      <w:r w:rsidRPr="00675E41">
        <w:t>1.</w:t>
      </w:r>
      <w:r w:rsidRPr="00675E41">
        <w:tab/>
      </w:r>
      <w:r w:rsidR="00675E41" w:rsidRPr="00675E41">
        <w:t xml:space="preserve">Conformément au mandat que lui confère le Protocole facultatif se rapportant à la Convention contre la torture et autres peines ou traitements cruels, inhumains ou dégradants, le Sous-Comité pour la prévention de la torture et autres peines ou traitements cruels, inhumains ou dégradants a effectué sa deuxième visite au Sénégal du 5 au 16 mai 2019. Le Sénégal </w:t>
      </w:r>
      <w:r w:rsidR="006303DB">
        <w:t>a ra</w:t>
      </w:r>
      <w:r w:rsidR="000008E2">
        <w:t>tifié</w:t>
      </w:r>
      <w:r w:rsidR="00675E41" w:rsidRPr="00675E41">
        <w:t xml:space="preserve"> la </w:t>
      </w:r>
      <w:r w:rsidR="00711895">
        <w:t>C</w:t>
      </w:r>
      <w:r w:rsidR="00675E41" w:rsidRPr="00675E41">
        <w:t>onvention contre la torture</w:t>
      </w:r>
      <w:r w:rsidR="000008E2" w:rsidRPr="000008E2">
        <w:t xml:space="preserve"> </w:t>
      </w:r>
      <w:r w:rsidR="000008E2" w:rsidRPr="00675E41">
        <w:t>et autres peines ou traitements cruels, inhumains ou dégradants</w:t>
      </w:r>
      <w:r w:rsidR="00675E41" w:rsidRPr="00675E41">
        <w:t xml:space="preserve"> le 21</w:t>
      </w:r>
      <w:r w:rsidR="000008E2">
        <w:t> août</w:t>
      </w:r>
      <w:r w:rsidR="00675E41" w:rsidRPr="00675E41">
        <w:t xml:space="preserve"> 1986 et </w:t>
      </w:r>
      <w:r w:rsidR="005B47F2">
        <w:t>le</w:t>
      </w:r>
      <w:r w:rsidR="00675E41" w:rsidRPr="00675E41">
        <w:t xml:space="preserve"> Protocole </w:t>
      </w:r>
      <w:r w:rsidR="005B47F2">
        <w:t>f</w:t>
      </w:r>
      <w:r w:rsidR="00675E41" w:rsidRPr="00675E41">
        <w:t xml:space="preserve">acultatif le 18 </w:t>
      </w:r>
      <w:r w:rsidR="007A5769">
        <w:t>o</w:t>
      </w:r>
      <w:r w:rsidR="00675E41" w:rsidRPr="00675E41">
        <w:t>ctobre 2006.</w:t>
      </w:r>
    </w:p>
    <w:p w14:paraId="0A049CB2" w14:textId="0F99DF74" w:rsidR="00675E41" w:rsidRPr="00675E41" w:rsidRDefault="00C74FD4" w:rsidP="00C74FD4">
      <w:pPr>
        <w:pStyle w:val="ParNoG"/>
        <w:numPr>
          <w:ilvl w:val="0"/>
          <w:numId w:val="0"/>
        </w:numPr>
        <w:tabs>
          <w:tab w:val="left" w:pos="1701"/>
        </w:tabs>
        <w:ind w:left="1134"/>
      </w:pPr>
      <w:r w:rsidRPr="00675E41">
        <w:t>2.</w:t>
      </w:r>
      <w:r w:rsidRPr="00675E41">
        <w:tab/>
      </w:r>
      <w:r w:rsidR="00675E41" w:rsidRPr="00675E41">
        <w:t xml:space="preserve">La délégation du Sous-Comité était composée des membres suivants : Joachim </w:t>
      </w:r>
      <w:proofErr w:type="spellStart"/>
      <w:r w:rsidR="00675E41" w:rsidRPr="00675E41">
        <w:t>Gnambi</w:t>
      </w:r>
      <w:proofErr w:type="spellEnd"/>
      <w:r w:rsidR="00675E41" w:rsidRPr="00675E41">
        <w:t xml:space="preserve"> </w:t>
      </w:r>
      <w:proofErr w:type="spellStart"/>
      <w:r w:rsidR="00675E41" w:rsidRPr="00675E41">
        <w:t>Garba</w:t>
      </w:r>
      <w:proofErr w:type="spellEnd"/>
      <w:r w:rsidR="00675E41" w:rsidRPr="00675E41">
        <w:t xml:space="preserve"> </w:t>
      </w:r>
      <w:proofErr w:type="spellStart"/>
      <w:r w:rsidR="00675E41" w:rsidRPr="00675E41">
        <w:t>Kodjo</w:t>
      </w:r>
      <w:proofErr w:type="spellEnd"/>
      <w:r w:rsidR="00675E41" w:rsidRPr="00675E41">
        <w:t xml:space="preserve"> (Chef de délégation), Patricia </w:t>
      </w:r>
      <w:r w:rsidR="00A326ED">
        <w:t>Arias</w:t>
      </w:r>
      <w:r w:rsidR="00650832">
        <w:t xml:space="preserve"> </w:t>
      </w:r>
      <w:proofErr w:type="spellStart"/>
      <w:r w:rsidR="00650832">
        <w:t>Barriga</w:t>
      </w:r>
      <w:proofErr w:type="spellEnd"/>
      <w:r w:rsidR="00675E41" w:rsidRPr="00675E41">
        <w:t xml:space="preserve">, Carmen Comas-Mata Mira, Abdallah </w:t>
      </w:r>
      <w:proofErr w:type="spellStart"/>
      <w:r w:rsidR="00675E41" w:rsidRPr="00675E41">
        <w:t>Ounnir</w:t>
      </w:r>
      <w:proofErr w:type="spellEnd"/>
      <w:r w:rsidR="00675E41" w:rsidRPr="00675E41">
        <w:t xml:space="preserve">, Catherine </w:t>
      </w:r>
      <w:proofErr w:type="spellStart"/>
      <w:r w:rsidR="00675E41" w:rsidRPr="00675E41">
        <w:t>Paulet</w:t>
      </w:r>
      <w:proofErr w:type="spellEnd"/>
      <w:r w:rsidR="009D1A98">
        <w:t xml:space="preserve"> et</w:t>
      </w:r>
      <w:r w:rsidR="00675E41" w:rsidRPr="00675E41">
        <w:t xml:space="preserve"> </w:t>
      </w:r>
      <w:proofErr w:type="spellStart"/>
      <w:r w:rsidR="00675E41" w:rsidRPr="00675E41">
        <w:t>Haimoud</w:t>
      </w:r>
      <w:proofErr w:type="spellEnd"/>
      <w:r w:rsidR="00675E41" w:rsidRPr="00675E41">
        <w:t xml:space="preserve"> </w:t>
      </w:r>
      <w:proofErr w:type="spellStart"/>
      <w:r w:rsidR="00675E41" w:rsidRPr="00675E41">
        <w:t>Ramdan</w:t>
      </w:r>
      <w:proofErr w:type="spellEnd"/>
      <w:r w:rsidR="00675E41" w:rsidRPr="00675E41">
        <w:t xml:space="preserve">. </w:t>
      </w:r>
      <w:r w:rsidR="00E52465">
        <w:t>Elle</w:t>
      </w:r>
      <w:r w:rsidR="00675E41" w:rsidRPr="00675E41">
        <w:t xml:space="preserve"> était assistée par trois spécialistes des droits de l’homme du Haut-Commissariat des Nations Unies aux droits de l’homme, deux agents de sécurité de l’Organisation des Nations Unies et quatre interprètes. </w:t>
      </w:r>
    </w:p>
    <w:p w14:paraId="2ECBB6DA" w14:textId="7EE418D7" w:rsidR="005344DA" w:rsidRDefault="00C74FD4" w:rsidP="00C74FD4">
      <w:pPr>
        <w:pStyle w:val="ParNoG"/>
        <w:numPr>
          <w:ilvl w:val="0"/>
          <w:numId w:val="0"/>
        </w:numPr>
        <w:tabs>
          <w:tab w:val="left" w:pos="1701"/>
        </w:tabs>
        <w:ind w:left="1134"/>
      </w:pPr>
      <w:r>
        <w:t>3.</w:t>
      </w:r>
      <w:r>
        <w:tab/>
      </w:r>
      <w:r w:rsidR="00675E41" w:rsidRPr="00675E41">
        <w:t xml:space="preserve">Les objectifs principaux de la visite étaient les suivants : </w:t>
      </w:r>
    </w:p>
    <w:p w14:paraId="446A8EA6" w14:textId="77FE429F" w:rsidR="00D221C1" w:rsidRDefault="00675E41" w:rsidP="00C74FD4">
      <w:pPr>
        <w:pStyle w:val="ParNoG"/>
        <w:numPr>
          <w:ilvl w:val="0"/>
          <w:numId w:val="0"/>
        </w:numPr>
        <w:ind w:left="1134" w:firstLine="567"/>
      </w:pPr>
      <w:r w:rsidRPr="00675E41">
        <w:t>a)</w:t>
      </w:r>
      <w:r w:rsidR="00960BE5">
        <w:tab/>
        <w:t>S</w:t>
      </w:r>
      <w:r w:rsidRPr="00675E41">
        <w:t xml:space="preserve">e rendre dans divers lieux de privation de liberté afin d’aider l’État partie à s’acquitter pleinement des obligations qui lui incombent au titre du Protocole facultatif, </w:t>
      </w:r>
      <w:r w:rsidR="00BE5901">
        <w:t>notamment celle de</w:t>
      </w:r>
      <w:r w:rsidRPr="00675E41">
        <w:t xml:space="preserve"> renforcer la protection des personnes privées de liberté contre le risque de torture et de mauvais traitements</w:t>
      </w:r>
      <w:r w:rsidR="00BE5901">
        <w:t> ;</w:t>
      </w:r>
      <w:r w:rsidRPr="00675E41">
        <w:t xml:space="preserve"> </w:t>
      </w:r>
    </w:p>
    <w:p w14:paraId="6DFBFFC6" w14:textId="3E58A40E" w:rsidR="00675E41" w:rsidRPr="00675E41" w:rsidRDefault="00675E41" w:rsidP="00C74FD4">
      <w:pPr>
        <w:pStyle w:val="ParNoG"/>
        <w:numPr>
          <w:ilvl w:val="0"/>
          <w:numId w:val="0"/>
        </w:numPr>
        <w:ind w:left="1134" w:firstLine="567"/>
      </w:pPr>
      <w:r w:rsidRPr="00675E41">
        <w:t>b)</w:t>
      </w:r>
      <w:r w:rsidR="00960BE5">
        <w:tab/>
      </w:r>
      <w:r w:rsidR="00BE5901">
        <w:t>F</w:t>
      </w:r>
      <w:r w:rsidRPr="00675E41">
        <w:t>ournir des conseils et une assistance technique au mécanisme national de prévention du Sénégal, en faisant un suivi du précédent rapport</w:t>
      </w:r>
      <w:r w:rsidR="00041892">
        <w:t xml:space="preserve"> de visite</w:t>
      </w:r>
      <w:r w:rsidRPr="00675E41">
        <w:t xml:space="preserve"> du Sous-Comité (CAT/OP/SEN/2) et des réponse</w:t>
      </w:r>
      <w:r w:rsidR="00824916">
        <w:t>s</w:t>
      </w:r>
      <w:r w:rsidRPr="00675E41">
        <w:t xml:space="preserve"> du mécanisme (CAT/OP/SEN/2/Add.1)</w:t>
      </w:r>
      <w:r w:rsidR="00BC789F">
        <w:t>,</w:t>
      </w:r>
      <w:r w:rsidRPr="00675E41">
        <w:t xml:space="preserve"> et examiner dans quelle mesure les autorités nationales appuient ses travaux et donnent suite à ses recommandations, compte tenu des directives du Sous-Comité concernant les mécanismes nationaux de prévention (CAT/OP/12/5).</w:t>
      </w:r>
    </w:p>
    <w:p w14:paraId="77904816" w14:textId="2242FCAC" w:rsidR="00675E41" w:rsidRPr="00675E41" w:rsidRDefault="00C74FD4" w:rsidP="00C74FD4">
      <w:pPr>
        <w:pStyle w:val="ParNoG"/>
        <w:numPr>
          <w:ilvl w:val="0"/>
          <w:numId w:val="0"/>
        </w:numPr>
        <w:tabs>
          <w:tab w:val="left" w:pos="1701"/>
        </w:tabs>
        <w:ind w:left="1134"/>
      </w:pPr>
      <w:r w:rsidRPr="00675E41">
        <w:t>4.</w:t>
      </w:r>
      <w:r w:rsidRPr="00675E41">
        <w:tab/>
      </w:r>
      <w:r w:rsidR="00675E41" w:rsidRPr="00675E41">
        <w:t>La délégation du Sous-Comité a tenu des réunions avec les personnes dont le nom figure à l’annexe I et a visité les lieux de privation de liberté dont la liste figure à l’annexe II</w:t>
      </w:r>
      <w:r w:rsidR="009675F1">
        <w:t> ;</w:t>
      </w:r>
      <w:r w:rsidR="00675E41" w:rsidRPr="00675E41">
        <w:t xml:space="preserve"> elle s’est entretenue avec des personnes privées de liberté, des membres des forces de l’ordre et des agents pénitentiaires, des membres du personnel médical et d’autres personnes. Elle a tenu des réunions avec des membres du mécanisme national de prévention, </w:t>
      </w:r>
      <w:r w:rsidR="00654257">
        <w:t xml:space="preserve">soit </w:t>
      </w:r>
      <w:r w:rsidR="00675E41" w:rsidRPr="00675E41">
        <w:t xml:space="preserve">l’Observateur national des lieux de privation de liberté, ce qui lui a permis d’examiner le mandat et les méthodes de travail de cet organe et d’étudier les moyens d’améliorer son efficacité. Pour mieux comprendre le mode de fonctionnement du mécanisme national de prévention, la délégation a également visité, en compagnie de membres du mécanisme, trois lieux de privation de liberté choisis par celui-ci (voir annexe III). Ces visites ont été conduites par </w:t>
      </w:r>
      <w:r w:rsidR="00BC16A5">
        <w:t>un représentant du</w:t>
      </w:r>
      <w:r w:rsidR="00675E41" w:rsidRPr="00675E41">
        <w:t xml:space="preserve"> mécanisme, les membres du Sous-Comité </w:t>
      </w:r>
      <w:r w:rsidR="00E223FB">
        <w:t>ayant</w:t>
      </w:r>
      <w:r w:rsidR="00675E41" w:rsidRPr="00675E41">
        <w:t xml:space="preserve"> qualité d’observateurs</w:t>
      </w:r>
      <w:r w:rsidR="00DB56CA">
        <w:t xml:space="preserve"> extérieurs</w:t>
      </w:r>
      <w:r w:rsidR="00675E41" w:rsidRPr="00675E41">
        <w:t xml:space="preserve">. </w:t>
      </w:r>
    </w:p>
    <w:p w14:paraId="752A6941" w14:textId="115919E4" w:rsidR="00675E41" w:rsidRPr="00675E41" w:rsidRDefault="00C74FD4" w:rsidP="00C74FD4">
      <w:pPr>
        <w:pStyle w:val="ParNoG"/>
        <w:numPr>
          <w:ilvl w:val="0"/>
          <w:numId w:val="0"/>
        </w:numPr>
        <w:tabs>
          <w:tab w:val="left" w:pos="1701"/>
        </w:tabs>
        <w:ind w:left="1134"/>
      </w:pPr>
      <w:r w:rsidRPr="00675E41">
        <w:t>5.</w:t>
      </w:r>
      <w:r w:rsidRPr="00675E41">
        <w:tab/>
      </w:r>
      <w:r w:rsidR="00675E41" w:rsidRPr="00675E41">
        <w:t xml:space="preserve">À la fin de la visite, la délégation a présenté oralement ses observations préliminaires confidentielles aux autorités et aux représentants du </w:t>
      </w:r>
      <w:r w:rsidR="00E223FB">
        <w:t>G</w:t>
      </w:r>
      <w:r w:rsidR="00675E41" w:rsidRPr="00675E41">
        <w:t xml:space="preserve">ouvernement ainsi qu’au mécanisme national de prévention. </w:t>
      </w:r>
    </w:p>
    <w:p w14:paraId="7714C6CA" w14:textId="5D25E1ED" w:rsidR="00675E41" w:rsidRPr="00675E41" w:rsidRDefault="00C74FD4" w:rsidP="00C74FD4">
      <w:pPr>
        <w:pStyle w:val="ParNoG"/>
        <w:numPr>
          <w:ilvl w:val="0"/>
          <w:numId w:val="0"/>
        </w:numPr>
        <w:tabs>
          <w:tab w:val="left" w:pos="1701"/>
        </w:tabs>
        <w:ind w:left="1134"/>
      </w:pPr>
      <w:r w:rsidRPr="00675E41">
        <w:t>6.</w:t>
      </w:r>
      <w:r w:rsidRPr="00675E41">
        <w:tab/>
      </w:r>
      <w:r w:rsidR="00675E41" w:rsidRPr="00675E41">
        <w:t xml:space="preserve">Conformément au paragraphe 2 de l’article 16 du Protocole facultatif, le présent rapport restera confidentiel jusqu’à ce que le mécanisme national de prévention du Sénégal décide de le rendre public. Le Sous-Comité est fermement convaincu que la publication du présent rapport contribuerait à la prévention de la torture et des mauvais traitements dans le pays. </w:t>
      </w:r>
    </w:p>
    <w:p w14:paraId="731B2E0A" w14:textId="27D623BD" w:rsidR="00675E41" w:rsidRPr="00C74FD4" w:rsidRDefault="00C74FD4" w:rsidP="00C74FD4">
      <w:pPr>
        <w:pStyle w:val="ParNoG"/>
        <w:numPr>
          <w:ilvl w:val="0"/>
          <w:numId w:val="0"/>
        </w:numPr>
        <w:tabs>
          <w:tab w:val="left" w:pos="1701"/>
        </w:tabs>
        <w:ind w:left="1134"/>
        <w:rPr>
          <w:b/>
          <w:bCs/>
        </w:rPr>
      </w:pPr>
      <w:r w:rsidRPr="00C74FD4">
        <w:rPr>
          <w:bCs/>
        </w:rPr>
        <w:t>7.</w:t>
      </w:r>
      <w:r w:rsidRPr="00C74FD4">
        <w:rPr>
          <w:bCs/>
        </w:rPr>
        <w:tab/>
      </w:r>
      <w:r w:rsidR="00675E41" w:rsidRPr="00C74FD4">
        <w:rPr>
          <w:b/>
          <w:bCs/>
        </w:rPr>
        <w:t xml:space="preserve">Le Sous-Comité recommande à l’Observateur national des lieux de privation de liberté de demander la publication du présent rapport conformément au paragraphe 2 de l’article 16 du Protocole facultatif.  </w:t>
      </w:r>
    </w:p>
    <w:p w14:paraId="74C21CCE" w14:textId="1D001945" w:rsidR="00675E41" w:rsidRPr="00675E41" w:rsidRDefault="00C74FD4" w:rsidP="00C74FD4">
      <w:pPr>
        <w:pStyle w:val="ParNoG"/>
        <w:numPr>
          <w:ilvl w:val="0"/>
          <w:numId w:val="0"/>
        </w:numPr>
        <w:tabs>
          <w:tab w:val="left" w:pos="1701"/>
        </w:tabs>
        <w:ind w:left="1134"/>
      </w:pPr>
      <w:r w:rsidRPr="00675E41">
        <w:t>8.</w:t>
      </w:r>
      <w:r w:rsidRPr="00675E41">
        <w:tab/>
      </w:r>
      <w:r w:rsidR="00675E41" w:rsidRPr="00675E41">
        <w:t xml:space="preserve">Le Sous-Comité appelle l’attention du mécanisme national de prévention sur le Fonds spécial créé </w:t>
      </w:r>
      <w:r w:rsidR="004A610C">
        <w:t>par le</w:t>
      </w:r>
      <w:r w:rsidR="00675E41" w:rsidRPr="00675E41">
        <w:t xml:space="preserve"> Protocole facultatif. Seules les recommandations formulées dans les rapports de visite du Sous-Comité qui ont été rendus publics peuvent servir de base à la soumission de demandes au Fonds spécial, conformément aux critères </w:t>
      </w:r>
      <w:r w:rsidR="0019458F">
        <w:t>établis</w:t>
      </w:r>
      <w:r w:rsidR="00675E41" w:rsidRPr="00675E41">
        <w:t xml:space="preserve"> par celui-ci</w:t>
      </w:r>
      <w:r w:rsidR="00675E41" w:rsidRPr="008D052A">
        <w:rPr>
          <w:rStyle w:val="FootnoteReference"/>
        </w:rPr>
        <w:footnoteReference w:id="4"/>
      </w:r>
      <w:r w:rsidR="00675E41" w:rsidRPr="00675E41">
        <w:t>.</w:t>
      </w:r>
    </w:p>
    <w:p w14:paraId="55D80FAF" w14:textId="1B621659" w:rsidR="00675E41" w:rsidRPr="00675E41" w:rsidRDefault="00C74FD4" w:rsidP="00C74FD4">
      <w:pPr>
        <w:pStyle w:val="ParNoG"/>
        <w:numPr>
          <w:ilvl w:val="0"/>
          <w:numId w:val="0"/>
        </w:numPr>
        <w:tabs>
          <w:tab w:val="left" w:pos="1701"/>
        </w:tabs>
        <w:ind w:left="1134"/>
      </w:pPr>
      <w:r w:rsidRPr="00675E41">
        <w:lastRenderedPageBreak/>
        <w:t>9.</w:t>
      </w:r>
      <w:r w:rsidRPr="00675E41">
        <w:tab/>
      </w:r>
      <w:r w:rsidR="00675E41" w:rsidRPr="00675E41">
        <w:t>Le Sous-Comité tient à remercier le mécanisme national de prévention pour l’aide et l’assistance qu’il lui a apporté</w:t>
      </w:r>
      <w:r w:rsidR="00587B4D">
        <w:t>es</w:t>
      </w:r>
      <w:r w:rsidR="00675E41" w:rsidRPr="00675E41">
        <w:t xml:space="preserve"> pendant la planification et la réalisation de sa visite. </w:t>
      </w:r>
    </w:p>
    <w:p w14:paraId="5CDE885C" w14:textId="77777777" w:rsidR="00675E41" w:rsidRPr="00675E41" w:rsidRDefault="00197671" w:rsidP="00197671">
      <w:pPr>
        <w:pStyle w:val="HChG"/>
      </w:pPr>
      <w:r>
        <w:rPr>
          <w:lang w:val="fr-FR"/>
        </w:rPr>
        <w:tab/>
        <w:t>II.</w:t>
      </w:r>
      <w:r>
        <w:rPr>
          <w:lang w:val="fr-FR"/>
        </w:rPr>
        <w:tab/>
      </w:r>
      <w:r w:rsidR="00675E41" w:rsidRPr="00675E41">
        <w:rPr>
          <w:lang w:val="fr-FR"/>
        </w:rPr>
        <w:t>Mécanisme national de prévention</w:t>
      </w:r>
    </w:p>
    <w:p w14:paraId="60221ED1" w14:textId="613723B7" w:rsidR="00675E41" w:rsidRPr="00675E41" w:rsidRDefault="00C74FD4" w:rsidP="00C74FD4">
      <w:pPr>
        <w:pStyle w:val="ParNoG"/>
        <w:numPr>
          <w:ilvl w:val="0"/>
          <w:numId w:val="0"/>
        </w:numPr>
        <w:tabs>
          <w:tab w:val="left" w:pos="1701"/>
        </w:tabs>
        <w:ind w:left="1134"/>
        <w:rPr>
          <w:i/>
        </w:rPr>
      </w:pPr>
      <w:r w:rsidRPr="00675E41">
        <w:t>10.</w:t>
      </w:r>
      <w:r w:rsidRPr="00675E41">
        <w:tab/>
      </w:r>
      <w:r w:rsidR="00675E41" w:rsidRPr="00675E41">
        <w:t>Le 2 mars 2009, l’</w:t>
      </w:r>
      <w:r w:rsidR="00B969D1">
        <w:t>É</w:t>
      </w:r>
      <w:r w:rsidR="00675E41" w:rsidRPr="00675E41">
        <w:t xml:space="preserve">tat </w:t>
      </w:r>
      <w:r w:rsidR="00B969D1">
        <w:t>s</w:t>
      </w:r>
      <w:r w:rsidR="00675E41" w:rsidRPr="00675E41">
        <w:t xml:space="preserve">énégalais a institué l’Observateur </w:t>
      </w:r>
      <w:r w:rsidR="00FA21BA">
        <w:t>n</w:t>
      </w:r>
      <w:r w:rsidR="00675E41" w:rsidRPr="00675E41">
        <w:t xml:space="preserve">ational des </w:t>
      </w:r>
      <w:r w:rsidR="00FA21BA">
        <w:t>l</w:t>
      </w:r>
      <w:r w:rsidR="00675E41" w:rsidRPr="00675E41">
        <w:t xml:space="preserve">ieux de </w:t>
      </w:r>
      <w:r w:rsidR="00FA21BA">
        <w:t>p</w:t>
      </w:r>
      <w:r w:rsidR="00675E41" w:rsidRPr="00675E41">
        <w:t xml:space="preserve">rivation de </w:t>
      </w:r>
      <w:r w:rsidR="00193CA5">
        <w:t>l</w:t>
      </w:r>
      <w:r w:rsidR="00675E41" w:rsidRPr="00675E41">
        <w:t xml:space="preserve">iberté et l’a ainsi désigné comme mécanisme national de prévention de la torture. L’article premier de la loi </w:t>
      </w:r>
      <w:r w:rsidR="004F2B81" w:rsidRPr="00675E41">
        <w:rPr>
          <w:lang w:val="fr-FR"/>
        </w:rPr>
        <w:t>n</w:t>
      </w:r>
      <w:r w:rsidR="004F2B81" w:rsidRPr="00FD213F">
        <w:rPr>
          <w:vertAlign w:val="superscript"/>
          <w:lang w:val="fr-FR"/>
        </w:rPr>
        <w:t>o</w:t>
      </w:r>
      <w:r w:rsidR="004F2B81">
        <w:rPr>
          <w:lang w:val="fr-FR"/>
        </w:rPr>
        <w:t> </w:t>
      </w:r>
      <w:r w:rsidR="00675E41" w:rsidRPr="00675E41">
        <w:t xml:space="preserve">2009-13 portant sur la création du mécanisme lui confère </w:t>
      </w:r>
      <w:r w:rsidR="00675E41" w:rsidRPr="00C74FD4">
        <w:rPr>
          <w:iCs/>
        </w:rPr>
        <w:t xml:space="preserve">la charge de </w:t>
      </w:r>
      <w:r w:rsidR="001826E3">
        <w:rPr>
          <w:iCs/>
        </w:rPr>
        <w:t>« </w:t>
      </w:r>
      <w:r w:rsidR="00675E41" w:rsidRPr="00C74FD4">
        <w:rPr>
          <w:iCs/>
        </w:rPr>
        <w:t>contrôler les conditions de prise en charge et de transfèrement des personnes privées de liberté afin de s’assurer du respect de leurs droits fondamentaux et de prévenir la torture et autres peines ou traitement cruels, inhumains ou dégradants</w:t>
      </w:r>
      <w:r w:rsidR="001826E3">
        <w:rPr>
          <w:iCs/>
        </w:rPr>
        <w:t> »</w:t>
      </w:r>
      <w:r w:rsidR="00675E41" w:rsidRPr="00C74FD4">
        <w:rPr>
          <w:iCs/>
        </w:rPr>
        <w:t>.</w:t>
      </w:r>
    </w:p>
    <w:p w14:paraId="18051943" w14:textId="0FB300EC" w:rsidR="00675E41" w:rsidRPr="00675E41" w:rsidRDefault="00C74FD4" w:rsidP="00C74FD4">
      <w:pPr>
        <w:pStyle w:val="ParNoG"/>
        <w:numPr>
          <w:ilvl w:val="0"/>
          <w:numId w:val="0"/>
        </w:numPr>
        <w:tabs>
          <w:tab w:val="left" w:pos="1701"/>
        </w:tabs>
        <w:ind w:left="1134"/>
        <w:rPr>
          <w:lang w:val="fr-FR"/>
        </w:rPr>
      </w:pPr>
      <w:r w:rsidRPr="00675E41">
        <w:rPr>
          <w:lang w:val="fr-FR"/>
        </w:rPr>
        <w:t>11.</w:t>
      </w:r>
      <w:r w:rsidRPr="00675E41">
        <w:rPr>
          <w:lang w:val="fr-FR"/>
        </w:rPr>
        <w:tab/>
      </w:r>
      <w:r w:rsidR="00675E41" w:rsidRPr="00675E41">
        <w:rPr>
          <w:lang w:val="fr-FR"/>
        </w:rPr>
        <w:t>Sur le plan fonctionnel, l’Observateur</w:t>
      </w:r>
      <w:r w:rsidR="00462178">
        <w:rPr>
          <w:lang w:val="fr-FR"/>
        </w:rPr>
        <w:t xml:space="preserve"> national</w:t>
      </w:r>
      <w:r w:rsidR="00675E41" w:rsidRPr="00675E41">
        <w:rPr>
          <w:lang w:val="fr-FR"/>
        </w:rPr>
        <w:t xml:space="preserve"> est qualifié d’autorité administrative indépendante rattachée au Ministère de la </w:t>
      </w:r>
      <w:r w:rsidR="00BE57E7">
        <w:rPr>
          <w:lang w:val="fr-FR"/>
        </w:rPr>
        <w:t>j</w:t>
      </w:r>
      <w:r w:rsidR="00675E41" w:rsidRPr="00675E41">
        <w:rPr>
          <w:lang w:val="fr-FR"/>
        </w:rPr>
        <w:t xml:space="preserve">ustice </w:t>
      </w:r>
      <w:r w:rsidR="00BE57E7">
        <w:rPr>
          <w:lang w:val="fr-FR"/>
        </w:rPr>
        <w:t>sous la catégorie des</w:t>
      </w:r>
      <w:r w:rsidR="00675E41" w:rsidRPr="00675E41">
        <w:rPr>
          <w:lang w:val="fr-FR"/>
        </w:rPr>
        <w:t xml:space="preserve"> </w:t>
      </w:r>
      <w:r w:rsidR="00BE57E7">
        <w:rPr>
          <w:lang w:val="fr-FR"/>
        </w:rPr>
        <w:t>« </w:t>
      </w:r>
      <w:r w:rsidR="00675E41" w:rsidRPr="00C74FD4">
        <w:rPr>
          <w:lang w:val="fr-FR"/>
        </w:rPr>
        <w:t>autres administrations</w:t>
      </w:r>
      <w:r w:rsidR="00BE57E7">
        <w:rPr>
          <w:lang w:val="fr-FR"/>
        </w:rPr>
        <w:t> »</w:t>
      </w:r>
      <w:r w:rsidR="00675E41" w:rsidRPr="00675E41">
        <w:rPr>
          <w:lang w:val="fr-FR"/>
        </w:rPr>
        <w:t xml:space="preserve"> par le </w:t>
      </w:r>
      <w:r w:rsidR="00BE57E7">
        <w:rPr>
          <w:lang w:val="fr-FR"/>
        </w:rPr>
        <w:t>d</w:t>
      </w:r>
      <w:r w:rsidR="00675E41" w:rsidRPr="00675E41">
        <w:rPr>
          <w:lang w:val="fr-FR"/>
        </w:rPr>
        <w:t>écret n</w:t>
      </w:r>
      <w:r w:rsidR="004F2B81" w:rsidRPr="00C74FD4">
        <w:rPr>
          <w:vertAlign w:val="superscript"/>
          <w:lang w:val="fr-FR"/>
        </w:rPr>
        <w:t>o</w:t>
      </w:r>
      <w:r w:rsidR="004F2B81">
        <w:rPr>
          <w:lang w:val="fr-FR"/>
        </w:rPr>
        <w:t> </w:t>
      </w:r>
      <w:r w:rsidR="00675E41" w:rsidRPr="00675E41">
        <w:rPr>
          <w:lang w:val="fr-FR"/>
        </w:rPr>
        <w:t xml:space="preserve">2019-769 </w:t>
      </w:r>
      <w:r w:rsidR="00AF2FBD">
        <w:rPr>
          <w:lang w:val="fr-FR"/>
        </w:rPr>
        <w:t>du 8 </w:t>
      </w:r>
      <w:r w:rsidR="00675E41" w:rsidRPr="00675E41">
        <w:rPr>
          <w:lang w:val="fr-FR"/>
        </w:rPr>
        <w:t xml:space="preserve">avril 2019.  </w:t>
      </w:r>
    </w:p>
    <w:p w14:paraId="16A6D0F2" w14:textId="226432A9" w:rsidR="00675E41" w:rsidRPr="00675E41" w:rsidRDefault="00C74FD4" w:rsidP="00C74FD4">
      <w:pPr>
        <w:pStyle w:val="ParNoG"/>
        <w:numPr>
          <w:ilvl w:val="0"/>
          <w:numId w:val="0"/>
        </w:numPr>
        <w:tabs>
          <w:tab w:val="left" w:pos="1701"/>
        </w:tabs>
        <w:ind w:left="1134"/>
        <w:rPr>
          <w:lang w:val="fr-FR"/>
        </w:rPr>
      </w:pPr>
      <w:r w:rsidRPr="00675E41">
        <w:rPr>
          <w:lang w:val="fr-FR"/>
        </w:rPr>
        <w:t>12.</w:t>
      </w:r>
      <w:r w:rsidRPr="00675E41">
        <w:rPr>
          <w:lang w:val="fr-FR"/>
        </w:rPr>
        <w:tab/>
      </w:r>
      <w:r w:rsidR="00675E41" w:rsidRPr="00675E41">
        <w:rPr>
          <w:lang w:val="fr-FR"/>
        </w:rPr>
        <w:t xml:space="preserve">Le premier </w:t>
      </w:r>
      <w:r w:rsidR="00F41A4E">
        <w:rPr>
          <w:lang w:val="fr-FR"/>
        </w:rPr>
        <w:t>o</w:t>
      </w:r>
      <w:r w:rsidR="00675E41" w:rsidRPr="00675E41">
        <w:rPr>
          <w:lang w:val="fr-FR"/>
        </w:rPr>
        <w:t xml:space="preserve">bservateur a été nommé le 19 janvier 2012 par le </w:t>
      </w:r>
      <w:r w:rsidR="00A2282C">
        <w:rPr>
          <w:lang w:val="fr-FR"/>
        </w:rPr>
        <w:t>d</w:t>
      </w:r>
      <w:r w:rsidR="00675E41" w:rsidRPr="00675E41">
        <w:rPr>
          <w:lang w:val="fr-FR"/>
        </w:rPr>
        <w:t xml:space="preserve">écret présidentiel </w:t>
      </w:r>
      <w:r w:rsidR="004F2B81" w:rsidRPr="00675E41">
        <w:rPr>
          <w:lang w:val="fr-FR"/>
        </w:rPr>
        <w:t>n</w:t>
      </w:r>
      <w:r w:rsidR="004F2B81" w:rsidRPr="00FD213F">
        <w:rPr>
          <w:vertAlign w:val="superscript"/>
          <w:lang w:val="fr-FR"/>
        </w:rPr>
        <w:t>o</w:t>
      </w:r>
      <w:r w:rsidR="004F2B81">
        <w:rPr>
          <w:lang w:val="fr-FR"/>
        </w:rPr>
        <w:t> </w:t>
      </w:r>
      <w:r w:rsidR="00675E41" w:rsidRPr="00675E41">
        <w:rPr>
          <w:lang w:val="fr-FR"/>
        </w:rPr>
        <w:t xml:space="preserve">2012-119, </w:t>
      </w:r>
      <w:r w:rsidR="00626869">
        <w:rPr>
          <w:lang w:val="fr-FR"/>
        </w:rPr>
        <w:t>à la suite duquel</w:t>
      </w:r>
      <w:r w:rsidR="00675E41" w:rsidRPr="00675E41">
        <w:rPr>
          <w:lang w:val="fr-FR"/>
        </w:rPr>
        <w:t xml:space="preserve"> l’Observateur</w:t>
      </w:r>
      <w:r w:rsidR="00626869">
        <w:rPr>
          <w:lang w:val="fr-FR"/>
        </w:rPr>
        <w:t xml:space="preserve"> national</w:t>
      </w:r>
      <w:r w:rsidR="00675E41" w:rsidRPr="00675E41">
        <w:rPr>
          <w:lang w:val="fr-FR"/>
        </w:rPr>
        <w:t xml:space="preserve"> a officiellement commencé ses activités. L’Observateur</w:t>
      </w:r>
      <w:r w:rsidR="00626869">
        <w:rPr>
          <w:lang w:val="fr-FR"/>
        </w:rPr>
        <w:t xml:space="preserve"> national</w:t>
      </w:r>
      <w:r w:rsidR="00675E41" w:rsidRPr="00675E41">
        <w:rPr>
          <w:lang w:val="fr-FR"/>
        </w:rPr>
        <w:t xml:space="preserve">, qui préside le mécanisme, </w:t>
      </w:r>
      <w:r w:rsidR="00626869">
        <w:rPr>
          <w:lang w:val="fr-FR"/>
        </w:rPr>
        <w:t xml:space="preserve">est </w:t>
      </w:r>
      <w:r w:rsidR="004B7E26">
        <w:rPr>
          <w:lang w:val="fr-FR"/>
        </w:rPr>
        <w:t xml:space="preserve">assisté </w:t>
      </w:r>
      <w:r w:rsidR="00675E41" w:rsidRPr="00675E41">
        <w:rPr>
          <w:lang w:val="fr-FR"/>
        </w:rPr>
        <w:t>d’un secrétaire général, d</w:t>
      </w:r>
      <w:r w:rsidR="00835C07">
        <w:rPr>
          <w:lang w:val="fr-FR"/>
        </w:rPr>
        <w:t>’</w:t>
      </w:r>
      <w:r w:rsidR="00675E41" w:rsidRPr="00675E41">
        <w:rPr>
          <w:lang w:val="fr-FR"/>
        </w:rPr>
        <w:t>observateurs délégués et de personnel technique. Selon l’</w:t>
      </w:r>
      <w:r w:rsidR="004B7E26">
        <w:rPr>
          <w:lang w:val="fr-FR"/>
        </w:rPr>
        <w:t>a</w:t>
      </w:r>
      <w:r w:rsidR="00675E41" w:rsidRPr="00675E41">
        <w:rPr>
          <w:lang w:val="fr-FR"/>
        </w:rPr>
        <w:t xml:space="preserve">rticle 3 de son </w:t>
      </w:r>
      <w:r w:rsidR="006615DD">
        <w:rPr>
          <w:lang w:val="fr-FR"/>
        </w:rPr>
        <w:t>r</w:t>
      </w:r>
      <w:r w:rsidR="00675E41" w:rsidRPr="00675E41">
        <w:rPr>
          <w:lang w:val="fr-FR"/>
        </w:rPr>
        <w:t xml:space="preserve">èglement </w:t>
      </w:r>
      <w:r w:rsidR="006615DD">
        <w:rPr>
          <w:lang w:val="fr-FR"/>
        </w:rPr>
        <w:t>i</w:t>
      </w:r>
      <w:r w:rsidR="00675E41" w:rsidRPr="00675E41">
        <w:rPr>
          <w:lang w:val="fr-FR"/>
        </w:rPr>
        <w:t xml:space="preserve">ntérieur, l’Observateur </w:t>
      </w:r>
      <w:r w:rsidR="006615DD">
        <w:rPr>
          <w:lang w:val="fr-FR"/>
        </w:rPr>
        <w:t>n</w:t>
      </w:r>
      <w:r w:rsidR="00675E41" w:rsidRPr="00675E41">
        <w:rPr>
          <w:lang w:val="fr-FR"/>
        </w:rPr>
        <w:t>ational peut s’adjoindre le concours d’intervenants extérieurs, appartenant ou non à l’administration, qui lui apportent, en qualité d’observateurs délégués extérieurs, leur concours de façon continue ou intermittente, sans renoncer à leur occupation principale.</w:t>
      </w:r>
    </w:p>
    <w:p w14:paraId="18AA90D5" w14:textId="5A8D92E6" w:rsidR="00675E41" w:rsidRPr="00675E41" w:rsidRDefault="00197671" w:rsidP="00197671">
      <w:pPr>
        <w:pStyle w:val="HChG"/>
      </w:pPr>
      <w:r>
        <w:tab/>
        <w:t>III.</w:t>
      </w:r>
      <w:r>
        <w:tab/>
      </w:r>
      <w:r w:rsidR="00675E41" w:rsidRPr="00675E41">
        <w:t>Recommandations à l’intention du mécanisme national de</w:t>
      </w:r>
      <w:r w:rsidR="004F2B81">
        <w:t> </w:t>
      </w:r>
      <w:r w:rsidR="00675E41" w:rsidRPr="00675E41">
        <w:t xml:space="preserve">prévention </w:t>
      </w:r>
    </w:p>
    <w:p w14:paraId="628308B4" w14:textId="77777777" w:rsidR="00675E41" w:rsidRPr="00675E41" w:rsidRDefault="00675E41" w:rsidP="00197671">
      <w:pPr>
        <w:pStyle w:val="H1G"/>
      </w:pPr>
      <w:r w:rsidRPr="00675E41">
        <w:tab/>
        <w:t>A.</w:t>
      </w:r>
      <w:r w:rsidRPr="00675E41">
        <w:tab/>
        <w:t>Recommandations relatives aux questions juridiques, institutionnelles et structurelles</w:t>
      </w:r>
    </w:p>
    <w:p w14:paraId="57F1CC9D" w14:textId="128FC93D" w:rsidR="00675E41" w:rsidRPr="00675E41" w:rsidRDefault="00675E41" w:rsidP="00197671">
      <w:pPr>
        <w:pStyle w:val="H23G"/>
      </w:pPr>
      <w:r w:rsidRPr="00675E41">
        <w:tab/>
      </w:r>
      <w:r w:rsidR="00040243">
        <w:t>1.</w:t>
      </w:r>
      <w:r w:rsidRPr="00675E41">
        <w:tab/>
      </w:r>
      <w:r w:rsidRPr="00675E41">
        <w:tab/>
        <w:t>Conception du mandat</w:t>
      </w:r>
    </w:p>
    <w:p w14:paraId="72437A19" w14:textId="6C672FEE" w:rsidR="00675E41" w:rsidRPr="00675E41" w:rsidRDefault="00C74FD4" w:rsidP="00C74FD4">
      <w:pPr>
        <w:pStyle w:val="ParNoG"/>
        <w:numPr>
          <w:ilvl w:val="0"/>
          <w:numId w:val="0"/>
        </w:numPr>
        <w:tabs>
          <w:tab w:val="left" w:pos="1701"/>
        </w:tabs>
        <w:ind w:left="1134"/>
      </w:pPr>
      <w:r w:rsidRPr="00675E41">
        <w:t>13.</w:t>
      </w:r>
      <w:r w:rsidRPr="00675E41">
        <w:tab/>
      </w:r>
      <w:r w:rsidR="00675E41" w:rsidRPr="00675E41">
        <w:t xml:space="preserve">Pendant sa visite, </w:t>
      </w:r>
      <w:r w:rsidR="00115C62">
        <w:t>la délégation du</w:t>
      </w:r>
      <w:r w:rsidR="00675E41" w:rsidRPr="00675E41">
        <w:t xml:space="preserve"> Sous-Comité a constaté que l’Observateur</w:t>
      </w:r>
      <w:r w:rsidR="00115C62">
        <w:t xml:space="preserve"> national</w:t>
      </w:r>
      <w:r w:rsidR="00675E41" w:rsidRPr="00675E41">
        <w:t xml:space="preserve"> reçoit et traite les plaintes individuelles des personnes privées de liberté. Bien que cette pratique soit établie au sein </w:t>
      </w:r>
      <w:r w:rsidR="00AB4B1F">
        <w:t>du mécanisme</w:t>
      </w:r>
      <w:r w:rsidR="00675E41" w:rsidRPr="00675E41">
        <w:t xml:space="preserve">, elle ne correspond pas </w:t>
      </w:r>
      <w:r w:rsidR="00675E41" w:rsidRPr="00C74FD4">
        <w:rPr>
          <w:i/>
          <w:iCs/>
        </w:rPr>
        <w:t>stricto sensu</w:t>
      </w:r>
      <w:r w:rsidR="00675E41" w:rsidRPr="00675E41">
        <w:t xml:space="preserve"> au mandat préventif prévu par le Protocole </w:t>
      </w:r>
      <w:r w:rsidR="00E06B2C">
        <w:t>f</w:t>
      </w:r>
      <w:r w:rsidR="00675E41" w:rsidRPr="00675E41">
        <w:t>acultatif. Le Sous-Comité est d’avis que l’Observateur national devrait remettre ces plaintes aux autorités compétentes pour qu’elles puissent les prendre en charge.</w:t>
      </w:r>
    </w:p>
    <w:p w14:paraId="21B013D6" w14:textId="3858F86D" w:rsidR="00675E41" w:rsidRPr="00675E41" w:rsidRDefault="00C74FD4" w:rsidP="00C74FD4">
      <w:pPr>
        <w:pStyle w:val="ParNoG"/>
        <w:numPr>
          <w:ilvl w:val="0"/>
          <w:numId w:val="0"/>
        </w:numPr>
        <w:tabs>
          <w:tab w:val="left" w:pos="1701"/>
        </w:tabs>
        <w:ind w:left="1134"/>
        <w:rPr>
          <w:lang w:val="fr-FR"/>
        </w:rPr>
      </w:pPr>
      <w:r w:rsidRPr="00675E41">
        <w:rPr>
          <w:lang w:val="fr-FR"/>
        </w:rPr>
        <w:t>14.</w:t>
      </w:r>
      <w:r w:rsidRPr="00675E41">
        <w:rPr>
          <w:lang w:val="fr-FR"/>
        </w:rPr>
        <w:tab/>
      </w:r>
      <w:r w:rsidR="00675E41" w:rsidRPr="00675E41">
        <w:rPr>
          <w:lang w:val="fr-FR"/>
        </w:rPr>
        <w:t xml:space="preserve">Le Sous-Comité est bien conscient qu’au cours de </w:t>
      </w:r>
      <w:r w:rsidR="006614AF">
        <w:rPr>
          <w:lang w:val="fr-FR"/>
        </w:rPr>
        <w:t>leurs</w:t>
      </w:r>
      <w:r w:rsidR="00675E41" w:rsidRPr="00675E41">
        <w:rPr>
          <w:lang w:val="fr-FR"/>
        </w:rPr>
        <w:t xml:space="preserve"> visites</w:t>
      </w:r>
      <w:r w:rsidR="007D3C56">
        <w:rPr>
          <w:lang w:val="fr-FR"/>
        </w:rPr>
        <w:t>,</w:t>
      </w:r>
      <w:r w:rsidR="00675E41" w:rsidRPr="00675E41">
        <w:rPr>
          <w:lang w:val="fr-FR"/>
        </w:rPr>
        <w:t xml:space="preserve"> le</w:t>
      </w:r>
      <w:r w:rsidR="006614AF">
        <w:rPr>
          <w:lang w:val="fr-FR"/>
        </w:rPr>
        <w:t>s</w:t>
      </w:r>
      <w:r w:rsidR="00675E41" w:rsidRPr="00675E41">
        <w:rPr>
          <w:lang w:val="fr-FR"/>
        </w:rPr>
        <w:t xml:space="preserve"> </w:t>
      </w:r>
      <w:r w:rsidR="007D3C56">
        <w:rPr>
          <w:lang w:val="fr-FR"/>
        </w:rPr>
        <w:t>mécanisme</w:t>
      </w:r>
      <w:r w:rsidR="006614AF">
        <w:rPr>
          <w:lang w:val="fr-FR"/>
        </w:rPr>
        <w:t>s nationaux de prévention</w:t>
      </w:r>
      <w:r w:rsidR="00675E41" w:rsidRPr="00675E41">
        <w:rPr>
          <w:lang w:val="fr-FR"/>
        </w:rPr>
        <w:t xml:space="preserve"> peu</w:t>
      </w:r>
      <w:r w:rsidR="006614AF">
        <w:rPr>
          <w:lang w:val="fr-FR"/>
        </w:rPr>
        <w:t>ven</w:t>
      </w:r>
      <w:r w:rsidR="00675E41" w:rsidRPr="00675E41">
        <w:rPr>
          <w:lang w:val="fr-FR"/>
        </w:rPr>
        <w:t>t être confronté</w:t>
      </w:r>
      <w:r w:rsidR="006614AF">
        <w:rPr>
          <w:lang w:val="fr-FR"/>
        </w:rPr>
        <w:t>s</w:t>
      </w:r>
      <w:r w:rsidR="00675E41" w:rsidRPr="00675E41">
        <w:rPr>
          <w:lang w:val="fr-FR"/>
        </w:rPr>
        <w:t xml:space="preserve"> à des cas de torture ou de mauvais traitement, mais il souhaiterait insister sur le caractère préventif </w:t>
      </w:r>
      <w:r w:rsidR="006614AF">
        <w:rPr>
          <w:lang w:val="fr-FR"/>
        </w:rPr>
        <w:t>de leur</w:t>
      </w:r>
      <w:r w:rsidR="00675E41" w:rsidRPr="00675E41">
        <w:rPr>
          <w:lang w:val="fr-FR"/>
        </w:rPr>
        <w:t xml:space="preserve"> mandat et </w:t>
      </w:r>
      <w:r w:rsidR="003442DE">
        <w:rPr>
          <w:lang w:val="fr-FR"/>
        </w:rPr>
        <w:t xml:space="preserve">sur </w:t>
      </w:r>
      <w:r w:rsidR="00675E41" w:rsidRPr="00675E41">
        <w:rPr>
          <w:lang w:val="fr-FR"/>
        </w:rPr>
        <w:t>la synergie qui doit exister avec les autres mécanismes et autorités compétents. En règle générale, le rôle d</w:t>
      </w:r>
      <w:r w:rsidR="00835C07">
        <w:rPr>
          <w:lang w:val="fr-FR"/>
        </w:rPr>
        <w:t>’</w:t>
      </w:r>
      <w:r w:rsidR="00675E41" w:rsidRPr="00675E41">
        <w:rPr>
          <w:lang w:val="fr-FR"/>
        </w:rPr>
        <w:t xml:space="preserve">un mécanisme national de prévention est de chercher à identifier les tendances, </w:t>
      </w:r>
      <w:r w:rsidR="00626DD6">
        <w:rPr>
          <w:lang w:val="fr-FR"/>
        </w:rPr>
        <w:t xml:space="preserve">de </w:t>
      </w:r>
      <w:r w:rsidR="00675E41" w:rsidRPr="00675E41">
        <w:rPr>
          <w:lang w:val="fr-FR"/>
        </w:rPr>
        <w:t xml:space="preserve">détecter les risques systémiques de torture et de mauvais traitements, et </w:t>
      </w:r>
      <w:r w:rsidR="00626DD6">
        <w:rPr>
          <w:lang w:val="fr-FR"/>
        </w:rPr>
        <w:t>d’</w:t>
      </w:r>
      <w:r w:rsidR="00675E41" w:rsidRPr="00675E41">
        <w:rPr>
          <w:lang w:val="fr-FR"/>
        </w:rPr>
        <w:t>aider l</w:t>
      </w:r>
      <w:r w:rsidR="00835C07">
        <w:rPr>
          <w:lang w:val="fr-FR"/>
        </w:rPr>
        <w:t>’</w:t>
      </w:r>
      <w:r w:rsidR="00675E41" w:rsidRPr="00675E41">
        <w:rPr>
          <w:lang w:val="fr-FR"/>
        </w:rPr>
        <w:t xml:space="preserve">État </w:t>
      </w:r>
      <w:r w:rsidR="00626DD6">
        <w:rPr>
          <w:lang w:val="fr-FR"/>
        </w:rPr>
        <w:t>p</w:t>
      </w:r>
      <w:r w:rsidR="00675E41" w:rsidRPr="00675E41">
        <w:rPr>
          <w:lang w:val="fr-FR"/>
        </w:rPr>
        <w:t>artie à les surmonter en fournissant des recommandations pratiques et stratégiques aux responsables des lieux de privation de liberté</w:t>
      </w:r>
      <w:r w:rsidR="00626DD6">
        <w:rPr>
          <w:lang w:val="fr-FR"/>
        </w:rPr>
        <w:t>,</w:t>
      </w:r>
      <w:r w:rsidR="00675E41" w:rsidRPr="00675E41">
        <w:rPr>
          <w:lang w:val="fr-FR"/>
        </w:rPr>
        <w:t xml:space="preserve"> après chaque visite</w:t>
      </w:r>
      <w:r w:rsidR="00626DD6">
        <w:rPr>
          <w:lang w:val="fr-FR"/>
        </w:rPr>
        <w:t>,</w:t>
      </w:r>
      <w:r w:rsidR="00675E41" w:rsidRPr="00675E41">
        <w:rPr>
          <w:lang w:val="fr-FR"/>
        </w:rPr>
        <w:t xml:space="preserve"> ainsi qu</w:t>
      </w:r>
      <w:r w:rsidR="00835C07">
        <w:rPr>
          <w:lang w:val="fr-FR"/>
        </w:rPr>
        <w:t>’</w:t>
      </w:r>
      <w:r w:rsidR="00675E41" w:rsidRPr="00675E41">
        <w:rPr>
          <w:lang w:val="fr-FR"/>
        </w:rPr>
        <w:t xml:space="preserve">aux autorités étatiques concernées. Si </w:t>
      </w:r>
      <w:r w:rsidR="00626DD6">
        <w:rPr>
          <w:lang w:val="fr-FR"/>
        </w:rPr>
        <w:t xml:space="preserve">cela s’avère </w:t>
      </w:r>
      <w:r w:rsidR="00675E41" w:rsidRPr="00675E41">
        <w:rPr>
          <w:lang w:val="fr-FR"/>
        </w:rPr>
        <w:t xml:space="preserve">nécessaire, le </w:t>
      </w:r>
      <w:r w:rsidR="00626DD6">
        <w:rPr>
          <w:lang w:val="fr-FR"/>
        </w:rPr>
        <w:t>mécanisme</w:t>
      </w:r>
      <w:r w:rsidR="00E63622">
        <w:rPr>
          <w:lang w:val="fr-FR"/>
        </w:rPr>
        <w:t xml:space="preserve"> national de prévention</w:t>
      </w:r>
      <w:r w:rsidR="00675E41" w:rsidRPr="00675E41">
        <w:rPr>
          <w:lang w:val="fr-FR"/>
        </w:rPr>
        <w:t xml:space="preserve"> doit renvoyer aux instances compétentes, telles que la justice pénale, les autorités administratives ou le médiateur, les plaintes qu’il a reçues au cours de ses visites et ainsi promouvoir le recours aux mécanismes spécialisés existants. Il pourra ensuite effectuer un suivi afin de prendre connaissance des suites données </w:t>
      </w:r>
      <w:r w:rsidR="00C5157F">
        <w:rPr>
          <w:lang w:val="fr-FR"/>
        </w:rPr>
        <w:t>à</w:t>
      </w:r>
      <w:r w:rsidR="00675E41" w:rsidRPr="00675E41">
        <w:rPr>
          <w:lang w:val="fr-FR"/>
        </w:rPr>
        <w:t xml:space="preserve"> ces cas. Ces informations permettront à l’Observateur</w:t>
      </w:r>
      <w:r w:rsidR="00C5157F">
        <w:rPr>
          <w:lang w:val="fr-FR"/>
        </w:rPr>
        <w:t xml:space="preserve"> national</w:t>
      </w:r>
      <w:r w:rsidR="00675E41" w:rsidRPr="00675E41">
        <w:rPr>
          <w:lang w:val="fr-FR"/>
        </w:rPr>
        <w:t xml:space="preserve"> de connaître les nœuds critiques du système, les retards, les manques et les inadéquations des mécanismes de plainte et de réparation.</w:t>
      </w:r>
    </w:p>
    <w:p w14:paraId="7AF5AADE" w14:textId="18B4F2E1" w:rsidR="00675E41" w:rsidRPr="007324E9" w:rsidRDefault="00C74FD4" w:rsidP="00C74FD4">
      <w:pPr>
        <w:pStyle w:val="ParNoG"/>
        <w:numPr>
          <w:ilvl w:val="0"/>
          <w:numId w:val="0"/>
        </w:numPr>
        <w:tabs>
          <w:tab w:val="left" w:pos="1701"/>
        </w:tabs>
        <w:ind w:left="1134"/>
        <w:rPr>
          <w:b/>
        </w:rPr>
      </w:pPr>
      <w:r w:rsidRPr="007324E9">
        <w:t>15.</w:t>
      </w:r>
      <w:r w:rsidRPr="007324E9">
        <w:tab/>
      </w:r>
      <w:r w:rsidR="00675E41" w:rsidRPr="007324E9">
        <w:rPr>
          <w:b/>
        </w:rPr>
        <w:t>Le Sous-Comité recommande à l’Observateur</w:t>
      </w:r>
      <w:r w:rsidR="00651469">
        <w:rPr>
          <w:b/>
        </w:rPr>
        <w:t xml:space="preserve"> national</w:t>
      </w:r>
      <w:r w:rsidR="00675E41" w:rsidRPr="007324E9">
        <w:rPr>
          <w:b/>
        </w:rPr>
        <w:t xml:space="preserve"> de se concentrer sur la démarche préventive de son mandat et de transmettre les plaintes individuelles reçues durant ses visites </w:t>
      </w:r>
      <w:r w:rsidR="00651469">
        <w:rPr>
          <w:b/>
        </w:rPr>
        <w:t>dans les</w:t>
      </w:r>
      <w:r w:rsidR="00675E41" w:rsidRPr="007324E9">
        <w:rPr>
          <w:b/>
        </w:rPr>
        <w:t xml:space="preserve"> lieux de privation de liberté aux autorités spécialisées </w:t>
      </w:r>
      <w:r w:rsidR="00675E41" w:rsidRPr="007324E9">
        <w:rPr>
          <w:b/>
        </w:rPr>
        <w:lastRenderedPageBreak/>
        <w:t>compétentes, ce qui libérera également des ressources pour l’exercice de son mandat spécifiquement prévu par le Protocole</w:t>
      </w:r>
      <w:r w:rsidR="00182BB7">
        <w:rPr>
          <w:b/>
        </w:rPr>
        <w:t xml:space="preserve"> facultatif</w:t>
      </w:r>
      <w:r w:rsidR="00675E41" w:rsidRPr="007324E9">
        <w:rPr>
          <w:b/>
        </w:rPr>
        <w:t xml:space="preserve">. Néanmoins, </w:t>
      </w:r>
      <w:r w:rsidR="00182BB7">
        <w:rPr>
          <w:b/>
        </w:rPr>
        <w:t>l’Observateur national</w:t>
      </w:r>
      <w:r w:rsidR="00675E41" w:rsidRPr="007324E9">
        <w:rPr>
          <w:b/>
        </w:rPr>
        <w:t xml:space="preserve"> </w:t>
      </w:r>
      <w:r w:rsidR="00521BCB">
        <w:rPr>
          <w:b/>
        </w:rPr>
        <w:t>doit</w:t>
      </w:r>
      <w:r w:rsidR="00675E41" w:rsidRPr="007324E9">
        <w:rPr>
          <w:b/>
        </w:rPr>
        <w:t xml:space="preserve"> </w:t>
      </w:r>
      <w:r w:rsidR="00521BCB">
        <w:rPr>
          <w:b/>
        </w:rPr>
        <w:t>effectuer</w:t>
      </w:r>
      <w:r w:rsidR="00675E41" w:rsidRPr="007324E9">
        <w:rPr>
          <w:b/>
        </w:rPr>
        <w:t xml:space="preserve"> le suivi des plaintes transmises, afin de s’assurer de leur déroulement adéquat.</w:t>
      </w:r>
    </w:p>
    <w:p w14:paraId="3DA8F458" w14:textId="63D1CDA8" w:rsidR="00675E41" w:rsidRPr="00675E41" w:rsidRDefault="00675E41" w:rsidP="007324E9">
      <w:pPr>
        <w:pStyle w:val="H23G"/>
      </w:pPr>
      <w:r w:rsidRPr="00675E41">
        <w:tab/>
      </w:r>
      <w:r w:rsidR="00040243">
        <w:t>2.</w:t>
      </w:r>
      <w:r w:rsidRPr="00675E41">
        <w:tab/>
      </w:r>
      <w:r w:rsidRPr="00675E41">
        <w:tab/>
        <w:t xml:space="preserve">Structure et indépendance </w:t>
      </w:r>
    </w:p>
    <w:p w14:paraId="15B2AAD0" w14:textId="04B46C8C" w:rsidR="00675E41" w:rsidRPr="00675E41" w:rsidRDefault="00C74FD4" w:rsidP="00C74FD4">
      <w:pPr>
        <w:pStyle w:val="ParNoG"/>
        <w:numPr>
          <w:ilvl w:val="0"/>
          <w:numId w:val="0"/>
        </w:numPr>
        <w:tabs>
          <w:tab w:val="left" w:pos="1701"/>
        </w:tabs>
        <w:ind w:left="1134"/>
      </w:pPr>
      <w:r w:rsidRPr="00675E41">
        <w:t>16.</w:t>
      </w:r>
      <w:r w:rsidRPr="00675E41">
        <w:tab/>
      </w:r>
      <w:r w:rsidR="00675E41" w:rsidRPr="00675E41">
        <w:t xml:space="preserve">L’article 2 de la loi </w:t>
      </w:r>
      <w:r w:rsidR="004F2B81" w:rsidRPr="00675E41">
        <w:rPr>
          <w:lang w:val="fr-FR"/>
        </w:rPr>
        <w:t>n</w:t>
      </w:r>
      <w:r w:rsidR="004F2B81" w:rsidRPr="00FD213F">
        <w:rPr>
          <w:vertAlign w:val="superscript"/>
          <w:lang w:val="fr-FR"/>
        </w:rPr>
        <w:t>o</w:t>
      </w:r>
      <w:r w:rsidR="004F2B81">
        <w:rPr>
          <w:lang w:val="fr-FR"/>
        </w:rPr>
        <w:t> </w:t>
      </w:r>
      <w:r w:rsidR="00675E41" w:rsidRPr="00675E41">
        <w:t>2009-13 du 2 mars 2009 qualifie l’Observateur</w:t>
      </w:r>
      <w:r w:rsidR="00B13C01">
        <w:t xml:space="preserve"> national</w:t>
      </w:r>
      <w:r w:rsidR="00675E41" w:rsidRPr="00675E41">
        <w:t xml:space="preserve"> d’autorité administrative indépendante</w:t>
      </w:r>
      <w:r w:rsidR="003D0557">
        <w:t>,</w:t>
      </w:r>
      <w:r w:rsidR="00675E41" w:rsidRPr="00675E41">
        <w:t xml:space="preserve"> et les </w:t>
      </w:r>
      <w:r w:rsidR="003D0557">
        <w:t>d</w:t>
      </w:r>
      <w:r w:rsidR="00675E41" w:rsidRPr="00675E41">
        <w:t xml:space="preserve">écrets </w:t>
      </w:r>
      <w:r w:rsidR="004F2B81" w:rsidRPr="00675E41">
        <w:rPr>
          <w:lang w:val="fr-FR"/>
        </w:rPr>
        <w:t>n</w:t>
      </w:r>
      <w:r w:rsidR="004F2B81" w:rsidRPr="00FD213F">
        <w:rPr>
          <w:vertAlign w:val="superscript"/>
          <w:lang w:val="fr-FR"/>
        </w:rPr>
        <w:t>o</w:t>
      </w:r>
      <w:r w:rsidR="004F2B81">
        <w:rPr>
          <w:lang w:val="fr-FR"/>
        </w:rPr>
        <w:t> </w:t>
      </w:r>
      <w:r w:rsidR="00675E41" w:rsidRPr="00675E41">
        <w:t>2012-1223</w:t>
      </w:r>
      <w:r w:rsidR="00F04784">
        <w:t xml:space="preserve"> du </w:t>
      </w:r>
      <w:r w:rsidR="008E40E6">
        <w:t>5 novembre 2012</w:t>
      </w:r>
      <w:r w:rsidR="00675E41" w:rsidRPr="00675E41">
        <w:t xml:space="preserve"> et </w:t>
      </w:r>
      <w:r w:rsidR="004F2B81" w:rsidRPr="00675E41">
        <w:rPr>
          <w:lang w:val="fr-FR"/>
        </w:rPr>
        <w:t>n</w:t>
      </w:r>
      <w:r w:rsidR="004F2B81" w:rsidRPr="00FD213F">
        <w:rPr>
          <w:vertAlign w:val="superscript"/>
          <w:lang w:val="fr-FR"/>
        </w:rPr>
        <w:t>o</w:t>
      </w:r>
      <w:r w:rsidR="004F2B81">
        <w:rPr>
          <w:lang w:val="fr-FR"/>
        </w:rPr>
        <w:t> </w:t>
      </w:r>
      <w:r w:rsidR="00675E41" w:rsidRPr="00675E41">
        <w:t xml:space="preserve">2019-769 </w:t>
      </w:r>
      <w:r w:rsidR="008E40E6">
        <w:t>du 8 </w:t>
      </w:r>
      <w:r w:rsidR="00675E41" w:rsidRPr="00675E41">
        <w:t>avril 2019 le rattache</w:t>
      </w:r>
      <w:r w:rsidR="000F510F">
        <w:t>nt</w:t>
      </w:r>
      <w:r w:rsidR="00675E41" w:rsidRPr="00675E41">
        <w:t xml:space="preserve"> au Ministère de la </w:t>
      </w:r>
      <w:r w:rsidR="000F510F">
        <w:t>j</w:t>
      </w:r>
      <w:r w:rsidR="00675E41" w:rsidRPr="00675E41">
        <w:t>ustice</w:t>
      </w:r>
      <w:r w:rsidR="000F510F">
        <w:t>,</w:t>
      </w:r>
      <w:r w:rsidR="00675E41" w:rsidRPr="00675E41">
        <w:t xml:space="preserve"> </w:t>
      </w:r>
      <w:r w:rsidR="000F510F">
        <w:t>sous la catégorie des</w:t>
      </w:r>
      <w:r w:rsidR="00675E41" w:rsidRPr="00675E41">
        <w:t xml:space="preserve"> </w:t>
      </w:r>
      <w:r w:rsidR="000F510F">
        <w:t>« </w:t>
      </w:r>
      <w:r w:rsidR="00675E41" w:rsidRPr="00675E41">
        <w:t>autre</w:t>
      </w:r>
      <w:r w:rsidR="000F510F">
        <w:t>s</w:t>
      </w:r>
      <w:r w:rsidR="00675E41" w:rsidRPr="00675E41">
        <w:t xml:space="preserve"> administration</w:t>
      </w:r>
      <w:r w:rsidR="00EB0BD9">
        <w:t>s ».</w:t>
      </w:r>
      <w:r w:rsidR="00675E41" w:rsidRPr="00675E41">
        <w:t xml:space="preserve"> Aucun de ces textes ne définit les rapports entre l’Observateur</w:t>
      </w:r>
      <w:r w:rsidR="00EB0BD9">
        <w:t xml:space="preserve"> national</w:t>
      </w:r>
      <w:r w:rsidR="00675E41" w:rsidRPr="00675E41">
        <w:t xml:space="preserve"> et le Ministère de la </w:t>
      </w:r>
      <w:r w:rsidR="00EB0BD9">
        <w:t>j</w:t>
      </w:r>
      <w:r w:rsidR="00675E41" w:rsidRPr="00675E41">
        <w:t>ustice. Ce rattachement pourrait nuire à l’indépendance structurelle et fonctionnelle de l’Observateur</w:t>
      </w:r>
      <w:r w:rsidR="00EB0BD9">
        <w:t xml:space="preserve"> national</w:t>
      </w:r>
      <w:r w:rsidR="00675E41" w:rsidRPr="00675E41">
        <w:t>, ce qui serait en contradiction avec les dispositions du Protocole</w:t>
      </w:r>
      <w:r w:rsidR="005A2E61">
        <w:t xml:space="preserve"> facultatif</w:t>
      </w:r>
      <w:r w:rsidR="00675E41" w:rsidRPr="00675E41">
        <w:t xml:space="preserve"> </w:t>
      </w:r>
      <w:r w:rsidR="005A2E61">
        <w:t>relatives à</w:t>
      </w:r>
      <w:r w:rsidR="00675E41" w:rsidRPr="00675E41">
        <w:t xml:space="preserve"> l’indépendance des </w:t>
      </w:r>
      <w:r w:rsidR="005A2E61">
        <w:t>mécanismes nationaux de prévention,</w:t>
      </w:r>
      <w:r w:rsidR="00675E41" w:rsidRPr="00675E41">
        <w:t xml:space="preserve"> et </w:t>
      </w:r>
      <w:r w:rsidR="00AB6CB8">
        <w:t xml:space="preserve">avec </w:t>
      </w:r>
      <w:r w:rsidR="00675E41" w:rsidRPr="00675E41">
        <w:t xml:space="preserve">les Principes </w:t>
      </w:r>
      <w:r w:rsidR="00122B6B">
        <w:t>concernant le</w:t>
      </w:r>
      <w:r w:rsidR="00675E41" w:rsidRPr="00675E41">
        <w:t xml:space="preserve"> statut des institutions nationales pour la promotion et la protection des droits de l’homme (Principes de Paris). </w:t>
      </w:r>
    </w:p>
    <w:p w14:paraId="024FB50C" w14:textId="5100523A" w:rsidR="00675E41" w:rsidRPr="00675E41" w:rsidRDefault="00C74FD4" w:rsidP="00C74FD4">
      <w:pPr>
        <w:pStyle w:val="ParNoG"/>
        <w:numPr>
          <w:ilvl w:val="0"/>
          <w:numId w:val="0"/>
        </w:numPr>
        <w:tabs>
          <w:tab w:val="left" w:pos="1701"/>
        </w:tabs>
        <w:ind w:left="1134"/>
      </w:pPr>
      <w:r w:rsidRPr="00675E41">
        <w:t>17.</w:t>
      </w:r>
      <w:r w:rsidRPr="00675E41">
        <w:tab/>
      </w:r>
      <w:r w:rsidR="00675E41" w:rsidRPr="00675E41">
        <w:t xml:space="preserve">Comme </w:t>
      </w:r>
      <w:r w:rsidR="0067208F">
        <w:t xml:space="preserve">il l’a </w:t>
      </w:r>
      <w:r w:rsidR="00675E41" w:rsidRPr="00675E41">
        <w:t>indiqué dans son premier rapport</w:t>
      </w:r>
      <w:r w:rsidR="00DD1762">
        <w:t xml:space="preserve"> de visite</w:t>
      </w:r>
      <w:r w:rsidR="00675E41" w:rsidRPr="00675E41">
        <w:t>, le Sous-Comité demeure préoccupé par la procédure de désignation de l’Observateur</w:t>
      </w:r>
      <w:r w:rsidR="00437950">
        <w:t xml:space="preserve"> national</w:t>
      </w:r>
      <w:r w:rsidR="00675E41" w:rsidRPr="00675E41">
        <w:t>, sans remettre en cause l’indépendance de l’actuelle titulaire</w:t>
      </w:r>
      <w:r w:rsidR="00437950">
        <w:t xml:space="preserve"> du poste</w:t>
      </w:r>
      <w:r w:rsidR="00675E41" w:rsidRPr="00675E41">
        <w:t>. Conformément à l’</w:t>
      </w:r>
      <w:r w:rsidR="00437950">
        <w:t>a</w:t>
      </w:r>
      <w:r w:rsidR="00675E41" w:rsidRPr="00675E41">
        <w:t xml:space="preserve">rticle </w:t>
      </w:r>
      <w:r w:rsidR="00807397">
        <w:t>premier</w:t>
      </w:r>
      <w:r w:rsidR="00675E41" w:rsidRPr="00675E41">
        <w:t xml:space="preserve"> du </w:t>
      </w:r>
      <w:r w:rsidR="00437950">
        <w:t>d</w:t>
      </w:r>
      <w:r w:rsidR="00675E41" w:rsidRPr="00675E41">
        <w:t xml:space="preserve">écret </w:t>
      </w:r>
      <w:r w:rsidR="004F2B81" w:rsidRPr="00675E41">
        <w:rPr>
          <w:lang w:val="fr-FR"/>
        </w:rPr>
        <w:t>n</w:t>
      </w:r>
      <w:r w:rsidR="004F2B81" w:rsidRPr="00FD213F">
        <w:rPr>
          <w:vertAlign w:val="superscript"/>
          <w:lang w:val="fr-FR"/>
        </w:rPr>
        <w:t>o</w:t>
      </w:r>
      <w:r w:rsidR="004F2B81">
        <w:rPr>
          <w:lang w:val="fr-FR"/>
        </w:rPr>
        <w:t> </w:t>
      </w:r>
      <w:r w:rsidR="00675E41" w:rsidRPr="00675E41">
        <w:t>2011-842</w:t>
      </w:r>
      <w:r w:rsidR="00DF7117">
        <w:t xml:space="preserve"> du 16 juin 2011</w:t>
      </w:r>
      <w:r w:rsidR="00675E41" w:rsidRPr="00675E41">
        <w:t>, la désignation de l’Observateur</w:t>
      </w:r>
      <w:r w:rsidR="00807397">
        <w:t xml:space="preserve"> national</w:t>
      </w:r>
      <w:r w:rsidR="00675E41" w:rsidRPr="00675E41">
        <w:t xml:space="preserve"> est laissée à la discrétion du Président de la République, qui le nomme sur proposition du </w:t>
      </w:r>
      <w:r w:rsidR="00807397">
        <w:t>Ministre</w:t>
      </w:r>
      <w:r w:rsidR="00675E41" w:rsidRPr="00675E41">
        <w:t xml:space="preserve"> de la </w:t>
      </w:r>
      <w:r w:rsidR="00807397">
        <w:t>j</w:t>
      </w:r>
      <w:r w:rsidR="00675E41" w:rsidRPr="00675E41">
        <w:t>ustice. L’Observateur</w:t>
      </w:r>
      <w:r w:rsidR="00EA79A9">
        <w:t xml:space="preserve"> national</w:t>
      </w:r>
      <w:r w:rsidR="00675E41" w:rsidRPr="00675E41">
        <w:t xml:space="preserve"> est sélectionné parmi les personnes ayant exercé dans la magistrature, le barreau ou les forces de sécurité, ce qui restreint largement la représentation d’autres parties de la société, comme les organisations non</w:t>
      </w:r>
      <w:r w:rsidR="00692EE4">
        <w:t xml:space="preserve"> </w:t>
      </w:r>
      <w:r w:rsidR="00675E41" w:rsidRPr="00675E41">
        <w:t xml:space="preserve">gouvernementales, les institutions </w:t>
      </w:r>
      <w:r w:rsidR="00827AD5">
        <w:t>universitaires</w:t>
      </w:r>
      <w:r w:rsidR="00675E41" w:rsidRPr="00675E41">
        <w:t xml:space="preserve"> ou toute autre personne ayant le profil </w:t>
      </w:r>
      <w:r w:rsidR="00373B4C">
        <w:t>requis</w:t>
      </w:r>
      <w:r w:rsidR="00675E41" w:rsidRPr="00675E41">
        <w:t xml:space="preserve">. Les </w:t>
      </w:r>
      <w:r w:rsidR="00373B4C">
        <w:t>P</w:t>
      </w:r>
      <w:r w:rsidR="00675E41" w:rsidRPr="00675E41">
        <w:t>rincipes de Paris préconisent une représentation pluraliste, sans exclure les membres de la société civile qui défendent et protègent les droits de l</w:t>
      </w:r>
      <w:r w:rsidR="00835C07">
        <w:t>’</w:t>
      </w:r>
      <w:r w:rsidR="00675E41" w:rsidRPr="00675E41">
        <w:t>homme, la raison étant d</w:t>
      </w:r>
      <w:r w:rsidR="00835C07">
        <w:t>’</w:t>
      </w:r>
      <w:r w:rsidR="00675E41" w:rsidRPr="00675E41">
        <w:t xml:space="preserve">assurer </w:t>
      </w:r>
      <w:r w:rsidR="00FD3B97">
        <w:t>un</w:t>
      </w:r>
      <w:r w:rsidR="00675E41" w:rsidRPr="00675E41">
        <w:t xml:space="preserve"> degré maximal d’indépendance de l</w:t>
      </w:r>
      <w:r w:rsidR="00835C07">
        <w:t>’</w:t>
      </w:r>
      <w:r w:rsidR="00675E41" w:rsidRPr="00675E41">
        <w:t>institution.</w:t>
      </w:r>
    </w:p>
    <w:p w14:paraId="46E14BC6" w14:textId="4EFC0110" w:rsidR="00675E41" w:rsidRPr="007324E9" w:rsidRDefault="00C74FD4" w:rsidP="00C74FD4">
      <w:pPr>
        <w:pStyle w:val="ParNoG"/>
        <w:numPr>
          <w:ilvl w:val="0"/>
          <w:numId w:val="0"/>
        </w:numPr>
        <w:tabs>
          <w:tab w:val="left" w:pos="1701"/>
        </w:tabs>
        <w:ind w:left="1134"/>
        <w:rPr>
          <w:rFonts w:eastAsiaTheme="minorHAnsi"/>
          <w:b/>
          <w:lang w:val="fr-FR"/>
        </w:rPr>
      </w:pPr>
      <w:r w:rsidRPr="007324E9">
        <w:rPr>
          <w:rFonts w:eastAsiaTheme="minorHAnsi"/>
          <w:lang w:val="fr-FR"/>
        </w:rPr>
        <w:t>18.</w:t>
      </w:r>
      <w:r w:rsidRPr="007324E9">
        <w:rPr>
          <w:rFonts w:eastAsiaTheme="minorHAnsi"/>
          <w:lang w:val="fr-FR"/>
        </w:rPr>
        <w:tab/>
      </w:r>
      <w:r w:rsidR="00675E41" w:rsidRPr="007324E9">
        <w:rPr>
          <w:rFonts w:eastAsiaTheme="minorHAnsi"/>
          <w:b/>
          <w:lang w:val="fr-FR"/>
        </w:rPr>
        <w:t xml:space="preserve">Le Sous-Comité renouvelle </w:t>
      </w:r>
      <w:r w:rsidR="00BC70F7">
        <w:rPr>
          <w:rFonts w:eastAsiaTheme="minorHAnsi"/>
          <w:b/>
          <w:lang w:val="fr-FR"/>
        </w:rPr>
        <w:t>ses</w:t>
      </w:r>
      <w:r w:rsidR="00675E41" w:rsidRPr="007324E9">
        <w:rPr>
          <w:rFonts w:eastAsiaTheme="minorHAnsi"/>
          <w:b/>
          <w:lang w:val="fr-FR"/>
        </w:rPr>
        <w:t xml:space="preserve"> recommandation</w:t>
      </w:r>
      <w:r w:rsidR="00BC70F7">
        <w:rPr>
          <w:rFonts w:eastAsiaTheme="minorHAnsi"/>
          <w:b/>
          <w:lang w:val="fr-FR"/>
        </w:rPr>
        <w:t>s</w:t>
      </w:r>
      <w:r w:rsidR="00675E41" w:rsidRPr="007324E9">
        <w:rPr>
          <w:rFonts w:eastAsiaTheme="minorHAnsi"/>
          <w:b/>
          <w:lang w:val="fr-FR"/>
        </w:rPr>
        <w:t xml:space="preserve"> </w:t>
      </w:r>
      <w:r w:rsidR="00BC70F7">
        <w:rPr>
          <w:rFonts w:eastAsiaTheme="minorHAnsi"/>
          <w:b/>
          <w:lang w:val="fr-FR"/>
        </w:rPr>
        <w:t>formulées au paragraphe</w:t>
      </w:r>
      <w:r w:rsidR="00675E41" w:rsidRPr="007324E9">
        <w:rPr>
          <w:rFonts w:eastAsiaTheme="minorHAnsi"/>
          <w:b/>
          <w:lang w:val="fr-FR"/>
        </w:rPr>
        <w:t xml:space="preserve"> 17 </w:t>
      </w:r>
      <w:r w:rsidR="00A80392">
        <w:rPr>
          <w:rFonts w:eastAsiaTheme="minorHAnsi"/>
          <w:b/>
          <w:lang w:val="fr-FR"/>
        </w:rPr>
        <w:t>de son précédent</w:t>
      </w:r>
      <w:r w:rsidR="00675E41" w:rsidRPr="007324E9">
        <w:rPr>
          <w:rFonts w:eastAsiaTheme="minorHAnsi"/>
          <w:b/>
          <w:lang w:val="fr-FR"/>
        </w:rPr>
        <w:t xml:space="preserve"> rapport de visite, </w:t>
      </w:r>
      <w:r w:rsidR="00A80392">
        <w:rPr>
          <w:rFonts w:eastAsiaTheme="minorHAnsi"/>
          <w:b/>
          <w:lang w:val="fr-FR"/>
        </w:rPr>
        <w:t>afin</w:t>
      </w:r>
      <w:r w:rsidR="00675E41" w:rsidRPr="007324E9">
        <w:rPr>
          <w:rFonts w:eastAsiaTheme="minorHAnsi"/>
          <w:b/>
          <w:lang w:val="fr-FR"/>
        </w:rPr>
        <w:t xml:space="preserve"> que l’Observateur</w:t>
      </w:r>
      <w:r w:rsidR="00A80392">
        <w:rPr>
          <w:rFonts w:eastAsiaTheme="minorHAnsi"/>
          <w:b/>
          <w:lang w:val="fr-FR"/>
        </w:rPr>
        <w:t xml:space="preserve"> national</w:t>
      </w:r>
      <w:r w:rsidR="00675E41" w:rsidRPr="007324E9">
        <w:rPr>
          <w:rFonts w:eastAsiaTheme="minorHAnsi"/>
          <w:b/>
          <w:lang w:val="fr-FR"/>
        </w:rPr>
        <w:t xml:space="preserve"> engage le législateur à réformer la loi instituant l’</w:t>
      </w:r>
      <w:r w:rsidR="00D15585">
        <w:rPr>
          <w:rFonts w:eastAsiaTheme="minorHAnsi"/>
          <w:b/>
          <w:lang w:val="fr-FR"/>
        </w:rPr>
        <w:t>Observateur national</w:t>
      </w:r>
      <w:r w:rsidR="00675E41" w:rsidRPr="008D052A">
        <w:rPr>
          <w:rStyle w:val="FootnoteReference"/>
          <w:rFonts w:eastAsiaTheme="minorHAnsi"/>
        </w:rPr>
        <w:footnoteReference w:id="5"/>
      </w:r>
      <w:r w:rsidR="00675E41" w:rsidRPr="007324E9">
        <w:rPr>
          <w:rFonts w:eastAsiaTheme="minorHAnsi"/>
          <w:b/>
          <w:lang w:val="fr-FR"/>
        </w:rPr>
        <w:t>. Ces recommandations devraient porter sur :</w:t>
      </w:r>
    </w:p>
    <w:p w14:paraId="4C24D089" w14:textId="1AC20636" w:rsidR="00675E41" w:rsidRPr="005523FB" w:rsidRDefault="007324E9" w:rsidP="007324E9">
      <w:pPr>
        <w:pStyle w:val="SingleTxtG"/>
        <w:rPr>
          <w:rFonts w:eastAsiaTheme="minorHAnsi"/>
          <w:b/>
        </w:rPr>
      </w:pPr>
      <w:r>
        <w:rPr>
          <w:rFonts w:eastAsiaTheme="minorHAnsi"/>
          <w:lang w:val="fr-FR"/>
        </w:rPr>
        <w:tab/>
      </w:r>
      <w:r>
        <w:rPr>
          <w:rFonts w:eastAsiaTheme="minorHAnsi"/>
          <w:lang w:val="fr-FR"/>
        </w:rPr>
        <w:tab/>
      </w:r>
      <w:r w:rsidR="00675E41" w:rsidRPr="005523FB">
        <w:rPr>
          <w:rFonts w:eastAsiaTheme="minorHAnsi"/>
          <w:b/>
          <w:lang w:val="fr-FR"/>
        </w:rPr>
        <w:t>a)</w:t>
      </w:r>
      <w:r w:rsidR="00675E41" w:rsidRPr="005523FB">
        <w:rPr>
          <w:rFonts w:eastAsiaTheme="minorHAnsi"/>
          <w:b/>
          <w:lang w:val="fr-FR"/>
        </w:rPr>
        <w:tab/>
      </w:r>
      <w:r w:rsidR="00323113">
        <w:rPr>
          <w:rFonts w:eastAsiaTheme="minorHAnsi"/>
          <w:b/>
          <w:lang w:val="fr-FR"/>
        </w:rPr>
        <w:t>L</w:t>
      </w:r>
      <w:r w:rsidR="00675E41" w:rsidRPr="005523FB">
        <w:rPr>
          <w:rFonts w:eastAsiaTheme="minorHAnsi"/>
          <w:b/>
          <w:lang w:val="fr-FR"/>
        </w:rPr>
        <w:t>’indépendance structurelle effective de l’Observateur</w:t>
      </w:r>
      <w:r w:rsidR="00582059">
        <w:rPr>
          <w:rFonts w:eastAsiaTheme="minorHAnsi"/>
          <w:b/>
          <w:lang w:val="fr-FR"/>
        </w:rPr>
        <w:t xml:space="preserve"> national</w:t>
      </w:r>
      <w:r w:rsidR="00675E41" w:rsidRPr="005523FB">
        <w:rPr>
          <w:rFonts w:eastAsiaTheme="minorHAnsi"/>
          <w:b/>
          <w:lang w:val="fr-FR"/>
        </w:rPr>
        <w:t xml:space="preserve"> par rapport au pouvoir exécutif ; </w:t>
      </w:r>
    </w:p>
    <w:p w14:paraId="3B60EDF0" w14:textId="45D7B91C" w:rsidR="00675E41" w:rsidRPr="005523FB" w:rsidRDefault="007324E9" w:rsidP="007324E9">
      <w:pPr>
        <w:pStyle w:val="SingleTxtG"/>
        <w:rPr>
          <w:rFonts w:eastAsiaTheme="minorEastAsia"/>
          <w:b/>
          <w:lang w:val="fr-FR" w:eastAsia="zh-CN"/>
        </w:rPr>
      </w:pPr>
      <w:r w:rsidRPr="005523FB">
        <w:rPr>
          <w:rFonts w:eastAsiaTheme="minorEastAsia"/>
          <w:b/>
          <w:lang w:eastAsia="zh-CN"/>
        </w:rPr>
        <w:tab/>
      </w:r>
      <w:r w:rsidRPr="005523FB">
        <w:rPr>
          <w:rFonts w:eastAsiaTheme="minorEastAsia"/>
          <w:b/>
          <w:lang w:eastAsia="zh-CN"/>
        </w:rPr>
        <w:tab/>
      </w:r>
      <w:r w:rsidR="00675E41" w:rsidRPr="005523FB">
        <w:rPr>
          <w:rFonts w:eastAsiaTheme="minorEastAsia"/>
          <w:b/>
          <w:lang w:eastAsia="zh-CN"/>
        </w:rPr>
        <w:t>b)</w:t>
      </w:r>
      <w:r w:rsidR="00675E41" w:rsidRPr="005523FB">
        <w:rPr>
          <w:rFonts w:eastAsiaTheme="minorEastAsia"/>
          <w:b/>
          <w:lang w:eastAsia="zh-CN"/>
        </w:rPr>
        <w:tab/>
      </w:r>
      <w:r w:rsidR="00323113">
        <w:rPr>
          <w:rFonts w:eastAsiaTheme="minorEastAsia"/>
          <w:b/>
          <w:lang w:val="fr-FR" w:eastAsia="zh-CN"/>
        </w:rPr>
        <w:t>L</w:t>
      </w:r>
      <w:r w:rsidR="00675E41" w:rsidRPr="005523FB">
        <w:rPr>
          <w:rFonts w:eastAsiaTheme="minorEastAsia"/>
          <w:b/>
          <w:lang w:val="fr-FR" w:eastAsia="zh-CN"/>
        </w:rPr>
        <w:t>e processus de désignation de l’</w:t>
      </w:r>
      <w:r w:rsidR="00582059">
        <w:rPr>
          <w:rFonts w:eastAsiaTheme="minorEastAsia"/>
          <w:b/>
          <w:lang w:val="fr-FR" w:eastAsia="zh-CN"/>
        </w:rPr>
        <w:t>O</w:t>
      </w:r>
      <w:r w:rsidR="00675E41" w:rsidRPr="005523FB">
        <w:rPr>
          <w:rFonts w:eastAsiaTheme="minorEastAsia"/>
          <w:b/>
          <w:lang w:val="fr-FR" w:eastAsia="zh-CN"/>
        </w:rPr>
        <w:t>bservateur</w:t>
      </w:r>
      <w:r w:rsidR="00B26911">
        <w:rPr>
          <w:rFonts w:eastAsiaTheme="minorEastAsia"/>
          <w:b/>
          <w:lang w:val="fr-FR" w:eastAsia="zh-CN"/>
        </w:rPr>
        <w:t xml:space="preserve"> national,</w:t>
      </w:r>
      <w:r w:rsidR="00675E41" w:rsidRPr="005523FB">
        <w:rPr>
          <w:rFonts w:eastAsiaTheme="minorEastAsia"/>
          <w:b/>
          <w:lang w:val="fr-FR" w:eastAsia="zh-CN"/>
        </w:rPr>
        <w:t xml:space="preserve"> qui doit être ouvert, transparent, inclusif et participatif ;</w:t>
      </w:r>
    </w:p>
    <w:p w14:paraId="1094E5AF" w14:textId="1A159517" w:rsidR="00675E41" w:rsidRPr="005523FB" w:rsidRDefault="007324E9" w:rsidP="007324E9">
      <w:pPr>
        <w:pStyle w:val="SingleTxtG"/>
        <w:rPr>
          <w:rFonts w:eastAsiaTheme="minorHAnsi"/>
          <w:b/>
          <w:lang w:val="fr-FR"/>
        </w:rPr>
      </w:pPr>
      <w:r w:rsidRPr="005523FB">
        <w:rPr>
          <w:rFonts w:eastAsiaTheme="minorHAnsi"/>
          <w:b/>
          <w:lang w:val="fr-FR"/>
        </w:rPr>
        <w:tab/>
      </w:r>
      <w:r w:rsidRPr="005523FB">
        <w:rPr>
          <w:rFonts w:eastAsiaTheme="minorHAnsi"/>
          <w:b/>
          <w:lang w:val="fr-FR"/>
        </w:rPr>
        <w:tab/>
      </w:r>
      <w:r w:rsidR="00675E41" w:rsidRPr="005523FB">
        <w:rPr>
          <w:rFonts w:eastAsiaTheme="minorHAnsi"/>
          <w:b/>
          <w:lang w:val="fr-FR"/>
        </w:rPr>
        <w:t>c)</w:t>
      </w:r>
      <w:r w:rsidR="00675E41" w:rsidRPr="005523FB">
        <w:rPr>
          <w:rFonts w:eastAsiaTheme="minorHAnsi"/>
          <w:b/>
          <w:lang w:val="fr-FR"/>
        </w:rPr>
        <w:tab/>
      </w:r>
      <w:r w:rsidR="00323113">
        <w:rPr>
          <w:rFonts w:eastAsiaTheme="minorHAnsi"/>
          <w:b/>
          <w:lang w:val="fr-FR"/>
        </w:rPr>
        <w:t>L</w:t>
      </w:r>
      <w:r w:rsidR="00675E41" w:rsidRPr="005523FB">
        <w:rPr>
          <w:rFonts w:eastAsiaTheme="minorHAnsi"/>
          <w:b/>
          <w:lang w:val="fr-FR"/>
        </w:rPr>
        <w:t xml:space="preserve">a possibilité de sélection et de recrutement du personnel par l’Observateur </w:t>
      </w:r>
      <w:r w:rsidR="00B26911">
        <w:rPr>
          <w:rFonts w:eastAsiaTheme="minorHAnsi"/>
          <w:b/>
          <w:lang w:val="fr-FR"/>
        </w:rPr>
        <w:t>national</w:t>
      </w:r>
      <w:r w:rsidR="00323113">
        <w:rPr>
          <w:rFonts w:eastAsiaTheme="minorHAnsi"/>
          <w:b/>
          <w:lang w:val="fr-FR"/>
        </w:rPr>
        <w:t xml:space="preserve"> </w:t>
      </w:r>
      <w:r w:rsidR="00675E41" w:rsidRPr="005523FB">
        <w:rPr>
          <w:rFonts w:eastAsiaTheme="minorHAnsi"/>
          <w:b/>
          <w:lang w:val="fr-FR"/>
        </w:rPr>
        <w:t>lui-même</w:t>
      </w:r>
      <w:r w:rsidR="00B26911">
        <w:rPr>
          <w:rFonts w:eastAsiaTheme="minorHAnsi"/>
          <w:b/>
          <w:lang w:val="fr-FR"/>
        </w:rPr>
        <w:t> ;</w:t>
      </w:r>
    </w:p>
    <w:p w14:paraId="3B3C27B7" w14:textId="6D218C87" w:rsidR="00675E41" w:rsidRPr="005523FB" w:rsidRDefault="007324E9" w:rsidP="007324E9">
      <w:pPr>
        <w:pStyle w:val="SingleTxtG"/>
        <w:rPr>
          <w:rFonts w:eastAsiaTheme="minorHAnsi"/>
          <w:b/>
          <w:lang w:val="fr-FR"/>
        </w:rPr>
      </w:pPr>
      <w:r w:rsidRPr="005523FB">
        <w:rPr>
          <w:rFonts w:eastAsiaTheme="minorHAnsi"/>
          <w:b/>
          <w:lang w:val="fr-FR"/>
        </w:rPr>
        <w:tab/>
      </w:r>
      <w:r w:rsidRPr="005523FB">
        <w:rPr>
          <w:rFonts w:eastAsiaTheme="minorHAnsi"/>
          <w:b/>
          <w:lang w:val="fr-FR"/>
        </w:rPr>
        <w:tab/>
      </w:r>
      <w:r w:rsidR="00675E41" w:rsidRPr="005523FB">
        <w:rPr>
          <w:rFonts w:eastAsiaTheme="minorHAnsi"/>
          <w:b/>
          <w:lang w:val="fr-FR"/>
        </w:rPr>
        <w:t>d)</w:t>
      </w:r>
      <w:r w:rsidR="00675E41" w:rsidRPr="005523FB">
        <w:rPr>
          <w:rFonts w:eastAsiaTheme="minorHAnsi"/>
          <w:b/>
          <w:lang w:val="fr-FR"/>
        </w:rPr>
        <w:tab/>
      </w:r>
      <w:r w:rsidR="00323113">
        <w:rPr>
          <w:rFonts w:eastAsiaTheme="minorHAnsi"/>
          <w:b/>
          <w:lang w:val="fr-FR"/>
        </w:rPr>
        <w:t>L</w:t>
      </w:r>
      <w:r w:rsidR="00675E41" w:rsidRPr="005523FB">
        <w:rPr>
          <w:rFonts w:eastAsiaTheme="minorHAnsi"/>
          <w:b/>
          <w:lang w:val="fr-FR"/>
        </w:rPr>
        <w:t>es relations entre l’Observateur</w:t>
      </w:r>
      <w:r w:rsidR="00323113">
        <w:rPr>
          <w:rFonts w:eastAsiaTheme="minorHAnsi"/>
          <w:b/>
          <w:lang w:val="fr-FR"/>
        </w:rPr>
        <w:t xml:space="preserve"> national</w:t>
      </w:r>
      <w:r w:rsidR="00675E41" w:rsidRPr="005523FB">
        <w:rPr>
          <w:rFonts w:eastAsiaTheme="minorHAnsi"/>
          <w:b/>
          <w:lang w:val="fr-FR"/>
        </w:rPr>
        <w:t xml:space="preserve"> et le Sous-</w:t>
      </w:r>
      <w:r w:rsidR="00323113">
        <w:rPr>
          <w:rFonts w:eastAsiaTheme="minorHAnsi"/>
          <w:b/>
          <w:lang w:val="fr-FR"/>
        </w:rPr>
        <w:t>C</w:t>
      </w:r>
      <w:r w:rsidR="00675E41" w:rsidRPr="005523FB">
        <w:rPr>
          <w:rFonts w:eastAsiaTheme="minorHAnsi"/>
          <w:b/>
          <w:lang w:val="fr-FR"/>
        </w:rPr>
        <w:t>omité</w:t>
      </w:r>
      <w:r w:rsidR="00323113">
        <w:rPr>
          <w:rFonts w:eastAsiaTheme="minorHAnsi"/>
          <w:b/>
          <w:lang w:val="fr-FR"/>
        </w:rPr>
        <w:t>.</w:t>
      </w:r>
    </w:p>
    <w:p w14:paraId="0DCC79B7" w14:textId="5BD68011" w:rsidR="00675E41" w:rsidRPr="00675E41" w:rsidRDefault="00C74FD4" w:rsidP="00C74FD4">
      <w:pPr>
        <w:pStyle w:val="ParNoG"/>
        <w:numPr>
          <w:ilvl w:val="0"/>
          <w:numId w:val="0"/>
        </w:numPr>
        <w:tabs>
          <w:tab w:val="left" w:pos="1701"/>
        </w:tabs>
        <w:ind w:left="1134"/>
      </w:pPr>
      <w:r w:rsidRPr="00675E41">
        <w:t>19.</w:t>
      </w:r>
      <w:r w:rsidRPr="00675E41">
        <w:tab/>
      </w:r>
      <w:r w:rsidR="00675E41" w:rsidRPr="00675E41">
        <w:t xml:space="preserve">Le </w:t>
      </w:r>
      <w:r w:rsidR="00323113">
        <w:t>Sous-Comité</w:t>
      </w:r>
      <w:r w:rsidR="00675E41" w:rsidRPr="00675E41">
        <w:t xml:space="preserve"> est préoccupé par la pratique de détachement d’agents étatiques en exercice pour occuper des postes </w:t>
      </w:r>
      <w:r w:rsidR="002A65C0">
        <w:t>auprès</w:t>
      </w:r>
      <w:r w:rsidR="00675E41" w:rsidRPr="00675E41">
        <w:t xml:space="preserve"> de l’Observateur</w:t>
      </w:r>
      <w:r w:rsidR="002A65C0">
        <w:t xml:space="preserve"> national,</w:t>
      </w:r>
      <w:r w:rsidR="00675E41" w:rsidRPr="00675E41">
        <w:t xml:space="preserve"> car cela peut mettre les agents en situation de conflit d’intérêt</w:t>
      </w:r>
      <w:r w:rsidR="009534C4">
        <w:t>s</w:t>
      </w:r>
      <w:r w:rsidR="00675E41" w:rsidRPr="00675E41">
        <w:t xml:space="preserve"> et de loyauté avec leur administration d’origine, principalement lorsque celle-ci relève du mandat du </w:t>
      </w:r>
      <w:r w:rsidR="009534C4">
        <w:t>mécanisme national de prévention</w:t>
      </w:r>
      <w:r w:rsidR="00675E41" w:rsidRPr="00675E41">
        <w:t xml:space="preserve">, de sorte que cette pratique devrait être revue à la lumière de ces considérations et </w:t>
      </w:r>
      <w:r w:rsidR="00CF53D4">
        <w:t xml:space="preserve">des </w:t>
      </w:r>
      <w:r w:rsidR="00675E41" w:rsidRPr="00675E41">
        <w:t xml:space="preserve">recommandations </w:t>
      </w:r>
      <w:r w:rsidR="00CF53D4">
        <w:t>formulées aux</w:t>
      </w:r>
      <w:r w:rsidR="00675E41" w:rsidRPr="00675E41">
        <w:t xml:space="preserve"> paragraphes 26 et 27 ci-dessous.</w:t>
      </w:r>
    </w:p>
    <w:p w14:paraId="786619F9" w14:textId="580BB09C" w:rsidR="00675E41" w:rsidRPr="00675E41" w:rsidRDefault="00675E41" w:rsidP="007324E9">
      <w:pPr>
        <w:pStyle w:val="H23G"/>
        <w:rPr>
          <w:rFonts w:eastAsiaTheme="minorHAnsi"/>
        </w:rPr>
      </w:pPr>
      <w:r w:rsidRPr="00675E41">
        <w:rPr>
          <w:rFonts w:eastAsiaTheme="minorHAnsi"/>
        </w:rPr>
        <w:tab/>
      </w:r>
      <w:r w:rsidR="00040243">
        <w:rPr>
          <w:rFonts w:eastAsiaTheme="minorHAnsi"/>
        </w:rPr>
        <w:t>3.</w:t>
      </w:r>
      <w:r w:rsidRPr="00675E41">
        <w:rPr>
          <w:rFonts w:eastAsiaTheme="minorHAnsi"/>
        </w:rPr>
        <w:tab/>
      </w:r>
      <w:r w:rsidRPr="00675E41">
        <w:rPr>
          <w:rFonts w:eastAsiaTheme="minorHAnsi"/>
        </w:rPr>
        <w:tab/>
        <w:t>Ressources financières</w:t>
      </w:r>
    </w:p>
    <w:p w14:paraId="7FFF6402" w14:textId="0B767E43" w:rsidR="00675E41" w:rsidRPr="00675E41" w:rsidRDefault="00C74FD4" w:rsidP="00C74FD4">
      <w:pPr>
        <w:pStyle w:val="ParNoG"/>
        <w:numPr>
          <w:ilvl w:val="0"/>
          <w:numId w:val="0"/>
        </w:numPr>
        <w:tabs>
          <w:tab w:val="left" w:pos="1701"/>
        </w:tabs>
        <w:ind w:left="1134"/>
      </w:pPr>
      <w:r w:rsidRPr="00675E41">
        <w:t>20.</w:t>
      </w:r>
      <w:r w:rsidRPr="00675E41">
        <w:tab/>
      </w:r>
      <w:r w:rsidR="00675E41" w:rsidRPr="00675E41">
        <w:rPr>
          <w:lang w:val="fr-FR"/>
        </w:rPr>
        <w:t>Le Sous-Comité est préoccupé par le manque de ressources financières qui constitue un obstacle majeur au bon fonctionnement de l’Observateur</w:t>
      </w:r>
      <w:r w:rsidR="00D56C03">
        <w:rPr>
          <w:lang w:val="fr-FR"/>
        </w:rPr>
        <w:t xml:space="preserve"> national</w:t>
      </w:r>
      <w:r w:rsidR="00675E41" w:rsidRPr="00675E41">
        <w:rPr>
          <w:lang w:val="fr-FR"/>
        </w:rPr>
        <w:t xml:space="preserve">. </w:t>
      </w:r>
      <w:r w:rsidR="00BB5A48">
        <w:rPr>
          <w:lang w:val="fr-FR"/>
        </w:rPr>
        <w:t>Il</w:t>
      </w:r>
      <w:r w:rsidR="00675E41" w:rsidRPr="00675E41">
        <w:rPr>
          <w:lang w:val="fr-FR"/>
        </w:rPr>
        <w:t xml:space="preserve"> se réjouit que l’Observateur</w:t>
      </w:r>
      <w:r w:rsidR="00BB5A48">
        <w:rPr>
          <w:lang w:val="fr-FR"/>
        </w:rPr>
        <w:t xml:space="preserve"> national</w:t>
      </w:r>
      <w:r w:rsidR="00675E41" w:rsidRPr="00675E41">
        <w:rPr>
          <w:lang w:val="fr-FR"/>
        </w:rPr>
        <w:t xml:space="preserve"> ait pu bénéficier d’une augmentation de son budget ainsi que du soutien financier et matériel de l’Union </w:t>
      </w:r>
      <w:r w:rsidR="00BB5A48">
        <w:rPr>
          <w:lang w:val="fr-FR"/>
        </w:rPr>
        <w:t>e</w:t>
      </w:r>
      <w:r w:rsidR="00675E41" w:rsidRPr="00675E41">
        <w:rPr>
          <w:lang w:val="fr-FR"/>
        </w:rPr>
        <w:t>uropéenne</w:t>
      </w:r>
      <w:r w:rsidR="00BB5A48">
        <w:rPr>
          <w:lang w:val="fr-FR"/>
        </w:rPr>
        <w:t>,</w:t>
      </w:r>
      <w:r w:rsidR="00675E41" w:rsidRPr="00675E41">
        <w:rPr>
          <w:lang w:val="fr-FR"/>
        </w:rPr>
        <w:t xml:space="preserve"> durant </w:t>
      </w:r>
      <w:r w:rsidR="00FF7A6D">
        <w:rPr>
          <w:lang w:val="fr-FR"/>
        </w:rPr>
        <w:t>la période</w:t>
      </w:r>
      <w:r w:rsidR="00675E41" w:rsidRPr="00675E41">
        <w:rPr>
          <w:lang w:val="fr-FR"/>
        </w:rPr>
        <w:t xml:space="preserve"> 2017-2018. Cependant, </w:t>
      </w:r>
      <w:r w:rsidR="00675E41" w:rsidRPr="00675E41">
        <w:rPr>
          <w:lang w:val="fr-FR"/>
        </w:rPr>
        <w:lastRenderedPageBreak/>
        <w:t>avec l’achèvement du programme européen, l’Observateur</w:t>
      </w:r>
      <w:r w:rsidR="00FF7A6D">
        <w:rPr>
          <w:lang w:val="fr-FR"/>
        </w:rPr>
        <w:t xml:space="preserve"> national</w:t>
      </w:r>
      <w:r w:rsidR="00675E41" w:rsidRPr="00675E41">
        <w:rPr>
          <w:lang w:val="fr-FR"/>
        </w:rPr>
        <w:t xml:space="preserve"> se retrouve de nouveau en situation de manque des ressources nécessaires pour assurer des visites dans tous les lieux de privation de liberté du territoire sénégalais et pour créer des relais régionaux.</w:t>
      </w:r>
    </w:p>
    <w:p w14:paraId="03AC98FE" w14:textId="15C0407B" w:rsidR="00675E41" w:rsidRPr="00675E41" w:rsidRDefault="00C74FD4" w:rsidP="00C74FD4">
      <w:pPr>
        <w:pStyle w:val="ParNoG"/>
        <w:numPr>
          <w:ilvl w:val="0"/>
          <w:numId w:val="0"/>
        </w:numPr>
        <w:tabs>
          <w:tab w:val="left" w:pos="1701"/>
        </w:tabs>
        <w:ind w:left="1134"/>
      </w:pPr>
      <w:r w:rsidRPr="00675E41">
        <w:t>21.</w:t>
      </w:r>
      <w:r w:rsidRPr="00675E41">
        <w:tab/>
      </w:r>
      <w:r w:rsidR="00675E41" w:rsidRPr="00675E41">
        <w:rPr>
          <w:lang w:val="fr-FR"/>
        </w:rPr>
        <w:t>Durant la visite, l’Observateur</w:t>
      </w:r>
      <w:r w:rsidR="00F7093C">
        <w:rPr>
          <w:lang w:val="fr-FR"/>
        </w:rPr>
        <w:t xml:space="preserve"> national</w:t>
      </w:r>
      <w:r w:rsidR="00675E41" w:rsidRPr="00675E41">
        <w:rPr>
          <w:lang w:val="fr-FR"/>
        </w:rPr>
        <w:t xml:space="preserve"> a informé </w:t>
      </w:r>
      <w:r w:rsidR="00F7093C">
        <w:rPr>
          <w:lang w:val="fr-FR"/>
        </w:rPr>
        <w:t>la délégation du</w:t>
      </w:r>
      <w:r w:rsidR="00675E41" w:rsidRPr="00675E41">
        <w:rPr>
          <w:lang w:val="fr-FR"/>
        </w:rPr>
        <w:t xml:space="preserve"> Sous-Comité qu’il établissait son budget prévisionnel</w:t>
      </w:r>
      <w:r w:rsidR="000D4B0B">
        <w:rPr>
          <w:lang w:val="fr-FR"/>
        </w:rPr>
        <w:t>,</w:t>
      </w:r>
      <w:r w:rsidR="00675E41" w:rsidRPr="00675E41">
        <w:rPr>
          <w:lang w:val="fr-FR"/>
        </w:rPr>
        <w:t xml:space="preserve"> mais qu’aucun des textes de loi relatif</w:t>
      </w:r>
      <w:r w:rsidR="000D4B0B">
        <w:rPr>
          <w:lang w:val="fr-FR"/>
        </w:rPr>
        <w:t>s</w:t>
      </w:r>
      <w:r w:rsidR="00675E41" w:rsidRPr="00675E41">
        <w:rPr>
          <w:lang w:val="fr-FR"/>
        </w:rPr>
        <w:t xml:space="preserve"> à </w:t>
      </w:r>
      <w:r w:rsidR="000D4B0B">
        <w:rPr>
          <w:lang w:val="fr-FR"/>
        </w:rPr>
        <w:t>sa mission</w:t>
      </w:r>
      <w:r w:rsidR="00675E41" w:rsidRPr="00675E41">
        <w:rPr>
          <w:lang w:val="fr-FR"/>
        </w:rPr>
        <w:t xml:space="preserve"> ne définissait ni les critères ni les modalités d’attribution du budget nécessaire à son fonctionnement</w:t>
      </w:r>
      <w:r w:rsidR="0072416A">
        <w:rPr>
          <w:lang w:val="fr-FR"/>
        </w:rPr>
        <w:t>,</w:t>
      </w:r>
      <w:r w:rsidR="00675E41" w:rsidRPr="00675E41">
        <w:rPr>
          <w:lang w:val="fr-FR"/>
        </w:rPr>
        <w:t xml:space="preserve"> et qu’en fait, c’était le </w:t>
      </w:r>
      <w:r w:rsidR="0072416A">
        <w:rPr>
          <w:lang w:val="fr-FR"/>
        </w:rPr>
        <w:t>M</w:t>
      </w:r>
      <w:r w:rsidR="00675E41" w:rsidRPr="00675E41">
        <w:rPr>
          <w:lang w:val="fr-FR"/>
        </w:rPr>
        <w:t>inistère de la justice qui procédait aux arbitrages budgétaires.</w:t>
      </w:r>
    </w:p>
    <w:p w14:paraId="0F75E9EB" w14:textId="56DA74D0" w:rsidR="00675E41" w:rsidRPr="007324E9" w:rsidRDefault="00C74FD4" w:rsidP="00C74FD4">
      <w:pPr>
        <w:pStyle w:val="ParNoG"/>
        <w:numPr>
          <w:ilvl w:val="0"/>
          <w:numId w:val="0"/>
        </w:numPr>
        <w:tabs>
          <w:tab w:val="left" w:pos="1701"/>
        </w:tabs>
        <w:ind w:left="1134"/>
        <w:rPr>
          <w:b/>
          <w:lang w:val="fr-FR"/>
        </w:rPr>
      </w:pPr>
      <w:r w:rsidRPr="007324E9">
        <w:rPr>
          <w:lang w:val="fr-FR"/>
        </w:rPr>
        <w:t>22.</w:t>
      </w:r>
      <w:r w:rsidRPr="007324E9">
        <w:rPr>
          <w:lang w:val="fr-FR"/>
        </w:rPr>
        <w:tab/>
      </w:r>
      <w:r w:rsidR="00675E41" w:rsidRPr="007324E9">
        <w:rPr>
          <w:b/>
          <w:lang w:val="fr-FR"/>
        </w:rPr>
        <w:t>Le Sous-Comité recommande à l’Observateur</w:t>
      </w:r>
      <w:r w:rsidR="0072416A">
        <w:rPr>
          <w:b/>
          <w:lang w:val="fr-FR"/>
        </w:rPr>
        <w:t xml:space="preserve"> national</w:t>
      </w:r>
      <w:r w:rsidR="00675E41" w:rsidRPr="007324E9">
        <w:rPr>
          <w:b/>
          <w:lang w:val="fr-FR"/>
        </w:rPr>
        <w:t xml:space="preserve"> de prévoir une proposition de loi à présenter à l’Assemblée </w:t>
      </w:r>
      <w:r w:rsidR="0072416A">
        <w:rPr>
          <w:b/>
          <w:lang w:val="fr-FR"/>
        </w:rPr>
        <w:t>n</w:t>
      </w:r>
      <w:r w:rsidR="00675E41" w:rsidRPr="007324E9">
        <w:rPr>
          <w:b/>
          <w:lang w:val="fr-FR"/>
        </w:rPr>
        <w:t xml:space="preserve">ationale, établissant de manière indépendante les modalités d’attribution de son budget annuel. </w:t>
      </w:r>
    </w:p>
    <w:p w14:paraId="399BA534" w14:textId="2BF815E6" w:rsidR="00675E41" w:rsidRPr="00675E41" w:rsidRDefault="00C74FD4" w:rsidP="00C74FD4">
      <w:pPr>
        <w:pStyle w:val="ParNoG"/>
        <w:numPr>
          <w:ilvl w:val="0"/>
          <w:numId w:val="0"/>
        </w:numPr>
        <w:tabs>
          <w:tab w:val="left" w:pos="1701"/>
        </w:tabs>
        <w:ind w:left="1134"/>
      </w:pPr>
      <w:r w:rsidRPr="00675E41">
        <w:t>23.</w:t>
      </w:r>
      <w:r w:rsidRPr="00675E41">
        <w:tab/>
      </w:r>
      <w:r w:rsidR="00F36FD6">
        <w:rPr>
          <w:lang w:val="fr-FR"/>
        </w:rPr>
        <w:t>À</w:t>
      </w:r>
      <w:r w:rsidR="00675E41" w:rsidRPr="00675E41">
        <w:rPr>
          <w:lang w:val="fr-FR"/>
        </w:rPr>
        <w:t xml:space="preserve"> cet égard, </w:t>
      </w:r>
      <w:r w:rsidR="00F36FD6">
        <w:rPr>
          <w:lang w:val="fr-FR"/>
        </w:rPr>
        <w:t xml:space="preserve">le Sous-Comité rappelle </w:t>
      </w:r>
      <w:r w:rsidR="00675E41" w:rsidRPr="00675E41">
        <w:rPr>
          <w:lang w:val="fr-FR"/>
        </w:rPr>
        <w:t>qu’en principe, l’organisme surveillé ne devrait pas décider du financement de l’institution de surveillance. Cela est en lien étroit avec la question de l</w:t>
      </w:r>
      <w:r w:rsidR="00835C07">
        <w:rPr>
          <w:lang w:val="fr-FR"/>
        </w:rPr>
        <w:t>’</w:t>
      </w:r>
      <w:r w:rsidR="00675E41" w:rsidRPr="00675E41">
        <w:rPr>
          <w:lang w:val="fr-FR"/>
        </w:rPr>
        <w:t>indépendance fonctionnelle établie par les Principes de Paris</w:t>
      </w:r>
      <w:r w:rsidR="00675E41" w:rsidRPr="008D052A">
        <w:rPr>
          <w:rStyle w:val="FootnoteReference"/>
        </w:rPr>
        <w:footnoteReference w:id="6"/>
      </w:r>
      <w:r w:rsidR="00675E41" w:rsidRPr="00675E41">
        <w:rPr>
          <w:lang w:val="fr-FR"/>
        </w:rPr>
        <w:t>.</w:t>
      </w:r>
    </w:p>
    <w:p w14:paraId="231D84A6" w14:textId="5E5C6606" w:rsidR="00675E41" w:rsidRPr="007324E9" w:rsidRDefault="00C74FD4" w:rsidP="00C74FD4">
      <w:pPr>
        <w:pStyle w:val="ParNoG"/>
        <w:numPr>
          <w:ilvl w:val="0"/>
          <w:numId w:val="0"/>
        </w:numPr>
        <w:tabs>
          <w:tab w:val="left" w:pos="1701"/>
        </w:tabs>
        <w:ind w:left="1134"/>
        <w:rPr>
          <w:b/>
          <w:lang w:val="fr-FR"/>
        </w:rPr>
      </w:pPr>
      <w:r w:rsidRPr="007324E9">
        <w:rPr>
          <w:lang w:val="fr-FR"/>
        </w:rPr>
        <w:t>24.</w:t>
      </w:r>
      <w:r w:rsidRPr="007324E9">
        <w:rPr>
          <w:lang w:val="fr-FR"/>
        </w:rPr>
        <w:tab/>
      </w:r>
      <w:r w:rsidR="00675E41" w:rsidRPr="007324E9">
        <w:rPr>
          <w:b/>
          <w:lang w:val="fr-FR"/>
        </w:rPr>
        <w:t>Le Sous-Comité recommande à l’Observateur</w:t>
      </w:r>
      <w:r w:rsidR="000D4F12">
        <w:rPr>
          <w:b/>
          <w:lang w:val="fr-FR"/>
        </w:rPr>
        <w:t xml:space="preserve"> national</w:t>
      </w:r>
      <w:r w:rsidR="00675E41" w:rsidRPr="007324E9">
        <w:rPr>
          <w:b/>
          <w:lang w:val="fr-FR"/>
        </w:rPr>
        <w:t xml:space="preserve"> de procéder à l’évaluation de ses besoins budgétaires, et de préparer une proposition prévisionnelle et détaillée qu’il soumettra aux autorités compétentes, en tenant compte de tous les éléments de son mandat. L’État partie devrait consulter l’Observateur</w:t>
      </w:r>
      <w:r w:rsidR="000D4F12">
        <w:rPr>
          <w:b/>
          <w:lang w:val="fr-FR"/>
        </w:rPr>
        <w:t xml:space="preserve"> national</w:t>
      </w:r>
      <w:r w:rsidR="00675E41" w:rsidRPr="007324E9">
        <w:rPr>
          <w:b/>
          <w:lang w:val="fr-FR"/>
        </w:rPr>
        <w:t xml:space="preserve"> de manière directe et constructive en vue de déterminer la nature et l</w:t>
      </w:r>
      <w:r w:rsidR="00835C07">
        <w:rPr>
          <w:b/>
          <w:lang w:val="fr-FR"/>
        </w:rPr>
        <w:t>’</w:t>
      </w:r>
      <w:r w:rsidR="00675E41" w:rsidRPr="007324E9">
        <w:rPr>
          <w:b/>
          <w:lang w:val="fr-FR"/>
        </w:rPr>
        <w:t>étendue des ressources nécessaires lui permettant de s</w:t>
      </w:r>
      <w:r w:rsidR="00835C07">
        <w:rPr>
          <w:b/>
          <w:lang w:val="fr-FR"/>
        </w:rPr>
        <w:t>’</w:t>
      </w:r>
      <w:r w:rsidR="00675E41" w:rsidRPr="007324E9">
        <w:rPr>
          <w:b/>
          <w:lang w:val="fr-FR"/>
        </w:rPr>
        <w:t xml:space="preserve">acquitter pleinement de son mandat conformément au Protocole </w:t>
      </w:r>
      <w:r w:rsidR="00D35254">
        <w:rPr>
          <w:b/>
          <w:lang w:val="fr-FR"/>
        </w:rPr>
        <w:t>f</w:t>
      </w:r>
      <w:r w:rsidR="00675E41" w:rsidRPr="007324E9">
        <w:rPr>
          <w:b/>
          <w:lang w:val="fr-FR"/>
        </w:rPr>
        <w:t xml:space="preserve">acultatif. </w:t>
      </w:r>
    </w:p>
    <w:p w14:paraId="3E769618" w14:textId="1699DEE5" w:rsidR="00675E41" w:rsidRPr="00675E41" w:rsidRDefault="00C74FD4" w:rsidP="00C74FD4">
      <w:pPr>
        <w:pStyle w:val="ParNoG"/>
        <w:numPr>
          <w:ilvl w:val="0"/>
          <w:numId w:val="0"/>
        </w:numPr>
        <w:tabs>
          <w:tab w:val="left" w:pos="1701"/>
        </w:tabs>
        <w:ind w:left="1134"/>
      </w:pPr>
      <w:r w:rsidRPr="00675E41">
        <w:t>25.</w:t>
      </w:r>
      <w:r w:rsidRPr="00675E41">
        <w:tab/>
      </w:r>
      <w:r w:rsidR="00675E41" w:rsidRPr="00675E41">
        <w:rPr>
          <w:lang w:val="fr-FR"/>
        </w:rPr>
        <w:t xml:space="preserve">Au moment de la visite </w:t>
      </w:r>
      <w:r w:rsidR="00D35254">
        <w:rPr>
          <w:lang w:val="fr-FR"/>
        </w:rPr>
        <w:t>de la délégation</w:t>
      </w:r>
      <w:r w:rsidR="00675E41" w:rsidRPr="00675E41">
        <w:rPr>
          <w:lang w:val="fr-FR"/>
        </w:rPr>
        <w:t>, l’Observateur</w:t>
      </w:r>
      <w:r w:rsidR="005F0D5B">
        <w:rPr>
          <w:lang w:val="fr-FR"/>
        </w:rPr>
        <w:t xml:space="preserve"> national</w:t>
      </w:r>
      <w:r w:rsidR="00675E41" w:rsidRPr="00675E41">
        <w:rPr>
          <w:lang w:val="fr-FR"/>
        </w:rPr>
        <w:t xml:space="preserve"> disposait d’un effectif de 17 personnes, dont 6 femmes, y compris le personnel technique et administratif. Selon l’article 3 du </w:t>
      </w:r>
      <w:r w:rsidR="00473A82">
        <w:rPr>
          <w:lang w:val="fr-FR"/>
        </w:rPr>
        <w:t>d</w:t>
      </w:r>
      <w:r w:rsidR="00675E41" w:rsidRPr="00675E41">
        <w:rPr>
          <w:lang w:val="fr-FR"/>
        </w:rPr>
        <w:t xml:space="preserve">écret </w:t>
      </w:r>
      <w:r w:rsidR="004F2B81" w:rsidRPr="00675E41">
        <w:rPr>
          <w:lang w:val="fr-FR"/>
        </w:rPr>
        <w:t>n</w:t>
      </w:r>
      <w:r w:rsidR="004F2B81" w:rsidRPr="00FD213F">
        <w:rPr>
          <w:vertAlign w:val="superscript"/>
          <w:lang w:val="fr-FR"/>
        </w:rPr>
        <w:t>o</w:t>
      </w:r>
      <w:r w:rsidR="004F2B81">
        <w:rPr>
          <w:lang w:val="fr-FR"/>
        </w:rPr>
        <w:t> </w:t>
      </w:r>
      <w:r w:rsidR="00675E41" w:rsidRPr="00675E41">
        <w:rPr>
          <w:lang w:val="fr-FR"/>
        </w:rPr>
        <w:t>2011-842, le personnel de l’Observateur</w:t>
      </w:r>
      <w:r w:rsidR="00473A82">
        <w:rPr>
          <w:lang w:val="fr-FR"/>
        </w:rPr>
        <w:t xml:space="preserve"> national</w:t>
      </w:r>
      <w:r w:rsidR="00675E41" w:rsidRPr="00675E41">
        <w:rPr>
          <w:lang w:val="fr-FR"/>
        </w:rPr>
        <w:t xml:space="preserve"> est composé d’agents mis à sa disposition par l’</w:t>
      </w:r>
      <w:r w:rsidR="00A647E1">
        <w:rPr>
          <w:lang w:val="fr-FR"/>
        </w:rPr>
        <w:t>État</w:t>
      </w:r>
      <w:r w:rsidR="00675E41" w:rsidRPr="00675E41">
        <w:rPr>
          <w:lang w:val="fr-FR"/>
        </w:rPr>
        <w:t xml:space="preserve"> ou de personnes recrutées par l’</w:t>
      </w:r>
      <w:r w:rsidR="007C08E7">
        <w:rPr>
          <w:lang w:val="fr-FR"/>
        </w:rPr>
        <w:t>O</w:t>
      </w:r>
      <w:r w:rsidR="00675E41" w:rsidRPr="00675E41">
        <w:rPr>
          <w:lang w:val="fr-FR"/>
        </w:rPr>
        <w:t>bservateur</w:t>
      </w:r>
      <w:r w:rsidR="007C08E7">
        <w:rPr>
          <w:lang w:val="fr-FR"/>
        </w:rPr>
        <w:t xml:space="preserve"> na</w:t>
      </w:r>
      <w:r w:rsidR="00635315">
        <w:rPr>
          <w:lang w:val="fr-FR"/>
        </w:rPr>
        <w:t>tional lui-même</w:t>
      </w:r>
      <w:r w:rsidR="00675E41" w:rsidRPr="00675E41">
        <w:rPr>
          <w:lang w:val="fr-FR"/>
        </w:rPr>
        <w:t>.</w:t>
      </w:r>
    </w:p>
    <w:p w14:paraId="6668DCA0" w14:textId="648D2A3A" w:rsidR="00675E41" w:rsidRPr="00675E41" w:rsidRDefault="00C74FD4" w:rsidP="00C74FD4">
      <w:pPr>
        <w:pStyle w:val="ParNoG"/>
        <w:numPr>
          <w:ilvl w:val="0"/>
          <w:numId w:val="0"/>
        </w:numPr>
        <w:tabs>
          <w:tab w:val="left" w:pos="1701"/>
        </w:tabs>
        <w:ind w:left="1134"/>
        <w:rPr>
          <w:lang w:val="fr-FR"/>
        </w:rPr>
      </w:pPr>
      <w:r w:rsidRPr="00675E41">
        <w:rPr>
          <w:lang w:val="fr-FR"/>
        </w:rPr>
        <w:t>26.</w:t>
      </w:r>
      <w:r w:rsidRPr="00675E41">
        <w:rPr>
          <w:lang w:val="fr-FR"/>
        </w:rPr>
        <w:tab/>
      </w:r>
      <w:r w:rsidR="00675E41" w:rsidRPr="00675E41">
        <w:rPr>
          <w:lang w:val="fr-FR"/>
        </w:rPr>
        <w:t xml:space="preserve">Le Sous-Comité est préoccupé par la présence de personnel détaché par le Ministère de la </w:t>
      </w:r>
      <w:r w:rsidR="00635315">
        <w:rPr>
          <w:lang w:val="fr-FR"/>
        </w:rPr>
        <w:t>j</w:t>
      </w:r>
      <w:r w:rsidR="00675E41" w:rsidRPr="00675E41">
        <w:rPr>
          <w:lang w:val="fr-FR"/>
        </w:rPr>
        <w:t>ustice au sein du personnel de l’Observateur</w:t>
      </w:r>
      <w:r w:rsidR="00635315">
        <w:rPr>
          <w:lang w:val="fr-FR"/>
        </w:rPr>
        <w:t xml:space="preserve"> national</w:t>
      </w:r>
      <w:r w:rsidR="00675E41" w:rsidRPr="00675E41">
        <w:rPr>
          <w:lang w:val="fr-FR"/>
        </w:rPr>
        <w:t>. Cette situation pose un risque de conflit d’intérêt</w:t>
      </w:r>
      <w:r w:rsidR="0022770B">
        <w:rPr>
          <w:lang w:val="fr-FR"/>
        </w:rPr>
        <w:t>s et</w:t>
      </w:r>
      <w:r w:rsidR="00675E41" w:rsidRPr="00675E41">
        <w:rPr>
          <w:lang w:val="fr-FR"/>
        </w:rPr>
        <w:t xml:space="preserve"> </w:t>
      </w:r>
      <w:r w:rsidR="002A6DCC">
        <w:rPr>
          <w:lang w:val="fr-FR"/>
        </w:rPr>
        <w:t xml:space="preserve">de manque </w:t>
      </w:r>
      <w:r w:rsidR="00675E41" w:rsidRPr="00675E41">
        <w:rPr>
          <w:lang w:val="fr-FR"/>
        </w:rPr>
        <w:t>d’indépendance de ce personnel</w:t>
      </w:r>
      <w:r w:rsidR="002A6DCC">
        <w:rPr>
          <w:lang w:val="fr-FR"/>
        </w:rPr>
        <w:t>,</w:t>
      </w:r>
      <w:r w:rsidR="00675E41" w:rsidRPr="00675E41">
        <w:rPr>
          <w:lang w:val="fr-FR"/>
        </w:rPr>
        <w:t xml:space="preserve"> et ne garantit pas suffisamment le caractère confidentiel des activités de l’Observateur</w:t>
      </w:r>
      <w:r w:rsidR="002A6DCC">
        <w:rPr>
          <w:lang w:val="fr-FR"/>
        </w:rPr>
        <w:t xml:space="preserve"> national</w:t>
      </w:r>
      <w:r w:rsidR="00675E41" w:rsidRPr="00675E41">
        <w:rPr>
          <w:lang w:val="fr-FR"/>
        </w:rPr>
        <w:t xml:space="preserve">. De plus, en l’occurrence, le Sous-Comité est préoccupé par le fait que la quasi-totalité des observateurs délégués sont des fonctionnaires retraités de la police, de la gendarmerie et du corps des surveillants de l’administration pénitentiaire, ou d’anciens magistrats. Le Sous-Comité considère que le fait </w:t>
      </w:r>
      <w:r w:rsidR="005848AB">
        <w:rPr>
          <w:lang w:val="fr-FR"/>
        </w:rPr>
        <w:t xml:space="preserve">pour une personne </w:t>
      </w:r>
      <w:r w:rsidR="00675E41" w:rsidRPr="00675E41">
        <w:rPr>
          <w:lang w:val="fr-FR"/>
        </w:rPr>
        <w:t>d’être retraité</w:t>
      </w:r>
      <w:r w:rsidR="005848AB">
        <w:rPr>
          <w:lang w:val="fr-FR"/>
        </w:rPr>
        <w:t>e</w:t>
      </w:r>
      <w:r w:rsidR="00675E41" w:rsidRPr="00675E41">
        <w:rPr>
          <w:lang w:val="fr-FR"/>
        </w:rPr>
        <w:t xml:space="preserve"> ne garantit pas </w:t>
      </w:r>
      <w:r w:rsidR="00675E41" w:rsidRPr="00675E41">
        <w:rPr>
          <w:bCs/>
          <w:lang w:val="fr-FR"/>
        </w:rPr>
        <w:t>en soi</w:t>
      </w:r>
      <w:r w:rsidR="00675E41" w:rsidRPr="00C74FD4">
        <w:rPr>
          <w:bCs/>
          <w:lang w:val="fr-FR"/>
        </w:rPr>
        <w:t xml:space="preserve"> </w:t>
      </w:r>
      <w:r w:rsidR="005848AB">
        <w:rPr>
          <w:lang w:val="fr-FR"/>
        </w:rPr>
        <w:t xml:space="preserve">son </w:t>
      </w:r>
      <w:r w:rsidR="00675E41" w:rsidRPr="00675E41">
        <w:rPr>
          <w:lang w:val="fr-FR"/>
        </w:rPr>
        <w:t>indépendance et pourrait l’amener à accepter certaines situations qui ne devraient pas l’être. De surcro</w:t>
      </w:r>
      <w:r w:rsidR="00AF268A">
        <w:rPr>
          <w:lang w:val="fr-FR"/>
        </w:rPr>
        <w:t>î</w:t>
      </w:r>
      <w:r w:rsidR="00675E41" w:rsidRPr="00675E41">
        <w:rPr>
          <w:lang w:val="fr-FR"/>
        </w:rPr>
        <w:t>t, comme l’a constaté la délégation, cette situation pose aussi le problème de l’absence de réelle multidisciplinarité dans la composition du personnel de l’Observateur</w:t>
      </w:r>
      <w:r w:rsidR="00AF268A">
        <w:rPr>
          <w:lang w:val="fr-FR"/>
        </w:rPr>
        <w:t xml:space="preserve"> national</w:t>
      </w:r>
      <w:r w:rsidR="00675E41" w:rsidRPr="00675E41">
        <w:rPr>
          <w:lang w:val="fr-FR"/>
        </w:rPr>
        <w:t xml:space="preserve"> et des observateurs délégués, par exemple un manque de médecins, de psychiatres ou de travailleurs sociaux</w:t>
      </w:r>
      <w:r w:rsidR="00675E41" w:rsidRPr="008D052A">
        <w:rPr>
          <w:rStyle w:val="FootnoteReference"/>
        </w:rPr>
        <w:footnoteReference w:id="7"/>
      </w:r>
      <w:r w:rsidR="00675E41" w:rsidRPr="00675E41">
        <w:rPr>
          <w:lang w:val="fr-FR"/>
        </w:rPr>
        <w:t xml:space="preserve">. </w:t>
      </w:r>
    </w:p>
    <w:p w14:paraId="5FE4D205" w14:textId="628B9A4C" w:rsidR="00675E41" w:rsidRPr="007324E9" w:rsidRDefault="00C74FD4" w:rsidP="00C74FD4">
      <w:pPr>
        <w:pStyle w:val="ParNoG"/>
        <w:numPr>
          <w:ilvl w:val="0"/>
          <w:numId w:val="0"/>
        </w:numPr>
        <w:tabs>
          <w:tab w:val="left" w:pos="1701"/>
        </w:tabs>
        <w:ind w:left="1134"/>
        <w:rPr>
          <w:b/>
        </w:rPr>
      </w:pPr>
      <w:r w:rsidRPr="007324E9">
        <w:t>27.</w:t>
      </w:r>
      <w:r w:rsidRPr="007324E9">
        <w:tab/>
      </w:r>
      <w:r w:rsidR="00675E41" w:rsidRPr="007324E9">
        <w:rPr>
          <w:b/>
        </w:rPr>
        <w:t>Le Sous-Comité recommande que l</w:t>
      </w:r>
      <w:r w:rsidR="00835C07">
        <w:rPr>
          <w:b/>
        </w:rPr>
        <w:t>’</w:t>
      </w:r>
      <w:r w:rsidR="00675E41" w:rsidRPr="007324E9">
        <w:rPr>
          <w:b/>
        </w:rPr>
        <w:t>Observateur</w:t>
      </w:r>
      <w:r w:rsidR="004A1D2F">
        <w:rPr>
          <w:b/>
        </w:rPr>
        <w:t xml:space="preserve"> national</w:t>
      </w:r>
      <w:r w:rsidR="00675E41" w:rsidRPr="007324E9">
        <w:rPr>
          <w:b/>
        </w:rPr>
        <w:t xml:space="preserve"> procède au recrutement de son propre personnel en veillant à la diversification des profils qui le composent</w:t>
      </w:r>
      <w:r w:rsidR="005C71B8">
        <w:rPr>
          <w:b/>
        </w:rPr>
        <w:t>,</w:t>
      </w:r>
      <w:r w:rsidR="00675E41" w:rsidRPr="007324E9">
        <w:rPr>
          <w:b/>
        </w:rPr>
        <w:t xml:space="preserve"> et que les personnes recrutées ne soient pas en situation de conflit d’intérêt</w:t>
      </w:r>
      <w:r w:rsidR="005C71B8">
        <w:rPr>
          <w:b/>
        </w:rPr>
        <w:t>s</w:t>
      </w:r>
      <w:r w:rsidR="00675E41" w:rsidRPr="007324E9">
        <w:rPr>
          <w:b/>
        </w:rPr>
        <w:t xml:space="preserve">, réel ou perçu, et jouissent d’une totale indépendance. Il est important de souligner que tout recrutement doit être effectué </w:t>
      </w:r>
      <w:r w:rsidR="00871585">
        <w:rPr>
          <w:b/>
        </w:rPr>
        <w:t>au moyen</w:t>
      </w:r>
      <w:r w:rsidR="00675E41" w:rsidRPr="007324E9">
        <w:rPr>
          <w:b/>
        </w:rPr>
        <w:t xml:space="preserve"> de procédures publiques, transparentes et ouvertes aux différents acteurs de la société, en respectant l’équilibre des genres</w:t>
      </w:r>
      <w:r w:rsidR="00675E41" w:rsidRPr="008D052A">
        <w:rPr>
          <w:rStyle w:val="FootnoteReference"/>
        </w:rPr>
        <w:footnoteReference w:id="8"/>
      </w:r>
      <w:r w:rsidR="00675E41" w:rsidRPr="007324E9">
        <w:rPr>
          <w:b/>
        </w:rPr>
        <w:t>.</w:t>
      </w:r>
    </w:p>
    <w:p w14:paraId="6859F93C" w14:textId="695C13C3" w:rsidR="00675E41" w:rsidRPr="00675E41" w:rsidRDefault="007324E9" w:rsidP="007324E9">
      <w:pPr>
        <w:pStyle w:val="H23G"/>
      </w:pPr>
      <w:r>
        <w:lastRenderedPageBreak/>
        <w:tab/>
      </w:r>
      <w:r w:rsidR="00040243">
        <w:t>4.</w:t>
      </w:r>
      <w:r>
        <w:tab/>
      </w:r>
      <w:r w:rsidR="00675E41" w:rsidRPr="00675E41">
        <w:t>Accès aux lieux de privation de liberté</w:t>
      </w:r>
    </w:p>
    <w:p w14:paraId="5EBB5075" w14:textId="39109CF9" w:rsidR="00675E41" w:rsidRPr="00675E41" w:rsidRDefault="00C74FD4" w:rsidP="00C74FD4">
      <w:pPr>
        <w:pStyle w:val="ParNoG"/>
        <w:numPr>
          <w:ilvl w:val="0"/>
          <w:numId w:val="0"/>
        </w:numPr>
        <w:tabs>
          <w:tab w:val="left" w:pos="1701"/>
        </w:tabs>
        <w:ind w:left="1134"/>
      </w:pPr>
      <w:r w:rsidRPr="00675E41">
        <w:t>28.</w:t>
      </w:r>
      <w:r w:rsidRPr="00675E41">
        <w:tab/>
      </w:r>
      <w:r w:rsidR="00675E41" w:rsidRPr="00675E41">
        <w:rPr>
          <w:lang w:val="fr-FR"/>
        </w:rPr>
        <w:t xml:space="preserve">Dans son </w:t>
      </w:r>
      <w:r w:rsidR="00CA5CEF">
        <w:rPr>
          <w:lang w:val="fr-FR"/>
        </w:rPr>
        <w:t>précédent</w:t>
      </w:r>
      <w:r w:rsidR="00675E41" w:rsidRPr="00675E41">
        <w:rPr>
          <w:lang w:val="fr-FR"/>
        </w:rPr>
        <w:t xml:space="preserve"> rapport de visite, le Sous-Comité avait exprimé sa préoccupation au sujet d’une interprétation restrictive apportée aux pouvoirs de l’Observateur</w:t>
      </w:r>
      <w:r w:rsidR="00FD2CAA">
        <w:rPr>
          <w:lang w:val="fr-FR"/>
        </w:rPr>
        <w:t xml:space="preserve"> national</w:t>
      </w:r>
      <w:r w:rsidR="00675E41" w:rsidRPr="00675E41">
        <w:rPr>
          <w:lang w:val="fr-FR"/>
        </w:rPr>
        <w:t xml:space="preserve">, excluant certains lieux de privation de liberté tels ceux placés sous la juridiction des forces armées, plus particulièrement les casernes et les campements militaires. Dans l’état actuel de l’article 6 de la loi </w:t>
      </w:r>
      <w:r w:rsidR="004F2B81" w:rsidRPr="00675E41">
        <w:rPr>
          <w:lang w:val="fr-FR"/>
        </w:rPr>
        <w:t>n</w:t>
      </w:r>
      <w:r w:rsidR="004F2B81" w:rsidRPr="00FD213F">
        <w:rPr>
          <w:vertAlign w:val="superscript"/>
          <w:lang w:val="fr-FR"/>
        </w:rPr>
        <w:t>o</w:t>
      </w:r>
      <w:r w:rsidR="004F2B81">
        <w:rPr>
          <w:lang w:val="fr-FR"/>
        </w:rPr>
        <w:t> </w:t>
      </w:r>
      <w:r w:rsidR="00675E41" w:rsidRPr="00675E41">
        <w:rPr>
          <w:lang w:val="fr-FR"/>
        </w:rPr>
        <w:t xml:space="preserve">2009-13 et à la lumière de l’article 4 du Protocole </w:t>
      </w:r>
      <w:r w:rsidR="001523F3">
        <w:rPr>
          <w:lang w:val="fr-FR"/>
        </w:rPr>
        <w:t>f</w:t>
      </w:r>
      <w:r w:rsidR="00675E41" w:rsidRPr="00675E41">
        <w:rPr>
          <w:lang w:val="fr-FR"/>
        </w:rPr>
        <w:t>acultatif, l’Observateur</w:t>
      </w:r>
      <w:r w:rsidR="0015671A">
        <w:rPr>
          <w:lang w:val="fr-FR"/>
        </w:rPr>
        <w:t xml:space="preserve"> national</w:t>
      </w:r>
      <w:r w:rsidR="00675E41" w:rsidRPr="00675E41">
        <w:rPr>
          <w:lang w:val="fr-FR"/>
        </w:rPr>
        <w:t xml:space="preserve"> est bien habilité à visiter tout lieu où des personnes sont </w:t>
      </w:r>
      <w:r w:rsidR="008C7FD2">
        <w:rPr>
          <w:lang w:val="fr-FR"/>
        </w:rPr>
        <w:t xml:space="preserve">détenues </w:t>
      </w:r>
      <w:r w:rsidR="00675E41" w:rsidRPr="00675E41">
        <w:rPr>
          <w:lang w:val="fr-FR"/>
        </w:rPr>
        <w:t xml:space="preserve">ou peuvent </w:t>
      </w:r>
      <w:r w:rsidR="008C7FD2">
        <w:rPr>
          <w:lang w:val="fr-FR"/>
        </w:rPr>
        <w:t>l’</w:t>
      </w:r>
      <w:r w:rsidR="00675E41" w:rsidRPr="00675E41">
        <w:rPr>
          <w:lang w:val="fr-FR"/>
        </w:rPr>
        <w:t xml:space="preserve">être. De plus, </w:t>
      </w:r>
      <w:r w:rsidR="00FD7525">
        <w:rPr>
          <w:lang w:val="fr-FR"/>
        </w:rPr>
        <w:t>le Sous-Comité</w:t>
      </w:r>
      <w:r w:rsidR="00675E41" w:rsidRPr="00675E41">
        <w:rPr>
          <w:lang w:val="fr-FR"/>
        </w:rPr>
        <w:t xml:space="preserve"> prend note de l’information donnée par </w:t>
      </w:r>
      <w:r w:rsidR="00CB0E6B">
        <w:rPr>
          <w:lang w:val="fr-FR"/>
        </w:rPr>
        <w:t>l’Observateur national</w:t>
      </w:r>
      <w:r w:rsidR="00675E41" w:rsidRPr="00675E41">
        <w:rPr>
          <w:lang w:val="fr-FR"/>
        </w:rPr>
        <w:t xml:space="preserve"> </w:t>
      </w:r>
      <w:r w:rsidR="00CB0E6B">
        <w:rPr>
          <w:lang w:val="fr-FR"/>
        </w:rPr>
        <w:t>selon laquelle</w:t>
      </w:r>
      <w:r w:rsidR="00675E41" w:rsidRPr="00675E41">
        <w:rPr>
          <w:lang w:val="fr-FR"/>
        </w:rPr>
        <w:t xml:space="preserve"> les autorités auraient limité l’accès de </w:t>
      </w:r>
      <w:r w:rsidR="00CB0E6B">
        <w:rPr>
          <w:lang w:val="fr-FR"/>
        </w:rPr>
        <w:t>ce dernier</w:t>
      </w:r>
      <w:r w:rsidR="00675E41" w:rsidRPr="00675E41">
        <w:rPr>
          <w:lang w:val="fr-FR"/>
        </w:rPr>
        <w:t xml:space="preserve"> aux casernes et aux campements militaires, ce qui va à l’encontre des obligations de l’</w:t>
      </w:r>
      <w:r w:rsidR="00A647E1">
        <w:rPr>
          <w:lang w:val="fr-FR"/>
        </w:rPr>
        <w:t>État</w:t>
      </w:r>
      <w:r w:rsidR="00675E41" w:rsidRPr="00675E41">
        <w:rPr>
          <w:lang w:val="fr-FR"/>
        </w:rPr>
        <w:t xml:space="preserve"> </w:t>
      </w:r>
      <w:r w:rsidR="00CB0E6B">
        <w:rPr>
          <w:lang w:val="fr-FR"/>
        </w:rPr>
        <w:t>p</w:t>
      </w:r>
      <w:r w:rsidR="00675E41" w:rsidRPr="00675E41">
        <w:rPr>
          <w:lang w:val="fr-FR"/>
        </w:rPr>
        <w:t xml:space="preserve">artie </w:t>
      </w:r>
      <w:r w:rsidR="00CB0E6B">
        <w:rPr>
          <w:lang w:val="fr-FR"/>
        </w:rPr>
        <w:t>au titre des</w:t>
      </w:r>
      <w:r w:rsidR="00675E41" w:rsidRPr="00675E41">
        <w:rPr>
          <w:lang w:val="fr-FR"/>
        </w:rPr>
        <w:t xml:space="preserve"> articles 4, 18 et 19 du Protocole </w:t>
      </w:r>
      <w:r w:rsidR="00A647E1">
        <w:rPr>
          <w:lang w:val="fr-FR"/>
        </w:rPr>
        <w:t>f</w:t>
      </w:r>
      <w:r w:rsidR="00675E41" w:rsidRPr="00675E41">
        <w:rPr>
          <w:lang w:val="fr-FR"/>
        </w:rPr>
        <w:t>acultatif.</w:t>
      </w:r>
    </w:p>
    <w:p w14:paraId="530A744A" w14:textId="73199FB3" w:rsidR="00675E41" w:rsidRPr="007324E9" w:rsidRDefault="00C74FD4" w:rsidP="00C74FD4">
      <w:pPr>
        <w:pStyle w:val="ParNoG"/>
        <w:numPr>
          <w:ilvl w:val="0"/>
          <w:numId w:val="0"/>
        </w:numPr>
        <w:tabs>
          <w:tab w:val="left" w:pos="1701"/>
        </w:tabs>
        <w:ind w:left="1134"/>
        <w:rPr>
          <w:b/>
        </w:rPr>
      </w:pPr>
      <w:r w:rsidRPr="007324E9">
        <w:t>29.</w:t>
      </w:r>
      <w:r w:rsidRPr="007324E9">
        <w:tab/>
      </w:r>
      <w:r w:rsidR="00675E41" w:rsidRPr="007324E9">
        <w:rPr>
          <w:b/>
          <w:lang w:val="fr-FR"/>
        </w:rPr>
        <w:t>Le Sous-Comité recommande à l’Observateur</w:t>
      </w:r>
      <w:r w:rsidR="00A647E1">
        <w:rPr>
          <w:b/>
          <w:lang w:val="fr-FR"/>
        </w:rPr>
        <w:t xml:space="preserve"> national</w:t>
      </w:r>
      <w:r w:rsidR="00675E41" w:rsidRPr="007324E9">
        <w:rPr>
          <w:b/>
          <w:lang w:val="fr-FR"/>
        </w:rPr>
        <w:t xml:space="preserve"> d’exercer pleinement son mandat</w:t>
      </w:r>
      <w:r w:rsidR="00A647E1">
        <w:rPr>
          <w:b/>
          <w:lang w:val="fr-FR"/>
        </w:rPr>
        <w:t>,</w:t>
      </w:r>
      <w:r w:rsidR="00675E41" w:rsidRPr="007324E9">
        <w:rPr>
          <w:b/>
          <w:lang w:val="fr-FR"/>
        </w:rPr>
        <w:t xml:space="preserve"> </w:t>
      </w:r>
      <w:r w:rsidR="00A647E1">
        <w:rPr>
          <w:b/>
          <w:lang w:val="fr-FR"/>
        </w:rPr>
        <w:t>lequel inclut</w:t>
      </w:r>
      <w:r w:rsidR="00675E41" w:rsidRPr="007324E9">
        <w:rPr>
          <w:b/>
          <w:lang w:val="fr-FR"/>
        </w:rPr>
        <w:t xml:space="preserve"> l’accès à tous les établissements de privation de liberté, y compris toutes les installations militaires placées sous le contrôle du Ministère des forces armées. En cas de difficultés liées à l’exercice de ses activités de visite de lieux de privation de liberté, l’Observateur</w:t>
      </w:r>
      <w:r w:rsidR="00A647E1">
        <w:rPr>
          <w:b/>
          <w:lang w:val="fr-FR"/>
        </w:rPr>
        <w:t xml:space="preserve"> national</w:t>
      </w:r>
      <w:r w:rsidR="00675E41" w:rsidRPr="007324E9">
        <w:rPr>
          <w:b/>
          <w:lang w:val="fr-FR"/>
        </w:rPr>
        <w:t xml:space="preserve"> doit rappeler aux autorités étatiques les dispositions du Protocole</w:t>
      </w:r>
      <w:r w:rsidR="00A647E1">
        <w:rPr>
          <w:b/>
          <w:lang w:val="fr-FR"/>
        </w:rPr>
        <w:t xml:space="preserve"> facultatif</w:t>
      </w:r>
      <w:r w:rsidR="00675E41" w:rsidRPr="007324E9">
        <w:rPr>
          <w:b/>
          <w:lang w:val="fr-FR"/>
        </w:rPr>
        <w:t xml:space="preserve"> et</w:t>
      </w:r>
      <w:r w:rsidR="00A647E1">
        <w:rPr>
          <w:b/>
          <w:lang w:val="fr-FR"/>
        </w:rPr>
        <w:t>,</w:t>
      </w:r>
      <w:r w:rsidR="00675E41" w:rsidRPr="007324E9">
        <w:rPr>
          <w:b/>
          <w:lang w:val="fr-FR"/>
        </w:rPr>
        <w:t xml:space="preserve"> si </w:t>
      </w:r>
      <w:r w:rsidR="00A647E1">
        <w:rPr>
          <w:b/>
          <w:lang w:val="fr-FR"/>
        </w:rPr>
        <w:t>le problème</w:t>
      </w:r>
      <w:r w:rsidR="00675E41" w:rsidRPr="007324E9">
        <w:rPr>
          <w:b/>
          <w:lang w:val="fr-FR"/>
        </w:rPr>
        <w:t xml:space="preserve"> n’est pas résolu, informer le Sous-Comité</w:t>
      </w:r>
      <w:r w:rsidR="00A647E1">
        <w:rPr>
          <w:b/>
          <w:lang w:val="fr-FR"/>
        </w:rPr>
        <w:t xml:space="preserve"> de la situation</w:t>
      </w:r>
      <w:r w:rsidR="00675E41" w:rsidRPr="007324E9">
        <w:rPr>
          <w:b/>
          <w:lang w:val="fr-FR"/>
        </w:rPr>
        <w:t>.</w:t>
      </w:r>
    </w:p>
    <w:p w14:paraId="531C2847" w14:textId="05033FEA" w:rsidR="00675E41" w:rsidRPr="00675E41" w:rsidRDefault="00675E41" w:rsidP="007324E9">
      <w:pPr>
        <w:pStyle w:val="H23G"/>
      </w:pPr>
      <w:r w:rsidRPr="00675E41">
        <w:tab/>
      </w:r>
      <w:r w:rsidR="00040243">
        <w:t>5.</w:t>
      </w:r>
      <w:r w:rsidR="007324E9">
        <w:tab/>
      </w:r>
      <w:r w:rsidR="00A647E1">
        <w:t>C</w:t>
      </w:r>
      <w:r w:rsidRPr="00675E41">
        <w:t xml:space="preserve">as particulier des </w:t>
      </w:r>
      <w:r w:rsidR="008B3CA2" w:rsidRPr="00C74FD4">
        <w:rPr>
          <w:iCs/>
        </w:rPr>
        <w:t>d</w:t>
      </w:r>
      <w:r w:rsidRPr="00C74FD4">
        <w:rPr>
          <w:iCs/>
        </w:rPr>
        <w:t>aaras</w:t>
      </w:r>
    </w:p>
    <w:p w14:paraId="7A420D1F" w14:textId="2EE06F46" w:rsidR="00675E41" w:rsidRPr="00675E41" w:rsidRDefault="00C74FD4" w:rsidP="00C74FD4">
      <w:pPr>
        <w:pStyle w:val="ParNoG"/>
        <w:numPr>
          <w:ilvl w:val="0"/>
          <w:numId w:val="0"/>
        </w:numPr>
        <w:tabs>
          <w:tab w:val="left" w:pos="1701"/>
        </w:tabs>
        <w:ind w:left="1134"/>
      </w:pPr>
      <w:r w:rsidRPr="00675E41">
        <w:t>30.</w:t>
      </w:r>
      <w:r w:rsidRPr="00675E41">
        <w:tab/>
      </w:r>
      <w:r w:rsidR="00675E41" w:rsidRPr="00675E41">
        <w:t xml:space="preserve">Le Sous-Comité a été </w:t>
      </w:r>
      <w:r w:rsidR="008B3CA2">
        <w:t>informé</w:t>
      </w:r>
      <w:r w:rsidR="00675E41" w:rsidRPr="00675E41">
        <w:t xml:space="preserve">, </w:t>
      </w:r>
      <w:r w:rsidR="008B3CA2">
        <w:t>par suite de la</w:t>
      </w:r>
      <w:r w:rsidR="00675E41" w:rsidRPr="00675E41">
        <w:t xml:space="preserve"> visite</w:t>
      </w:r>
      <w:r w:rsidR="008B3CA2">
        <w:t xml:space="preserve"> de la délégation</w:t>
      </w:r>
      <w:r w:rsidR="00675E41" w:rsidRPr="00675E41">
        <w:t xml:space="preserve"> et après que son attention a été attirée </w:t>
      </w:r>
      <w:r w:rsidR="008B3CA2">
        <w:t xml:space="preserve">sur le sujet </w:t>
      </w:r>
      <w:r w:rsidR="00675E41" w:rsidRPr="00675E41">
        <w:t xml:space="preserve">par plusieurs entités, y compris officielles, </w:t>
      </w:r>
      <w:r w:rsidR="008B3CA2">
        <w:t>de</w:t>
      </w:r>
      <w:r w:rsidR="00675E41" w:rsidRPr="00675E41">
        <w:t xml:space="preserve"> l’existence de certaines écoles coraniques (</w:t>
      </w:r>
      <w:r w:rsidR="00675E41" w:rsidRPr="00C74FD4">
        <w:rPr>
          <w:iCs/>
        </w:rPr>
        <w:t>daaras)</w:t>
      </w:r>
      <w:r w:rsidR="00675E41" w:rsidRPr="00675E41">
        <w:t xml:space="preserve"> fonctionnant en régime fermé, qui maltraiteraient des enfants et les forceraient à mendier</w:t>
      </w:r>
      <w:r w:rsidR="008A34A3">
        <w:t>. Ces</w:t>
      </w:r>
      <w:r w:rsidR="008A34A3" w:rsidRPr="00675E41">
        <w:t xml:space="preserve"> informations </w:t>
      </w:r>
      <w:r w:rsidR="008A34A3">
        <w:t>disponibles</w:t>
      </w:r>
      <w:r w:rsidR="008A34A3" w:rsidRPr="00675E41">
        <w:t xml:space="preserve"> dans le domaine public font </w:t>
      </w:r>
      <w:r w:rsidR="008A34A3">
        <w:t xml:space="preserve">en effet </w:t>
      </w:r>
      <w:r w:rsidR="008A34A3" w:rsidRPr="00675E41">
        <w:t>état, dans certaines de ces écoles, de cas de mauvais traitements et</w:t>
      </w:r>
      <w:r w:rsidR="008A34A3">
        <w:t>,</w:t>
      </w:r>
      <w:r w:rsidR="008A34A3" w:rsidRPr="00675E41">
        <w:t xml:space="preserve"> dans d’autres, de cas de torture, de viols et même de morts violentes</w:t>
      </w:r>
      <w:r w:rsidR="008A34A3">
        <w:t>, constatés notamment</w:t>
      </w:r>
      <w:r w:rsidR="008A34A3" w:rsidRPr="008A34A3">
        <w:t xml:space="preserve"> </w:t>
      </w:r>
      <w:r w:rsidR="008A34A3" w:rsidRPr="00675E41">
        <w:t>par les autorités officielles</w:t>
      </w:r>
      <w:r w:rsidR="00675E41" w:rsidRPr="008D052A">
        <w:rPr>
          <w:rStyle w:val="FootnoteReference"/>
        </w:rPr>
        <w:footnoteReference w:id="9"/>
      </w:r>
      <w:r w:rsidR="00675E41" w:rsidRPr="00675E41">
        <w:t>. Ainsi alerté</w:t>
      </w:r>
      <w:r w:rsidR="008A34A3">
        <w:t>e</w:t>
      </w:r>
      <w:r w:rsidR="00675E41" w:rsidRPr="00675E41">
        <w:t xml:space="preserve">, la délégation a visité deux </w:t>
      </w:r>
      <w:r w:rsidR="00675E41" w:rsidRPr="00C74FD4">
        <w:rPr>
          <w:iCs/>
        </w:rPr>
        <w:t>daaras</w:t>
      </w:r>
      <w:r w:rsidR="00675E41" w:rsidRPr="00675E41">
        <w:t xml:space="preserve"> à Dakar, l’une s’étant révélée être une école coranique fonctionnant en régime ouvert et l’autre en régime fermé. Si la première école </w:t>
      </w:r>
      <w:r w:rsidR="008A1AB7">
        <w:t>n’entrait</w:t>
      </w:r>
      <w:r w:rsidR="00675E41" w:rsidRPr="00675E41">
        <w:t xml:space="preserve"> évidemment pas dans la définition de l’article 4 du Protocole </w:t>
      </w:r>
      <w:r w:rsidR="008A34A3">
        <w:t>f</w:t>
      </w:r>
      <w:r w:rsidR="00675E41" w:rsidRPr="00675E41">
        <w:t xml:space="preserve">acultatif, la seconde remplissait bien </w:t>
      </w:r>
      <w:r w:rsidR="008A34A3">
        <w:t>l’</w:t>
      </w:r>
      <w:r w:rsidR="00675E41" w:rsidRPr="00675E41">
        <w:t xml:space="preserve">un de ces critères ; le Sous-Comité, en tant que garant du Protocole </w:t>
      </w:r>
      <w:r w:rsidR="008A34A3">
        <w:t>f</w:t>
      </w:r>
      <w:r w:rsidR="00675E41" w:rsidRPr="00675E41">
        <w:t xml:space="preserve">acultatif, notamment </w:t>
      </w:r>
      <w:r w:rsidR="007C1E72">
        <w:t xml:space="preserve">de </w:t>
      </w:r>
      <w:r w:rsidR="00675E41" w:rsidRPr="00675E41">
        <w:t xml:space="preserve">son article 4, estime en effet que les </w:t>
      </w:r>
      <w:r w:rsidR="00675E41" w:rsidRPr="00C74FD4">
        <w:rPr>
          <w:iCs/>
        </w:rPr>
        <w:t>daaras</w:t>
      </w:r>
      <w:r w:rsidR="00675E41" w:rsidRPr="00675E41">
        <w:t xml:space="preserve"> fermées sont des lieux où se trouvent ou pourraient se trouver des personnes privées de liberté avec le consentement tacite de l’</w:t>
      </w:r>
      <w:r w:rsidR="00A647E1">
        <w:t>État</w:t>
      </w:r>
      <w:r w:rsidR="00675E41" w:rsidRPr="00675E41">
        <w:t xml:space="preserve"> partie. Dans ces écoles à régime fermé, les enfants sont placés en internat et confiés à un maître religieux en vue de recevoir une éducation gratuite, avec l’obligation de mendier pour ramener de l’argent ou des denrées alimentaires afin de subvenir aux besoins de l’école. Le Sous-Comité a été informé par l’Observateur</w:t>
      </w:r>
      <w:r w:rsidR="008A34A3">
        <w:t xml:space="preserve"> national</w:t>
      </w:r>
      <w:r w:rsidR="00675E41" w:rsidRPr="00675E41">
        <w:t xml:space="preserve"> que ce dernier n’effectuait pas de visite</w:t>
      </w:r>
      <w:r w:rsidR="008A34A3">
        <w:t>s</w:t>
      </w:r>
      <w:r w:rsidR="00675E41" w:rsidRPr="00675E41">
        <w:t xml:space="preserve"> dans les </w:t>
      </w:r>
      <w:r w:rsidR="00675E41" w:rsidRPr="00C74FD4">
        <w:rPr>
          <w:iCs/>
        </w:rPr>
        <w:t>daaras,</w:t>
      </w:r>
      <w:r w:rsidR="00675E41" w:rsidRPr="00675E41">
        <w:t xml:space="preserve"> considérant que ces institutions n’entraient pas dans le champ d’application de son mandat. </w:t>
      </w:r>
    </w:p>
    <w:p w14:paraId="52FE5C97" w14:textId="0FCFB85D" w:rsidR="00675E41" w:rsidRPr="000409B4" w:rsidRDefault="00C74FD4" w:rsidP="00C74FD4">
      <w:pPr>
        <w:pStyle w:val="ParNoG"/>
        <w:numPr>
          <w:ilvl w:val="0"/>
          <w:numId w:val="0"/>
        </w:numPr>
        <w:tabs>
          <w:tab w:val="left" w:pos="1701"/>
        </w:tabs>
        <w:ind w:left="1134"/>
        <w:rPr>
          <w:b/>
        </w:rPr>
      </w:pPr>
      <w:r w:rsidRPr="000409B4">
        <w:t>31.</w:t>
      </w:r>
      <w:r w:rsidRPr="000409B4">
        <w:tab/>
      </w:r>
      <w:r w:rsidR="00675E41" w:rsidRPr="000409B4">
        <w:rPr>
          <w:b/>
        </w:rPr>
        <w:t xml:space="preserve">Très préoccupé par les constatations </w:t>
      </w:r>
      <w:r w:rsidR="008A34A3">
        <w:rPr>
          <w:b/>
        </w:rPr>
        <w:t>que la délégation</w:t>
      </w:r>
      <w:r w:rsidR="00675E41" w:rsidRPr="000409B4">
        <w:rPr>
          <w:b/>
        </w:rPr>
        <w:t xml:space="preserve"> a fait</w:t>
      </w:r>
      <w:r w:rsidR="008A34A3">
        <w:rPr>
          <w:b/>
        </w:rPr>
        <w:t>es</w:t>
      </w:r>
      <w:r w:rsidR="00675E41" w:rsidRPr="000409B4">
        <w:rPr>
          <w:b/>
        </w:rPr>
        <w:t xml:space="preserve"> sur place, le Sous-Comité considère que les </w:t>
      </w:r>
      <w:r w:rsidR="00675E41" w:rsidRPr="00C74FD4">
        <w:rPr>
          <w:b/>
        </w:rPr>
        <w:t>daaras</w:t>
      </w:r>
      <w:r w:rsidR="00675E41" w:rsidRPr="000409B4">
        <w:rPr>
          <w:b/>
          <w:i/>
          <w:iCs/>
        </w:rPr>
        <w:t xml:space="preserve"> </w:t>
      </w:r>
      <w:r w:rsidR="00675E41" w:rsidRPr="000409B4">
        <w:rPr>
          <w:b/>
          <w:iCs/>
        </w:rPr>
        <w:t>fonctionnant en régime</w:t>
      </w:r>
      <w:r w:rsidR="00675E41" w:rsidRPr="000409B4">
        <w:rPr>
          <w:b/>
          <w:i/>
          <w:iCs/>
        </w:rPr>
        <w:t xml:space="preserve"> </w:t>
      </w:r>
      <w:r w:rsidR="00675E41" w:rsidRPr="000409B4">
        <w:rPr>
          <w:b/>
        </w:rPr>
        <w:t xml:space="preserve">fermé sont des lieux de privation de liberté au sens de l’article 4 du Protocole </w:t>
      </w:r>
      <w:r w:rsidR="008A34A3">
        <w:rPr>
          <w:b/>
        </w:rPr>
        <w:t>f</w:t>
      </w:r>
      <w:r w:rsidR="00675E41" w:rsidRPr="000409B4">
        <w:rPr>
          <w:b/>
        </w:rPr>
        <w:t xml:space="preserve">acultatif et entrent ainsi dans le domaine de compétence et le mandat du </w:t>
      </w:r>
      <w:r w:rsidR="008A34A3">
        <w:rPr>
          <w:b/>
        </w:rPr>
        <w:t>m</w:t>
      </w:r>
      <w:r w:rsidR="00675E41" w:rsidRPr="000409B4">
        <w:rPr>
          <w:b/>
        </w:rPr>
        <w:t xml:space="preserve">écanisme </w:t>
      </w:r>
      <w:r w:rsidR="008A34A3">
        <w:rPr>
          <w:b/>
        </w:rPr>
        <w:t>n</w:t>
      </w:r>
      <w:r w:rsidR="00675E41" w:rsidRPr="000409B4">
        <w:rPr>
          <w:b/>
        </w:rPr>
        <w:t xml:space="preserve">ational de </w:t>
      </w:r>
      <w:r w:rsidR="008A34A3">
        <w:rPr>
          <w:b/>
        </w:rPr>
        <w:t>p</w:t>
      </w:r>
      <w:r w:rsidR="00675E41" w:rsidRPr="000409B4">
        <w:rPr>
          <w:b/>
        </w:rPr>
        <w:t>révention du Sénégal. Considérant les allégations de mauvais traitements qu’il a recueillies, ainsi que celles déjà disponibles dans le domaine public</w:t>
      </w:r>
      <w:r w:rsidR="00675E41" w:rsidRPr="008D052A">
        <w:rPr>
          <w:rStyle w:val="FootnoteReference"/>
        </w:rPr>
        <w:footnoteReference w:id="10"/>
      </w:r>
      <w:r w:rsidR="00675E41" w:rsidRPr="000409B4">
        <w:rPr>
          <w:b/>
        </w:rPr>
        <w:t xml:space="preserve">, le Sous-Comité </w:t>
      </w:r>
      <w:r w:rsidR="00675E41" w:rsidRPr="000409B4">
        <w:rPr>
          <w:b/>
          <w:lang w:val="fr-FR"/>
        </w:rPr>
        <w:t xml:space="preserve">recommande que </w:t>
      </w:r>
      <w:r w:rsidR="00675E41" w:rsidRPr="000409B4">
        <w:rPr>
          <w:b/>
          <w:lang w:val="fr-FR"/>
        </w:rPr>
        <w:lastRenderedPageBreak/>
        <w:t>l’Observateur</w:t>
      </w:r>
      <w:r w:rsidR="00DB54C5">
        <w:rPr>
          <w:b/>
          <w:lang w:val="fr-FR"/>
        </w:rPr>
        <w:t xml:space="preserve"> national</w:t>
      </w:r>
      <w:r w:rsidR="00675E41" w:rsidRPr="000409B4">
        <w:rPr>
          <w:b/>
          <w:lang w:val="fr-FR"/>
        </w:rPr>
        <w:t xml:space="preserve"> visite ces institutions pour y exercer son mandat préventif mais également pour aider l’</w:t>
      </w:r>
      <w:r w:rsidR="00A647E1">
        <w:rPr>
          <w:b/>
          <w:lang w:val="fr-FR"/>
        </w:rPr>
        <w:t>État</w:t>
      </w:r>
      <w:r w:rsidR="00675E41" w:rsidRPr="000409B4">
        <w:rPr>
          <w:b/>
          <w:lang w:val="fr-FR"/>
        </w:rPr>
        <w:t xml:space="preserve"> </w:t>
      </w:r>
      <w:r w:rsidR="00DB54C5">
        <w:rPr>
          <w:b/>
          <w:lang w:val="fr-FR"/>
        </w:rPr>
        <w:t>p</w:t>
      </w:r>
      <w:r w:rsidR="00675E41" w:rsidRPr="000409B4">
        <w:rPr>
          <w:b/>
          <w:lang w:val="fr-FR"/>
        </w:rPr>
        <w:t xml:space="preserve">artie </w:t>
      </w:r>
      <w:r w:rsidR="00DB54C5">
        <w:rPr>
          <w:b/>
          <w:lang w:val="fr-FR"/>
        </w:rPr>
        <w:t>en lui adressant</w:t>
      </w:r>
      <w:r w:rsidR="00675E41" w:rsidRPr="000409B4">
        <w:rPr>
          <w:b/>
          <w:lang w:val="fr-FR"/>
        </w:rPr>
        <w:t xml:space="preserve"> des recommandations </w:t>
      </w:r>
      <w:r w:rsidR="006E15EF">
        <w:rPr>
          <w:b/>
          <w:lang w:val="fr-FR"/>
        </w:rPr>
        <w:t>significatives</w:t>
      </w:r>
      <w:r w:rsidR="00675E41" w:rsidRPr="000409B4">
        <w:rPr>
          <w:b/>
          <w:lang w:val="fr-FR"/>
        </w:rPr>
        <w:t xml:space="preserve"> et ciblées, afin d’y prévenir tous les mauvais traitements, y compris l’obligation de mendier.</w:t>
      </w:r>
    </w:p>
    <w:p w14:paraId="0332F04A" w14:textId="34C3A1FE" w:rsidR="00675E41" w:rsidRPr="00675E41" w:rsidRDefault="00161A5F" w:rsidP="000409B4">
      <w:pPr>
        <w:pStyle w:val="H23G"/>
      </w:pPr>
      <w:r>
        <w:tab/>
      </w:r>
      <w:r w:rsidR="00040243">
        <w:t>6.</w:t>
      </w:r>
      <w:r>
        <w:tab/>
      </w:r>
      <w:r>
        <w:tab/>
      </w:r>
      <w:r w:rsidR="00675E41" w:rsidRPr="00675E41">
        <w:t>Visibilité</w:t>
      </w:r>
    </w:p>
    <w:p w14:paraId="5438FBC8" w14:textId="2921C6AE" w:rsidR="00675E41" w:rsidRPr="00675E41" w:rsidRDefault="00C74FD4" w:rsidP="00C74FD4">
      <w:pPr>
        <w:pStyle w:val="ParNoG"/>
        <w:numPr>
          <w:ilvl w:val="0"/>
          <w:numId w:val="0"/>
        </w:numPr>
        <w:tabs>
          <w:tab w:val="left" w:pos="1701"/>
        </w:tabs>
        <w:ind w:left="1134"/>
      </w:pPr>
      <w:r w:rsidRPr="00675E41">
        <w:t>32.</w:t>
      </w:r>
      <w:r w:rsidRPr="00675E41">
        <w:tab/>
      </w:r>
      <w:r w:rsidR="00675E41" w:rsidRPr="00675E41">
        <w:rPr>
          <w:lang w:val="fr-FR"/>
        </w:rPr>
        <w:t>Le Sous-Comité félicite l’Observateur</w:t>
      </w:r>
      <w:r w:rsidR="00DB54C5">
        <w:rPr>
          <w:lang w:val="fr-FR"/>
        </w:rPr>
        <w:t xml:space="preserve"> national</w:t>
      </w:r>
      <w:r w:rsidR="00675E41" w:rsidRPr="00675E41">
        <w:rPr>
          <w:lang w:val="fr-FR"/>
        </w:rPr>
        <w:t xml:space="preserve"> pour les efforts déployés </w:t>
      </w:r>
      <w:r w:rsidR="00DB54C5">
        <w:rPr>
          <w:lang w:val="fr-FR"/>
        </w:rPr>
        <w:t>afin</w:t>
      </w:r>
      <w:r w:rsidR="00675E41" w:rsidRPr="00675E41">
        <w:rPr>
          <w:lang w:val="fr-FR"/>
        </w:rPr>
        <w:t xml:space="preserve"> qu’il ait une visibilité effective, la délégation ayant constaté que la majorité du personnel de l’administration pénitentiaire et de nombreuses personnes privées de liberté connaissaient l’Observateur</w:t>
      </w:r>
      <w:r w:rsidR="00DB54C5">
        <w:rPr>
          <w:lang w:val="fr-FR"/>
        </w:rPr>
        <w:t xml:space="preserve"> national</w:t>
      </w:r>
      <w:r w:rsidR="00675E41" w:rsidRPr="00675E41">
        <w:rPr>
          <w:lang w:val="fr-FR"/>
        </w:rPr>
        <w:t>.</w:t>
      </w:r>
    </w:p>
    <w:p w14:paraId="29200AA4" w14:textId="48741A4D" w:rsidR="00675E41" w:rsidRPr="00675E41" w:rsidRDefault="00C74FD4" w:rsidP="00C74FD4">
      <w:pPr>
        <w:pStyle w:val="ParNoG"/>
        <w:numPr>
          <w:ilvl w:val="0"/>
          <w:numId w:val="0"/>
        </w:numPr>
        <w:tabs>
          <w:tab w:val="left" w:pos="1701"/>
        </w:tabs>
        <w:ind w:left="1134"/>
        <w:rPr>
          <w:b/>
          <w:bCs/>
          <w:lang w:val="fr-FR"/>
        </w:rPr>
      </w:pPr>
      <w:r w:rsidRPr="00675E41">
        <w:rPr>
          <w:bCs/>
          <w:lang w:val="fr-FR"/>
        </w:rPr>
        <w:t>33.</w:t>
      </w:r>
      <w:r w:rsidRPr="00675E41">
        <w:rPr>
          <w:bCs/>
          <w:lang w:val="fr-FR"/>
        </w:rPr>
        <w:tab/>
      </w:r>
      <w:r w:rsidR="00675E41" w:rsidRPr="00675E41">
        <w:rPr>
          <w:lang w:val="fr-FR"/>
        </w:rPr>
        <w:t>La délégation a apprécié la visibilité des équipes de visite des lieux de privation de liberté</w:t>
      </w:r>
      <w:r w:rsidR="00DB54C5">
        <w:rPr>
          <w:lang w:val="fr-FR"/>
        </w:rPr>
        <w:t>,</w:t>
      </w:r>
      <w:r w:rsidR="00675E41" w:rsidRPr="00675E41">
        <w:rPr>
          <w:lang w:val="fr-FR"/>
        </w:rPr>
        <w:t xml:space="preserve"> qui étaient dotées de vestes indiquant clairement leur appartenance à l’Observateur</w:t>
      </w:r>
      <w:r w:rsidR="00DB54C5">
        <w:rPr>
          <w:lang w:val="fr-FR"/>
        </w:rPr>
        <w:t xml:space="preserve"> national</w:t>
      </w:r>
      <w:r w:rsidR="00675E41" w:rsidRPr="00675E41">
        <w:rPr>
          <w:lang w:val="fr-FR"/>
        </w:rPr>
        <w:t xml:space="preserve">. De plus, </w:t>
      </w:r>
      <w:r w:rsidR="00DB54C5">
        <w:rPr>
          <w:lang w:val="fr-FR"/>
        </w:rPr>
        <w:t>la délégation</w:t>
      </w:r>
      <w:r w:rsidR="00675E41" w:rsidRPr="00675E41">
        <w:rPr>
          <w:lang w:val="fr-FR"/>
        </w:rPr>
        <w:t xml:space="preserve"> a trouvé des affiches informatives conçues par l’Observateur</w:t>
      </w:r>
      <w:r w:rsidR="00DB54C5">
        <w:rPr>
          <w:lang w:val="fr-FR"/>
        </w:rPr>
        <w:t xml:space="preserve"> national</w:t>
      </w:r>
      <w:r w:rsidR="00675E41" w:rsidRPr="00675E41">
        <w:rPr>
          <w:lang w:val="fr-FR"/>
        </w:rPr>
        <w:t xml:space="preserve"> au sein de la plupart des lieux de privation de liberté visités, ce qui constitue une pratique très positive, également pour la prévention de la torture et des mauvais traitements.</w:t>
      </w:r>
      <w:r w:rsidR="00675E41" w:rsidRPr="00675E41">
        <w:rPr>
          <w:b/>
          <w:bCs/>
          <w:lang w:val="fr-FR"/>
        </w:rPr>
        <w:t xml:space="preserve"> </w:t>
      </w:r>
    </w:p>
    <w:p w14:paraId="4D44FE09" w14:textId="39F0081D" w:rsidR="00675E41" w:rsidRPr="00161A5F" w:rsidRDefault="00C74FD4" w:rsidP="00C74FD4">
      <w:pPr>
        <w:pStyle w:val="ParNoG"/>
        <w:numPr>
          <w:ilvl w:val="0"/>
          <w:numId w:val="0"/>
        </w:numPr>
        <w:tabs>
          <w:tab w:val="left" w:pos="1701"/>
        </w:tabs>
        <w:ind w:left="1134"/>
        <w:rPr>
          <w:b/>
        </w:rPr>
      </w:pPr>
      <w:r w:rsidRPr="00161A5F">
        <w:t>34.</w:t>
      </w:r>
      <w:r w:rsidRPr="00161A5F">
        <w:tab/>
      </w:r>
      <w:r w:rsidR="00675E41" w:rsidRPr="00161A5F">
        <w:rPr>
          <w:b/>
          <w:lang w:val="fr-FR"/>
        </w:rPr>
        <w:t>Le Sous-Comité recommande à l’Observateur</w:t>
      </w:r>
      <w:r w:rsidR="00DB54C5">
        <w:rPr>
          <w:b/>
          <w:lang w:val="fr-FR"/>
        </w:rPr>
        <w:t xml:space="preserve"> national</w:t>
      </w:r>
      <w:r w:rsidR="00675E41" w:rsidRPr="00161A5F">
        <w:rPr>
          <w:b/>
          <w:lang w:val="fr-FR"/>
        </w:rPr>
        <w:t xml:space="preserve"> de poursuivre ses efforts de sensibilisation au sein de la société sénégalaise, tout en ayant à l’esprit de projeter une image proportionnée à son mandat</w:t>
      </w:r>
      <w:r w:rsidR="0004684C">
        <w:rPr>
          <w:b/>
          <w:lang w:val="fr-FR"/>
        </w:rPr>
        <w:t xml:space="preserve"> et</w:t>
      </w:r>
      <w:r w:rsidR="00675E41" w:rsidRPr="00161A5F">
        <w:rPr>
          <w:b/>
          <w:lang w:val="fr-FR"/>
        </w:rPr>
        <w:t xml:space="preserve"> en évitant </w:t>
      </w:r>
      <w:r w:rsidR="00DB54C5">
        <w:rPr>
          <w:b/>
          <w:lang w:val="fr-FR"/>
        </w:rPr>
        <w:t xml:space="preserve">de susciter des </w:t>
      </w:r>
      <w:r w:rsidR="00675E41" w:rsidRPr="00161A5F">
        <w:rPr>
          <w:b/>
          <w:lang w:val="fr-FR"/>
        </w:rPr>
        <w:t xml:space="preserve">attentes qui ne correspondent pas à </w:t>
      </w:r>
      <w:r w:rsidR="0004684C">
        <w:rPr>
          <w:b/>
          <w:lang w:val="fr-FR"/>
        </w:rPr>
        <w:t>ce dernier</w:t>
      </w:r>
      <w:r w:rsidR="00675E41" w:rsidRPr="00161A5F">
        <w:rPr>
          <w:b/>
          <w:lang w:val="fr-FR"/>
        </w:rPr>
        <w:t xml:space="preserve">, telles que l’assistance sociojuridique gratuite ou le traitement des plaintes individuelles des personnes privées de liberté. Dans tous </w:t>
      </w:r>
      <w:r w:rsidR="00075BA2">
        <w:rPr>
          <w:b/>
          <w:lang w:val="fr-FR"/>
        </w:rPr>
        <w:t>ses</w:t>
      </w:r>
      <w:r w:rsidR="00675E41" w:rsidRPr="00161A5F">
        <w:rPr>
          <w:b/>
          <w:lang w:val="fr-FR"/>
        </w:rPr>
        <w:t xml:space="preserve"> efforts de communication, l’Observateur</w:t>
      </w:r>
      <w:r w:rsidR="00075BA2">
        <w:rPr>
          <w:b/>
          <w:lang w:val="fr-FR"/>
        </w:rPr>
        <w:t xml:space="preserve"> national</w:t>
      </w:r>
      <w:r w:rsidR="00675E41" w:rsidRPr="00161A5F">
        <w:rPr>
          <w:b/>
          <w:lang w:val="fr-FR"/>
        </w:rPr>
        <w:t xml:space="preserve"> </w:t>
      </w:r>
      <w:r w:rsidR="008C2985">
        <w:rPr>
          <w:b/>
          <w:lang w:val="fr-FR"/>
        </w:rPr>
        <w:t>doit</w:t>
      </w:r>
      <w:r w:rsidR="00675E41" w:rsidRPr="00161A5F">
        <w:rPr>
          <w:b/>
          <w:lang w:val="fr-FR"/>
        </w:rPr>
        <w:t xml:space="preserve"> mettre l’accent sur l’aspect préventif de son mandat et </w:t>
      </w:r>
      <w:r w:rsidR="00AD58C3">
        <w:rPr>
          <w:b/>
          <w:lang w:val="fr-FR"/>
        </w:rPr>
        <w:t xml:space="preserve">le caractère confidentiel de </w:t>
      </w:r>
      <w:r w:rsidR="00675E41" w:rsidRPr="00161A5F">
        <w:rPr>
          <w:b/>
          <w:lang w:val="fr-FR"/>
        </w:rPr>
        <w:t>son travail.</w:t>
      </w:r>
    </w:p>
    <w:p w14:paraId="6AD26B8B" w14:textId="77777777" w:rsidR="00675E41" w:rsidRPr="00675E41" w:rsidRDefault="00675E41" w:rsidP="00161A5F">
      <w:pPr>
        <w:pStyle w:val="H1G"/>
      </w:pPr>
      <w:r w:rsidRPr="00675E41">
        <w:tab/>
      </w:r>
      <w:r w:rsidR="00161A5F">
        <w:t>B.</w:t>
      </w:r>
      <w:r w:rsidR="00161A5F">
        <w:tab/>
      </w:r>
      <w:r w:rsidRPr="00675E41">
        <w:t>Recommandations sur la méthode à suivre concernant les visites</w:t>
      </w:r>
    </w:p>
    <w:p w14:paraId="2574B041" w14:textId="61955BCF" w:rsidR="00675E41" w:rsidRPr="00675E41" w:rsidRDefault="00C74FD4" w:rsidP="00C74FD4">
      <w:pPr>
        <w:pStyle w:val="ParNoG"/>
        <w:numPr>
          <w:ilvl w:val="0"/>
          <w:numId w:val="0"/>
        </w:numPr>
        <w:tabs>
          <w:tab w:val="left" w:pos="1701"/>
        </w:tabs>
        <w:ind w:left="1134"/>
      </w:pPr>
      <w:r w:rsidRPr="00675E41">
        <w:t>35.</w:t>
      </w:r>
      <w:r w:rsidRPr="00675E41">
        <w:tab/>
      </w:r>
      <w:r w:rsidR="00675E41" w:rsidRPr="00675E41">
        <w:rPr>
          <w:lang w:val="fr-FR"/>
        </w:rPr>
        <w:t>Pour mieux comprendre le mode de fonctionnement de l’Observateur</w:t>
      </w:r>
      <w:r w:rsidR="00075BA2">
        <w:rPr>
          <w:lang w:val="fr-FR"/>
        </w:rPr>
        <w:t xml:space="preserve"> national</w:t>
      </w:r>
      <w:r w:rsidR="00675E41" w:rsidRPr="00675E41">
        <w:rPr>
          <w:lang w:val="fr-FR"/>
        </w:rPr>
        <w:t>, la délégation du Sous-Comité a visité, en compagnie de membres de l’Observateur</w:t>
      </w:r>
      <w:r w:rsidR="00075BA2">
        <w:rPr>
          <w:lang w:val="fr-FR"/>
        </w:rPr>
        <w:t xml:space="preserve"> national</w:t>
      </w:r>
      <w:r w:rsidR="00675E41" w:rsidRPr="00675E41">
        <w:rPr>
          <w:lang w:val="fr-FR"/>
        </w:rPr>
        <w:t>, trois lieux de privation de liberté choisis par celui-ci. Ces visites ont été conduites par deux équipes de l’Observateur</w:t>
      </w:r>
      <w:r w:rsidR="00075BA2">
        <w:rPr>
          <w:lang w:val="fr-FR"/>
        </w:rPr>
        <w:t xml:space="preserve"> national</w:t>
      </w:r>
      <w:r w:rsidR="00675E41" w:rsidRPr="00675E41">
        <w:rPr>
          <w:lang w:val="fr-FR"/>
        </w:rPr>
        <w:t>, les membres du Sous-Comité ayant qualité d’observateurs</w:t>
      </w:r>
      <w:r w:rsidR="00075BA2">
        <w:rPr>
          <w:lang w:val="fr-FR"/>
        </w:rPr>
        <w:t xml:space="preserve"> extérieurs</w:t>
      </w:r>
      <w:r w:rsidR="00675E41" w:rsidRPr="00675E41">
        <w:rPr>
          <w:lang w:val="fr-FR"/>
        </w:rPr>
        <w:t>.</w:t>
      </w:r>
    </w:p>
    <w:p w14:paraId="089A71BA" w14:textId="41AE94F5" w:rsidR="00675E41" w:rsidRPr="00675E41" w:rsidRDefault="00C74FD4" w:rsidP="00C74FD4">
      <w:pPr>
        <w:pStyle w:val="ParNoG"/>
        <w:numPr>
          <w:ilvl w:val="0"/>
          <w:numId w:val="0"/>
        </w:numPr>
        <w:tabs>
          <w:tab w:val="left" w:pos="1701"/>
        </w:tabs>
        <w:ind w:left="1134"/>
      </w:pPr>
      <w:r w:rsidRPr="00675E41">
        <w:t>36.</w:t>
      </w:r>
      <w:r w:rsidRPr="00675E41">
        <w:tab/>
      </w:r>
      <w:r w:rsidR="00675E41" w:rsidRPr="00675E41">
        <w:rPr>
          <w:lang w:val="fr-FR"/>
        </w:rPr>
        <w:t>Afin d’aider et de conseiller l’Observateur</w:t>
      </w:r>
      <w:r w:rsidR="00075BA2">
        <w:rPr>
          <w:lang w:val="fr-FR"/>
        </w:rPr>
        <w:t xml:space="preserve"> national</w:t>
      </w:r>
      <w:r w:rsidR="00675E41" w:rsidRPr="00675E41">
        <w:rPr>
          <w:lang w:val="fr-FR"/>
        </w:rPr>
        <w:t xml:space="preserve"> dans l’exécution de son mandat, le Sous-Comité formule les recommandations ci-après concernant la préparation des visites des lieux de détention, la méthode à suivre au cours de ces visites et les mesures à prendre une fois celles-ci achevées.</w:t>
      </w:r>
    </w:p>
    <w:p w14:paraId="2809A452" w14:textId="02A65909" w:rsidR="00675E41" w:rsidRPr="00675E41" w:rsidRDefault="00161A5F" w:rsidP="00161A5F">
      <w:pPr>
        <w:pStyle w:val="H23G"/>
      </w:pPr>
      <w:r>
        <w:tab/>
      </w:r>
      <w:r w:rsidR="00040243">
        <w:t>1.</w:t>
      </w:r>
      <w:r>
        <w:tab/>
      </w:r>
      <w:r>
        <w:tab/>
      </w:r>
      <w:r w:rsidR="00675E41" w:rsidRPr="00675E41">
        <w:t>Avant la visit</w:t>
      </w:r>
      <w:bookmarkStart w:id="1" w:name="_Toc485042300"/>
      <w:bookmarkEnd w:id="1"/>
      <w:r w:rsidR="00675E41" w:rsidRPr="00675E41">
        <w:t>e</w:t>
      </w:r>
    </w:p>
    <w:p w14:paraId="14F196AA" w14:textId="77777777" w:rsidR="00675E41" w:rsidRPr="00161A5F" w:rsidRDefault="00161A5F" w:rsidP="00161A5F">
      <w:pPr>
        <w:pStyle w:val="H4G"/>
      </w:pPr>
      <w:r>
        <w:tab/>
      </w:r>
      <w:r>
        <w:tab/>
      </w:r>
      <w:r w:rsidRPr="00161A5F">
        <w:tab/>
      </w:r>
      <w:r w:rsidR="00675E41" w:rsidRPr="00161A5F">
        <w:t>Stratégie et procédure</w:t>
      </w:r>
    </w:p>
    <w:p w14:paraId="132DA611" w14:textId="05C71649" w:rsidR="00675E41" w:rsidRPr="00675E41" w:rsidRDefault="00C74FD4" w:rsidP="00C74FD4">
      <w:pPr>
        <w:pStyle w:val="ParNoG"/>
        <w:numPr>
          <w:ilvl w:val="0"/>
          <w:numId w:val="0"/>
        </w:numPr>
        <w:tabs>
          <w:tab w:val="left" w:pos="1701"/>
        </w:tabs>
        <w:ind w:left="1134"/>
        <w:rPr>
          <w:lang w:val="fr-FR"/>
        </w:rPr>
      </w:pPr>
      <w:r w:rsidRPr="00675E41">
        <w:rPr>
          <w:lang w:val="fr-FR"/>
        </w:rPr>
        <w:t>37.</w:t>
      </w:r>
      <w:r w:rsidRPr="00675E41">
        <w:rPr>
          <w:lang w:val="fr-FR"/>
        </w:rPr>
        <w:tab/>
      </w:r>
      <w:r w:rsidR="00675E41" w:rsidRPr="00675E41">
        <w:rPr>
          <w:lang w:val="fr-FR"/>
        </w:rPr>
        <w:t xml:space="preserve">Selon l’article 12 de son règlement intérieur, le choix des lieux faisant l’objet d’une visite appartient à l’Observateur </w:t>
      </w:r>
      <w:r w:rsidR="00EA48D7">
        <w:rPr>
          <w:lang w:val="fr-FR"/>
        </w:rPr>
        <w:t>n</w:t>
      </w:r>
      <w:r w:rsidR="00675E41" w:rsidRPr="00675E41">
        <w:rPr>
          <w:lang w:val="fr-FR"/>
        </w:rPr>
        <w:t>ational. Cependant, aucun des documents relatifs à l’Observateur</w:t>
      </w:r>
      <w:r w:rsidR="00EA48D7">
        <w:rPr>
          <w:lang w:val="fr-FR"/>
        </w:rPr>
        <w:t xml:space="preserve"> national</w:t>
      </w:r>
      <w:r w:rsidR="00675E41" w:rsidRPr="00675E41">
        <w:rPr>
          <w:lang w:val="fr-FR"/>
        </w:rPr>
        <w:t xml:space="preserve"> ne définit les types de visites possibles </w:t>
      </w:r>
      <w:r w:rsidR="00EA48D7">
        <w:rPr>
          <w:lang w:val="fr-FR"/>
        </w:rPr>
        <w:t>dans les</w:t>
      </w:r>
      <w:r w:rsidR="00675E41" w:rsidRPr="00675E41">
        <w:rPr>
          <w:lang w:val="fr-FR"/>
        </w:rPr>
        <w:t xml:space="preserve"> différents lieux de privation de liberté.  </w:t>
      </w:r>
    </w:p>
    <w:p w14:paraId="59489764" w14:textId="3F143877" w:rsidR="00675E41" w:rsidRPr="00675E41" w:rsidRDefault="00C74FD4" w:rsidP="00C74FD4">
      <w:pPr>
        <w:pStyle w:val="ParNoG"/>
        <w:numPr>
          <w:ilvl w:val="0"/>
          <w:numId w:val="0"/>
        </w:numPr>
        <w:tabs>
          <w:tab w:val="left" w:pos="1701"/>
        </w:tabs>
        <w:ind w:left="1134"/>
      </w:pPr>
      <w:r w:rsidRPr="00675E41">
        <w:t>38.</w:t>
      </w:r>
      <w:r w:rsidRPr="00675E41">
        <w:tab/>
      </w:r>
      <w:r w:rsidR="00675E41" w:rsidRPr="00675E41">
        <w:rPr>
          <w:lang w:val="fr-FR"/>
        </w:rPr>
        <w:t xml:space="preserve">Tout en reconnaissant l’effort fait dans la préparation des plans stratégiques annuels et d’autres documents comme des trames de visite des établissements pénitentiaires, le Sous-Comité </w:t>
      </w:r>
      <w:r w:rsidR="002603B1">
        <w:rPr>
          <w:lang w:val="fr-FR"/>
        </w:rPr>
        <w:t>constate</w:t>
      </w:r>
      <w:r w:rsidR="00675E41" w:rsidRPr="00675E41">
        <w:rPr>
          <w:lang w:val="fr-FR"/>
        </w:rPr>
        <w:t xml:space="preserve"> que l’Observateur</w:t>
      </w:r>
      <w:r w:rsidR="002603B1">
        <w:rPr>
          <w:lang w:val="fr-FR"/>
        </w:rPr>
        <w:t xml:space="preserve"> national</w:t>
      </w:r>
      <w:r w:rsidR="00675E41" w:rsidRPr="00675E41">
        <w:rPr>
          <w:lang w:val="fr-FR"/>
        </w:rPr>
        <w:t xml:space="preserve"> ne </w:t>
      </w:r>
      <w:r w:rsidR="002603B1">
        <w:rPr>
          <w:lang w:val="fr-FR"/>
        </w:rPr>
        <w:t>dispose</w:t>
      </w:r>
      <w:r w:rsidR="00675E41" w:rsidRPr="00675E41">
        <w:rPr>
          <w:lang w:val="fr-FR"/>
        </w:rPr>
        <w:t xml:space="preserve"> pas de critères systématiques </w:t>
      </w:r>
      <w:r w:rsidR="00050AF6">
        <w:rPr>
          <w:lang w:val="fr-FR"/>
        </w:rPr>
        <w:t>servant à déterminer</w:t>
      </w:r>
      <w:r w:rsidR="00675E41" w:rsidRPr="00675E41">
        <w:rPr>
          <w:lang w:val="fr-FR"/>
        </w:rPr>
        <w:t xml:space="preserve"> quel</w:t>
      </w:r>
      <w:r w:rsidR="00B60105">
        <w:rPr>
          <w:lang w:val="fr-FR"/>
        </w:rPr>
        <w:t>s</w:t>
      </w:r>
      <w:r w:rsidR="00675E41" w:rsidRPr="00675E41">
        <w:rPr>
          <w:lang w:val="fr-FR"/>
        </w:rPr>
        <w:t xml:space="preserve"> lieu</w:t>
      </w:r>
      <w:r w:rsidR="00B60105">
        <w:rPr>
          <w:lang w:val="fr-FR"/>
        </w:rPr>
        <w:t>x</w:t>
      </w:r>
      <w:r w:rsidR="00675E41" w:rsidRPr="00675E41">
        <w:rPr>
          <w:lang w:val="fr-FR"/>
        </w:rPr>
        <w:t xml:space="preserve"> de privation de liberté visiter et pour quelles raisons.</w:t>
      </w:r>
    </w:p>
    <w:p w14:paraId="50E4C087" w14:textId="3D7B5261" w:rsidR="00675E41" w:rsidRPr="00675E41" w:rsidRDefault="00C74FD4" w:rsidP="00C74FD4">
      <w:pPr>
        <w:pStyle w:val="ParNoG"/>
        <w:numPr>
          <w:ilvl w:val="0"/>
          <w:numId w:val="0"/>
        </w:numPr>
        <w:tabs>
          <w:tab w:val="left" w:pos="1701"/>
        </w:tabs>
        <w:ind w:left="1134"/>
      </w:pPr>
      <w:r w:rsidRPr="00675E41">
        <w:t>39.</w:t>
      </w:r>
      <w:r w:rsidRPr="00675E41">
        <w:tab/>
      </w:r>
      <w:r w:rsidR="00675E41" w:rsidRPr="00675E41">
        <w:rPr>
          <w:lang w:val="fr-FR"/>
        </w:rPr>
        <w:t>Le Sous-Comité est d’avis que le choix de</w:t>
      </w:r>
      <w:r w:rsidR="00B60105">
        <w:rPr>
          <w:lang w:val="fr-FR"/>
        </w:rPr>
        <w:t>s</w:t>
      </w:r>
      <w:r w:rsidR="00675E41" w:rsidRPr="00675E41">
        <w:rPr>
          <w:lang w:val="fr-FR"/>
        </w:rPr>
        <w:t xml:space="preserve"> lieux de privation de liberté à visiter devrait être fait sur la base de critères définis au préalable et discutés en interne. Les informations collectées sur des établissements lors de précédentes visites, </w:t>
      </w:r>
      <w:r w:rsidR="00DE71D7">
        <w:rPr>
          <w:lang w:val="fr-FR"/>
        </w:rPr>
        <w:t>ainsi que celles</w:t>
      </w:r>
      <w:r w:rsidR="00675E41" w:rsidRPr="00675E41">
        <w:rPr>
          <w:lang w:val="fr-FR"/>
        </w:rPr>
        <w:t xml:space="preserve"> provenant des plaintes reçues par l’</w:t>
      </w:r>
      <w:r w:rsidR="00F609A3">
        <w:rPr>
          <w:lang w:val="fr-FR"/>
        </w:rPr>
        <w:t>i</w:t>
      </w:r>
      <w:r w:rsidR="00675E41" w:rsidRPr="00675E41">
        <w:rPr>
          <w:lang w:val="fr-FR"/>
        </w:rPr>
        <w:t xml:space="preserve">nstitution </w:t>
      </w:r>
      <w:r w:rsidR="00F609A3">
        <w:rPr>
          <w:lang w:val="fr-FR"/>
        </w:rPr>
        <w:t>n</w:t>
      </w:r>
      <w:r w:rsidR="00675E41" w:rsidRPr="00675E41">
        <w:rPr>
          <w:lang w:val="fr-FR"/>
        </w:rPr>
        <w:t xml:space="preserve">ationale des </w:t>
      </w:r>
      <w:r w:rsidR="00F609A3">
        <w:rPr>
          <w:lang w:val="fr-FR"/>
        </w:rPr>
        <w:t>d</w:t>
      </w:r>
      <w:r w:rsidR="00675E41" w:rsidRPr="00675E41">
        <w:rPr>
          <w:lang w:val="fr-FR"/>
        </w:rPr>
        <w:t xml:space="preserve">roits </w:t>
      </w:r>
      <w:r w:rsidR="00F609A3">
        <w:rPr>
          <w:lang w:val="fr-FR"/>
        </w:rPr>
        <w:t>de l’homme</w:t>
      </w:r>
      <w:r w:rsidR="00675E41" w:rsidRPr="00675E41">
        <w:rPr>
          <w:lang w:val="fr-FR"/>
        </w:rPr>
        <w:t xml:space="preserve">, du médiateur, des </w:t>
      </w:r>
      <w:r w:rsidR="00087352">
        <w:rPr>
          <w:lang w:val="fr-FR"/>
        </w:rPr>
        <w:t>organisations non gouvernementales</w:t>
      </w:r>
      <w:r w:rsidR="00675E41" w:rsidRPr="00675E41">
        <w:rPr>
          <w:lang w:val="fr-FR"/>
        </w:rPr>
        <w:t xml:space="preserve"> ou de la presse peuvent constituer des sources utiles dans le choix des lieux à visiter et des points à vérifier. Une base de données informatiques regroupant à la fois toutes les informations recueillies sur chaque lieu de privation de liberté et </w:t>
      </w:r>
      <w:r w:rsidR="00A11613">
        <w:rPr>
          <w:lang w:val="fr-FR"/>
        </w:rPr>
        <w:t xml:space="preserve">les </w:t>
      </w:r>
      <w:r w:rsidR="00675E41" w:rsidRPr="00675E41">
        <w:rPr>
          <w:lang w:val="fr-FR"/>
        </w:rPr>
        <w:t xml:space="preserve">recommandations faites lors des dernières visites devrait être mise en place pour faciliter la planification stratégique et </w:t>
      </w:r>
      <w:r w:rsidR="00A11613">
        <w:rPr>
          <w:lang w:val="fr-FR"/>
        </w:rPr>
        <w:t xml:space="preserve">permettre </w:t>
      </w:r>
      <w:r w:rsidR="00675E41" w:rsidRPr="00675E41">
        <w:rPr>
          <w:lang w:val="fr-FR"/>
        </w:rPr>
        <w:t>un suivi plus systématique.</w:t>
      </w:r>
    </w:p>
    <w:p w14:paraId="72BAD5C7" w14:textId="62761E61" w:rsidR="00675E41" w:rsidRPr="00161A5F" w:rsidRDefault="00C74FD4" w:rsidP="00C74FD4">
      <w:pPr>
        <w:pStyle w:val="ParNoG"/>
        <w:numPr>
          <w:ilvl w:val="0"/>
          <w:numId w:val="0"/>
        </w:numPr>
        <w:tabs>
          <w:tab w:val="left" w:pos="1701"/>
        </w:tabs>
        <w:ind w:left="1134"/>
        <w:rPr>
          <w:b/>
          <w:lang w:val="fr-FR"/>
        </w:rPr>
      </w:pPr>
      <w:r w:rsidRPr="00161A5F">
        <w:rPr>
          <w:lang w:val="fr-FR"/>
        </w:rPr>
        <w:lastRenderedPageBreak/>
        <w:t>40.</w:t>
      </w:r>
      <w:r w:rsidRPr="00161A5F">
        <w:rPr>
          <w:lang w:val="fr-FR"/>
        </w:rPr>
        <w:tab/>
      </w:r>
      <w:r w:rsidR="00E96751">
        <w:rPr>
          <w:b/>
          <w:lang w:val="fr-FR"/>
        </w:rPr>
        <w:t>Le Sous-Comité souligne l’importance</w:t>
      </w:r>
      <w:r w:rsidR="00675E41" w:rsidRPr="00161A5F">
        <w:rPr>
          <w:b/>
          <w:lang w:val="fr-FR"/>
        </w:rPr>
        <w:t xml:space="preserve"> que l’Observateur</w:t>
      </w:r>
      <w:r w:rsidR="006E0CCB">
        <w:rPr>
          <w:b/>
          <w:lang w:val="fr-FR"/>
        </w:rPr>
        <w:t xml:space="preserve"> national</w:t>
      </w:r>
      <w:r w:rsidR="00675E41" w:rsidRPr="00161A5F">
        <w:rPr>
          <w:b/>
          <w:lang w:val="fr-FR"/>
        </w:rPr>
        <w:t xml:space="preserve"> consacre suffisamment de temps à la préparation minutieuse et à la définition des objectifs spécifiques </w:t>
      </w:r>
      <w:r w:rsidR="00205629" w:rsidRPr="00161A5F">
        <w:rPr>
          <w:b/>
          <w:lang w:val="fr-FR"/>
        </w:rPr>
        <w:t>de chaque visite</w:t>
      </w:r>
      <w:r w:rsidR="00675E41" w:rsidRPr="00161A5F">
        <w:rPr>
          <w:b/>
          <w:lang w:val="fr-FR"/>
        </w:rPr>
        <w:t>. Chaque membre de l’équipe qui effectue une visite doit pouvoir connaître à l</w:t>
      </w:r>
      <w:r w:rsidR="00835C07">
        <w:rPr>
          <w:b/>
          <w:lang w:val="fr-FR"/>
        </w:rPr>
        <w:t>’</w:t>
      </w:r>
      <w:r w:rsidR="00675E41" w:rsidRPr="00161A5F">
        <w:rPr>
          <w:b/>
          <w:lang w:val="fr-FR"/>
        </w:rPr>
        <w:t>avance le rôle qui lui est attribué, ce qui lui est demandé et la dynamique générale de la visite. De facto, l’Observateur</w:t>
      </w:r>
      <w:r w:rsidR="004C24BA">
        <w:rPr>
          <w:b/>
          <w:lang w:val="fr-FR"/>
        </w:rPr>
        <w:t xml:space="preserve"> national</w:t>
      </w:r>
      <w:r w:rsidR="00675E41" w:rsidRPr="00161A5F">
        <w:rPr>
          <w:b/>
          <w:lang w:val="fr-FR"/>
        </w:rPr>
        <w:t xml:space="preserve"> doit pouvoir suivre les règles déjà établies dans son guide pratique.  </w:t>
      </w:r>
    </w:p>
    <w:p w14:paraId="04A8323A" w14:textId="5162EAC3" w:rsidR="00675E41" w:rsidRPr="00161A5F" w:rsidRDefault="00C74FD4" w:rsidP="00C74FD4">
      <w:pPr>
        <w:pStyle w:val="ParNoG"/>
        <w:numPr>
          <w:ilvl w:val="0"/>
          <w:numId w:val="0"/>
        </w:numPr>
        <w:tabs>
          <w:tab w:val="left" w:pos="1701"/>
        </w:tabs>
        <w:ind w:left="1134"/>
        <w:rPr>
          <w:b/>
          <w:lang w:val="fr-FR"/>
        </w:rPr>
      </w:pPr>
      <w:r w:rsidRPr="00161A5F">
        <w:rPr>
          <w:lang w:val="fr-FR"/>
        </w:rPr>
        <w:t>41.</w:t>
      </w:r>
      <w:r w:rsidRPr="00161A5F">
        <w:rPr>
          <w:lang w:val="fr-FR"/>
        </w:rPr>
        <w:tab/>
      </w:r>
      <w:r w:rsidR="00675E41" w:rsidRPr="00161A5F">
        <w:rPr>
          <w:b/>
          <w:lang w:val="fr-FR"/>
        </w:rPr>
        <w:t>Le Sous-Comité recommande à l’Observateur</w:t>
      </w:r>
      <w:r w:rsidR="00EF4D09">
        <w:rPr>
          <w:b/>
          <w:lang w:val="fr-FR"/>
        </w:rPr>
        <w:t xml:space="preserve"> national</w:t>
      </w:r>
      <w:r w:rsidR="00675E41" w:rsidRPr="00161A5F">
        <w:rPr>
          <w:b/>
          <w:lang w:val="fr-FR"/>
        </w:rPr>
        <w:t xml:space="preserve"> d’élaborer une stratégie ciblée pour ses visites. Une telle stratégie devrait être fondée sur le type et la taille des institutions, sa connaissance de la gravité des questions relatives aux droits </w:t>
      </w:r>
      <w:r w:rsidR="00EF4D09">
        <w:rPr>
          <w:b/>
          <w:lang w:val="fr-FR"/>
        </w:rPr>
        <w:t>de l’homme</w:t>
      </w:r>
      <w:r w:rsidR="00675E41" w:rsidRPr="00161A5F">
        <w:rPr>
          <w:b/>
          <w:lang w:val="fr-FR"/>
        </w:rPr>
        <w:t xml:space="preserve"> et sa capacité à donner suite à ses recommandations. Le Sous-Comité recommande également la mise en place d’une base de données informatiques </w:t>
      </w:r>
      <w:r w:rsidR="00A97894">
        <w:rPr>
          <w:b/>
          <w:lang w:val="fr-FR"/>
        </w:rPr>
        <w:t>centralisant</w:t>
      </w:r>
      <w:r w:rsidR="00675E41" w:rsidRPr="00161A5F">
        <w:rPr>
          <w:b/>
          <w:lang w:val="fr-FR"/>
        </w:rPr>
        <w:t xml:space="preserve"> les informations à sa disposition ainsi que ses recommandations précédentes, qui servira</w:t>
      </w:r>
      <w:r w:rsidR="00A97894">
        <w:rPr>
          <w:b/>
          <w:lang w:val="fr-FR"/>
        </w:rPr>
        <w:t>it</w:t>
      </w:r>
      <w:r w:rsidR="00675E41" w:rsidRPr="00161A5F">
        <w:rPr>
          <w:b/>
          <w:lang w:val="fr-FR"/>
        </w:rPr>
        <w:t xml:space="preserve"> également de mémoire institutionnelle à l’</w:t>
      </w:r>
      <w:r w:rsidR="00335D80">
        <w:rPr>
          <w:b/>
          <w:lang w:val="fr-FR"/>
        </w:rPr>
        <w:t>Observateur national</w:t>
      </w:r>
      <w:r w:rsidR="00675E41" w:rsidRPr="00161A5F">
        <w:rPr>
          <w:b/>
          <w:lang w:val="fr-FR"/>
        </w:rPr>
        <w:t xml:space="preserve">.  </w:t>
      </w:r>
    </w:p>
    <w:p w14:paraId="439B8328" w14:textId="6C99551B" w:rsidR="00675E41" w:rsidRPr="00675E41" w:rsidRDefault="00C74FD4" w:rsidP="00C74FD4">
      <w:pPr>
        <w:pStyle w:val="ParNoG"/>
        <w:numPr>
          <w:ilvl w:val="0"/>
          <w:numId w:val="0"/>
        </w:numPr>
        <w:tabs>
          <w:tab w:val="left" w:pos="1701"/>
        </w:tabs>
        <w:ind w:left="1134"/>
      </w:pPr>
      <w:r w:rsidRPr="00675E41">
        <w:t>42.</w:t>
      </w:r>
      <w:r w:rsidRPr="00675E41">
        <w:tab/>
      </w:r>
      <w:r w:rsidR="00675E41" w:rsidRPr="00675E41">
        <w:t>Le Sous-Comité est préoccupé par le fait que la majorité des visites effectuées par l’Observateur</w:t>
      </w:r>
      <w:r w:rsidR="00335D80">
        <w:t xml:space="preserve"> national</w:t>
      </w:r>
      <w:r w:rsidR="00675E41" w:rsidRPr="00675E41">
        <w:t xml:space="preserve"> sont annoncées préalablement </w:t>
      </w:r>
      <w:r w:rsidR="008A39C8">
        <w:t xml:space="preserve">aux </w:t>
      </w:r>
      <w:r w:rsidR="00675E41" w:rsidRPr="00675E41">
        <w:t>établissement</w:t>
      </w:r>
      <w:r w:rsidR="008A39C8">
        <w:t>s concernés</w:t>
      </w:r>
      <w:r w:rsidR="00675E41" w:rsidRPr="00675E41">
        <w:t>. En outre, l’article 16 du règlement intérieur</w:t>
      </w:r>
      <w:r w:rsidR="00D8618A">
        <w:t xml:space="preserve"> de l’Observateur national</w:t>
      </w:r>
      <w:r w:rsidR="00675E41" w:rsidRPr="00675E41">
        <w:t xml:space="preserve"> laisse entendre que les visites programmées sont la règle et les visites inopinées, l’exception.</w:t>
      </w:r>
    </w:p>
    <w:p w14:paraId="40037630" w14:textId="6272E3C8" w:rsidR="00675E41" w:rsidRPr="00675E41" w:rsidRDefault="00C74FD4" w:rsidP="00C74FD4">
      <w:pPr>
        <w:pStyle w:val="ParNoG"/>
        <w:numPr>
          <w:ilvl w:val="0"/>
          <w:numId w:val="0"/>
        </w:numPr>
        <w:tabs>
          <w:tab w:val="left" w:pos="1701"/>
        </w:tabs>
        <w:ind w:left="1134"/>
      </w:pPr>
      <w:r w:rsidRPr="00675E41">
        <w:t>43.</w:t>
      </w:r>
      <w:r w:rsidRPr="00675E41">
        <w:tab/>
      </w:r>
      <w:r w:rsidR="00675E41" w:rsidRPr="00161A5F">
        <w:rPr>
          <w:b/>
        </w:rPr>
        <w:t>Le Sous-Comité recommande que les visites soient principalement non</w:t>
      </w:r>
      <w:r w:rsidR="00266BDC">
        <w:rPr>
          <w:b/>
        </w:rPr>
        <w:t xml:space="preserve"> </w:t>
      </w:r>
      <w:r w:rsidR="00675E41" w:rsidRPr="00161A5F">
        <w:rPr>
          <w:b/>
        </w:rPr>
        <w:t>annoncée</w:t>
      </w:r>
      <w:r w:rsidR="00266BDC">
        <w:rPr>
          <w:b/>
        </w:rPr>
        <w:t>s</w:t>
      </w:r>
      <w:r w:rsidR="00675E41" w:rsidRPr="008D052A">
        <w:rPr>
          <w:rStyle w:val="FootnoteReference"/>
        </w:rPr>
        <w:footnoteReference w:id="11"/>
      </w:r>
      <w:r w:rsidR="00675E41" w:rsidRPr="00161A5F">
        <w:rPr>
          <w:b/>
        </w:rPr>
        <w:t>. Cela permettra à l’Observateur</w:t>
      </w:r>
      <w:r w:rsidR="00266BDC">
        <w:rPr>
          <w:b/>
        </w:rPr>
        <w:t xml:space="preserve"> national</w:t>
      </w:r>
      <w:r w:rsidR="00675E41" w:rsidRPr="00161A5F">
        <w:rPr>
          <w:b/>
        </w:rPr>
        <w:t xml:space="preserve"> de </w:t>
      </w:r>
      <w:r w:rsidR="00D3292A">
        <w:rPr>
          <w:b/>
        </w:rPr>
        <w:t>constater les</w:t>
      </w:r>
      <w:r w:rsidR="00675E41" w:rsidRPr="00161A5F">
        <w:rPr>
          <w:b/>
        </w:rPr>
        <w:t xml:space="preserve"> conditions réelles dans lesquelles se trouvent les personnes privées de liberté et </w:t>
      </w:r>
      <w:r w:rsidR="00C34BEC">
        <w:rPr>
          <w:b/>
        </w:rPr>
        <w:t>le</w:t>
      </w:r>
      <w:r w:rsidR="00675E41" w:rsidRPr="00161A5F">
        <w:rPr>
          <w:b/>
        </w:rPr>
        <w:t xml:space="preserve"> déroulement de la vie dans les lieux visités</w:t>
      </w:r>
      <w:r w:rsidR="00D3292A">
        <w:rPr>
          <w:b/>
        </w:rPr>
        <w:t>,</w:t>
      </w:r>
      <w:r w:rsidR="00675E41" w:rsidRPr="00161A5F">
        <w:rPr>
          <w:b/>
        </w:rPr>
        <w:t xml:space="preserve"> sans courir le risque que </w:t>
      </w:r>
      <w:r w:rsidR="00113A6A">
        <w:rPr>
          <w:b/>
        </w:rPr>
        <w:t>ceux-ci</w:t>
      </w:r>
      <w:r w:rsidR="00675E41" w:rsidRPr="00161A5F">
        <w:rPr>
          <w:b/>
        </w:rPr>
        <w:t xml:space="preserve"> soi</w:t>
      </w:r>
      <w:r w:rsidR="00113A6A">
        <w:rPr>
          <w:b/>
        </w:rPr>
        <w:t>en</w:t>
      </w:r>
      <w:r w:rsidR="00675E41" w:rsidRPr="00161A5F">
        <w:rPr>
          <w:b/>
        </w:rPr>
        <w:t>t modifié</w:t>
      </w:r>
      <w:r w:rsidR="00113A6A">
        <w:rPr>
          <w:b/>
        </w:rPr>
        <w:t>s</w:t>
      </w:r>
      <w:r w:rsidR="00675E41" w:rsidRPr="00161A5F">
        <w:rPr>
          <w:b/>
        </w:rPr>
        <w:t xml:space="preserve"> avant son arrivée</w:t>
      </w:r>
      <w:r w:rsidR="00675E41" w:rsidRPr="00675E41">
        <w:t xml:space="preserve">. </w:t>
      </w:r>
    </w:p>
    <w:p w14:paraId="5FD9F56A" w14:textId="0E4E0718" w:rsidR="00675E41" w:rsidRPr="00675E41" w:rsidRDefault="00C74FD4" w:rsidP="00C74FD4">
      <w:pPr>
        <w:pStyle w:val="ParNoG"/>
        <w:numPr>
          <w:ilvl w:val="0"/>
          <w:numId w:val="0"/>
        </w:numPr>
        <w:tabs>
          <w:tab w:val="left" w:pos="1701"/>
        </w:tabs>
        <w:ind w:left="1134"/>
        <w:rPr>
          <w:strike/>
          <w:lang w:val="fr-FR"/>
        </w:rPr>
      </w:pPr>
      <w:r w:rsidRPr="00675E41">
        <w:rPr>
          <w:lang w:val="fr-FR"/>
        </w:rPr>
        <w:t>44.</w:t>
      </w:r>
      <w:r w:rsidRPr="00675E41">
        <w:rPr>
          <w:lang w:val="fr-FR"/>
        </w:rPr>
        <w:tab/>
      </w:r>
      <w:r w:rsidR="00675E41" w:rsidRPr="00675E41">
        <w:rPr>
          <w:lang w:val="fr-FR"/>
        </w:rPr>
        <w:t>Les nombreuses discussions conduites avec l’Observateur</w:t>
      </w:r>
      <w:r w:rsidR="00250B77">
        <w:rPr>
          <w:lang w:val="fr-FR"/>
        </w:rPr>
        <w:t xml:space="preserve"> national</w:t>
      </w:r>
      <w:r w:rsidR="00675E41" w:rsidRPr="00675E41">
        <w:rPr>
          <w:lang w:val="fr-FR"/>
        </w:rPr>
        <w:t xml:space="preserve"> et les membres </w:t>
      </w:r>
      <w:r w:rsidR="00250B77">
        <w:rPr>
          <w:lang w:val="fr-FR"/>
        </w:rPr>
        <w:t>de son personnel</w:t>
      </w:r>
      <w:r w:rsidR="00675E41" w:rsidRPr="00675E41">
        <w:rPr>
          <w:lang w:val="fr-FR"/>
        </w:rPr>
        <w:t xml:space="preserve"> révèlent un besoin de formation continue et de renforcement des capacités de</w:t>
      </w:r>
      <w:r w:rsidR="00535D27">
        <w:rPr>
          <w:lang w:val="fr-FR"/>
        </w:rPr>
        <w:t xml:space="preserve"> ce</w:t>
      </w:r>
      <w:r w:rsidR="00675E41" w:rsidRPr="00675E41">
        <w:rPr>
          <w:lang w:val="fr-FR"/>
        </w:rPr>
        <w:t xml:space="preserve">s membres. </w:t>
      </w:r>
    </w:p>
    <w:p w14:paraId="47A8C584" w14:textId="6B250417" w:rsidR="00675E41" w:rsidRPr="00161A5F" w:rsidRDefault="00C74FD4" w:rsidP="00C74FD4">
      <w:pPr>
        <w:pStyle w:val="ParNoG"/>
        <w:numPr>
          <w:ilvl w:val="0"/>
          <w:numId w:val="0"/>
        </w:numPr>
        <w:tabs>
          <w:tab w:val="left" w:pos="1701"/>
        </w:tabs>
        <w:ind w:left="1134"/>
        <w:rPr>
          <w:b/>
        </w:rPr>
      </w:pPr>
      <w:r w:rsidRPr="00161A5F">
        <w:t>45.</w:t>
      </w:r>
      <w:r w:rsidRPr="00161A5F">
        <w:tab/>
      </w:r>
      <w:r w:rsidR="00675E41" w:rsidRPr="00161A5F">
        <w:rPr>
          <w:b/>
          <w:lang w:val="fr-FR"/>
        </w:rPr>
        <w:t>Le Sous-Comité encourage l’Observateur</w:t>
      </w:r>
      <w:r w:rsidR="00750272">
        <w:rPr>
          <w:b/>
          <w:lang w:val="fr-FR"/>
        </w:rPr>
        <w:t xml:space="preserve"> national</w:t>
      </w:r>
      <w:r w:rsidR="00675E41" w:rsidRPr="00161A5F">
        <w:rPr>
          <w:b/>
          <w:lang w:val="fr-FR"/>
        </w:rPr>
        <w:t xml:space="preserve"> à proposer à tous ses membres, de manière périodique, un programme de renforcement des capacités </w:t>
      </w:r>
      <w:r w:rsidR="00FA4213">
        <w:rPr>
          <w:b/>
          <w:lang w:val="fr-FR"/>
        </w:rPr>
        <w:t>au moyen d’</w:t>
      </w:r>
      <w:r w:rsidR="00675E41" w:rsidRPr="00161A5F">
        <w:rPr>
          <w:b/>
          <w:lang w:val="fr-FR"/>
        </w:rPr>
        <w:t xml:space="preserve">une formation sur les principes de la Convention contre la </w:t>
      </w:r>
      <w:r w:rsidR="00C34BEC">
        <w:rPr>
          <w:b/>
          <w:lang w:val="fr-FR"/>
        </w:rPr>
        <w:t>t</w:t>
      </w:r>
      <w:r w:rsidR="00675E41" w:rsidRPr="00161A5F">
        <w:rPr>
          <w:b/>
          <w:lang w:val="fr-FR"/>
        </w:rPr>
        <w:t xml:space="preserve">orture et </w:t>
      </w:r>
      <w:r w:rsidR="00FA4213">
        <w:rPr>
          <w:b/>
          <w:lang w:val="fr-FR"/>
        </w:rPr>
        <w:t xml:space="preserve">autres peines ou traitements </w:t>
      </w:r>
      <w:r w:rsidR="006866BA">
        <w:rPr>
          <w:b/>
          <w:lang w:val="fr-FR"/>
        </w:rPr>
        <w:t>cruels, inhumains ou dégradants, du</w:t>
      </w:r>
      <w:r w:rsidR="00675E41" w:rsidRPr="00161A5F">
        <w:rPr>
          <w:b/>
          <w:lang w:val="fr-FR"/>
        </w:rPr>
        <w:t xml:space="preserve"> Protocole facultatif, </w:t>
      </w:r>
      <w:r w:rsidR="006866BA">
        <w:rPr>
          <w:b/>
          <w:lang w:val="fr-FR"/>
        </w:rPr>
        <w:t>de</w:t>
      </w:r>
      <w:r w:rsidR="00BE559D" w:rsidRPr="00BE559D">
        <w:rPr>
          <w:b/>
          <w:lang w:val="fr-FR"/>
        </w:rPr>
        <w:t xml:space="preserve"> </w:t>
      </w:r>
      <w:r w:rsidR="00BE559D">
        <w:rPr>
          <w:b/>
          <w:lang w:val="fr-FR"/>
        </w:rPr>
        <w:t>l’</w:t>
      </w:r>
      <w:r w:rsidR="00BE559D" w:rsidRPr="00BE559D">
        <w:rPr>
          <w:b/>
          <w:lang w:val="fr-FR"/>
        </w:rPr>
        <w:t>Ensemble de règles minima des Nations Unies pour le traitement des détenus</w:t>
      </w:r>
      <w:r w:rsidR="00675E41" w:rsidRPr="00161A5F">
        <w:rPr>
          <w:b/>
          <w:lang w:val="fr-FR"/>
        </w:rPr>
        <w:t xml:space="preserve"> </w:t>
      </w:r>
      <w:r w:rsidR="00BE559D">
        <w:rPr>
          <w:b/>
          <w:lang w:val="fr-FR"/>
        </w:rPr>
        <w:t>(</w:t>
      </w:r>
      <w:r w:rsidR="00A84FF2">
        <w:rPr>
          <w:b/>
          <w:lang w:val="fr-FR"/>
        </w:rPr>
        <w:t>R</w:t>
      </w:r>
      <w:r w:rsidR="00675E41" w:rsidRPr="00161A5F">
        <w:rPr>
          <w:b/>
          <w:lang w:val="fr-FR"/>
        </w:rPr>
        <w:t xml:space="preserve">ègles </w:t>
      </w:r>
      <w:r w:rsidR="00A84FF2">
        <w:rPr>
          <w:b/>
          <w:lang w:val="fr-FR"/>
        </w:rPr>
        <w:t>Nelson</w:t>
      </w:r>
      <w:r w:rsidR="00675E41" w:rsidRPr="00161A5F">
        <w:rPr>
          <w:b/>
          <w:lang w:val="fr-FR"/>
        </w:rPr>
        <w:t xml:space="preserve"> Mandela</w:t>
      </w:r>
      <w:r w:rsidR="00A84FF2">
        <w:rPr>
          <w:b/>
          <w:lang w:val="fr-FR"/>
        </w:rPr>
        <w:t>)</w:t>
      </w:r>
      <w:r w:rsidR="00675E41" w:rsidRPr="00161A5F">
        <w:rPr>
          <w:b/>
          <w:lang w:val="fr-FR"/>
        </w:rPr>
        <w:t xml:space="preserve"> et </w:t>
      </w:r>
      <w:r w:rsidR="00A84FF2">
        <w:rPr>
          <w:b/>
          <w:lang w:val="fr-FR"/>
        </w:rPr>
        <w:t xml:space="preserve">des </w:t>
      </w:r>
      <w:r w:rsidR="00D43383" w:rsidRPr="002C06C7">
        <w:rPr>
          <w:b/>
          <w:lang w:val="fr-FR"/>
        </w:rPr>
        <w:t>Règles minima des Nations Unies pour l</w:t>
      </w:r>
      <w:r w:rsidR="00D43383">
        <w:rPr>
          <w:b/>
          <w:lang w:val="fr-FR"/>
        </w:rPr>
        <w:t>’</w:t>
      </w:r>
      <w:r w:rsidR="00D43383" w:rsidRPr="002C06C7">
        <w:rPr>
          <w:b/>
          <w:lang w:val="fr-FR"/>
        </w:rPr>
        <w:t>élaboration de mesures non privatives de liberté</w:t>
      </w:r>
      <w:r w:rsidR="00D43383" w:rsidRPr="00161A5F">
        <w:rPr>
          <w:b/>
          <w:lang w:val="fr-FR"/>
        </w:rPr>
        <w:t xml:space="preserve"> </w:t>
      </w:r>
      <w:r w:rsidR="00D43383">
        <w:rPr>
          <w:b/>
          <w:lang w:val="fr-FR"/>
        </w:rPr>
        <w:t xml:space="preserve">(Règles </w:t>
      </w:r>
      <w:r w:rsidR="00675E41" w:rsidRPr="00161A5F">
        <w:rPr>
          <w:b/>
          <w:lang w:val="fr-FR"/>
        </w:rPr>
        <w:t>de Tokyo</w:t>
      </w:r>
      <w:r w:rsidR="00D43383">
        <w:rPr>
          <w:b/>
          <w:lang w:val="fr-FR"/>
        </w:rPr>
        <w:t>)</w:t>
      </w:r>
      <w:r w:rsidR="00675E41" w:rsidRPr="00161A5F">
        <w:rPr>
          <w:b/>
          <w:lang w:val="fr-FR"/>
        </w:rPr>
        <w:t xml:space="preserve">, ainsi que </w:t>
      </w:r>
      <w:r w:rsidR="00EC2A73">
        <w:rPr>
          <w:b/>
          <w:lang w:val="fr-FR"/>
        </w:rPr>
        <w:t xml:space="preserve">sur </w:t>
      </w:r>
      <w:r w:rsidR="00675E41" w:rsidRPr="00161A5F">
        <w:rPr>
          <w:b/>
          <w:lang w:val="fr-FR"/>
        </w:rPr>
        <w:t>la méthodologie de visite dans les lieux de privation de liberté, y compris la planification et l</w:t>
      </w:r>
      <w:r w:rsidR="00835C07">
        <w:rPr>
          <w:b/>
          <w:lang w:val="fr-FR"/>
        </w:rPr>
        <w:t>’</w:t>
      </w:r>
      <w:r w:rsidR="00675E41" w:rsidRPr="00161A5F">
        <w:rPr>
          <w:b/>
          <w:lang w:val="fr-FR"/>
        </w:rPr>
        <w:t xml:space="preserve">organisation </w:t>
      </w:r>
      <w:r w:rsidR="00EC2A73">
        <w:rPr>
          <w:b/>
          <w:lang w:val="fr-FR"/>
        </w:rPr>
        <w:t>des</w:t>
      </w:r>
      <w:r w:rsidR="00675E41" w:rsidRPr="00161A5F">
        <w:rPr>
          <w:b/>
          <w:lang w:val="fr-FR"/>
        </w:rPr>
        <w:t xml:space="preserve"> visite</w:t>
      </w:r>
      <w:r w:rsidR="00EC2A73">
        <w:rPr>
          <w:b/>
          <w:lang w:val="fr-FR"/>
        </w:rPr>
        <w:t>s</w:t>
      </w:r>
      <w:r w:rsidR="00675E41" w:rsidRPr="00161A5F">
        <w:rPr>
          <w:b/>
          <w:lang w:val="fr-FR"/>
        </w:rPr>
        <w:t>.</w:t>
      </w:r>
    </w:p>
    <w:p w14:paraId="30AE22E9" w14:textId="45940BF1" w:rsidR="00675E41" w:rsidRPr="00675E41" w:rsidRDefault="00161A5F" w:rsidP="00161A5F">
      <w:pPr>
        <w:pStyle w:val="H23G"/>
      </w:pPr>
      <w:r>
        <w:tab/>
      </w:r>
      <w:r w:rsidR="00E723C4">
        <w:t>2.</w:t>
      </w:r>
      <w:r>
        <w:tab/>
      </w:r>
      <w:r>
        <w:tab/>
      </w:r>
      <w:r w:rsidR="00675E41" w:rsidRPr="00675E41">
        <w:t>Pendant la visite</w:t>
      </w:r>
    </w:p>
    <w:p w14:paraId="237E02D6" w14:textId="213A9DDA" w:rsidR="00675E41" w:rsidRPr="00E723C4" w:rsidRDefault="00161A5F" w:rsidP="00A67610">
      <w:pPr>
        <w:pStyle w:val="H4G"/>
      </w:pPr>
      <w:r w:rsidRPr="00E723C4">
        <w:tab/>
      </w:r>
      <w:r w:rsidR="00E723C4" w:rsidRPr="00A67610">
        <w:t>a)</w:t>
      </w:r>
      <w:r w:rsidRPr="00E723C4">
        <w:tab/>
      </w:r>
      <w:r w:rsidRPr="00E723C4">
        <w:tab/>
      </w:r>
      <w:r w:rsidR="00675E41" w:rsidRPr="00E723C4">
        <w:t>Présentation du mécanisme</w:t>
      </w:r>
    </w:p>
    <w:p w14:paraId="343F9C71" w14:textId="1E46F42E" w:rsidR="00675E41" w:rsidRPr="00675E41" w:rsidRDefault="00C74FD4" w:rsidP="00C74FD4">
      <w:pPr>
        <w:pStyle w:val="ParNoG"/>
        <w:numPr>
          <w:ilvl w:val="0"/>
          <w:numId w:val="0"/>
        </w:numPr>
        <w:tabs>
          <w:tab w:val="left" w:pos="1701"/>
        </w:tabs>
        <w:ind w:left="1134"/>
        <w:rPr>
          <w:lang w:val="fr-FR"/>
        </w:rPr>
      </w:pPr>
      <w:r w:rsidRPr="00675E41">
        <w:rPr>
          <w:lang w:val="fr-FR"/>
        </w:rPr>
        <w:t>46.</w:t>
      </w:r>
      <w:r w:rsidRPr="00675E41">
        <w:rPr>
          <w:lang w:val="fr-FR"/>
        </w:rPr>
        <w:tab/>
      </w:r>
      <w:r w:rsidR="00675E41" w:rsidRPr="00675E41">
        <w:rPr>
          <w:lang w:val="fr-FR"/>
        </w:rPr>
        <w:t>La délégation du Sous-Comité a constaté que les autorités pénitentiaires avaient une bonne connaissance du mandat et des membres de l’Observateur</w:t>
      </w:r>
      <w:r w:rsidR="007158C1">
        <w:rPr>
          <w:lang w:val="fr-FR"/>
        </w:rPr>
        <w:t xml:space="preserve"> national</w:t>
      </w:r>
      <w:r w:rsidR="00BE4A0F">
        <w:rPr>
          <w:lang w:val="fr-FR"/>
        </w:rPr>
        <w:t>.</w:t>
      </w:r>
      <w:r w:rsidR="00675E41" w:rsidRPr="00675E41">
        <w:rPr>
          <w:lang w:val="fr-FR"/>
        </w:rPr>
        <w:t xml:space="preserve"> </w:t>
      </w:r>
      <w:r w:rsidR="00BE4A0F">
        <w:rPr>
          <w:lang w:val="fr-FR"/>
        </w:rPr>
        <w:t>Le Sous-Comité</w:t>
      </w:r>
      <w:r w:rsidR="00675E41" w:rsidRPr="00675E41">
        <w:rPr>
          <w:lang w:val="fr-FR"/>
        </w:rPr>
        <w:t xml:space="preserve"> apprécie le fait que l’Observateur</w:t>
      </w:r>
      <w:r w:rsidR="00BE4A0F">
        <w:rPr>
          <w:lang w:val="fr-FR"/>
        </w:rPr>
        <w:t xml:space="preserve"> national</w:t>
      </w:r>
      <w:r w:rsidR="00675E41" w:rsidRPr="00675E41">
        <w:rPr>
          <w:lang w:val="fr-FR"/>
        </w:rPr>
        <w:t xml:space="preserve"> fournisse une brochure d’information aux autorités. </w:t>
      </w:r>
    </w:p>
    <w:p w14:paraId="07616695" w14:textId="43F161EF" w:rsidR="00675E41" w:rsidRPr="00675E41" w:rsidRDefault="00C74FD4" w:rsidP="00C74FD4">
      <w:pPr>
        <w:pStyle w:val="ParNoG"/>
        <w:numPr>
          <w:ilvl w:val="0"/>
          <w:numId w:val="0"/>
        </w:numPr>
        <w:tabs>
          <w:tab w:val="left" w:pos="1701"/>
        </w:tabs>
        <w:ind w:left="1134"/>
        <w:rPr>
          <w:lang w:val="fr-FR"/>
        </w:rPr>
      </w:pPr>
      <w:r w:rsidRPr="00675E41">
        <w:rPr>
          <w:lang w:val="fr-FR"/>
        </w:rPr>
        <w:t>47.</w:t>
      </w:r>
      <w:r w:rsidRPr="00675E41">
        <w:rPr>
          <w:lang w:val="fr-FR"/>
        </w:rPr>
        <w:tab/>
      </w:r>
      <w:r w:rsidR="00675E41" w:rsidRPr="00675E41">
        <w:rPr>
          <w:lang w:val="fr-FR"/>
        </w:rPr>
        <w:t xml:space="preserve">Plus généralement, le Sous-Comité est d’avis qu’un </w:t>
      </w:r>
      <w:r w:rsidR="00BE4A0F">
        <w:rPr>
          <w:lang w:val="fr-FR"/>
        </w:rPr>
        <w:t>mécanisme national de prévention</w:t>
      </w:r>
      <w:r w:rsidR="00675E41" w:rsidRPr="00675E41">
        <w:rPr>
          <w:lang w:val="fr-FR"/>
        </w:rPr>
        <w:t xml:space="preserve"> doit se montrer didactique et ferme</w:t>
      </w:r>
      <w:r w:rsidR="004C17CA">
        <w:rPr>
          <w:lang w:val="fr-FR"/>
        </w:rPr>
        <w:t>,</w:t>
      </w:r>
      <w:r w:rsidR="00675E41" w:rsidRPr="00675E41">
        <w:rPr>
          <w:lang w:val="fr-FR"/>
        </w:rPr>
        <w:t xml:space="preserve"> quant à la présentation des principes de base de son travail et </w:t>
      </w:r>
      <w:r w:rsidR="004C17CA">
        <w:rPr>
          <w:lang w:val="fr-FR"/>
        </w:rPr>
        <w:t xml:space="preserve">de </w:t>
      </w:r>
      <w:r w:rsidR="00675E41" w:rsidRPr="00675E41">
        <w:rPr>
          <w:lang w:val="fr-FR"/>
        </w:rPr>
        <w:t>sa méthodologie</w:t>
      </w:r>
      <w:r w:rsidR="008C3BF7">
        <w:rPr>
          <w:lang w:val="fr-FR"/>
        </w:rPr>
        <w:t>,</w:t>
      </w:r>
      <w:r w:rsidR="00675E41" w:rsidRPr="00675E41">
        <w:rPr>
          <w:lang w:val="fr-FR"/>
        </w:rPr>
        <w:t xml:space="preserve"> lors de </w:t>
      </w:r>
      <w:r w:rsidR="00364023">
        <w:rPr>
          <w:lang w:val="fr-FR"/>
        </w:rPr>
        <w:t>l’</w:t>
      </w:r>
      <w:r w:rsidR="00675E41" w:rsidRPr="00675E41">
        <w:rPr>
          <w:lang w:val="fr-FR"/>
        </w:rPr>
        <w:t xml:space="preserve">entretien préliminaire avec les responsables de l’établissement visité. </w:t>
      </w:r>
    </w:p>
    <w:p w14:paraId="3EA91934" w14:textId="3A82B89E" w:rsidR="00675E41" w:rsidRPr="00675E41" w:rsidRDefault="00C74FD4" w:rsidP="00C74FD4">
      <w:pPr>
        <w:pStyle w:val="ParNoG"/>
        <w:numPr>
          <w:ilvl w:val="0"/>
          <w:numId w:val="0"/>
        </w:numPr>
        <w:tabs>
          <w:tab w:val="left" w:pos="1701"/>
        </w:tabs>
        <w:ind w:left="1134"/>
        <w:rPr>
          <w:lang w:val="fr-FR"/>
        </w:rPr>
      </w:pPr>
      <w:r w:rsidRPr="00675E41">
        <w:rPr>
          <w:lang w:val="fr-FR"/>
        </w:rPr>
        <w:t>48.</w:t>
      </w:r>
      <w:r w:rsidRPr="00675E41">
        <w:rPr>
          <w:lang w:val="fr-FR"/>
        </w:rPr>
        <w:tab/>
      </w:r>
      <w:r w:rsidR="00364023">
        <w:rPr>
          <w:lang w:val="fr-FR"/>
        </w:rPr>
        <w:t>Concernant</w:t>
      </w:r>
      <w:r w:rsidR="00675E41" w:rsidRPr="00675E41">
        <w:rPr>
          <w:lang w:val="fr-FR"/>
        </w:rPr>
        <w:t xml:space="preserve"> la présentation aux personnes privées de liberté lors de sa visite à la </w:t>
      </w:r>
      <w:r w:rsidR="00A965A2">
        <w:rPr>
          <w:lang w:val="fr-FR"/>
        </w:rPr>
        <w:t>m</w:t>
      </w:r>
      <w:r w:rsidR="00675E41" w:rsidRPr="00675E41">
        <w:rPr>
          <w:lang w:val="fr-FR"/>
        </w:rPr>
        <w:t>aison d’</w:t>
      </w:r>
      <w:r w:rsidR="00A965A2">
        <w:rPr>
          <w:lang w:val="fr-FR"/>
        </w:rPr>
        <w:t>a</w:t>
      </w:r>
      <w:r w:rsidR="00675E41" w:rsidRPr="00675E41">
        <w:rPr>
          <w:lang w:val="fr-FR"/>
        </w:rPr>
        <w:t xml:space="preserve">rrêt et de </w:t>
      </w:r>
      <w:r w:rsidR="00A965A2">
        <w:rPr>
          <w:lang w:val="fr-FR"/>
        </w:rPr>
        <w:t>c</w:t>
      </w:r>
      <w:r w:rsidR="00675E41" w:rsidRPr="00675E41">
        <w:rPr>
          <w:lang w:val="fr-FR"/>
        </w:rPr>
        <w:t>orrection de Thiès, la délégation a pu observer que la majorité des détenus connaissai</w:t>
      </w:r>
      <w:r w:rsidR="00A965A2">
        <w:rPr>
          <w:lang w:val="fr-FR"/>
        </w:rPr>
        <w:t>en</w:t>
      </w:r>
      <w:r w:rsidR="00675E41" w:rsidRPr="00675E41">
        <w:rPr>
          <w:lang w:val="fr-FR"/>
        </w:rPr>
        <w:t xml:space="preserve">t l’actuelle </w:t>
      </w:r>
      <w:r w:rsidR="00004B7D">
        <w:rPr>
          <w:lang w:val="fr-FR"/>
        </w:rPr>
        <w:t xml:space="preserve">titulaire du poste </w:t>
      </w:r>
      <w:r w:rsidR="005C24F0">
        <w:rPr>
          <w:lang w:val="fr-FR"/>
        </w:rPr>
        <w:t>d’Observateur national</w:t>
      </w:r>
      <w:r w:rsidR="00675E41" w:rsidRPr="00675E41">
        <w:rPr>
          <w:lang w:val="fr-FR"/>
        </w:rPr>
        <w:t xml:space="preserve">, grâce à sa participation à des émissions de télévision et de radios communautaires, ce qui est très positif. </w:t>
      </w:r>
    </w:p>
    <w:p w14:paraId="7838A6C5" w14:textId="769E85DF" w:rsidR="00675E41" w:rsidRPr="00161A5F" w:rsidRDefault="00C74FD4" w:rsidP="00C74FD4">
      <w:pPr>
        <w:pStyle w:val="ParNoG"/>
        <w:numPr>
          <w:ilvl w:val="0"/>
          <w:numId w:val="0"/>
        </w:numPr>
        <w:tabs>
          <w:tab w:val="left" w:pos="1701"/>
        </w:tabs>
        <w:ind w:left="1134"/>
        <w:rPr>
          <w:b/>
          <w:lang w:val="fr-FR"/>
        </w:rPr>
      </w:pPr>
      <w:r w:rsidRPr="00161A5F">
        <w:rPr>
          <w:lang w:val="fr-FR"/>
        </w:rPr>
        <w:t>49.</w:t>
      </w:r>
      <w:r w:rsidRPr="00161A5F">
        <w:rPr>
          <w:lang w:val="fr-FR"/>
        </w:rPr>
        <w:tab/>
      </w:r>
      <w:r w:rsidR="00675E41" w:rsidRPr="00161A5F">
        <w:rPr>
          <w:b/>
          <w:lang w:val="fr-FR"/>
        </w:rPr>
        <w:t>Le Sous-Comité recommande à l’Observateur</w:t>
      </w:r>
      <w:r w:rsidR="00E606B4">
        <w:rPr>
          <w:b/>
          <w:lang w:val="fr-FR"/>
        </w:rPr>
        <w:t xml:space="preserve"> national</w:t>
      </w:r>
      <w:r w:rsidR="00675E41" w:rsidRPr="00161A5F">
        <w:rPr>
          <w:b/>
          <w:lang w:val="fr-FR"/>
        </w:rPr>
        <w:t xml:space="preserve"> d’expliquer clairement son mandat, sa mission, l’objectif de la visite et ses méthodes de travail aux autorités des établissements visités. Sa présentation aux personnes privées de liberté doit être </w:t>
      </w:r>
      <w:r w:rsidR="00675E41" w:rsidRPr="00161A5F">
        <w:rPr>
          <w:b/>
          <w:lang w:val="fr-FR"/>
        </w:rPr>
        <w:lastRenderedPageBreak/>
        <w:t xml:space="preserve">simple et compréhensible, de manière à ne pas </w:t>
      </w:r>
      <w:r w:rsidR="00C209B7">
        <w:rPr>
          <w:b/>
          <w:lang w:val="fr-FR"/>
        </w:rPr>
        <w:t>susciter</w:t>
      </w:r>
      <w:r w:rsidR="00675E41" w:rsidRPr="00161A5F">
        <w:rPr>
          <w:b/>
          <w:lang w:val="fr-FR"/>
        </w:rPr>
        <w:t xml:space="preserve"> d’attentes qui dépassent </w:t>
      </w:r>
      <w:r w:rsidR="00D3002C">
        <w:rPr>
          <w:b/>
          <w:lang w:val="fr-FR"/>
        </w:rPr>
        <w:t xml:space="preserve">la portée de </w:t>
      </w:r>
      <w:r w:rsidR="00C209B7">
        <w:rPr>
          <w:b/>
          <w:lang w:val="fr-FR"/>
        </w:rPr>
        <w:t>son</w:t>
      </w:r>
      <w:r w:rsidR="00675E41" w:rsidRPr="00161A5F">
        <w:rPr>
          <w:b/>
          <w:lang w:val="fr-FR"/>
        </w:rPr>
        <w:t xml:space="preserve"> mandat. </w:t>
      </w:r>
    </w:p>
    <w:p w14:paraId="3062CD53" w14:textId="3E3E9B2E" w:rsidR="00675E41" w:rsidRPr="00A67610" w:rsidRDefault="00675E41" w:rsidP="00C74FD4">
      <w:pPr>
        <w:pStyle w:val="H4G"/>
      </w:pPr>
      <w:r w:rsidRPr="00C74FD4">
        <w:tab/>
      </w:r>
      <w:r w:rsidR="00A67610" w:rsidRPr="00C74FD4">
        <w:t>b)</w:t>
      </w:r>
      <w:r w:rsidRPr="00C74FD4">
        <w:tab/>
      </w:r>
      <w:r w:rsidRPr="00C74FD4">
        <w:tab/>
      </w:r>
      <w:r w:rsidRPr="00A67610">
        <w:t>Entretiens</w:t>
      </w:r>
    </w:p>
    <w:p w14:paraId="171B90D3" w14:textId="63D4D28E" w:rsidR="00675E41" w:rsidRPr="00675E41" w:rsidRDefault="00C74FD4" w:rsidP="00C74FD4">
      <w:pPr>
        <w:pStyle w:val="ParNoG"/>
        <w:numPr>
          <w:ilvl w:val="0"/>
          <w:numId w:val="0"/>
        </w:numPr>
        <w:tabs>
          <w:tab w:val="left" w:pos="1701"/>
        </w:tabs>
        <w:ind w:left="1134"/>
        <w:rPr>
          <w:lang w:val="fr-FR"/>
        </w:rPr>
      </w:pPr>
      <w:r w:rsidRPr="00675E41">
        <w:rPr>
          <w:lang w:val="fr-FR"/>
        </w:rPr>
        <w:t>50.</w:t>
      </w:r>
      <w:r w:rsidRPr="00675E41">
        <w:rPr>
          <w:lang w:val="fr-FR"/>
        </w:rPr>
        <w:tab/>
      </w:r>
      <w:r w:rsidR="00A9612D">
        <w:rPr>
          <w:lang w:val="fr-FR"/>
        </w:rPr>
        <w:t>La délégation a constaté que</w:t>
      </w:r>
      <w:r w:rsidR="00675E41" w:rsidRPr="00675E41">
        <w:rPr>
          <w:lang w:val="fr-FR"/>
        </w:rPr>
        <w:t xml:space="preserve"> les lieux choisis pour mener les entretiens n’étaient pas complètement adéquats. Le bureau du Directeur de l’établissement ou un espace commun comme le jardin, </w:t>
      </w:r>
      <w:r w:rsidR="008C6142">
        <w:rPr>
          <w:lang w:val="fr-FR"/>
        </w:rPr>
        <w:t xml:space="preserve">qui est un </w:t>
      </w:r>
      <w:r w:rsidR="00675E41" w:rsidRPr="00675E41">
        <w:rPr>
          <w:lang w:val="fr-FR"/>
        </w:rPr>
        <w:t>lieu de passage, ne constituent pas un environnement suffisamment neutre et confidentiel pour mettre en confiance les personnes avec lesquel</w:t>
      </w:r>
      <w:r w:rsidR="009F1BDD">
        <w:rPr>
          <w:lang w:val="fr-FR"/>
        </w:rPr>
        <w:t>le</w:t>
      </w:r>
      <w:r w:rsidR="00675E41" w:rsidRPr="00675E41">
        <w:rPr>
          <w:lang w:val="fr-FR"/>
        </w:rPr>
        <w:t xml:space="preserve">s </w:t>
      </w:r>
      <w:r w:rsidR="009F1BDD">
        <w:rPr>
          <w:lang w:val="fr-FR"/>
        </w:rPr>
        <w:t>l’équipe</w:t>
      </w:r>
      <w:r w:rsidR="00675E41" w:rsidRPr="00675E41">
        <w:rPr>
          <w:lang w:val="fr-FR"/>
        </w:rPr>
        <w:t xml:space="preserve"> </w:t>
      </w:r>
      <w:r w:rsidR="009F1BDD">
        <w:rPr>
          <w:lang w:val="fr-FR"/>
        </w:rPr>
        <w:t>de</w:t>
      </w:r>
      <w:r w:rsidR="00675E41" w:rsidRPr="00675E41">
        <w:rPr>
          <w:lang w:val="fr-FR"/>
        </w:rPr>
        <w:t xml:space="preserve"> l’Observateur</w:t>
      </w:r>
      <w:r w:rsidR="009F1BDD">
        <w:rPr>
          <w:lang w:val="fr-FR"/>
        </w:rPr>
        <w:t xml:space="preserve"> national</w:t>
      </w:r>
      <w:r w:rsidR="00675E41" w:rsidRPr="00675E41">
        <w:rPr>
          <w:lang w:val="fr-FR"/>
        </w:rPr>
        <w:t xml:space="preserve"> va s’entretenir</w:t>
      </w:r>
      <w:r w:rsidR="009F1BDD">
        <w:rPr>
          <w:lang w:val="fr-FR"/>
        </w:rPr>
        <w:t>.</w:t>
      </w:r>
    </w:p>
    <w:p w14:paraId="178FBEE7" w14:textId="2C9ED16B" w:rsidR="00675E41" w:rsidRPr="00161A5F" w:rsidRDefault="00C74FD4" w:rsidP="00C74FD4">
      <w:pPr>
        <w:pStyle w:val="ParNoG"/>
        <w:numPr>
          <w:ilvl w:val="0"/>
          <w:numId w:val="0"/>
        </w:numPr>
        <w:tabs>
          <w:tab w:val="left" w:pos="1701"/>
        </w:tabs>
        <w:ind w:left="1134"/>
        <w:rPr>
          <w:b/>
        </w:rPr>
      </w:pPr>
      <w:r w:rsidRPr="00161A5F">
        <w:t>51.</w:t>
      </w:r>
      <w:r w:rsidRPr="00161A5F">
        <w:tab/>
      </w:r>
      <w:r w:rsidR="00675E41" w:rsidRPr="00161A5F">
        <w:rPr>
          <w:b/>
          <w:lang w:val="fr-FR"/>
        </w:rPr>
        <w:t>Le Sous-Comité souligne l’importance de s’entretenir avec les détenus en privé, individuellement et sans surveillance. Les entretiens doivent avoir lieu dans un environnement permettant à la personne interrogée de se sentir à l’aise, si possible dans un espace qui lui est familier. Il est important de</w:t>
      </w:r>
      <w:r w:rsidR="00675E41" w:rsidRPr="00161A5F">
        <w:rPr>
          <w:b/>
          <w:bCs/>
          <w:lang w:val="fr-FR"/>
        </w:rPr>
        <w:t xml:space="preserve"> choisir avec soin le lieu des entretiens individuels afin de s’assurer que le contenu de </w:t>
      </w:r>
      <w:proofErr w:type="gramStart"/>
      <w:r w:rsidR="00675E41" w:rsidRPr="00161A5F">
        <w:rPr>
          <w:b/>
          <w:bCs/>
          <w:lang w:val="fr-FR"/>
        </w:rPr>
        <w:t>ces derniers reste confidentiel</w:t>
      </w:r>
      <w:proofErr w:type="gramEnd"/>
      <w:r w:rsidR="00675E41" w:rsidRPr="00161A5F">
        <w:rPr>
          <w:b/>
          <w:bCs/>
          <w:lang w:val="fr-FR"/>
        </w:rPr>
        <w:t xml:space="preserve"> et que le principe consistant à « ne pas nuire » est appliqué, et ce, sans exception.</w:t>
      </w:r>
    </w:p>
    <w:p w14:paraId="009B6C01" w14:textId="766C1CEE" w:rsidR="00675E41" w:rsidRPr="00161A5F" w:rsidRDefault="00C74FD4" w:rsidP="00C74FD4">
      <w:pPr>
        <w:pStyle w:val="ParNoG"/>
        <w:numPr>
          <w:ilvl w:val="0"/>
          <w:numId w:val="0"/>
        </w:numPr>
        <w:tabs>
          <w:tab w:val="left" w:pos="1701"/>
        </w:tabs>
        <w:ind w:left="1134"/>
        <w:rPr>
          <w:b/>
        </w:rPr>
      </w:pPr>
      <w:r w:rsidRPr="00161A5F">
        <w:t>52.</w:t>
      </w:r>
      <w:r w:rsidRPr="00161A5F">
        <w:tab/>
      </w:r>
      <w:r w:rsidR="00675E41" w:rsidRPr="00161A5F">
        <w:rPr>
          <w:b/>
          <w:lang w:val="fr-FR"/>
        </w:rPr>
        <w:t>Le Sous-Comité recommande également à l’Observateur</w:t>
      </w:r>
      <w:r w:rsidR="00CF46AA">
        <w:rPr>
          <w:b/>
          <w:lang w:val="fr-FR"/>
        </w:rPr>
        <w:t xml:space="preserve"> national</w:t>
      </w:r>
      <w:r w:rsidR="00675E41" w:rsidRPr="00161A5F">
        <w:rPr>
          <w:b/>
          <w:lang w:val="fr-FR"/>
        </w:rPr>
        <w:t xml:space="preserve"> de publier une brochure destinée principalement aux détenus, décrivant son mandat et ses méthodes de travail et expliquant la notion de consentement éclairé</w:t>
      </w:r>
      <w:r w:rsidR="007B3066">
        <w:rPr>
          <w:b/>
          <w:lang w:val="fr-FR"/>
        </w:rPr>
        <w:t>,</w:t>
      </w:r>
      <w:r w:rsidR="00675E41" w:rsidRPr="00161A5F">
        <w:rPr>
          <w:b/>
          <w:lang w:val="fr-FR"/>
        </w:rPr>
        <w:t xml:space="preserve"> sur laquelle figureront les informations nécessaires pour le contacter.</w:t>
      </w:r>
    </w:p>
    <w:p w14:paraId="658B0BCC" w14:textId="4A92A260" w:rsidR="00675E41" w:rsidRPr="00675E41" w:rsidRDefault="00C74FD4" w:rsidP="00C74FD4">
      <w:pPr>
        <w:pStyle w:val="ParNoG"/>
        <w:numPr>
          <w:ilvl w:val="0"/>
          <w:numId w:val="0"/>
        </w:numPr>
        <w:tabs>
          <w:tab w:val="left" w:pos="1701"/>
        </w:tabs>
        <w:ind w:left="1134"/>
      </w:pPr>
      <w:r w:rsidRPr="00675E41">
        <w:t>53.</w:t>
      </w:r>
      <w:r w:rsidRPr="00675E41">
        <w:tab/>
      </w:r>
      <w:r w:rsidR="00675E41" w:rsidRPr="00675E41">
        <w:rPr>
          <w:lang w:val="fr-FR"/>
        </w:rPr>
        <w:t>Concernant la méthodologie des entretiens, la délégation a constaté que les membres de l’Observateur</w:t>
      </w:r>
      <w:r w:rsidR="00842EDD">
        <w:rPr>
          <w:lang w:val="fr-FR"/>
        </w:rPr>
        <w:t xml:space="preserve"> national</w:t>
      </w:r>
      <w:r w:rsidR="00675E41" w:rsidRPr="00675E41">
        <w:rPr>
          <w:lang w:val="fr-FR"/>
        </w:rPr>
        <w:t xml:space="preserve"> auraient dû expliciter davantage et plus systématiquement aux détenus leur qualité de représentants du mécanisme national de prévention et leur mandat. En outre, le principe de confidentialité et le caractère volontaire des entretiens, si essentiels, étaient insuffisamment mentionnés.</w:t>
      </w:r>
    </w:p>
    <w:p w14:paraId="22507C1C" w14:textId="0404E35A" w:rsidR="00675E41" w:rsidRPr="00161A5F" w:rsidRDefault="00C74FD4" w:rsidP="00C74FD4">
      <w:pPr>
        <w:pStyle w:val="ParNoG"/>
        <w:numPr>
          <w:ilvl w:val="0"/>
          <w:numId w:val="0"/>
        </w:numPr>
        <w:tabs>
          <w:tab w:val="left" w:pos="1701"/>
        </w:tabs>
        <w:ind w:left="1134"/>
        <w:rPr>
          <w:b/>
          <w:lang w:val="fr-FR"/>
        </w:rPr>
      </w:pPr>
      <w:r w:rsidRPr="00161A5F">
        <w:rPr>
          <w:lang w:val="fr-FR"/>
        </w:rPr>
        <w:t>54.</w:t>
      </w:r>
      <w:r w:rsidRPr="00161A5F">
        <w:rPr>
          <w:lang w:val="fr-FR"/>
        </w:rPr>
        <w:tab/>
      </w:r>
      <w:r w:rsidR="00675E41" w:rsidRPr="00161A5F">
        <w:rPr>
          <w:b/>
          <w:lang w:val="fr-FR"/>
        </w:rPr>
        <w:t>Le Sous-Comité souligne l’importance que les membres de l’Observateur</w:t>
      </w:r>
      <w:r w:rsidR="0087427F">
        <w:rPr>
          <w:b/>
          <w:lang w:val="fr-FR"/>
        </w:rPr>
        <w:t xml:space="preserve"> national</w:t>
      </w:r>
      <w:r w:rsidR="00675E41" w:rsidRPr="00161A5F">
        <w:rPr>
          <w:b/>
          <w:lang w:val="fr-FR"/>
        </w:rPr>
        <w:t xml:space="preserve"> se présentent aux personnes </w:t>
      </w:r>
      <w:r w:rsidR="00CA6A4E">
        <w:rPr>
          <w:b/>
          <w:lang w:val="fr-FR"/>
        </w:rPr>
        <w:t>interrogées</w:t>
      </w:r>
      <w:r w:rsidR="00675E41" w:rsidRPr="00161A5F">
        <w:rPr>
          <w:b/>
          <w:lang w:val="fr-FR"/>
        </w:rPr>
        <w:t xml:space="preserve"> en précisant leur nom et leur fonction</w:t>
      </w:r>
      <w:r w:rsidR="00CA6A4E">
        <w:rPr>
          <w:b/>
          <w:lang w:val="fr-FR"/>
        </w:rPr>
        <w:t>,</w:t>
      </w:r>
      <w:r w:rsidR="00675E41" w:rsidRPr="00161A5F">
        <w:rPr>
          <w:b/>
          <w:lang w:val="fr-FR"/>
        </w:rPr>
        <w:t xml:space="preserve"> et leur expliquent le mandat du mécanisme, en mettant plus particulièrement l’accent sur l’aspect préventif. Le consentement explicite </w:t>
      </w:r>
      <w:r w:rsidR="00CA6A4E">
        <w:rPr>
          <w:b/>
          <w:lang w:val="fr-FR"/>
        </w:rPr>
        <w:t>doit</w:t>
      </w:r>
      <w:r w:rsidR="00675E41" w:rsidRPr="00161A5F">
        <w:rPr>
          <w:b/>
          <w:lang w:val="fr-FR"/>
        </w:rPr>
        <w:t xml:space="preserve"> toujours être obtenu, et il </w:t>
      </w:r>
      <w:r w:rsidR="00CA6A4E">
        <w:rPr>
          <w:b/>
          <w:lang w:val="fr-FR"/>
        </w:rPr>
        <w:t>convient</w:t>
      </w:r>
      <w:r w:rsidR="00675E41" w:rsidRPr="00161A5F">
        <w:rPr>
          <w:b/>
          <w:lang w:val="fr-FR"/>
        </w:rPr>
        <w:t xml:space="preserve"> de préciser que l’entretien est confidentiel et volontaire</w:t>
      </w:r>
      <w:r w:rsidR="006A3F2A">
        <w:rPr>
          <w:b/>
          <w:lang w:val="fr-FR"/>
        </w:rPr>
        <w:t>,</w:t>
      </w:r>
      <w:r w:rsidR="00675E41" w:rsidRPr="00161A5F">
        <w:rPr>
          <w:b/>
          <w:lang w:val="fr-FR"/>
        </w:rPr>
        <w:t xml:space="preserve"> et peut être interrompu à tout moment à la demande </w:t>
      </w:r>
      <w:r w:rsidR="00003060">
        <w:rPr>
          <w:b/>
          <w:lang w:val="fr-FR"/>
        </w:rPr>
        <w:t>de la personne interrogée</w:t>
      </w:r>
      <w:r w:rsidR="00675E41" w:rsidRPr="00161A5F">
        <w:rPr>
          <w:b/>
          <w:lang w:val="fr-FR"/>
        </w:rPr>
        <w:t xml:space="preserve">. Le Sous-Comité est d’avis qu’une présentation en bonne et due forme suscite la confiance de la personne </w:t>
      </w:r>
      <w:r w:rsidR="00877C69">
        <w:rPr>
          <w:b/>
          <w:lang w:val="fr-FR"/>
        </w:rPr>
        <w:t>interrogée</w:t>
      </w:r>
      <w:r w:rsidR="00675E41" w:rsidRPr="00161A5F">
        <w:rPr>
          <w:b/>
          <w:lang w:val="fr-FR"/>
        </w:rPr>
        <w:t xml:space="preserve"> et facilite </w:t>
      </w:r>
      <w:r w:rsidR="00877C69">
        <w:rPr>
          <w:b/>
          <w:lang w:val="fr-FR"/>
        </w:rPr>
        <w:t xml:space="preserve">ainsi </w:t>
      </w:r>
      <w:r w:rsidR="00675E41" w:rsidRPr="00161A5F">
        <w:rPr>
          <w:b/>
          <w:lang w:val="fr-FR"/>
        </w:rPr>
        <w:t xml:space="preserve">la communication et l’échange d’informations. Les entretiens doivent se concentrer sur les aspects pertinents pour la prévention, dont ne </w:t>
      </w:r>
      <w:r w:rsidR="004F7B6F">
        <w:rPr>
          <w:b/>
          <w:lang w:val="fr-FR"/>
        </w:rPr>
        <w:t>font</w:t>
      </w:r>
      <w:r w:rsidR="00675E41" w:rsidRPr="00161A5F">
        <w:rPr>
          <w:b/>
          <w:lang w:val="fr-FR"/>
        </w:rPr>
        <w:t xml:space="preserve"> pas nécessairement partie, par exemple, les raisons de la détention</w:t>
      </w:r>
      <w:r w:rsidR="002430D0">
        <w:rPr>
          <w:b/>
          <w:lang w:val="fr-FR"/>
        </w:rPr>
        <w:t>.</w:t>
      </w:r>
      <w:r w:rsidR="00675E41" w:rsidRPr="00161A5F">
        <w:rPr>
          <w:b/>
          <w:lang w:val="fr-FR"/>
        </w:rPr>
        <w:t xml:space="preserve"> </w:t>
      </w:r>
      <w:r w:rsidR="002430D0">
        <w:rPr>
          <w:b/>
          <w:lang w:val="fr-FR"/>
        </w:rPr>
        <w:t>L</w:t>
      </w:r>
      <w:r w:rsidR="00675E41" w:rsidRPr="00161A5F">
        <w:rPr>
          <w:b/>
          <w:lang w:val="fr-FR"/>
        </w:rPr>
        <w:t xml:space="preserve">es personnes avec lesquelles </w:t>
      </w:r>
      <w:r w:rsidR="002430D0">
        <w:rPr>
          <w:b/>
          <w:lang w:val="fr-FR"/>
        </w:rPr>
        <w:t>l’équipe</w:t>
      </w:r>
      <w:r w:rsidR="00675E41" w:rsidRPr="00161A5F">
        <w:rPr>
          <w:b/>
          <w:lang w:val="fr-FR"/>
        </w:rPr>
        <w:t xml:space="preserve"> de l’Observateur</w:t>
      </w:r>
      <w:r w:rsidR="002430D0">
        <w:rPr>
          <w:b/>
          <w:lang w:val="fr-FR"/>
        </w:rPr>
        <w:t xml:space="preserve"> national</w:t>
      </w:r>
      <w:r w:rsidR="00675E41" w:rsidRPr="00161A5F">
        <w:rPr>
          <w:b/>
          <w:lang w:val="fr-FR"/>
        </w:rPr>
        <w:t xml:space="preserve"> s’entretient doivent être mises en confiance afin de pouvoir s’exprimer librement. </w:t>
      </w:r>
    </w:p>
    <w:p w14:paraId="04B60BCD" w14:textId="7EE3CB8D" w:rsidR="00675E41" w:rsidRPr="00161A5F" w:rsidRDefault="00C74FD4" w:rsidP="00C74FD4">
      <w:pPr>
        <w:pStyle w:val="ParNoG"/>
        <w:numPr>
          <w:ilvl w:val="0"/>
          <w:numId w:val="0"/>
        </w:numPr>
        <w:tabs>
          <w:tab w:val="left" w:pos="1701"/>
        </w:tabs>
        <w:ind w:left="1134"/>
        <w:rPr>
          <w:b/>
          <w:lang w:val="fr-FR"/>
        </w:rPr>
      </w:pPr>
      <w:r w:rsidRPr="00161A5F">
        <w:rPr>
          <w:lang w:val="fr-FR"/>
        </w:rPr>
        <w:t>55.</w:t>
      </w:r>
      <w:r w:rsidRPr="00161A5F">
        <w:rPr>
          <w:lang w:val="fr-FR"/>
        </w:rPr>
        <w:tab/>
      </w:r>
      <w:r w:rsidR="00675E41" w:rsidRPr="00161A5F">
        <w:rPr>
          <w:b/>
          <w:lang w:val="fr-FR"/>
        </w:rPr>
        <w:t>Le Sous-Comité souligne la pertinence de l’article 24 du règlement intérieur de l’Observateur</w:t>
      </w:r>
      <w:r w:rsidR="00D84EEE">
        <w:rPr>
          <w:b/>
          <w:lang w:val="fr-FR"/>
        </w:rPr>
        <w:t xml:space="preserve"> national</w:t>
      </w:r>
      <w:r w:rsidR="00675E41" w:rsidRPr="00161A5F">
        <w:rPr>
          <w:b/>
          <w:lang w:val="fr-FR"/>
        </w:rPr>
        <w:t xml:space="preserve">, qui engage les observateurs à la neutralité, </w:t>
      </w:r>
      <w:r w:rsidR="000524C4">
        <w:rPr>
          <w:b/>
          <w:lang w:val="fr-FR"/>
        </w:rPr>
        <w:t xml:space="preserve">à </w:t>
      </w:r>
      <w:r w:rsidR="00675E41" w:rsidRPr="00161A5F">
        <w:rPr>
          <w:b/>
          <w:lang w:val="fr-FR"/>
        </w:rPr>
        <w:t xml:space="preserve">la courtoisie et au respect de la dignité humaine, sans jugement de valeur. En </w:t>
      </w:r>
      <w:r w:rsidR="006A743B">
        <w:rPr>
          <w:b/>
          <w:lang w:val="fr-FR"/>
        </w:rPr>
        <w:t>outre</w:t>
      </w:r>
      <w:r w:rsidR="00675E41" w:rsidRPr="00161A5F">
        <w:rPr>
          <w:b/>
          <w:lang w:val="fr-FR"/>
        </w:rPr>
        <w:t>, en cas de nécessité d’</w:t>
      </w:r>
      <w:r w:rsidR="006A743B">
        <w:rPr>
          <w:b/>
          <w:lang w:val="fr-FR"/>
        </w:rPr>
        <w:t xml:space="preserve">un </w:t>
      </w:r>
      <w:r w:rsidR="00675E41" w:rsidRPr="00161A5F">
        <w:rPr>
          <w:b/>
          <w:lang w:val="fr-FR"/>
        </w:rPr>
        <w:t xml:space="preserve">examen physique de </w:t>
      </w:r>
      <w:r w:rsidR="006A743B">
        <w:rPr>
          <w:b/>
          <w:lang w:val="fr-FR"/>
        </w:rPr>
        <w:t>la personne interrogée</w:t>
      </w:r>
      <w:r w:rsidR="00675E41" w:rsidRPr="00161A5F">
        <w:rPr>
          <w:b/>
          <w:lang w:val="fr-FR"/>
        </w:rPr>
        <w:t xml:space="preserve">, </w:t>
      </w:r>
      <w:r w:rsidR="005A045B">
        <w:rPr>
          <w:b/>
          <w:lang w:val="fr-FR"/>
        </w:rPr>
        <w:t>le</w:t>
      </w:r>
      <w:r w:rsidR="00675E41" w:rsidRPr="00161A5F">
        <w:rPr>
          <w:b/>
          <w:lang w:val="fr-FR"/>
        </w:rPr>
        <w:t xml:space="preserve"> consentement</w:t>
      </w:r>
      <w:r w:rsidR="005A045B">
        <w:rPr>
          <w:b/>
          <w:lang w:val="fr-FR"/>
        </w:rPr>
        <w:t xml:space="preserve"> de cette dernière</w:t>
      </w:r>
      <w:r w:rsidR="00675E41" w:rsidRPr="00161A5F">
        <w:rPr>
          <w:b/>
          <w:lang w:val="fr-FR"/>
        </w:rPr>
        <w:t xml:space="preserve"> doit être obtenu et l’examen</w:t>
      </w:r>
      <w:r w:rsidR="005A045B">
        <w:rPr>
          <w:b/>
          <w:lang w:val="fr-FR"/>
        </w:rPr>
        <w:t>,</w:t>
      </w:r>
      <w:r w:rsidR="00675E41" w:rsidRPr="00161A5F">
        <w:rPr>
          <w:b/>
          <w:lang w:val="fr-FR"/>
        </w:rPr>
        <w:t xml:space="preserve"> fait par une personne ayant l’expertise nécessaire. </w:t>
      </w:r>
    </w:p>
    <w:p w14:paraId="56EF71D7" w14:textId="3676994C" w:rsidR="00675E41" w:rsidRPr="00161A5F" w:rsidRDefault="00C74FD4" w:rsidP="00C74FD4">
      <w:pPr>
        <w:pStyle w:val="ParNoG"/>
        <w:numPr>
          <w:ilvl w:val="0"/>
          <w:numId w:val="0"/>
        </w:numPr>
        <w:tabs>
          <w:tab w:val="left" w:pos="1701"/>
        </w:tabs>
        <w:ind w:left="1134"/>
        <w:rPr>
          <w:b/>
          <w:lang w:val="fr-FR"/>
        </w:rPr>
      </w:pPr>
      <w:r w:rsidRPr="00161A5F">
        <w:rPr>
          <w:lang w:val="fr-FR"/>
        </w:rPr>
        <w:t>56.</w:t>
      </w:r>
      <w:r w:rsidRPr="00161A5F">
        <w:rPr>
          <w:lang w:val="fr-FR"/>
        </w:rPr>
        <w:tab/>
      </w:r>
      <w:r w:rsidR="00675E41" w:rsidRPr="00161A5F">
        <w:rPr>
          <w:b/>
          <w:lang w:val="fr-FR"/>
        </w:rPr>
        <w:t>Le Sous-Comité rappelle que l’objectif des entretiens est d’aider le mécanisme national de prévention à comprendre la situation des personnes privées de liberté et à déterminer la meilleure manière de réduire les risques</w:t>
      </w:r>
      <w:r w:rsidR="00675E41" w:rsidRPr="00675E41">
        <w:rPr>
          <w:lang w:val="fr-FR"/>
        </w:rPr>
        <w:t xml:space="preserve"> </w:t>
      </w:r>
      <w:r w:rsidR="00675E41" w:rsidRPr="00161A5F">
        <w:rPr>
          <w:b/>
          <w:lang w:val="fr-FR"/>
        </w:rPr>
        <w:t>de torture et de mauvais traitements. Si d’autres problèmes viennent à être soulevés au cours d’un entretien, l’Observateur</w:t>
      </w:r>
      <w:r w:rsidR="00F27052">
        <w:rPr>
          <w:b/>
          <w:lang w:val="fr-FR"/>
        </w:rPr>
        <w:t xml:space="preserve"> national</w:t>
      </w:r>
      <w:r w:rsidR="00675E41" w:rsidRPr="00161A5F">
        <w:rPr>
          <w:b/>
          <w:lang w:val="fr-FR"/>
        </w:rPr>
        <w:t xml:space="preserve"> </w:t>
      </w:r>
      <w:r w:rsidR="00F27052">
        <w:rPr>
          <w:b/>
          <w:lang w:val="fr-FR"/>
        </w:rPr>
        <w:t>doit</w:t>
      </w:r>
      <w:r w:rsidR="00675E41" w:rsidRPr="00161A5F">
        <w:rPr>
          <w:b/>
          <w:lang w:val="fr-FR"/>
        </w:rPr>
        <w:t xml:space="preserve"> appeler l’attention </w:t>
      </w:r>
      <w:r w:rsidR="00FB7BEC">
        <w:rPr>
          <w:b/>
          <w:lang w:val="fr-FR"/>
        </w:rPr>
        <w:t>de la personne interrogée</w:t>
      </w:r>
      <w:r w:rsidR="00675E41" w:rsidRPr="00161A5F">
        <w:rPr>
          <w:b/>
          <w:lang w:val="fr-FR"/>
        </w:rPr>
        <w:t xml:space="preserve"> sur les dispositifs et moyens de recours qui s’offrent à </w:t>
      </w:r>
      <w:r w:rsidR="00FB7BEC">
        <w:rPr>
          <w:b/>
          <w:lang w:val="fr-FR"/>
        </w:rPr>
        <w:t>elle</w:t>
      </w:r>
      <w:r w:rsidR="00675E41" w:rsidRPr="00161A5F">
        <w:rPr>
          <w:b/>
          <w:lang w:val="fr-FR"/>
        </w:rPr>
        <w:t xml:space="preserve"> et </w:t>
      </w:r>
      <w:r w:rsidR="00FB7BEC">
        <w:rPr>
          <w:b/>
          <w:lang w:val="fr-FR"/>
        </w:rPr>
        <w:t>la</w:t>
      </w:r>
      <w:r w:rsidR="00675E41" w:rsidRPr="00161A5F">
        <w:rPr>
          <w:b/>
          <w:lang w:val="fr-FR"/>
        </w:rPr>
        <w:t xml:space="preserve"> diriger vers ceux-là. Il serait également souhaitable que </w:t>
      </w:r>
      <w:r w:rsidR="007144B5">
        <w:rPr>
          <w:b/>
          <w:lang w:val="fr-FR"/>
        </w:rPr>
        <w:t>les</w:t>
      </w:r>
      <w:r w:rsidR="00675E41" w:rsidRPr="00161A5F">
        <w:rPr>
          <w:b/>
          <w:lang w:val="fr-FR"/>
        </w:rPr>
        <w:t xml:space="preserve"> plaintes individuelles reçues durant la visite soient transférées aux mécanismes compétents</w:t>
      </w:r>
      <w:r w:rsidR="007144B5">
        <w:rPr>
          <w:b/>
          <w:lang w:val="fr-FR"/>
        </w:rPr>
        <w:t>,</w:t>
      </w:r>
      <w:r w:rsidR="00675E41" w:rsidRPr="00161A5F">
        <w:rPr>
          <w:b/>
          <w:lang w:val="fr-FR"/>
        </w:rPr>
        <w:t xml:space="preserve"> comme le médiateur. </w:t>
      </w:r>
    </w:p>
    <w:p w14:paraId="3AEF320D" w14:textId="1E409311" w:rsidR="00675E41" w:rsidRPr="0052058A" w:rsidRDefault="00161A5F" w:rsidP="00A67610">
      <w:pPr>
        <w:pStyle w:val="H4G"/>
      </w:pPr>
      <w:r w:rsidRPr="0052058A">
        <w:tab/>
      </w:r>
      <w:r w:rsidR="00A67610" w:rsidRPr="0052058A">
        <w:t>c)</w:t>
      </w:r>
      <w:r w:rsidRPr="0052058A">
        <w:tab/>
      </w:r>
      <w:r w:rsidRPr="0052058A">
        <w:tab/>
      </w:r>
      <w:r w:rsidR="00675E41" w:rsidRPr="0052058A">
        <w:t>Registres</w:t>
      </w:r>
    </w:p>
    <w:p w14:paraId="055FFA9D" w14:textId="6DF04AE8" w:rsidR="00675E41" w:rsidRPr="00675E41" w:rsidRDefault="00C74FD4" w:rsidP="00C74FD4">
      <w:pPr>
        <w:pStyle w:val="ParNoG"/>
        <w:numPr>
          <w:ilvl w:val="0"/>
          <w:numId w:val="0"/>
        </w:numPr>
        <w:tabs>
          <w:tab w:val="left" w:pos="1701"/>
        </w:tabs>
        <w:ind w:left="1134"/>
        <w:rPr>
          <w:lang w:val="fr-FR"/>
        </w:rPr>
      </w:pPr>
      <w:r w:rsidRPr="00675E41">
        <w:rPr>
          <w:lang w:val="fr-FR"/>
        </w:rPr>
        <w:t>57.</w:t>
      </w:r>
      <w:r w:rsidRPr="00675E41">
        <w:rPr>
          <w:lang w:val="fr-FR"/>
        </w:rPr>
        <w:tab/>
      </w:r>
      <w:r w:rsidR="00675E41" w:rsidRPr="00675E41">
        <w:rPr>
          <w:lang w:val="fr-FR"/>
        </w:rPr>
        <w:t>Le Sous-Comité apprécie l’attention que l’Observateur</w:t>
      </w:r>
      <w:r w:rsidR="00D370B5">
        <w:rPr>
          <w:lang w:val="fr-FR"/>
        </w:rPr>
        <w:t xml:space="preserve"> national</w:t>
      </w:r>
      <w:r w:rsidR="00675E41" w:rsidRPr="00675E41">
        <w:rPr>
          <w:lang w:val="fr-FR"/>
        </w:rPr>
        <w:t xml:space="preserve"> apporte à l’examen des registres dans les lieux de privations de liberté. Cependant, le travail de vérification des registres nécessite davantage d’exhaustivité et de technique. Vérifier </w:t>
      </w:r>
      <w:r w:rsidR="00D03307">
        <w:rPr>
          <w:lang w:val="fr-FR"/>
        </w:rPr>
        <w:t>leur</w:t>
      </w:r>
      <w:r w:rsidR="00675E41" w:rsidRPr="00675E41">
        <w:rPr>
          <w:lang w:val="fr-FR"/>
        </w:rPr>
        <w:t xml:space="preserve"> bonne tenue doit permettre de formuler quelques lignes directrices pour les améliorer, renforcer</w:t>
      </w:r>
      <w:r w:rsidR="00664907">
        <w:rPr>
          <w:lang w:val="fr-FR"/>
        </w:rPr>
        <w:t xml:space="preserve"> leur utilisation</w:t>
      </w:r>
      <w:r w:rsidR="00675E41" w:rsidRPr="00675E41">
        <w:rPr>
          <w:lang w:val="fr-FR"/>
        </w:rPr>
        <w:t xml:space="preserve"> </w:t>
      </w:r>
      <w:r w:rsidR="00675E41" w:rsidRPr="00675E41">
        <w:rPr>
          <w:lang w:val="fr-FR"/>
        </w:rPr>
        <w:lastRenderedPageBreak/>
        <w:t xml:space="preserve">et en montrer l’utilité. L’importance des registres réside dans </w:t>
      </w:r>
      <w:r w:rsidR="00F94B17">
        <w:rPr>
          <w:lang w:val="fr-FR"/>
        </w:rPr>
        <w:t>la possibilité qu’ils offrent à l’Observateur national de détecter</w:t>
      </w:r>
      <w:r w:rsidR="00675E41" w:rsidRPr="00675E41">
        <w:rPr>
          <w:lang w:val="fr-FR"/>
        </w:rPr>
        <w:t xml:space="preserve"> les actes en marge de la loi, </w:t>
      </w:r>
      <w:r w:rsidR="005E300C">
        <w:rPr>
          <w:lang w:val="fr-FR"/>
        </w:rPr>
        <w:t xml:space="preserve">et de lui </w:t>
      </w:r>
      <w:r w:rsidR="00675E41" w:rsidRPr="00675E41">
        <w:rPr>
          <w:lang w:val="fr-FR"/>
        </w:rPr>
        <w:t xml:space="preserve">donner des indices et </w:t>
      </w:r>
      <w:r w:rsidR="005E300C">
        <w:rPr>
          <w:lang w:val="fr-FR"/>
        </w:rPr>
        <w:t xml:space="preserve">des </w:t>
      </w:r>
      <w:r w:rsidR="00675E41" w:rsidRPr="00675E41">
        <w:rPr>
          <w:lang w:val="fr-FR"/>
        </w:rPr>
        <w:t xml:space="preserve">antécédents </w:t>
      </w:r>
      <w:r w:rsidR="00410A3B">
        <w:rPr>
          <w:lang w:val="fr-FR"/>
        </w:rPr>
        <w:t>permettant de conclure à</w:t>
      </w:r>
      <w:r w:rsidR="00395F9A">
        <w:rPr>
          <w:lang w:val="fr-FR"/>
        </w:rPr>
        <w:t xml:space="preserve"> des</w:t>
      </w:r>
      <w:r w:rsidR="00675E41" w:rsidRPr="00675E41">
        <w:rPr>
          <w:lang w:val="fr-FR"/>
        </w:rPr>
        <w:t xml:space="preserve"> cas de torture et </w:t>
      </w:r>
      <w:r w:rsidR="00410A3B">
        <w:rPr>
          <w:lang w:val="fr-FR"/>
        </w:rPr>
        <w:t xml:space="preserve">de </w:t>
      </w:r>
      <w:r w:rsidR="00675E41" w:rsidRPr="00675E41">
        <w:rPr>
          <w:lang w:val="fr-FR"/>
        </w:rPr>
        <w:t xml:space="preserve">mauvais traitements ainsi </w:t>
      </w:r>
      <w:r w:rsidR="00410A3B">
        <w:rPr>
          <w:lang w:val="fr-FR"/>
        </w:rPr>
        <w:t>qu’à des</w:t>
      </w:r>
      <w:r w:rsidR="00675E41" w:rsidRPr="00675E41">
        <w:rPr>
          <w:lang w:val="fr-FR"/>
        </w:rPr>
        <w:t xml:space="preserve"> irrégularités et </w:t>
      </w:r>
      <w:r w:rsidR="00410A3B">
        <w:rPr>
          <w:lang w:val="fr-FR"/>
        </w:rPr>
        <w:t>au</w:t>
      </w:r>
      <w:r w:rsidR="00675E41" w:rsidRPr="00675E41">
        <w:rPr>
          <w:lang w:val="fr-FR"/>
        </w:rPr>
        <w:t xml:space="preserve"> non-respect des droits. Les registres servent également à protéger les détenus </w:t>
      </w:r>
      <w:r w:rsidR="001C4A89">
        <w:rPr>
          <w:lang w:val="fr-FR"/>
        </w:rPr>
        <w:t xml:space="preserve">– </w:t>
      </w:r>
      <w:r w:rsidR="00675E41" w:rsidRPr="00675E41">
        <w:rPr>
          <w:lang w:val="fr-FR"/>
        </w:rPr>
        <w:t xml:space="preserve">mais aussi les fonctionnaires </w:t>
      </w:r>
      <w:r w:rsidR="001C4A89">
        <w:rPr>
          <w:lang w:val="fr-FR"/>
        </w:rPr>
        <w:t xml:space="preserve">– </w:t>
      </w:r>
      <w:r w:rsidR="00675E41" w:rsidRPr="00675E41">
        <w:rPr>
          <w:lang w:val="fr-FR"/>
        </w:rPr>
        <w:t xml:space="preserve">de chaque établissement </w:t>
      </w:r>
      <w:r w:rsidR="001C4A89">
        <w:rPr>
          <w:lang w:val="fr-FR"/>
        </w:rPr>
        <w:t xml:space="preserve">contre </w:t>
      </w:r>
      <w:r w:rsidR="00675E41" w:rsidRPr="00675E41">
        <w:rPr>
          <w:lang w:val="fr-FR"/>
        </w:rPr>
        <w:t>d’éventuelles allégations injustes.</w:t>
      </w:r>
    </w:p>
    <w:p w14:paraId="4E1DFD00" w14:textId="2F1FB1AF" w:rsidR="00675E41" w:rsidRPr="00161A5F" w:rsidRDefault="00C74FD4" w:rsidP="00C74FD4">
      <w:pPr>
        <w:pStyle w:val="ParNoG"/>
        <w:numPr>
          <w:ilvl w:val="0"/>
          <w:numId w:val="0"/>
        </w:numPr>
        <w:tabs>
          <w:tab w:val="left" w:pos="1701"/>
        </w:tabs>
        <w:ind w:left="1134"/>
        <w:rPr>
          <w:b/>
          <w:lang w:val="fr-FR"/>
        </w:rPr>
      </w:pPr>
      <w:r w:rsidRPr="00161A5F">
        <w:rPr>
          <w:lang w:val="fr-FR"/>
        </w:rPr>
        <w:t>58.</w:t>
      </w:r>
      <w:r w:rsidRPr="00161A5F">
        <w:rPr>
          <w:lang w:val="fr-FR"/>
        </w:rPr>
        <w:tab/>
      </w:r>
      <w:r w:rsidR="00675E41" w:rsidRPr="00161A5F">
        <w:rPr>
          <w:b/>
          <w:lang w:val="fr-FR"/>
        </w:rPr>
        <w:t>Le Sous-Comité recommande à l’Observateur</w:t>
      </w:r>
      <w:r w:rsidR="00CE5A37">
        <w:rPr>
          <w:b/>
          <w:lang w:val="fr-FR"/>
        </w:rPr>
        <w:t xml:space="preserve"> national</w:t>
      </w:r>
      <w:r w:rsidR="00675E41" w:rsidRPr="00161A5F">
        <w:rPr>
          <w:b/>
          <w:lang w:val="fr-FR"/>
        </w:rPr>
        <w:t xml:space="preserve"> d’affiner sa stratégie de vérification des registres, </w:t>
      </w:r>
      <w:r w:rsidR="00CE5A37">
        <w:rPr>
          <w:b/>
          <w:lang w:val="fr-FR"/>
        </w:rPr>
        <w:t>ces derniers</w:t>
      </w:r>
      <w:r w:rsidR="00675E41" w:rsidRPr="00161A5F">
        <w:rPr>
          <w:b/>
          <w:lang w:val="fr-FR"/>
        </w:rPr>
        <w:t xml:space="preserve"> permettant de faire une lecture</w:t>
      </w:r>
      <w:r w:rsidR="00145F71">
        <w:rPr>
          <w:b/>
          <w:lang w:val="fr-FR"/>
        </w:rPr>
        <w:t xml:space="preserve"> avisée</w:t>
      </w:r>
      <w:r w:rsidR="00675E41" w:rsidRPr="00161A5F">
        <w:rPr>
          <w:b/>
          <w:lang w:val="fr-FR"/>
        </w:rPr>
        <w:t xml:space="preserve"> de la réalité du lieu visité</w:t>
      </w:r>
      <w:r w:rsidR="00145F71">
        <w:rPr>
          <w:b/>
          <w:lang w:val="fr-FR"/>
        </w:rPr>
        <w:t>,</w:t>
      </w:r>
      <w:r w:rsidR="00675E41" w:rsidRPr="00161A5F">
        <w:rPr>
          <w:b/>
          <w:lang w:val="fr-FR"/>
        </w:rPr>
        <w:t xml:space="preserve"> dans le but de mettre l’accent sur la prévention.</w:t>
      </w:r>
    </w:p>
    <w:p w14:paraId="6F7FCA08" w14:textId="4F5AE54A" w:rsidR="00675E41" w:rsidRPr="00675E41" w:rsidRDefault="00161A5F" w:rsidP="00C74FD4">
      <w:pPr>
        <w:pStyle w:val="H4G"/>
        <w:rPr>
          <w:lang w:val="fr-FR"/>
        </w:rPr>
      </w:pPr>
      <w:r>
        <w:rPr>
          <w:lang w:val="fr-FR"/>
        </w:rPr>
        <w:tab/>
      </w:r>
      <w:r w:rsidR="00A67610">
        <w:rPr>
          <w:lang w:val="fr-FR"/>
        </w:rPr>
        <w:t>d)</w:t>
      </w:r>
      <w:r>
        <w:rPr>
          <w:lang w:val="fr-FR"/>
        </w:rPr>
        <w:tab/>
      </w:r>
      <w:r>
        <w:rPr>
          <w:lang w:val="fr-FR"/>
        </w:rPr>
        <w:tab/>
      </w:r>
      <w:r w:rsidR="00675E41" w:rsidRPr="00675E41">
        <w:rPr>
          <w:lang w:val="fr-FR"/>
        </w:rPr>
        <w:t>Confidentialité</w:t>
      </w:r>
    </w:p>
    <w:p w14:paraId="1476775D" w14:textId="440C838E" w:rsidR="00675E41" w:rsidRPr="00675E41" w:rsidRDefault="00C74FD4" w:rsidP="00C74FD4">
      <w:pPr>
        <w:pStyle w:val="ParNoG"/>
        <w:numPr>
          <w:ilvl w:val="0"/>
          <w:numId w:val="0"/>
        </w:numPr>
        <w:tabs>
          <w:tab w:val="left" w:pos="1701"/>
        </w:tabs>
        <w:ind w:left="1134"/>
        <w:rPr>
          <w:lang w:val="fr-FR"/>
        </w:rPr>
      </w:pPr>
      <w:r w:rsidRPr="00675E41">
        <w:rPr>
          <w:lang w:val="fr-FR"/>
        </w:rPr>
        <w:t>59.</w:t>
      </w:r>
      <w:r w:rsidRPr="00675E41">
        <w:rPr>
          <w:lang w:val="fr-FR"/>
        </w:rPr>
        <w:tab/>
      </w:r>
      <w:r w:rsidR="007E4A63">
        <w:rPr>
          <w:lang w:val="fr-FR"/>
        </w:rPr>
        <w:t xml:space="preserve">Le </w:t>
      </w:r>
      <w:r w:rsidR="00675E41" w:rsidRPr="00675E41">
        <w:rPr>
          <w:lang w:val="fr-FR"/>
        </w:rPr>
        <w:t xml:space="preserve">Sous-Comité </w:t>
      </w:r>
      <w:r w:rsidR="007E4A63">
        <w:rPr>
          <w:lang w:val="fr-FR"/>
        </w:rPr>
        <w:t>regrette</w:t>
      </w:r>
      <w:r w:rsidR="00675E41" w:rsidRPr="00675E41">
        <w:rPr>
          <w:lang w:val="fr-FR"/>
        </w:rPr>
        <w:t xml:space="preserve"> que la majorité des contacts avec les détenus se soient déroulés collectivement et en présence d’agents pénitentiaires. Certains détenus se sont plaints, en aparté, de l’attitude des agents pénitentiaires et du risque de représailles en cas de contact avec l’Observateur</w:t>
      </w:r>
      <w:r w:rsidR="00CE417B">
        <w:rPr>
          <w:lang w:val="fr-FR"/>
        </w:rPr>
        <w:t xml:space="preserve"> national</w:t>
      </w:r>
      <w:r w:rsidR="00675E41" w:rsidRPr="00675E41">
        <w:rPr>
          <w:lang w:val="fr-FR"/>
        </w:rPr>
        <w:t>. Dans un cas particulier, un détenu, dans ce qui semblait être un élan de désespoir, s’est ouvertement plaint d’un agent pénitentiaire en présence de ce dernier et d’autres agents, décrivant les représailles que ses codétenus</w:t>
      </w:r>
      <w:r w:rsidR="00CE417B">
        <w:rPr>
          <w:lang w:val="fr-FR"/>
        </w:rPr>
        <w:t xml:space="preserve"> et lui</w:t>
      </w:r>
      <w:r w:rsidR="00675E41" w:rsidRPr="00675E41">
        <w:rPr>
          <w:lang w:val="fr-FR"/>
        </w:rPr>
        <w:t xml:space="preserve"> avaient subi</w:t>
      </w:r>
      <w:r w:rsidR="005F556B">
        <w:rPr>
          <w:lang w:val="fr-FR"/>
        </w:rPr>
        <w:t>es</w:t>
      </w:r>
      <w:r w:rsidR="00675E41" w:rsidRPr="00675E41">
        <w:rPr>
          <w:lang w:val="fr-FR"/>
        </w:rPr>
        <w:t xml:space="preserve">. </w:t>
      </w:r>
      <w:r w:rsidR="007E4A63">
        <w:rPr>
          <w:lang w:val="fr-FR"/>
        </w:rPr>
        <w:t>Le Sous-Comité regrette</w:t>
      </w:r>
      <w:r w:rsidR="00675E41" w:rsidRPr="00675E41">
        <w:rPr>
          <w:lang w:val="fr-FR"/>
        </w:rPr>
        <w:t xml:space="preserve"> que l’entretien ait eu lieu en présence des agents pénitentiaires et s’</w:t>
      </w:r>
      <w:r w:rsidR="007E4A63">
        <w:rPr>
          <w:lang w:val="fr-FR"/>
        </w:rPr>
        <w:t>inquiète</w:t>
      </w:r>
      <w:r w:rsidR="00675E41" w:rsidRPr="00675E41">
        <w:rPr>
          <w:lang w:val="fr-FR"/>
        </w:rPr>
        <w:t xml:space="preserve"> des conséquences éventuelles de cette prise de parole.</w:t>
      </w:r>
      <w:r w:rsidR="00675E41" w:rsidRPr="00675E41">
        <w:rPr>
          <w:strike/>
          <w:lang w:val="fr-FR"/>
        </w:rPr>
        <w:t xml:space="preserve">  </w:t>
      </w:r>
    </w:p>
    <w:p w14:paraId="1FCDF857" w14:textId="39D41DBB" w:rsidR="00675E41" w:rsidRPr="00161A5F" w:rsidRDefault="00C74FD4" w:rsidP="00C74FD4">
      <w:pPr>
        <w:pStyle w:val="ParNoG"/>
        <w:numPr>
          <w:ilvl w:val="0"/>
          <w:numId w:val="0"/>
        </w:numPr>
        <w:tabs>
          <w:tab w:val="left" w:pos="1701"/>
        </w:tabs>
        <w:ind w:left="1134"/>
        <w:rPr>
          <w:b/>
          <w:lang w:val="fr-FR"/>
        </w:rPr>
      </w:pPr>
      <w:r w:rsidRPr="00161A5F">
        <w:rPr>
          <w:lang w:val="fr-FR"/>
        </w:rPr>
        <w:t>60.</w:t>
      </w:r>
      <w:r w:rsidRPr="00161A5F">
        <w:rPr>
          <w:lang w:val="fr-FR"/>
        </w:rPr>
        <w:tab/>
      </w:r>
      <w:r w:rsidR="00675E41" w:rsidRPr="00161A5F">
        <w:rPr>
          <w:b/>
          <w:lang w:val="fr-FR"/>
        </w:rPr>
        <w:t>En règle générale, tout contact avec les personnes privées de liberté doit rester confidentiel, c</w:t>
      </w:r>
      <w:r w:rsidR="00835C07">
        <w:rPr>
          <w:b/>
          <w:lang w:val="fr-FR"/>
        </w:rPr>
        <w:t>’</w:t>
      </w:r>
      <w:r w:rsidR="00675E41" w:rsidRPr="00161A5F">
        <w:rPr>
          <w:b/>
          <w:lang w:val="fr-FR"/>
        </w:rPr>
        <w:t>est-à-dire hors de vue et de l</w:t>
      </w:r>
      <w:r w:rsidR="00835C07">
        <w:rPr>
          <w:b/>
          <w:lang w:val="fr-FR"/>
        </w:rPr>
        <w:t>’</w:t>
      </w:r>
      <w:r w:rsidR="00675E41" w:rsidRPr="00161A5F">
        <w:rPr>
          <w:b/>
          <w:lang w:val="fr-FR"/>
        </w:rPr>
        <w:t>écoute d’une tierce partie. Le Sous-Comité souligne l</w:t>
      </w:r>
      <w:r w:rsidR="00835C07">
        <w:rPr>
          <w:b/>
          <w:lang w:val="fr-FR"/>
        </w:rPr>
        <w:t>’</w:t>
      </w:r>
      <w:r w:rsidR="00675E41" w:rsidRPr="00161A5F">
        <w:rPr>
          <w:b/>
          <w:lang w:val="fr-FR"/>
        </w:rPr>
        <w:t>importance du principe de confidentialité dans la méthodologie du travail de l’Observateur</w:t>
      </w:r>
      <w:r w:rsidR="00D057B1">
        <w:rPr>
          <w:b/>
          <w:lang w:val="fr-FR"/>
        </w:rPr>
        <w:t xml:space="preserve"> national</w:t>
      </w:r>
      <w:r w:rsidR="00675E41" w:rsidRPr="00161A5F">
        <w:rPr>
          <w:b/>
          <w:lang w:val="fr-FR"/>
        </w:rPr>
        <w:t>. Il est de la plus haute importance que les équipes de l’Observateur</w:t>
      </w:r>
      <w:r w:rsidR="00D057B1">
        <w:rPr>
          <w:b/>
          <w:lang w:val="fr-FR"/>
        </w:rPr>
        <w:t xml:space="preserve"> national</w:t>
      </w:r>
      <w:r w:rsidR="00675E41" w:rsidRPr="00161A5F">
        <w:rPr>
          <w:b/>
          <w:lang w:val="fr-FR"/>
        </w:rPr>
        <w:t xml:space="preserve"> aient toujours à l’esprit ce principe et l’intègrent dans leur travail</w:t>
      </w:r>
      <w:r w:rsidR="003A2BD7">
        <w:rPr>
          <w:b/>
          <w:lang w:val="fr-FR"/>
        </w:rPr>
        <w:t>,</w:t>
      </w:r>
      <w:r w:rsidR="00675E41" w:rsidRPr="00161A5F">
        <w:rPr>
          <w:b/>
          <w:lang w:val="fr-FR"/>
        </w:rPr>
        <w:t xml:space="preserve"> afin d</w:t>
      </w:r>
      <w:r w:rsidR="00835C07">
        <w:rPr>
          <w:b/>
          <w:lang w:val="fr-FR"/>
        </w:rPr>
        <w:t>’</w:t>
      </w:r>
      <w:r w:rsidR="00675E41" w:rsidRPr="00161A5F">
        <w:rPr>
          <w:b/>
          <w:lang w:val="fr-FR"/>
        </w:rPr>
        <w:t>éviter d</w:t>
      </w:r>
      <w:r w:rsidR="00835C07">
        <w:rPr>
          <w:b/>
          <w:lang w:val="fr-FR"/>
        </w:rPr>
        <w:t>’</w:t>
      </w:r>
      <w:r w:rsidR="00675E41" w:rsidRPr="00161A5F">
        <w:rPr>
          <w:b/>
          <w:lang w:val="fr-FR"/>
        </w:rPr>
        <w:t>exposer les détenus</w:t>
      </w:r>
      <w:r w:rsidR="003A2BD7">
        <w:rPr>
          <w:b/>
          <w:lang w:val="fr-FR"/>
        </w:rPr>
        <w:t>,</w:t>
      </w:r>
      <w:r w:rsidR="00675E41" w:rsidRPr="00161A5F">
        <w:rPr>
          <w:b/>
          <w:lang w:val="fr-FR"/>
        </w:rPr>
        <w:t xml:space="preserve"> tout professionnel ou toute autre personne à de potentielles représailles. En outre, les relations entre les membres de l’Observateur</w:t>
      </w:r>
      <w:r w:rsidR="00585F86">
        <w:rPr>
          <w:b/>
          <w:lang w:val="fr-FR"/>
        </w:rPr>
        <w:t xml:space="preserve"> national</w:t>
      </w:r>
      <w:r w:rsidR="00675E41" w:rsidRPr="00161A5F">
        <w:rPr>
          <w:b/>
          <w:lang w:val="fr-FR"/>
        </w:rPr>
        <w:t xml:space="preserve"> et le personnel pénitentiaire doivent être strictement professionnelles, afin de renforcer la perception d’indépendance de l’Observateur</w:t>
      </w:r>
      <w:r w:rsidR="00585F86">
        <w:rPr>
          <w:b/>
          <w:lang w:val="fr-FR"/>
        </w:rPr>
        <w:t xml:space="preserve"> national</w:t>
      </w:r>
      <w:r w:rsidR="00675E41" w:rsidRPr="00161A5F">
        <w:rPr>
          <w:b/>
          <w:lang w:val="fr-FR"/>
        </w:rPr>
        <w:t>.</w:t>
      </w:r>
    </w:p>
    <w:p w14:paraId="3BBCD502" w14:textId="43993703" w:rsidR="00675E41" w:rsidRPr="00675E41" w:rsidRDefault="00161A5F" w:rsidP="00161A5F">
      <w:pPr>
        <w:pStyle w:val="H4G"/>
        <w:rPr>
          <w:lang w:val="fr-FR"/>
        </w:rPr>
      </w:pPr>
      <w:r>
        <w:rPr>
          <w:lang w:val="fr-FR"/>
        </w:rPr>
        <w:tab/>
      </w:r>
      <w:r w:rsidR="00A67610">
        <w:rPr>
          <w:lang w:val="fr-FR"/>
        </w:rPr>
        <w:t>e)</w:t>
      </w:r>
      <w:r>
        <w:rPr>
          <w:lang w:val="fr-FR"/>
        </w:rPr>
        <w:tab/>
      </w:r>
      <w:r w:rsidR="00675E41" w:rsidRPr="00675E41">
        <w:rPr>
          <w:lang w:val="fr-FR"/>
        </w:rPr>
        <w:tab/>
        <w:t>Représailles</w:t>
      </w:r>
    </w:p>
    <w:p w14:paraId="5644786E" w14:textId="30CEEB43" w:rsidR="00675E41" w:rsidRPr="00675E41" w:rsidRDefault="00C74FD4" w:rsidP="00C74FD4">
      <w:pPr>
        <w:pStyle w:val="ParNoG"/>
        <w:numPr>
          <w:ilvl w:val="0"/>
          <w:numId w:val="0"/>
        </w:numPr>
        <w:tabs>
          <w:tab w:val="left" w:pos="1701"/>
        </w:tabs>
        <w:ind w:left="1134"/>
        <w:rPr>
          <w:lang w:val="fr-FR"/>
        </w:rPr>
      </w:pPr>
      <w:r w:rsidRPr="00675E41">
        <w:rPr>
          <w:lang w:val="fr-FR"/>
        </w:rPr>
        <w:t>61.</w:t>
      </w:r>
      <w:r w:rsidRPr="00675E41">
        <w:rPr>
          <w:lang w:val="fr-FR"/>
        </w:rPr>
        <w:tab/>
      </w:r>
      <w:r w:rsidR="00675E41" w:rsidRPr="00675E41">
        <w:rPr>
          <w:lang w:val="fr-FR"/>
        </w:rPr>
        <w:t xml:space="preserve">Le Sous-Comité souligne la nécessité de toujours chercher à protéger les personnes </w:t>
      </w:r>
      <w:r w:rsidR="00524AAA">
        <w:rPr>
          <w:lang w:val="fr-FR"/>
        </w:rPr>
        <w:t>interrogées</w:t>
      </w:r>
      <w:r w:rsidR="00675E41" w:rsidRPr="00675E41">
        <w:rPr>
          <w:lang w:val="fr-FR"/>
        </w:rPr>
        <w:t xml:space="preserve"> contre d’éventuelles représailles, même lorsque les risques semblent minimes, ce qui n’a pas toujours été le cas lors des visites. </w:t>
      </w:r>
    </w:p>
    <w:p w14:paraId="1BCCF179" w14:textId="75D6141F" w:rsidR="00675E41" w:rsidRPr="00161A5F" w:rsidRDefault="00C74FD4" w:rsidP="00C74FD4">
      <w:pPr>
        <w:pStyle w:val="ParNoG"/>
        <w:numPr>
          <w:ilvl w:val="0"/>
          <w:numId w:val="0"/>
        </w:numPr>
        <w:tabs>
          <w:tab w:val="left" w:pos="1701"/>
        </w:tabs>
        <w:ind w:left="1134"/>
        <w:rPr>
          <w:b/>
          <w:lang w:val="fr-FR"/>
        </w:rPr>
      </w:pPr>
      <w:r w:rsidRPr="00161A5F">
        <w:rPr>
          <w:lang w:val="fr-FR"/>
        </w:rPr>
        <w:t>62.</w:t>
      </w:r>
      <w:r w:rsidRPr="00161A5F">
        <w:rPr>
          <w:lang w:val="fr-FR"/>
        </w:rPr>
        <w:tab/>
      </w:r>
      <w:r w:rsidR="00675E41" w:rsidRPr="00161A5F">
        <w:rPr>
          <w:b/>
          <w:lang w:val="fr-FR"/>
        </w:rPr>
        <w:t>Le Sous-Comité recommande à l’Observateur</w:t>
      </w:r>
      <w:r w:rsidR="008B5C8F">
        <w:rPr>
          <w:b/>
          <w:lang w:val="fr-FR"/>
        </w:rPr>
        <w:t xml:space="preserve"> national</w:t>
      </w:r>
      <w:r w:rsidR="00675E41" w:rsidRPr="00161A5F">
        <w:rPr>
          <w:b/>
          <w:lang w:val="fr-FR"/>
        </w:rPr>
        <w:t xml:space="preserve"> de ne jamais écarter </w:t>
      </w:r>
      <w:r w:rsidR="008B5C8F">
        <w:rPr>
          <w:b/>
          <w:lang w:val="fr-FR"/>
        </w:rPr>
        <w:t>les</w:t>
      </w:r>
      <w:r w:rsidR="00675E41" w:rsidRPr="00161A5F">
        <w:rPr>
          <w:b/>
          <w:lang w:val="fr-FR"/>
        </w:rPr>
        <w:t xml:space="preserve"> risque</w:t>
      </w:r>
      <w:r w:rsidR="008B5C8F">
        <w:rPr>
          <w:b/>
          <w:lang w:val="fr-FR"/>
        </w:rPr>
        <w:t>s</w:t>
      </w:r>
      <w:r w:rsidR="00675E41" w:rsidRPr="00161A5F">
        <w:rPr>
          <w:b/>
          <w:lang w:val="fr-FR"/>
        </w:rPr>
        <w:t xml:space="preserve"> d’intimidation, de sanctions ou de représailles, et donc de prendre des mesures pour remédier à ce</w:t>
      </w:r>
      <w:r w:rsidR="008B5C8F">
        <w:rPr>
          <w:b/>
          <w:lang w:val="fr-FR"/>
        </w:rPr>
        <w:t>s</w:t>
      </w:r>
      <w:r w:rsidR="00675E41" w:rsidRPr="00161A5F">
        <w:rPr>
          <w:b/>
          <w:lang w:val="fr-FR"/>
        </w:rPr>
        <w:t xml:space="preserve"> risque</w:t>
      </w:r>
      <w:r w:rsidR="008B5C8F">
        <w:rPr>
          <w:b/>
          <w:lang w:val="fr-FR"/>
        </w:rPr>
        <w:t>s</w:t>
      </w:r>
      <w:r w:rsidR="00675E41" w:rsidRPr="00161A5F">
        <w:rPr>
          <w:b/>
          <w:lang w:val="fr-FR"/>
        </w:rPr>
        <w:t>. Outre la prise de précautions nécessaires, l’Observateur</w:t>
      </w:r>
      <w:r w:rsidR="008B5C8F">
        <w:rPr>
          <w:b/>
          <w:lang w:val="fr-FR"/>
        </w:rPr>
        <w:t xml:space="preserve"> national</w:t>
      </w:r>
      <w:r w:rsidR="00675E41" w:rsidRPr="00161A5F">
        <w:rPr>
          <w:b/>
          <w:lang w:val="fr-FR"/>
        </w:rPr>
        <w:t xml:space="preserve"> </w:t>
      </w:r>
      <w:r w:rsidR="008B5C8F">
        <w:rPr>
          <w:b/>
          <w:lang w:val="fr-FR"/>
        </w:rPr>
        <w:t>doit</w:t>
      </w:r>
      <w:r w:rsidR="00675E41" w:rsidRPr="00161A5F">
        <w:rPr>
          <w:b/>
          <w:lang w:val="fr-FR"/>
        </w:rPr>
        <w:t xml:space="preserve"> prévenir les autorités que les représailles de quelque nature que ce soit sont inadmissibles</w:t>
      </w:r>
      <w:r w:rsidR="001B38CF">
        <w:rPr>
          <w:b/>
          <w:lang w:val="fr-FR"/>
        </w:rPr>
        <w:t>,</w:t>
      </w:r>
      <w:r w:rsidR="00675E41" w:rsidRPr="00161A5F">
        <w:rPr>
          <w:b/>
          <w:lang w:val="fr-FR"/>
        </w:rPr>
        <w:t xml:space="preserve"> </w:t>
      </w:r>
      <w:r w:rsidR="001B38CF">
        <w:rPr>
          <w:b/>
          <w:lang w:val="fr-FR"/>
        </w:rPr>
        <w:t xml:space="preserve">qu’elles </w:t>
      </w:r>
      <w:r w:rsidR="00675E41" w:rsidRPr="00161A5F">
        <w:rPr>
          <w:b/>
          <w:lang w:val="fr-FR"/>
        </w:rPr>
        <w:t xml:space="preserve">seront </w:t>
      </w:r>
      <w:r w:rsidR="001B38CF">
        <w:rPr>
          <w:b/>
          <w:lang w:val="fr-FR"/>
        </w:rPr>
        <w:t xml:space="preserve">le cas échéant </w:t>
      </w:r>
      <w:r w:rsidR="00675E41" w:rsidRPr="00161A5F">
        <w:rPr>
          <w:b/>
          <w:lang w:val="fr-FR"/>
        </w:rPr>
        <w:t>signalées aux autorités et qu’il suivra la situation pour s’assurer que les responsables auront été dûment sanctionnés.</w:t>
      </w:r>
    </w:p>
    <w:p w14:paraId="20587CCF" w14:textId="7D851726" w:rsidR="00675E41" w:rsidRPr="00161A5F" w:rsidRDefault="00C74FD4" w:rsidP="00C74FD4">
      <w:pPr>
        <w:pStyle w:val="ParNoG"/>
        <w:numPr>
          <w:ilvl w:val="0"/>
          <w:numId w:val="0"/>
        </w:numPr>
        <w:tabs>
          <w:tab w:val="left" w:pos="1701"/>
        </w:tabs>
        <w:ind w:left="1134"/>
        <w:rPr>
          <w:b/>
          <w:lang w:val="fr-FR"/>
        </w:rPr>
      </w:pPr>
      <w:r w:rsidRPr="00161A5F">
        <w:rPr>
          <w:lang w:val="fr-FR"/>
        </w:rPr>
        <w:t>63.</w:t>
      </w:r>
      <w:r w:rsidRPr="00161A5F">
        <w:rPr>
          <w:lang w:val="fr-FR"/>
        </w:rPr>
        <w:tab/>
      </w:r>
      <w:r w:rsidR="00675E41" w:rsidRPr="00161A5F">
        <w:rPr>
          <w:b/>
          <w:lang w:val="fr-FR"/>
        </w:rPr>
        <w:t>Les membres de l’Observateur</w:t>
      </w:r>
      <w:r w:rsidR="00503719">
        <w:rPr>
          <w:b/>
          <w:lang w:val="fr-FR"/>
        </w:rPr>
        <w:t xml:space="preserve"> national</w:t>
      </w:r>
      <w:r w:rsidR="00675E41" w:rsidRPr="00161A5F">
        <w:rPr>
          <w:b/>
          <w:lang w:val="fr-FR"/>
        </w:rPr>
        <w:t xml:space="preserve"> </w:t>
      </w:r>
      <w:r w:rsidR="00503719">
        <w:rPr>
          <w:b/>
          <w:lang w:val="fr-FR"/>
        </w:rPr>
        <w:t>doivent</w:t>
      </w:r>
      <w:r w:rsidR="00675E41" w:rsidRPr="00161A5F">
        <w:rPr>
          <w:b/>
          <w:lang w:val="fr-FR"/>
        </w:rPr>
        <w:t xml:space="preserve"> également faire savoir aux personnes </w:t>
      </w:r>
      <w:r w:rsidR="00503719">
        <w:rPr>
          <w:b/>
          <w:lang w:val="fr-FR"/>
        </w:rPr>
        <w:t>interrogées</w:t>
      </w:r>
      <w:r w:rsidR="00675E41" w:rsidRPr="00161A5F">
        <w:rPr>
          <w:b/>
          <w:lang w:val="fr-FR"/>
        </w:rPr>
        <w:t xml:space="preserve"> qu’elles peuvent signaler toutes représailles dont elles seraient victimes à la suite de la visite et les encourager à </w:t>
      </w:r>
      <w:r w:rsidR="00585F98">
        <w:rPr>
          <w:b/>
          <w:lang w:val="fr-FR"/>
        </w:rPr>
        <w:t>le</w:t>
      </w:r>
      <w:r w:rsidR="00675E41" w:rsidRPr="00161A5F">
        <w:rPr>
          <w:b/>
          <w:lang w:val="fr-FR"/>
        </w:rPr>
        <w:t xml:space="preserve"> faire. Si nécessaire, des visites de suivi </w:t>
      </w:r>
      <w:r w:rsidR="007B7AEA">
        <w:rPr>
          <w:b/>
          <w:lang w:val="fr-FR"/>
        </w:rPr>
        <w:t>doivent</w:t>
      </w:r>
      <w:r w:rsidR="00675E41" w:rsidRPr="00161A5F">
        <w:rPr>
          <w:b/>
          <w:lang w:val="fr-FR"/>
        </w:rPr>
        <w:t xml:space="preserve"> être menées.</w:t>
      </w:r>
    </w:p>
    <w:p w14:paraId="7DB8E078" w14:textId="1FAAA45D" w:rsidR="00675E41" w:rsidRPr="00675E41" w:rsidRDefault="00161A5F" w:rsidP="00161A5F">
      <w:pPr>
        <w:pStyle w:val="H4G"/>
        <w:rPr>
          <w:lang w:val="fr-FR"/>
        </w:rPr>
      </w:pPr>
      <w:r>
        <w:tab/>
      </w:r>
      <w:r w:rsidR="00A67610">
        <w:t>f)</w:t>
      </w:r>
      <w:r>
        <w:tab/>
      </w:r>
      <w:r>
        <w:tab/>
      </w:r>
      <w:r w:rsidR="00675E41" w:rsidRPr="00675E41">
        <w:t>Compte rendu avec le responsable du lieu de détention</w:t>
      </w:r>
    </w:p>
    <w:p w14:paraId="3888628A" w14:textId="62BCBBFF" w:rsidR="00675E41" w:rsidRPr="00675E41" w:rsidRDefault="00C74FD4" w:rsidP="00C74FD4">
      <w:pPr>
        <w:pStyle w:val="ParNoG"/>
        <w:numPr>
          <w:ilvl w:val="0"/>
          <w:numId w:val="0"/>
        </w:numPr>
        <w:tabs>
          <w:tab w:val="left" w:pos="1701"/>
        </w:tabs>
        <w:ind w:left="1134"/>
        <w:rPr>
          <w:lang w:val="fr-FR"/>
        </w:rPr>
      </w:pPr>
      <w:r w:rsidRPr="00675E41">
        <w:rPr>
          <w:lang w:val="fr-FR"/>
        </w:rPr>
        <w:t>64.</w:t>
      </w:r>
      <w:r w:rsidRPr="00675E41">
        <w:rPr>
          <w:lang w:val="fr-FR"/>
        </w:rPr>
        <w:tab/>
      </w:r>
      <w:r w:rsidR="00675E41" w:rsidRPr="00675E41">
        <w:rPr>
          <w:lang w:val="fr-FR"/>
        </w:rPr>
        <w:t>Le Sous-Comité regrette qu</w:t>
      </w:r>
      <w:r w:rsidR="008946E7">
        <w:rPr>
          <w:lang w:val="fr-FR"/>
        </w:rPr>
        <w:t xml:space="preserve">e, lors d’une visite conjointe, </w:t>
      </w:r>
      <w:r w:rsidR="00605A98">
        <w:rPr>
          <w:lang w:val="fr-FR"/>
        </w:rPr>
        <w:t>l</w:t>
      </w:r>
      <w:r w:rsidR="00675E41" w:rsidRPr="00675E41">
        <w:rPr>
          <w:lang w:val="fr-FR"/>
        </w:rPr>
        <w:t>’une des équipes de l’Observateur</w:t>
      </w:r>
      <w:r w:rsidR="00D520B3">
        <w:rPr>
          <w:lang w:val="fr-FR"/>
        </w:rPr>
        <w:t xml:space="preserve"> national</w:t>
      </w:r>
      <w:r w:rsidR="00675E41" w:rsidRPr="00675E41">
        <w:rPr>
          <w:lang w:val="fr-FR"/>
        </w:rPr>
        <w:t xml:space="preserve"> n’ait pas pu terminer sa visite et</w:t>
      </w:r>
      <w:r w:rsidR="00605A98">
        <w:rPr>
          <w:lang w:val="fr-FR"/>
        </w:rPr>
        <w:t>,</w:t>
      </w:r>
      <w:r w:rsidR="00675E41" w:rsidRPr="00675E41">
        <w:rPr>
          <w:lang w:val="fr-FR"/>
        </w:rPr>
        <w:t xml:space="preserve"> en conséquence</w:t>
      </w:r>
      <w:r w:rsidR="00605A98">
        <w:rPr>
          <w:lang w:val="fr-FR"/>
        </w:rPr>
        <w:t>,</w:t>
      </w:r>
      <w:r w:rsidR="00675E41" w:rsidRPr="00675E41">
        <w:rPr>
          <w:lang w:val="fr-FR"/>
        </w:rPr>
        <w:t xml:space="preserve"> ne se soit pas entretenue avec le </w:t>
      </w:r>
      <w:r w:rsidR="00605A98">
        <w:rPr>
          <w:lang w:val="fr-FR"/>
        </w:rPr>
        <w:t>D</w:t>
      </w:r>
      <w:r w:rsidR="00675E41" w:rsidRPr="00675E41">
        <w:rPr>
          <w:lang w:val="fr-FR"/>
        </w:rPr>
        <w:t xml:space="preserve">irecteur de l’établissement. Une </w:t>
      </w:r>
      <w:r w:rsidR="00F33BB6">
        <w:rPr>
          <w:lang w:val="fr-FR"/>
        </w:rPr>
        <w:t>autre</w:t>
      </w:r>
      <w:r w:rsidR="00675E41" w:rsidRPr="00675E41">
        <w:rPr>
          <w:lang w:val="fr-FR"/>
        </w:rPr>
        <w:t xml:space="preserve"> équipe a</w:t>
      </w:r>
      <w:r w:rsidR="00F33BB6">
        <w:rPr>
          <w:lang w:val="fr-FR"/>
        </w:rPr>
        <w:t>yant</w:t>
      </w:r>
      <w:r w:rsidR="00675E41" w:rsidRPr="00675E41">
        <w:rPr>
          <w:lang w:val="fr-FR"/>
        </w:rPr>
        <w:t xml:space="preserve"> eu l’occasion de s’entretenir avec les autorités respectives n’a pas pu aborder l’ensemble des principaux problèmes recensés durant la visite. En outre, les autorités n’avaient pas été prévenues du fait qu’elles devaient protéger les détenus et les membres du personnel interrogés contre les représailles.</w:t>
      </w:r>
    </w:p>
    <w:p w14:paraId="63392737" w14:textId="350E92D1" w:rsidR="00675E41" w:rsidRPr="00161A5F" w:rsidRDefault="00C74FD4" w:rsidP="00C74FD4">
      <w:pPr>
        <w:pStyle w:val="ParNoG"/>
        <w:numPr>
          <w:ilvl w:val="0"/>
          <w:numId w:val="0"/>
        </w:numPr>
        <w:tabs>
          <w:tab w:val="left" w:pos="1701"/>
        </w:tabs>
        <w:ind w:left="1134"/>
        <w:rPr>
          <w:b/>
          <w:lang w:val="fr-FR"/>
        </w:rPr>
      </w:pPr>
      <w:r w:rsidRPr="00161A5F">
        <w:rPr>
          <w:lang w:val="fr-FR"/>
        </w:rPr>
        <w:t>65.</w:t>
      </w:r>
      <w:r w:rsidRPr="00161A5F">
        <w:rPr>
          <w:lang w:val="fr-FR"/>
        </w:rPr>
        <w:tab/>
      </w:r>
      <w:r w:rsidR="00675E41" w:rsidRPr="00161A5F">
        <w:rPr>
          <w:b/>
          <w:lang w:val="fr-FR"/>
        </w:rPr>
        <w:t xml:space="preserve">Le Sous-Comité souligne l’importance des réunions de bilan constructives, systématiquement organisées par le </w:t>
      </w:r>
      <w:r w:rsidR="00A0750D">
        <w:rPr>
          <w:b/>
          <w:lang w:val="fr-FR"/>
        </w:rPr>
        <w:t>mécanisme national de prévention</w:t>
      </w:r>
      <w:r w:rsidR="00675E41" w:rsidRPr="00161A5F">
        <w:rPr>
          <w:b/>
          <w:lang w:val="fr-FR"/>
        </w:rPr>
        <w:t xml:space="preserve"> avec les responsables des lieux de détention</w:t>
      </w:r>
      <w:r w:rsidR="000A62B5">
        <w:rPr>
          <w:b/>
          <w:lang w:val="fr-FR"/>
        </w:rPr>
        <w:t>. Celles-ci</w:t>
      </w:r>
      <w:r w:rsidR="004E118C">
        <w:rPr>
          <w:b/>
          <w:lang w:val="fr-FR"/>
        </w:rPr>
        <w:t xml:space="preserve"> doivent être effectuées</w:t>
      </w:r>
      <w:r w:rsidR="00675E41" w:rsidRPr="00161A5F">
        <w:rPr>
          <w:b/>
          <w:lang w:val="fr-FR"/>
        </w:rPr>
        <w:t xml:space="preserve"> dès que possible </w:t>
      </w:r>
      <w:r w:rsidR="00675E41" w:rsidRPr="00161A5F">
        <w:rPr>
          <w:b/>
          <w:lang w:val="fr-FR"/>
        </w:rPr>
        <w:lastRenderedPageBreak/>
        <w:t>à</w:t>
      </w:r>
      <w:r w:rsidR="006F6373">
        <w:rPr>
          <w:b/>
          <w:lang w:val="fr-FR"/>
        </w:rPr>
        <w:t> </w:t>
      </w:r>
      <w:r w:rsidR="00675E41" w:rsidRPr="00161A5F">
        <w:rPr>
          <w:b/>
          <w:lang w:val="fr-FR"/>
        </w:rPr>
        <w:t xml:space="preserve">l’issue des visites, afin de présenter aux intéressés des observations et des recommandations préliminaires, et de mettre en évidence les questions qui réclament une intervention immédiate ou doivent être réglées d’urgence pour des raisons humanitaires. Le risque </w:t>
      </w:r>
      <w:r w:rsidR="00237BA2">
        <w:rPr>
          <w:b/>
          <w:lang w:val="fr-FR"/>
        </w:rPr>
        <w:t>de</w:t>
      </w:r>
      <w:r w:rsidR="00675E41" w:rsidRPr="00161A5F">
        <w:rPr>
          <w:b/>
          <w:lang w:val="fr-FR"/>
        </w:rPr>
        <w:t xml:space="preserve"> représailles </w:t>
      </w:r>
      <w:r w:rsidR="004E118C">
        <w:rPr>
          <w:b/>
          <w:lang w:val="fr-FR"/>
        </w:rPr>
        <w:t>doit</w:t>
      </w:r>
      <w:r w:rsidR="00675E41" w:rsidRPr="00161A5F">
        <w:rPr>
          <w:b/>
          <w:lang w:val="fr-FR"/>
        </w:rPr>
        <w:t xml:space="preserve"> toujours être mentionné, par mesure de prévention. Dans le même esprit, le Sous-Comité engage l’Observateur</w:t>
      </w:r>
      <w:r w:rsidR="00237BA2">
        <w:rPr>
          <w:b/>
          <w:lang w:val="fr-FR"/>
        </w:rPr>
        <w:t xml:space="preserve"> national</w:t>
      </w:r>
      <w:r w:rsidR="00675E41" w:rsidRPr="00161A5F">
        <w:rPr>
          <w:b/>
          <w:lang w:val="fr-FR"/>
        </w:rPr>
        <w:t xml:space="preserve"> à appliquer minutieusement le </w:t>
      </w:r>
      <w:r w:rsidR="00C30783">
        <w:rPr>
          <w:b/>
          <w:lang w:val="fr-FR"/>
        </w:rPr>
        <w:t xml:space="preserve">quatrième </w:t>
      </w:r>
      <w:r w:rsidR="00675E41" w:rsidRPr="00161A5F">
        <w:rPr>
          <w:b/>
          <w:lang w:val="fr-FR"/>
        </w:rPr>
        <w:t>paragraphe de l’article 25 de son règlement intérieur</w:t>
      </w:r>
      <w:r w:rsidR="00C30783">
        <w:rPr>
          <w:b/>
          <w:lang w:val="fr-FR"/>
        </w:rPr>
        <w:t>,</w:t>
      </w:r>
      <w:r w:rsidR="00675E41" w:rsidRPr="00161A5F">
        <w:rPr>
          <w:b/>
          <w:lang w:val="fr-FR"/>
        </w:rPr>
        <w:t xml:space="preserve"> qui trace la conduite attendue </w:t>
      </w:r>
      <w:r w:rsidR="00EC08C1">
        <w:rPr>
          <w:b/>
          <w:lang w:val="fr-FR"/>
        </w:rPr>
        <w:t>de lui</w:t>
      </w:r>
      <w:r w:rsidR="00675E41" w:rsidRPr="00161A5F">
        <w:rPr>
          <w:b/>
          <w:lang w:val="fr-FR"/>
        </w:rPr>
        <w:t xml:space="preserve"> dans les cas de non-respect des droits fondamentaux. </w:t>
      </w:r>
    </w:p>
    <w:p w14:paraId="22A25614" w14:textId="1D8BC56D" w:rsidR="00675E41" w:rsidRPr="00675E41" w:rsidRDefault="00161A5F" w:rsidP="00161A5F">
      <w:pPr>
        <w:pStyle w:val="H23G"/>
        <w:rPr>
          <w:lang w:val="fr-FR"/>
        </w:rPr>
      </w:pPr>
      <w:r>
        <w:rPr>
          <w:lang w:val="fr-FR"/>
        </w:rPr>
        <w:tab/>
      </w:r>
      <w:r w:rsidR="00A67610">
        <w:rPr>
          <w:lang w:val="fr-FR"/>
        </w:rPr>
        <w:t>3.</w:t>
      </w:r>
      <w:r>
        <w:rPr>
          <w:lang w:val="fr-FR"/>
        </w:rPr>
        <w:tab/>
      </w:r>
      <w:r>
        <w:rPr>
          <w:lang w:val="fr-FR"/>
        </w:rPr>
        <w:tab/>
      </w:r>
      <w:r w:rsidR="00675E41" w:rsidRPr="00675E41">
        <w:rPr>
          <w:lang w:val="fr-FR"/>
        </w:rPr>
        <w:t>Après la visite</w:t>
      </w:r>
    </w:p>
    <w:p w14:paraId="48CD02B9" w14:textId="2454033A" w:rsidR="00675E41" w:rsidRPr="00A67610" w:rsidRDefault="00161A5F" w:rsidP="00A67610">
      <w:pPr>
        <w:pStyle w:val="H4G"/>
      </w:pPr>
      <w:r w:rsidRPr="00C74FD4">
        <w:tab/>
      </w:r>
      <w:r w:rsidR="00A67610" w:rsidRPr="00C74FD4">
        <w:t>a)</w:t>
      </w:r>
      <w:r w:rsidRPr="00C74FD4">
        <w:tab/>
      </w:r>
      <w:r w:rsidRPr="00C74FD4">
        <w:tab/>
      </w:r>
      <w:r w:rsidR="00675E41" w:rsidRPr="00A67610">
        <w:t>Rapports établis à l’issue des visites</w:t>
      </w:r>
    </w:p>
    <w:p w14:paraId="7BEE5BA7" w14:textId="22CEA224" w:rsidR="00675E41" w:rsidRPr="00675E41" w:rsidRDefault="00C74FD4" w:rsidP="00C74FD4">
      <w:pPr>
        <w:pStyle w:val="ParNoG"/>
        <w:numPr>
          <w:ilvl w:val="0"/>
          <w:numId w:val="0"/>
        </w:numPr>
        <w:tabs>
          <w:tab w:val="left" w:pos="1701"/>
        </w:tabs>
        <w:ind w:left="1134"/>
        <w:rPr>
          <w:lang w:val="fr-FR"/>
        </w:rPr>
      </w:pPr>
      <w:r w:rsidRPr="00675E41">
        <w:rPr>
          <w:lang w:val="fr-FR"/>
        </w:rPr>
        <w:t>66.</w:t>
      </w:r>
      <w:r w:rsidRPr="00675E41">
        <w:rPr>
          <w:lang w:val="fr-FR"/>
        </w:rPr>
        <w:tab/>
      </w:r>
      <w:r w:rsidR="00675E41" w:rsidRPr="00675E41">
        <w:rPr>
          <w:lang w:val="fr-FR"/>
        </w:rPr>
        <w:t xml:space="preserve">Le Sous-Comité constate que des rapports de visite sont bien établis, mais qu’il n’existe pas </w:t>
      </w:r>
      <w:r w:rsidR="000449B8">
        <w:rPr>
          <w:lang w:val="fr-FR"/>
        </w:rPr>
        <w:t>de</w:t>
      </w:r>
      <w:r w:rsidR="00675E41" w:rsidRPr="00675E41">
        <w:rPr>
          <w:lang w:val="fr-FR"/>
        </w:rPr>
        <w:t xml:space="preserve"> véritable pratique concernant la transmission systématique de ces rapports et des recommandations qui y sont formulées aux autorités et aux ministères compétents, ni de véritable procédure de suivi et de dialogue.  </w:t>
      </w:r>
    </w:p>
    <w:p w14:paraId="023F1DD1" w14:textId="025C1CEF" w:rsidR="00675E41" w:rsidRPr="00675E41" w:rsidRDefault="00C74FD4" w:rsidP="00C74FD4">
      <w:pPr>
        <w:pStyle w:val="ParNoG"/>
        <w:numPr>
          <w:ilvl w:val="0"/>
          <w:numId w:val="0"/>
        </w:numPr>
        <w:tabs>
          <w:tab w:val="left" w:pos="1701"/>
        </w:tabs>
        <w:ind w:left="1134"/>
      </w:pPr>
      <w:r w:rsidRPr="00675E41">
        <w:t>67.</w:t>
      </w:r>
      <w:r w:rsidRPr="00675E41">
        <w:tab/>
      </w:r>
      <w:r w:rsidR="00675E41" w:rsidRPr="00675E41">
        <w:t>La délégation a constaté que</w:t>
      </w:r>
      <w:r w:rsidR="00EC7017">
        <w:t>,</w:t>
      </w:r>
      <w:r w:rsidR="00675E41" w:rsidRPr="00675E41">
        <w:t xml:space="preserve"> dans les rapports de visite, il arrive que l’Observateur</w:t>
      </w:r>
      <w:r w:rsidR="00EC7017">
        <w:t xml:space="preserve"> national</w:t>
      </w:r>
      <w:r w:rsidR="00675E41" w:rsidRPr="00675E41">
        <w:t xml:space="preserve"> cite ce qui a été exprimé par </w:t>
      </w:r>
      <w:r w:rsidR="003D50DB">
        <w:t>la personne interrogée et</w:t>
      </w:r>
      <w:r w:rsidR="00675E41" w:rsidRPr="00675E41">
        <w:t xml:space="preserve"> mentionn</w:t>
      </w:r>
      <w:r w:rsidR="003D50DB">
        <w:t>e</w:t>
      </w:r>
      <w:r w:rsidR="00675E41" w:rsidRPr="00675E41">
        <w:t xml:space="preserve"> des détails sur </w:t>
      </w:r>
      <w:r w:rsidR="003D50DB">
        <w:t>celle-ci</w:t>
      </w:r>
      <w:r w:rsidR="00675E41" w:rsidRPr="00675E41">
        <w:t xml:space="preserve">, rendant ainsi possible </w:t>
      </w:r>
      <w:r w:rsidR="003D50DB">
        <w:t>son</w:t>
      </w:r>
      <w:r w:rsidR="00675E41" w:rsidRPr="00675E41">
        <w:t xml:space="preserve"> identification.</w:t>
      </w:r>
    </w:p>
    <w:p w14:paraId="4A67900D" w14:textId="3AE1C555" w:rsidR="00675E41" w:rsidRPr="00161A5F" w:rsidRDefault="00C74FD4" w:rsidP="00C74FD4">
      <w:pPr>
        <w:pStyle w:val="ParNoG"/>
        <w:numPr>
          <w:ilvl w:val="0"/>
          <w:numId w:val="0"/>
        </w:numPr>
        <w:tabs>
          <w:tab w:val="left" w:pos="1701"/>
        </w:tabs>
        <w:ind w:left="1134"/>
        <w:rPr>
          <w:b/>
        </w:rPr>
      </w:pPr>
      <w:r w:rsidRPr="00161A5F">
        <w:t>68.</w:t>
      </w:r>
      <w:r w:rsidRPr="00161A5F">
        <w:tab/>
      </w:r>
      <w:r w:rsidR="00675E41" w:rsidRPr="00161A5F">
        <w:rPr>
          <w:b/>
          <w:lang w:val="fr-FR"/>
        </w:rPr>
        <w:t>Le Sous-Comité recommande que les principes de confidentialité soient toujours présents dans les contacts avec les détenus et les autorités. Il est important que</w:t>
      </w:r>
      <w:r w:rsidR="00E06906">
        <w:rPr>
          <w:b/>
          <w:lang w:val="fr-FR"/>
        </w:rPr>
        <w:t>,</w:t>
      </w:r>
      <w:r w:rsidR="00675E41" w:rsidRPr="00161A5F">
        <w:rPr>
          <w:b/>
          <w:lang w:val="fr-FR"/>
        </w:rPr>
        <w:t xml:space="preserve"> dans ses contacts avec les autorités ainsi que dans ses rapports, l’Observateur</w:t>
      </w:r>
      <w:r w:rsidR="00E06906">
        <w:rPr>
          <w:b/>
          <w:lang w:val="fr-FR"/>
        </w:rPr>
        <w:t xml:space="preserve"> national</w:t>
      </w:r>
      <w:r w:rsidR="00675E41" w:rsidRPr="00161A5F">
        <w:rPr>
          <w:b/>
          <w:lang w:val="fr-FR"/>
        </w:rPr>
        <w:t xml:space="preserve"> prenne garde à ne pas divulguer des informations </w:t>
      </w:r>
      <w:r w:rsidR="00FF3F89">
        <w:rPr>
          <w:b/>
          <w:lang w:val="fr-FR"/>
        </w:rPr>
        <w:t>permettant d’identifier</w:t>
      </w:r>
      <w:r w:rsidR="00675E41" w:rsidRPr="00161A5F">
        <w:rPr>
          <w:b/>
          <w:lang w:val="fr-FR"/>
        </w:rPr>
        <w:t xml:space="preserve"> les personnes qu’il a </w:t>
      </w:r>
      <w:r w:rsidR="00FF3F89">
        <w:rPr>
          <w:b/>
          <w:lang w:val="fr-FR"/>
        </w:rPr>
        <w:t>interrogées</w:t>
      </w:r>
      <w:r w:rsidR="00675E41" w:rsidRPr="00161A5F">
        <w:rPr>
          <w:b/>
          <w:lang w:val="fr-FR"/>
        </w:rPr>
        <w:t>.</w:t>
      </w:r>
    </w:p>
    <w:p w14:paraId="020E1440" w14:textId="4B1334EA" w:rsidR="00675E41" w:rsidRPr="00161A5F" w:rsidRDefault="00C74FD4" w:rsidP="00C74FD4">
      <w:pPr>
        <w:pStyle w:val="ParNoG"/>
        <w:numPr>
          <w:ilvl w:val="0"/>
          <w:numId w:val="0"/>
        </w:numPr>
        <w:tabs>
          <w:tab w:val="left" w:pos="1701"/>
        </w:tabs>
        <w:ind w:left="1134"/>
        <w:rPr>
          <w:b/>
          <w:lang w:val="fr-FR"/>
        </w:rPr>
      </w:pPr>
      <w:r w:rsidRPr="00161A5F">
        <w:rPr>
          <w:lang w:val="fr-FR"/>
        </w:rPr>
        <w:t>69.</w:t>
      </w:r>
      <w:r w:rsidRPr="00161A5F">
        <w:rPr>
          <w:lang w:val="fr-FR"/>
        </w:rPr>
        <w:tab/>
      </w:r>
      <w:r w:rsidR="00675E41" w:rsidRPr="00161A5F">
        <w:rPr>
          <w:b/>
        </w:rPr>
        <w:t xml:space="preserve">Plus généralement, le </w:t>
      </w:r>
      <w:r w:rsidR="00FF3F89">
        <w:rPr>
          <w:b/>
        </w:rPr>
        <w:t>Sous-Comité</w:t>
      </w:r>
      <w:r w:rsidR="00675E41" w:rsidRPr="00161A5F">
        <w:rPr>
          <w:b/>
        </w:rPr>
        <w:t xml:space="preserve"> rappelle sa recommandation aux </w:t>
      </w:r>
      <w:r w:rsidR="00FF3F89">
        <w:rPr>
          <w:b/>
        </w:rPr>
        <w:t>mécanisme</w:t>
      </w:r>
      <w:r w:rsidR="0067243E">
        <w:rPr>
          <w:b/>
        </w:rPr>
        <w:t>s</w:t>
      </w:r>
      <w:r w:rsidR="00FF3F89">
        <w:rPr>
          <w:b/>
        </w:rPr>
        <w:t xml:space="preserve"> nationa</w:t>
      </w:r>
      <w:r w:rsidR="00D95EBF">
        <w:rPr>
          <w:b/>
        </w:rPr>
        <w:t>ux</w:t>
      </w:r>
      <w:r w:rsidR="00FF3F89">
        <w:rPr>
          <w:b/>
        </w:rPr>
        <w:t xml:space="preserve"> de prévention</w:t>
      </w:r>
      <w:r w:rsidR="00675E41" w:rsidRPr="00161A5F">
        <w:rPr>
          <w:b/>
        </w:rPr>
        <w:t xml:space="preserve"> d’établir à l’issue de chaque visite un rapport dans lequel il</w:t>
      </w:r>
      <w:r w:rsidR="00D95EBF">
        <w:rPr>
          <w:b/>
        </w:rPr>
        <w:t>s</w:t>
      </w:r>
      <w:r w:rsidR="00675E41" w:rsidRPr="00161A5F">
        <w:rPr>
          <w:b/>
        </w:rPr>
        <w:t xml:space="preserve"> </w:t>
      </w:r>
      <w:r w:rsidR="00D95EBF">
        <w:rPr>
          <w:b/>
        </w:rPr>
        <w:t>doivent faire</w:t>
      </w:r>
      <w:r w:rsidR="00675E41" w:rsidRPr="00161A5F">
        <w:rPr>
          <w:b/>
        </w:rPr>
        <w:t xml:space="preserve"> part de </w:t>
      </w:r>
      <w:r w:rsidR="00D95EBF">
        <w:rPr>
          <w:b/>
        </w:rPr>
        <w:t>leurs</w:t>
      </w:r>
      <w:r w:rsidR="00675E41" w:rsidRPr="00161A5F">
        <w:rPr>
          <w:b/>
        </w:rPr>
        <w:t xml:space="preserve"> préoccupations et formuler des recommandations (CAT/OP/12/5, par. 36 et 37). En principe, </w:t>
      </w:r>
      <w:r w:rsidR="0040736F">
        <w:rPr>
          <w:b/>
        </w:rPr>
        <w:t xml:space="preserve">selon l’article 21 du Protocole facultatif, </w:t>
      </w:r>
      <w:r w:rsidR="00675E41" w:rsidRPr="00161A5F">
        <w:rPr>
          <w:b/>
        </w:rPr>
        <w:t xml:space="preserve">le rapport </w:t>
      </w:r>
      <w:r w:rsidR="000262FA">
        <w:rPr>
          <w:b/>
        </w:rPr>
        <w:t>doit</w:t>
      </w:r>
      <w:r w:rsidR="00675E41" w:rsidRPr="00161A5F">
        <w:rPr>
          <w:b/>
        </w:rPr>
        <w:t xml:space="preserve"> être public tout en garantissant la confidentialité des données personnelles</w:t>
      </w:r>
      <w:r w:rsidR="000E750C">
        <w:rPr>
          <w:b/>
        </w:rPr>
        <w:t>.</w:t>
      </w:r>
      <w:r w:rsidR="00834DD2">
        <w:rPr>
          <w:b/>
        </w:rPr>
        <w:t xml:space="preserve"> </w:t>
      </w:r>
      <w:r w:rsidR="000E750C">
        <w:rPr>
          <w:b/>
        </w:rPr>
        <w:t xml:space="preserve">Il </w:t>
      </w:r>
      <w:r w:rsidR="000262FA">
        <w:rPr>
          <w:b/>
        </w:rPr>
        <w:t>doit</w:t>
      </w:r>
      <w:r w:rsidR="00675E41" w:rsidRPr="00161A5F">
        <w:rPr>
          <w:b/>
        </w:rPr>
        <w:t xml:space="preserve"> porter essentiellement sur la prévention, en mettant en évidence les problèmes existants et en présentant des solutions sous la forme de recommandations pratiques. Les recommandations </w:t>
      </w:r>
      <w:r w:rsidR="00DD69AC">
        <w:rPr>
          <w:b/>
        </w:rPr>
        <w:t>doivent</w:t>
      </w:r>
      <w:r w:rsidR="00675E41" w:rsidRPr="00161A5F">
        <w:rPr>
          <w:b/>
        </w:rPr>
        <w:t xml:space="preserve"> être concrètes, mesurables et axées sur l’élaboration de mesures préventives propres à remédier aux insuffisances des pratiques et </w:t>
      </w:r>
      <w:r w:rsidR="00F50F3B">
        <w:rPr>
          <w:b/>
        </w:rPr>
        <w:t xml:space="preserve">des </w:t>
      </w:r>
      <w:r w:rsidR="00675E41" w:rsidRPr="00161A5F">
        <w:rPr>
          <w:b/>
        </w:rPr>
        <w:t xml:space="preserve">dispositifs existants ; elles </w:t>
      </w:r>
      <w:r w:rsidR="00F50F3B">
        <w:rPr>
          <w:b/>
        </w:rPr>
        <w:t>doivent</w:t>
      </w:r>
      <w:r w:rsidR="00675E41" w:rsidRPr="00161A5F">
        <w:rPr>
          <w:b/>
        </w:rPr>
        <w:t xml:space="preserve"> également tenir compte des normes nationales et internationales applicables en ce qui concerne la prévention de la torture et d’autres mauvais traitements, ainsi que des recommandations du Sous-Comité. Après la transmission du rapport, l’Observateur</w:t>
      </w:r>
      <w:r w:rsidR="00B1383C">
        <w:rPr>
          <w:b/>
        </w:rPr>
        <w:t xml:space="preserve"> national</w:t>
      </w:r>
      <w:r w:rsidR="00675E41" w:rsidRPr="00161A5F">
        <w:rPr>
          <w:b/>
        </w:rPr>
        <w:t xml:space="preserve"> </w:t>
      </w:r>
      <w:r w:rsidR="00B1383C">
        <w:rPr>
          <w:b/>
        </w:rPr>
        <w:t>doit</w:t>
      </w:r>
      <w:r w:rsidR="00675E41" w:rsidRPr="00161A5F">
        <w:rPr>
          <w:b/>
        </w:rPr>
        <w:t xml:space="preserve"> élaborer une stratégie permettant</w:t>
      </w:r>
      <w:r w:rsidR="00C541A8">
        <w:rPr>
          <w:b/>
        </w:rPr>
        <w:t>, d’une part,</w:t>
      </w:r>
      <w:r w:rsidR="00675E41" w:rsidRPr="00161A5F">
        <w:rPr>
          <w:b/>
        </w:rPr>
        <w:t xml:space="preserve"> de suivre l’application des recommandations et</w:t>
      </w:r>
      <w:r w:rsidR="00C541A8">
        <w:rPr>
          <w:b/>
        </w:rPr>
        <w:t>, d’autre part,</w:t>
      </w:r>
      <w:r w:rsidR="00675E41" w:rsidRPr="00161A5F">
        <w:rPr>
          <w:b/>
        </w:rPr>
        <w:t xml:space="preserve"> d’utiliser le rapport</w:t>
      </w:r>
      <w:r w:rsidR="00675E41" w:rsidRPr="00161A5F">
        <w:rPr>
          <w:b/>
          <w:lang w:val="fr-FR"/>
        </w:rPr>
        <w:t xml:space="preserve"> en tant que base </w:t>
      </w:r>
      <w:r w:rsidR="008B70B5">
        <w:rPr>
          <w:b/>
          <w:lang w:val="fr-FR"/>
        </w:rPr>
        <w:t>dans le cadre d’</w:t>
      </w:r>
      <w:r w:rsidR="00675E41" w:rsidRPr="00161A5F">
        <w:rPr>
          <w:b/>
          <w:lang w:val="fr-FR"/>
        </w:rPr>
        <w:t>un dialogue avec les autorités du lieu de détention visité et les ministères compétents.</w:t>
      </w:r>
    </w:p>
    <w:p w14:paraId="712B9757" w14:textId="6D4A7DB6" w:rsidR="00675E41" w:rsidRPr="007B15B8" w:rsidRDefault="00161A5F" w:rsidP="00A67610">
      <w:pPr>
        <w:pStyle w:val="H4G"/>
      </w:pPr>
      <w:r w:rsidRPr="00C74FD4">
        <w:tab/>
      </w:r>
      <w:r w:rsidR="00A67610" w:rsidRPr="00C74FD4">
        <w:t>b)</w:t>
      </w:r>
      <w:r w:rsidRPr="00C74FD4">
        <w:tab/>
      </w:r>
      <w:r w:rsidR="00675E41" w:rsidRPr="00C74FD4">
        <w:tab/>
      </w:r>
      <w:r w:rsidR="00675E41" w:rsidRPr="007B15B8">
        <w:t>Rapport annuel</w:t>
      </w:r>
    </w:p>
    <w:p w14:paraId="3059D860" w14:textId="2E749F62" w:rsidR="00675E41" w:rsidRPr="00675E41" w:rsidRDefault="00C74FD4" w:rsidP="00C74FD4">
      <w:pPr>
        <w:pStyle w:val="ParNoG"/>
        <w:numPr>
          <w:ilvl w:val="0"/>
          <w:numId w:val="0"/>
        </w:numPr>
        <w:tabs>
          <w:tab w:val="left" w:pos="1701"/>
        </w:tabs>
        <w:ind w:left="1134"/>
      </w:pPr>
      <w:r w:rsidRPr="00675E41">
        <w:t>70.</w:t>
      </w:r>
      <w:r w:rsidRPr="00675E41">
        <w:tab/>
      </w:r>
      <w:r w:rsidR="00675E41" w:rsidRPr="00675E41">
        <w:t xml:space="preserve">Le Sous-Comité </w:t>
      </w:r>
      <w:r w:rsidR="004D64A2">
        <w:t>est préoccupé par</w:t>
      </w:r>
      <w:r w:rsidR="00675E41" w:rsidRPr="00675E41">
        <w:t xml:space="preserve"> le fait qu’aucun rapport annuel n’a été publié depuis la mise en place de l’Observateur</w:t>
      </w:r>
      <w:r w:rsidR="004D64A2">
        <w:t xml:space="preserve"> national</w:t>
      </w:r>
      <w:r w:rsidR="00675E41" w:rsidRPr="00675E41">
        <w:t xml:space="preserve"> en 2012. Il se réjouit cependant qu’une compilation quinquennale ait été préparée par l’équipe de l’Observateur</w:t>
      </w:r>
      <w:r w:rsidR="00671D26">
        <w:t xml:space="preserve"> national pour la période 2012-2017</w:t>
      </w:r>
      <w:r w:rsidR="00675E41" w:rsidRPr="00675E41">
        <w:t xml:space="preserve">. Au moment de la visite </w:t>
      </w:r>
      <w:r w:rsidR="00717660">
        <w:t>de la délégation</w:t>
      </w:r>
      <w:r w:rsidR="00675E41" w:rsidRPr="00675E41">
        <w:t>, l’Observateur</w:t>
      </w:r>
      <w:r w:rsidR="00717660">
        <w:t xml:space="preserve"> national</w:t>
      </w:r>
      <w:r w:rsidR="00675E41" w:rsidRPr="00675E41">
        <w:t xml:space="preserve"> avait déjà finalisé ce rapport et était en attente d’être auditionné par le Président de la République avant de le publier.  </w:t>
      </w:r>
    </w:p>
    <w:p w14:paraId="01CE9759" w14:textId="2F6E1DA9" w:rsidR="00675E41" w:rsidRPr="00161A5F" w:rsidRDefault="00C74FD4" w:rsidP="00C74FD4">
      <w:pPr>
        <w:pStyle w:val="ParNoG"/>
        <w:numPr>
          <w:ilvl w:val="0"/>
          <w:numId w:val="0"/>
        </w:numPr>
        <w:tabs>
          <w:tab w:val="left" w:pos="1701"/>
        </w:tabs>
        <w:ind w:left="1134"/>
        <w:rPr>
          <w:b/>
        </w:rPr>
      </w:pPr>
      <w:r w:rsidRPr="00161A5F">
        <w:t>71.</w:t>
      </w:r>
      <w:r w:rsidRPr="00161A5F">
        <w:tab/>
      </w:r>
      <w:r w:rsidR="00675E41" w:rsidRPr="00161A5F">
        <w:rPr>
          <w:b/>
        </w:rPr>
        <w:t xml:space="preserve">Le Sous-Comité est d’avis que le fait de devoir soumettre son rapport annuel au Président de la République </w:t>
      </w:r>
      <w:r w:rsidR="00717660">
        <w:rPr>
          <w:b/>
        </w:rPr>
        <w:t>n</w:t>
      </w:r>
      <w:r w:rsidR="00675E41" w:rsidRPr="00161A5F">
        <w:rPr>
          <w:b/>
        </w:rPr>
        <w:t>’empêche pas</w:t>
      </w:r>
      <w:r w:rsidR="00717660">
        <w:rPr>
          <w:b/>
        </w:rPr>
        <w:t xml:space="preserve"> l’Observateur national</w:t>
      </w:r>
      <w:r w:rsidR="00675E41" w:rsidRPr="00161A5F">
        <w:rPr>
          <w:b/>
        </w:rPr>
        <w:t xml:space="preserve"> de le rendre public. Le Sous-Comité recommande que l’Observateur</w:t>
      </w:r>
      <w:r w:rsidR="00650E01">
        <w:rPr>
          <w:b/>
        </w:rPr>
        <w:t xml:space="preserve"> national</w:t>
      </w:r>
      <w:r w:rsidR="00675E41" w:rsidRPr="00161A5F">
        <w:rPr>
          <w:b/>
        </w:rPr>
        <w:t xml:space="preserve"> fasse application de l’article</w:t>
      </w:r>
      <w:r w:rsidR="00CD2491">
        <w:rPr>
          <w:b/>
        </w:rPr>
        <w:t> </w:t>
      </w:r>
      <w:r w:rsidR="00675E41" w:rsidRPr="00161A5F">
        <w:rPr>
          <w:b/>
        </w:rPr>
        <w:t xml:space="preserve">9 de la </w:t>
      </w:r>
      <w:r w:rsidR="00675E41" w:rsidRPr="00C74FD4">
        <w:rPr>
          <w:b/>
        </w:rPr>
        <w:t xml:space="preserve">loi </w:t>
      </w:r>
      <w:r w:rsidR="004F2B81" w:rsidRPr="00C74FD4">
        <w:rPr>
          <w:b/>
          <w:lang w:val="fr-FR"/>
        </w:rPr>
        <w:t>n</w:t>
      </w:r>
      <w:r w:rsidR="004F2B81" w:rsidRPr="00C74FD4">
        <w:rPr>
          <w:b/>
          <w:vertAlign w:val="superscript"/>
          <w:lang w:val="fr-FR"/>
        </w:rPr>
        <w:t>o</w:t>
      </w:r>
      <w:r w:rsidR="004F2B81">
        <w:rPr>
          <w:lang w:val="fr-FR"/>
        </w:rPr>
        <w:t> </w:t>
      </w:r>
      <w:r w:rsidR="00675E41" w:rsidRPr="00161A5F">
        <w:rPr>
          <w:b/>
        </w:rPr>
        <w:t>2009-13</w:t>
      </w:r>
      <w:r w:rsidR="00650E01">
        <w:rPr>
          <w:b/>
        </w:rPr>
        <w:t>,</w:t>
      </w:r>
      <w:r w:rsidR="00675E41" w:rsidRPr="00161A5F">
        <w:rPr>
          <w:b/>
        </w:rPr>
        <w:t xml:space="preserve"> qui l’habilite à publier ses rapports annuels, en conformité avec l’article 23 du Protocole facultatif. La publication des rapports annuels des mécanismes nationaux de prévention permet notamment de rendre ces mécanismes plus visibles</w:t>
      </w:r>
      <w:r w:rsidR="001465B3">
        <w:rPr>
          <w:b/>
        </w:rPr>
        <w:t>,</w:t>
      </w:r>
      <w:r w:rsidR="00675E41" w:rsidRPr="00161A5F">
        <w:rPr>
          <w:b/>
        </w:rPr>
        <w:t xml:space="preserve"> d’informer les autorités et le grand public</w:t>
      </w:r>
      <w:r w:rsidR="0026270D">
        <w:rPr>
          <w:b/>
        </w:rPr>
        <w:t>,</w:t>
      </w:r>
      <w:r w:rsidR="00675E41" w:rsidRPr="00161A5F">
        <w:rPr>
          <w:b/>
        </w:rPr>
        <w:t xml:space="preserve"> </w:t>
      </w:r>
      <w:r w:rsidR="007E5FFA">
        <w:rPr>
          <w:b/>
        </w:rPr>
        <w:t xml:space="preserve">de </w:t>
      </w:r>
      <w:r w:rsidR="00675E41" w:rsidRPr="00161A5F">
        <w:rPr>
          <w:b/>
        </w:rPr>
        <w:t>rendre compte</w:t>
      </w:r>
      <w:r w:rsidR="007E5FFA">
        <w:rPr>
          <w:b/>
        </w:rPr>
        <w:t xml:space="preserve"> de leur activité</w:t>
      </w:r>
      <w:r w:rsidR="00675E41" w:rsidRPr="00161A5F">
        <w:rPr>
          <w:b/>
        </w:rPr>
        <w:t xml:space="preserve">, comme toute autre institution publique, d’identifier et </w:t>
      </w:r>
      <w:r w:rsidR="007E5FFA">
        <w:rPr>
          <w:b/>
        </w:rPr>
        <w:t>d’</w:t>
      </w:r>
      <w:r w:rsidR="00675E41" w:rsidRPr="00161A5F">
        <w:rPr>
          <w:b/>
        </w:rPr>
        <w:t xml:space="preserve">analyser les problèmes clés liés à la </w:t>
      </w:r>
      <w:r w:rsidR="00675E41" w:rsidRPr="00161A5F">
        <w:rPr>
          <w:b/>
        </w:rPr>
        <w:lastRenderedPageBreak/>
        <w:t>prévention de la torture</w:t>
      </w:r>
      <w:r w:rsidR="007E5FFA">
        <w:rPr>
          <w:b/>
        </w:rPr>
        <w:t>,</w:t>
      </w:r>
      <w:r w:rsidR="00675E41" w:rsidRPr="00161A5F">
        <w:rPr>
          <w:b/>
        </w:rPr>
        <w:t xml:space="preserve"> et</w:t>
      </w:r>
      <w:r w:rsidR="007E5FFA">
        <w:rPr>
          <w:b/>
        </w:rPr>
        <w:t>,</w:t>
      </w:r>
      <w:r w:rsidR="00675E41" w:rsidRPr="00161A5F">
        <w:rPr>
          <w:b/>
        </w:rPr>
        <w:t xml:space="preserve"> surtout, d’établir et </w:t>
      </w:r>
      <w:r w:rsidR="007E5FFA">
        <w:rPr>
          <w:b/>
        </w:rPr>
        <w:t>d’</w:t>
      </w:r>
      <w:r w:rsidR="00675E41" w:rsidRPr="00161A5F">
        <w:rPr>
          <w:b/>
        </w:rPr>
        <w:t xml:space="preserve">entretenir un dialogue permanent avec les autorités concernées. </w:t>
      </w:r>
    </w:p>
    <w:p w14:paraId="6D90D4D8" w14:textId="3E17BB02" w:rsidR="00675E41" w:rsidRPr="00161A5F" w:rsidRDefault="00C74FD4" w:rsidP="00C74FD4">
      <w:pPr>
        <w:pStyle w:val="ParNoG"/>
        <w:numPr>
          <w:ilvl w:val="0"/>
          <w:numId w:val="0"/>
        </w:numPr>
        <w:tabs>
          <w:tab w:val="left" w:pos="1701"/>
        </w:tabs>
        <w:ind w:left="1134"/>
        <w:rPr>
          <w:b/>
          <w:lang w:val="fr-FR"/>
        </w:rPr>
      </w:pPr>
      <w:r w:rsidRPr="00161A5F">
        <w:rPr>
          <w:lang w:val="fr-FR"/>
        </w:rPr>
        <w:t>72.</w:t>
      </w:r>
      <w:r w:rsidRPr="00161A5F">
        <w:rPr>
          <w:lang w:val="fr-FR"/>
        </w:rPr>
        <w:tab/>
      </w:r>
      <w:r w:rsidR="00675E41" w:rsidRPr="00161A5F">
        <w:rPr>
          <w:b/>
          <w:lang w:val="fr-FR"/>
        </w:rPr>
        <w:t xml:space="preserve">Le Sous-Comité rappelle sa recommandation </w:t>
      </w:r>
      <w:r w:rsidR="00714E81">
        <w:rPr>
          <w:b/>
          <w:lang w:val="fr-FR"/>
        </w:rPr>
        <w:t>formulée au paragraphe 32 de son précédent rapport de visite</w:t>
      </w:r>
      <w:r w:rsidR="00675E41" w:rsidRPr="00161A5F">
        <w:rPr>
          <w:b/>
          <w:lang w:val="fr-FR"/>
        </w:rPr>
        <w:t>, qui préconisait que les rapports annuels de l’Observateur</w:t>
      </w:r>
      <w:r w:rsidR="003F55E9">
        <w:rPr>
          <w:b/>
          <w:lang w:val="fr-FR"/>
        </w:rPr>
        <w:t xml:space="preserve"> national</w:t>
      </w:r>
      <w:r w:rsidR="00675E41" w:rsidRPr="00161A5F">
        <w:rPr>
          <w:b/>
          <w:lang w:val="fr-FR"/>
        </w:rPr>
        <w:t xml:space="preserve"> soient présentés et débattus au Parlement, nonobstant leur présentation au Président de la République. Le Parlement</w:t>
      </w:r>
      <w:r w:rsidR="003F55E9">
        <w:rPr>
          <w:b/>
          <w:lang w:val="fr-FR"/>
        </w:rPr>
        <w:t>,</w:t>
      </w:r>
      <w:r w:rsidR="00675E41" w:rsidRPr="00161A5F">
        <w:rPr>
          <w:b/>
          <w:lang w:val="fr-FR"/>
        </w:rPr>
        <w:t xml:space="preserve"> en tant que dépositaire de la souveraineté populaire, devrait également être le destinataire du rapport afin de respecter ses obligations de contrôle du </w:t>
      </w:r>
      <w:r w:rsidR="003F55E9">
        <w:rPr>
          <w:b/>
          <w:lang w:val="fr-FR"/>
        </w:rPr>
        <w:t>G</w:t>
      </w:r>
      <w:r w:rsidR="00675E41" w:rsidRPr="00161A5F">
        <w:rPr>
          <w:b/>
          <w:lang w:val="fr-FR"/>
        </w:rPr>
        <w:t>ouvernement.</w:t>
      </w:r>
    </w:p>
    <w:p w14:paraId="6842666B" w14:textId="2B53E529" w:rsidR="00675E41" w:rsidRPr="00161A5F" w:rsidRDefault="00C74FD4" w:rsidP="00C74FD4">
      <w:pPr>
        <w:pStyle w:val="ParNoG"/>
        <w:numPr>
          <w:ilvl w:val="0"/>
          <w:numId w:val="0"/>
        </w:numPr>
        <w:tabs>
          <w:tab w:val="left" w:pos="1701"/>
        </w:tabs>
        <w:ind w:left="1134"/>
        <w:rPr>
          <w:b/>
          <w:lang w:val="fr-FR"/>
        </w:rPr>
      </w:pPr>
      <w:r w:rsidRPr="00161A5F">
        <w:rPr>
          <w:lang w:val="fr-FR"/>
        </w:rPr>
        <w:t>73.</w:t>
      </w:r>
      <w:r w:rsidRPr="00161A5F">
        <w:rPr>
          <w:lang w:val="fr-FR"/>
        </w:rPr>
        <w:tab/>
      </w:r>
      <w:r w:rsidR="00675E41" w:rsidRPr="00161A5F">
        <w:rPr>
          <w:b/>
          <w:lang w:val="fr-FR"/>
        </w:rPr>
        <w:t>Le Sous-Comité encourage l’Observateur</w:t>
      </w:r>
      <w:r w:rsidR="00BF256A">
        <w:rPr>
          <w:b/>
          <w:lang w:val="fr-FR"/>
        </w:rPr>
        <w:t xml:space="preserve"> national</w:t>
      </w:r>
      <w:r w:rsidR="00675E41" w:rsidRPr="00161A5F">
        <w:rPr>
          <w:b/>
          <w:lang w:val="fr-FR"/>
        </w:rPr>
        <w:t xml:space="preserve"> à utiliser sa connaissance du terrain afin de réaliser des rapports thématiques exposant les problèmes structurels du système sénégalais de privation de liberté, tels que la pratique </w:t>
      </w:r>
      <w:r w:rsidR="00F93C0D">
        <w:rPr>
          <w:b/>
          <w:lang w:val="fr-FR"/>
        </w:rPr>
        <w:t xml:space="preserve">dite </w:t>
      </w:r>
      <w:r w:rsidR="00675E41" w:rsidRPr="00161A5F">
        <w:rPr>
          <w:b/>
          <w:lang w:val="fr-FR"/>
        </w:rPr>
        <w:t xml:space="preserve">du retour </w:t>
      </w:r>
      <w:r w:rsidR="00F93C0D">
        <w:rPr>
          <w:b/>
          <w:lang w:val="fr-FR"/>
        </w:rPr>
        <w:t>de</w:t>
      </w:r>
      <w:r w:rsidR="00675E41" w:rsidRPr="00161A5F">
        <w:rPr>
          <w:b/>
          <w:lang w:val="fr-FR"/>
        </w:rPr>
        <w:t xml:space="preserve"> parquet, ou </w:t>
      </w:r>
      <w:r w:rsidR="007A3201">
        <w:rPr>
          <w:b/>
          <w:lang w:val="fr-FR"/>
        </w:rPr>
        <w:t xml:space="preserve">encore </w:t>
      </w:r>
      <w:r w:rsidR="00675E41" w:rsidRPr="00161A5F">
        <w:rPr>
          <w:b/>
          <w:lang w:val="fr-FR"/>
        </w:rPr>
        <w:t>l</w:t>
      </w:r>
      <w:r w:rsidR="00835C07">
        <w:rPr>
          <w:b/>
          <w:lang w:val="fr-FR"/>
        </w:rPr>
        <w:t>’</w:t>
      </w:r>
      <w:r w:rsidR="00675E41" w:rsidRPr="00161A5F">
        <w:rPr>
          <w:b/>
          <w:lang w:val="fr-FR"/>
        </w:rPr>
        <w:t xml:space="preserve">assistance juridique insuffisante ou parfois inexistante apportée aux personnes privées de liberté. </w:t>
      </w:r>
    </w:p>
    <w:p w14:paraId="566002B1" w14:textId="2F04DFED" w:rsidR="00675E41" w:rsidRPr="00675E41" w:rsidRDefault="00161A5F" w:rsidP="00161A5F">
      <w:pPr>
        <w:pStyle w:val="HChG"/>
      </w:pPr>
      <w:r>
        <w:tab/>
        <w:t>IV.</w:t>
      </w:r>
      <w:r>
        <w:tab/>
      </w:r>
      <w:r w:rsidR="00395974">
        <w:t>É</w:t>
      </w:r>
      <w:r w:rsidR="00675E41" w:rsidRPr="00675E41">
        <w:t>tapes suivantes</w:t>
      </w:r>
    </w:p>
    <w:p w14:paraId="3C5428C0" w14:textId="5DF17BB6" w:rsidR="00675E41" w:rsidRPr="00161A5F" w:rsidRDefault="00C74FD4" w:rsidP="00C74FD4">
      <w:pPr>
        <w:pStyle w:val="ParNoG"/>
        <w:numPr>
          <w:ilvl w:val="0"/>
          <w:numId w:val="0"/>
        </w:numPr>
        <w:tabs>
          <w:tab w:val="left" w:pos="1701"/>
        </w:tabs>
        <w:ind w:left="1134"/>
        <w:rPr>
          <w:b/>
        </w:rPr>
      </w:pPr>
      <w:r w:rsidRPr="00161A5F">
        <w:t>74.</w:t>
      </w:r>
      <w:r w:rsidRPr="00161A5F">
        <w:tab/>
      </w:r>
      <w:r w:rsidR="00675E41" w:rsidRPr="00161A5F">
        <w:rPr>
          <w:b/>
          <w:lang w:val="fr-FR"/>
        </w:rPr>
        <w:t xml:space="preserve">Le Sous-Comité apprécie les résultats positifs obtenus par l’Observateur </w:t>
      </w:r>
      <w:r w:rsidR="007A3201">
        <w:rPr>
          <w:b/>
          <w:lang w:val="fr-FR"/>
        </w:rPr>
        <w:t>n</w:t>
      </w:r>
      <w:r w:rsidR="00675E41" w:rsidRPr="00161A5F">
        <w:rPr>
          <w:b/>
          <w:lang w:val="fr-FR"/>
        </w:rPr>
        <w:t xml:space="preserve">ational des lieux de privation de liberté, notamment en </w:t>
      </w:r>
      <w:r w:rsidR="00FD7335">
        <w:rPr>
          <w:b/>
          <w:lang w:val="fr-FR"/>
        </w:rPr>
        <w:t>matière</w:t>
      </w:r>
      <w:r w:rsidR="00675E41" w:rsidRPr="00161A5F">
        <w:rPr>
          <w:b/>
          <w:lang w:val="fr-FR"/>
        </w:rPr>
        <w:t xml:space="preserve"> de visibilité parmi les différents acteurs au Sénégal. Il l’encourage fortement à aborder, avec les autorités compétentes, les recommandations du Sous-Comité relatives à son indépendance structurelle et fonctionnelle</w:t>
      </w:r>
      <w:r w:rsidR="00FD7335">
        <w:rPr>
          <w:b/>
          <w:lang w:val="fr-FR"/>
        </w:rPr>
        <w:t>,</w:t>
      </w:r>
      <w:r w:rsidR="00675E41" w:rsidRPr="00161A5F">
        <w:rPr>
          <w:b/>
          <w:lang w:val="fr-FR"/>
        </w:rPr>
        <w:t xml:space="preserve"> notamment à l’égard du pouvoir exécutif, ainsi que les réformes législatives mentionnées dans </w:t>
      </w:r>
      <w:r w:rsidR="00FD7335">
        <w:rPr>
          <w:b/>
          <w:lang w:val="fr-FR"/>
        </w:rPr>
        <w:t>le présent</w:t>
      </w:r>
      <w:r w:rsidR="00675E41" w:rsidRPr="00161A5F">
        <w:rPr>
          <w:b/>
          <w:lang w:val="fr-FR"/>
        </w:rPr>
        <w:t xml:space="preserve"> rapport. </w:t>
      </w:r>
      <w:r w:rsidR="008D1A47">
        <w:rPr>
          <w:b/>
          <w:lang w:val="fr-FR"/>
        </w:rPr>
        <w:t>Le Sous-Comité estime que</w:t>
      </w:r>
      <w:r w:rsidR="00675E41" w:rsidRPr="00161A5F">
        <w:rPr>
          <w:b/>
          <w:lang w:val="fr-FR"/>
        </w:rPr>
        <w:t xml:space="preserve"> la question de l’indépendance de l’Observateur</w:t>
      </w:r>
      <w:r w:rsidR="008D1A47">
        <w:rPr>
          <w:b/>
          <w:lang w:val="fr-FR"/>
        </w:rPr>
        <w:t xml:space="preserve"> national</w:t>
      </w:r>
      <w:r w:rsidR="00675E41" w:rsidRPr="00161A5F">
        <w:rPr>
          <w:b/>
          <w:lang w:val="fr-FR"/>
        </w:rPr>
        <w:t xml:space="preserve"> par rapport au pouvoir </w:t>
      </w:r>
      <w:r w:rsidR="008D1A47">
        <w:rPr>
          <w:b/>
          <w:lang w:val="fr-FR"/>
        </w:rPr>
        <w:t>e</w:t>
      </w:r>
      <w:r w:rsidR="00675E41" w:rsidRPr="00161A5F">
        <w:rPr>
          <w:b/>
          <w:lang w:val="fr-FR"/>
        </w:rPr>
        <w:t xml:space="preserve">xécutif doit être </w:t>
      </w:r>
      <w:r w:rsidR="008D1A47">
        <w:rPr>
          <w:b/>
          <w:lang w:val="fr-FR"/>
        </w:rPr>
        <w:t>traitée</w:t>
      </w:r>
      <w:r w:rsidR="00675E41" w:rsidRPr="00161A5F">
        <w:rPr>
          <w:b/>
          <w:lang w:val="fr-FR"/>
        </w:rPr>
        <w:t xml:space="preserve"> de manière prioritaire</w:t>
      </w:r>
      <w:r w:rsidR="008D1A47">
        <w:rPr>
          <w:b/>
          <w:lang w:val="fr-FR"/>
        </w:rPr>
        <w:t>.</w:t>
      </w:r>
    </w:p>
    <w:p w14:paraId="03AC2F89" w14:textId="01922065" w:rsidR="00675E41" w:rsidRPr="00161A5F" w:rsidRDefault="00C74FD4" w:rsidP="00C74FD4">
      <w:pPr>
        <w:pStyle w:val="ParNoG"/>
        <w:numPr>
          <w:ilvl w:val="0"/>
          <w:numId w:val="0"/>
        </w:numPr>
        <w:tabs>
          <w:tab w:val="left" w:pos="1701"/>
        </w:tabs>
        <w:ind w:left="1134"/>
        <w:rPr>
          <w:b/>
          <w:lang w:val="fr-FR"/>
        </w:rPr>
      </w:pPr>
      <w:r w:rsidRPr="00161A5F">
        <w:rPr>
          <w:lang w:val="fr-FR"/>
        </w:rPr>
        <w:t>75.</w:t>
      </w:r>
      <w:r w:rsidRPr="00161A5F">
        <w:rPr>
          <w:lang w:val="fr-FR"/>
        </w:rPr>
        <w:tab/>
      </w:r>
      <w:r w:rsidR="00675E41" w:rsidRPr="00161A5F">
        <w:rPr>
          <w:b/>
          <w:lang w:val="fr-FR"/>
        </w:rPr>
        <w:t>Le Sous-Comité encourage l’Observateur</w:t>
      </w:r>
      <w:r w:rsidR="008D1A47">
        <w:rPr>
          <w:b/>
          <w:lang w:val="fr-FR"/>
        </w:rPr>
        <w:t xml:space="preserve"> national</w:t>
      </w:r>
      <w:r w:rsidR="00675E41" w:rsidRPr="00161A5F">
        <w:rPr>
          <w:b/>
          <w:lang w:val="fr-FR"/>
        </w:rPr>
        <w:t xml:space="preserve"> à adopter une posture réactive en ce qui concerne le dialogue avec les autorités</w:t>
      </w:r>
      <w:r w:rsidR="008D1A47">
        <w:rPr>
          <w:b/>
          <w:lang w:val="fr-FR"/>
        </w:rPr>
        <w:t>,</w:t>
      </w:r>
      <w:r w:rsidR="00675E41" w:rsidRPr="00161A5F">
        <w:rPr>
          <w:b/>
          <w:lang w:val="fr-FR"/>
        </w:rPr>
        <w:t xml:space="preserve"> par rapport au suivi et </w:t>
      </w:r>
      <w:r w:rsidR="008D1A47">
        <w:rPr>
          <w:b/>
          <w:lang w:val="fr-FR"/>
        </w:rPr>
        <w:t xml:space="preserve">à </w:t>
      </w:r>
      <w:r w:rsidR="00675E41" w:rsidRPr="00161A5F">
        <w:rPr>
          <w:b/>
          <w:lang w:val="fr-FR"/>
        </w:rPr>
        <w:t xml:space="preserve">la mise en </w:t>
      </w:r>
      <w:r w:rsidR="008D1A47">
        <w:rPr>
          <w:b/>
          <w:lang w:val="fr-FR"/>
        </w:rPr>
        <w:t>œuvre</w:t>
      </w:r>
      <w:r w:rsidR="00675E41" w:rsidRPr="00161A5F">
        <w:rPr>
          <w:b/>
          <w:lang w:val="fr-FR"/>
        </w:rPr>
        <w:t xml:space="preserve"> de ses recommandations. La capacité d’action de l’Observateur</w:t>
      </w:r>
      <w:r w:rsidR="00165910">
        <w:rPr>
          <w:b/>
          <w:lang w:val="fr-FR"/>
        </w:rPr>
        <w:t xml:space="preserve"> national</w:t>
      </w:r>
      <w:r w:rsidR="00675E41" w:rsidRPr="00161A5F">
        <w:rPr>
          <w:b/>
          <w:lang w:val="fr-FR"/>
        </w:rPr>
        <w:t xml:space="preserve"> dans son rôle de prévention de la torture et de</w:t>
      </w:r>
      <w:r w:rsidR="00165910">
        <w:rPr>
          <w:b/>
          <w:lang w:val="fr-FR"/>
        </w:rPr>
        <w:t>s</w:t>
      </w:r>
      <w:r w:rsidR="00675E41" w:rsidRPr="00161A5F">
        <w:rPr>
          <w:b/>
          <w:lang w:val="fr-FR"/>
        </w:rPr>
        <w:t xml:space="preserve"> mauvais traitements, ainsi que la publication de </w:t>
      </w:r>
      <w:r w:rsidR="00165910">
        <w:rPr>
          <w:b/>
          <w:lang w:val="fr-FR"/>
        </w:rPr>
        <w:t>ses</w:t>
      </w:r>
      <w:r w:rsidR="00675E41" w:rsidRPr="00161A5F">
        <w:rPr>
          <w:b/>
          <w:lang w:val="fr-FR"/>
        </w:rPr>
        <w:t xml:space="preserve"> rapports, y compris son rapport annuel, ne sauraient être restreintes.</w:t>
      </w:r>
    </w:p>
    <w:p w14:paraId="7FA84FD1" w14:textId="075C78C7" w:rsidR="00675E41" w:rsidRPr="00161A5F" w:rsidRDefault="00C74FD4" w:rsidP="00C74FD4">
      <w:pPr>
        <w:pStyle w:val="ParNoG"/>
        <w:numPr>
          <w:ilvl w:val="0"/>
          <w:numId w:val="0"/>
        </w:numPr>
        <w:tabs>
          <w:tab w:val="left" w:pos="1701"/>
        </w:tabs>
        <w:ind w:left="1134"/>
        <w:rPr>
          <w:b/>
          <w:lang w:val="fr-FR"/>
        </w:rPr>
      </w:pPr>
      <w:r w:rsidRPr="00161A5F">
        <w:rPr>
          <w:lang w:val="fr-FR"/>
        </w:rPr>
        <w:t>76.</w:t>
      </w:r>
      <w:r w:rsidRPr="00161A5F">
        <w:rPr>
          <w:lang w:val="fr-FR"/>
        </w:rPr>
        <w:tab/>
      </w:r>
      <w:r w:rsidR="00675E41" w:rsidRPr="00161A5F">
        <w:rPr>
          <w:b/>
          <w:lang w:val="fr-FR"/>
        </w:rPr>
        <w:t xml:space="preserve">Le Sous-Comité considère que sa visite et le présent rapport font partie d’un processus de dialogue continu avec le </w:t>
      </w:r>
      <w:r w:rsidR="008A1021">
        <w:rPr>
          <w:b/>
          <w:lang w:val="fr-FR"/>
        </w:rPr>
        <w:t>m</w:t>
      </w:r>
      <w:r w:rsidR="00675E41" w:rsidRPr="00161A5F">
        <w:rPr>
          <w:b/>
          <w:lang w:val="fr-FR"/>
        </w:rPr>
        <w:t xml:space="preserve">écanisme </w:t>
      </w:r>
      <w:r w:rsidR="008A1021">
        <w:rPr>
          <w:b/>
          <w:lang w:val="fr-FR"/>
        </w:rPr>
        <w:t>n</w:t>
      </w:r>
      <w:r w:rsidR="00675E41" w:rsidRPr="00161A5F">
        <w:rPr>
          <w:b/>
          <w:lang w:val="fr-FR"/>
        </w:rPr>
        <w:t xml:space="preserve">ational de </w:t>
      </w:r>
      <w:r w:rsidR="008A1021">
        <w:rPr>
          <w:b/>
          <w:lang w:val="fr-FR"/>
        </w:rPr>
        <w:t>p</w:t>
      </w:r>
      <w:r w:rsidR="00675E41" w:rsidRPr="00161A5F">
        <w:rPr>
          <w:b/>
          <w:lang w:val="fr-FR"/>
        </w:rPr>
        <w:t xml:space="preserve">révention </w:t>
      </w:r>
      <w:r w:rsidR="008A1021">
        <w:rPr>
          <w:b/>
          <w:lang w:val="fr-FR"/>
        </w:rPr>
        <w:t>du</w:t>
      </w:r>
      <w:r w:rsidR="00675E41" w:rsidRPr="00161A5F">
        <w:rPr>
          <w:b/>
          <w:lang w:val="fr-FR"/>
        </w:rPr>
        <w:t xml:space="preserve"> Sénégal. </w:t>
      </w:r>
      <w:r w:rsidR="00377115">
        <w:rPr>
          <w:b/>
          <w:lang w:val="fr-FR"/>
        </w:rPr>
        <w:t>Il</w:t>
      </w:r>
      <w:r w:rsidR="00675E41" w:rsidRPr="00161A5F">
        <w:rPr>
          <w:b/>
          <w:lang w:val="fr-FR"/>
        </w:rPr>
        <w:t xml:space="preserve"> est disposé à fournir à ce dernier l’assistance et les conseils techniques nécessaires pour lui donner des moyens accrus de prévenir la torture et les mauvais traitements dans tous les lieux de privation de liberté situés au Sénégal</w:t>
      </w:r>
      <w:r w:rsidR="006F301E">
        <w:rPr>
          <w:b/>
          <w:lang w:val="fr-FR"/>
        </w:rPr>
        <w:t>,</w:t>
      </w:r>
      <w:r w:rsidR="00675E41" w:rsidRPr="00161A5F">
        <w:rPr>
          <w:b/>
          <w:lang w:val="fr-FR"/>
        </w:rPr>
        <w:t xml:space="preserve"> et de concrétiser l’objectif commun de prévention. Le Sous-Comité engage en outre l’Observateur</w:t>
      </w:r>
      <w:r w:rsidR="006F301E">
        <w:rPr>
          <w:b/>
          <w:lang w:val="fr-FR"/>
        </w:rPr>
        <w:t xml:space="preserve"> national</w:t>
      </w:r>
      <w:r w:rsidR="00675E41" w:rsidRPr="00161A5F">
        <w:rPr>
          <w:b/>
          <w:lang w:val="fr-FR"/>
        </w:rPr>
        <w:t xml:space="preserve"> à lui transmettre ses rapports annuels </w:t>
      </w:r>
      <w:r w:rsidR="006F301E">
        <w:rPr>
          <w:b/>
          <w:lang w:val="fr-FR"/>
        </w:rPr>
        <w:t>ainsi que</w:t>
      </w:r>
      <w:r w:rsidR="00675E41" w:rsidRPr="00161A5F">
        <w:rPr>
          <w:b/>
          <w:lang w:val="fr-FR"/>
        </w:rPr>
        <w:t xml:space="preserve"> tout autre rapport thématique s’il l’estime nécessaire.</w:t>
      </w:r>
    </w:p>
    <w:p w14:paraId="770AF5D7" w14:textId="590DF428" w:rsidR="00675E41" w:rsidRPr="00161A5F" w:rsidRDefault="00C74FD4" w:rsidP="00C74FD4">
      <w:pPr>
        <w:pStyle w:val="ParNoG"/>
        <w:numPr>
          <w:ilvl w:val="0"/>
          <w:numId w:val="0"/>
        </w:numPr>
        <w:tabs>
          <w:tab w:val="left" w:pos="1701"/>
        </w:tabs>
        <w:ind w:left="1134"/>
        <w:rPr>
          <w:b/>
          <w:lang w:val="fr-FR"/>
        </w:rPr>
      </w:pPr>
      <w:r w:rsidRPr="00161A5F">
        <w:rPr>
          <w:lang w:val="fr-FR"/>
        </w:rPr>
        <w:t>77.</w:t>
      </w:r>
      <w:r w:rsidRPr="00161A5F">
        <w:rPr>
          <w:lang w:val="fr-FR"/>
        </w:rPr>
        <w:tab/>
      </w:r>
      <w:r w:rsidR="00675E41" w:rsidRPr="00161A5F">
        <w:rPr>
          <w:b/>
          <w:lang w:val="fr-FR"/>
        </w:rPr>
        <w:t>Le Sous-Comité demande qu’une réponse lui soit communiquée dans les six mois à compter de la date de transmission du présent rapport à l’Observateur</w:t>
      </w:r>
      <w:r w:rsidR="00352A2D">
        <w:rPr>
          <w:b/>
          <w:lang w:val="fr-FR"/>
        </w:rPr>
        <w:t xml:space="preserve"> national</w:t>
      </w:r>
      <w:r w:rsidR="00675E41" w:rsidRPr="00161A5F">
        <w:rPr>
          <w:b/>
          <w:lang w:val="fr-FR"/>
        </w:rPr>
        <w:t>. Dans ce document, l’Observateur</w:t>
      </w:r>
      <w:r w:rsidR="00352A2D">
        <w:rPr>
          <w:b/>
          <w:lang w:val="fr-FR"/>
        </w:rPr>
        <w:t xml:space="preserve"> national</w:t>
      </w:r>
      <w:r w:rsidR="00675E41" w:rsidRPr="00161A5F">
        <w:rPr>
          <w:b/>
          <w:lang w:val="fr-FR"/>
        </w:rPr>
        <w:t xml:space="preserve"> </w:t>
      </w:r>
      <w:r w:rsidR="00352A2D">
        <w:rPr>
          <w:b/>
          <w:lang w:val="fr-FR"/>
        </w:rPr>
        <w:t>doit</w:t>
      </w:r>
      <w:r w:rsidR="00675E41" w:rsidRPr="00161A5F">
        <w:rPr>
          <w:b/>
          <w:lang w:val="fr-FR"/>
        </w:rPr>
        <w:t xml:space="preserve"> répondre</w:t>
      </w:r>
      <w:r w:rsidR="00675E41" w:rsidRPr="00675E41">
        <w:rPr>
          <w:lang w:val="fr-FR"/>
        </w:rPr>
        <w:t xml:space="preserve"> </w:t>
      </w:r>
      <w:r w:rsidR="00675E41" w:rsidRPr="00161A5F">
        <w:rPr>
          <w:b/>
          <w:lang w:val="fr-FR"/>
        </w:rPr>
        <w:t xml:space="preserve">directement à toutes les recommandations et demandes de renseignements complémentaires formulées dans le </w:t>
      </w:r>
      <w:r w:rsidR="00352A2D">
        <w:rPr>
          <w:b/>
          <w:lang w:val="fr-FR"/>
        </w:rPr>
        <w:t xml:space="preserve">présent </w:t>
      </w:r>
      <w:r w:rsidR="00675E41" w:rsidRPr="00161A5F">
        <w:rPr>
          <w:b/>
          <w:lang w:val="fr-FR"/>
        </w:rPr>
        <w:t>rapport, et rendre compte en détail des mesures déjà prises ou prévues</w:t>
      </w:r>
      <w:r w:rsidR="00506CB7">
        <w:rPr>
          <w:b/>
          <w:lang w:val="fr-FR"/>
        </w:rPr>
        <w:t>,</w:t>
      </w:r>
      <w:r w:rsidR="00675E41" w:rsidRPr="00161A5F">
        <w:rPr>
          <w:b/>
          <w:lang w:val="fr-FR"/>
        </w:rPr>
        <w:t xml:space="preserve"> accompagnées de calendriers d’exécution</w:t>
      </w:r>
      <w:r w:rsidR="00506CB7">
        <w:rPr>
          <w:b/>
          <w:lang w:val="fr-FR"/>
        </w:rPr>
        <w:t>,</w:t>
      </w:r>
      <w:r w:rsidR="00675E41" w:rsidRPr="00161A5F">
        <w:rPr>
          <w:b/>
          <w:lang w:val="fr-FR"/>
        </w:rPr>
        <w:t xml:space="preserve"> pour donner suite aux recommandations. </w:t>
      </w:r>
    </w:p>
    <w:p w14:paraId="7A862F1D" w14:textId="6CCB9487" w:rsidR="00675E41" w:rsidRPr="00161A5F" w:rsidRDefault="00C74FD4" w:rsidP="00C74FD4">
      <w:pPr>
        <w:pStyle w:val="ParNoG"/>
        <w:numPr>
          <w:ilvl w:val="0"/>
          <w:numId w:val="0"/>
        </w:numPr>
        <w:tabs>
          <w:tab w:val="left" w:pos="1701"/>
        </w:tabs>
        <w:ind w:left="1134"/>
        <w:rPr>
          <w:b/>
          <w:lang w:val="fr-FR"/>
        </w:rPr>
      </w:pPr>
      <w:r w:rsidRPr="00161A5F">
        <w:rPr>
          <w:lang w:val="fr-FR"/>
        </w:rPr>
        <w:t>78.</w:t>
      </w:r>
      <w:r w:rsidRPr="00161A5F">
        <w:rPr>
          <w:lang w:val="fr-FR"/>
        </w:rPr>
        <w:tab/>
      </w:r>
      <w:r w:rsidR="00675E41" w:rsidRPr="00161A5F">
        <w:rPr>
          <w:b/>
          <w:lang w:val="fr-FR"/>
        </w:rPr>
        <w:t>Le Sous-Comité recommande à l’Observateur</w:t>
      </w:r>
      <w:r w:rsidR="008D5D96">
        <w:rPr>
          <w:b/>
          <w:lang w:val="fr-FR"/>
        </w:rPr>
        <w:t xml:space="preserve"> national</w:t>
      </w:r>
      <w:r w:rsidR="00675E41" w:rsidRPr="00161A5F">
        <w:rPr>
          <w:b/>
          <w:lang w:val="fr-FR"/>
        </w:rPr>
        <w:t xml:space="preserve"> de rendre public le présent rapport et lui demande de l’informer de la décision qu’il aura prise à cet égard. La publication </w:t>
      </w:r>
      <w:r w:rsidR="005919B4">
        <w:rPr>
          <w:b/>
          <w:lang w:val="fr-FR"/>
        </w:rPr>
        <w:t>du présent</w:t>
      </w:r>
      <w:r w:rsidR="00675E41" w:rsidRPr="00161A5F">
        <w:rPr>
          <w:b/>
          <w:lang w:val="fr-FR"/>
        </w:rPr>
        <w:t xml:space="preserve"> rapport contribuera à la transparence et permettra à l’Observateur</w:t>
      </w:r>
      <w:r w:rsidR="00635DA6">
        <w:rPr>
          <w:b/>
          <w:lang w:val="fr-FR"/>
        </w:rPr>
        <w:t xml:space="preserve"> national</w:t>
      </w:r>
      <w:r w:rsidR="00675E41" w:rsidRPr="00161A5F">
        <w:rPr>
          <w:b/>
          <w:lang w:val="fr-FR"/>
        </w:rPr>
        <w:t xml:space="preserve"> de </w:t>
      </w:r>
      <w:r w:rsidR="00E11193">
        <w:rPr>
          <w:b/>
          <w:lang w:val="fr-FR"/>
        </w:rPr>
        <w:t>pré</w:t>
      </w:r>
      <w:r w:rsidR="002078A4">
        <w:rPr>
          <w:b/>
          <w:lang w:val="fr-FR"/>
        </w:rPr>
        <w:t>senter</w:t>
      </w:r>
      <w:r w:rsidR="00F74F74">
        <w:rPr>
          <w:b/>
          <w:lang w:val="fr-FR"/>
        </w:rPr>
        <w:t xml:space="preserve"> une demande</w:t>
      </w:r>
      <w:r w:rsidR="00675E41" w:rsidRPr="00161A5F">
        <w:rPr>
          <w:b/>
          <w:lang w:val="fr-FR"/>
        </w:rPr>
        <w:t xml:space="preserve"> au Fonds </w:t>
      </w:r>
      <w:r w:rsidR="00F74F74">
        <w:rPr>
          <w:b/>
          <w:lang w:val="fr-FR"/>
        </w:rPr>
        <w:t>s</w:t>
      </w:r>
      <w:r w:rsidR="00675E41" w:rsidRPr="00161A5F">
        <w:rPr>
          <w:b/>
          <w:lang w:val="fr-FR"/>
        </w:rPr>
        <w:t xml:space="preserve">pécial </w:t>
      </w:r>
      <w:r w:rsidR="007F3BFA">
        <w:rPr>
          <w:b/>
          <w:lang w:val="fr-FR"/>
        </w:rPr>
        <w:t>créé par le Protocole facultatif</w:t>
      </w:r>
      <w:r w:rsidR="00DC7DB7">
        <w:rPr>
          <w:b/>
          <w:lang w:val="fr-FR"/>
        </w:rPr>
        <w:t>,</w:t>
      </w:r>
      <w:r w:rsidR="00675E41" w:rsidRPr="00161A5F">
        <w:rPr>
          <w:b/>
          <w:lang w:val="fr-FR"/>
        </w:rPr>
        <w:t xml:space="preserve"> destiné à soutenir la mise en œuvre des recommandations émises dans </w:t>
      </w:r>
      <w:r w:rsidR="00DC7DB7">
        <w:rPr>
          <w:b/>
          <w:lang w:val="fr-FR"/>
        </w:rPr>
        <w:t>le présent</w:t>
      </w:r>
      <w:r w:rsidR="00675E41" w:rsidRPr="00161A5F">
        <w:rPr>
          <w:b/>
          <w:lang w:val="fr-FR"/>
        </w:rPr>
        <w:t xml:space="preserve"> rapport. </w:t>
      </w:r>
    </w:p>
    <w:p w14:paraId="08CA6F0A" w14:textId="7FE0C3FC" w:rsidR="00675E41" w:rsidRPr="00161A5F" w:rsidRDefault="00C74FD4" w:rsidP="00C74FD4">
      <w:pPr>
        <w:pStyle w:val="ParNoG"/>
        <w:numPr>
          <w:ilvl w:val="0"/>
          <w:numId w:val="0"/>
        </w:numPr>
        <w:tabs>
          <w:tab w:val="left" w:pos="1701"/>
        </w:tabs>
        <w:ind w:left="1134"/>
        <w:rPr>
          <w:b/>
          <w:lang w:val="fr-FR"/>
        </w:rPr>
      </w:pPr>
      <w:r w:rsidRPr="00161A5F">
        <w:rPr>
          <w:lang w:val="fr-FR"/>
        </w:rPr>
        <w:t>79.</w:t>
      </w:r>
      <w:r w:rsidRPr="00161A5F">
        <w:rPr>
          <w:lang w:val="fr-FR"/>
        </w:rPr>
        <w:tab/>
      </w:r>
      <w:r w:rsidR="00675E41" w:rsidRPr="00161A5F">
        <w:rPr>
          <w:b/>
          <w:lang w:val="fr-FR"/>
        </w:rPr>
        <w:t xml:space="preserve">Le Sous-Comité recommande que, conformément </w:t>
      </w:r>
      <w:r w:rsidR="002E2BE0">
        <w:rPr>
          <w:b/>
          <w:lang w:val="fr-FR"/>
        </w:rPr>
        <w:t>à</w:t>
      </w:r>
      <w:r w:rsidR="00675E41" w:rsidRPr="00161A5F">
        <w:rPr>
          <w:b/>
          <w:lang w:val="fr-FR"/>
        </w:rPr>
        <w:t xml:space="preserve"> l’article 12</w:t>
      </w:r>
      <w:r w:rsidR="002E2BE0">
        <w:rPr>
          <w:b/>
          <w:lang w:val="fr-FR"/>
        </w:rPr>
        <w:t> d)</w:t>
      </w:r>
      <w:r w:rsidR="00675E41" w:rsidRPr="00161A5F">
        <w:rPr>
          <w:b/>
          <w:lang w:val="fr-FR"/>
        </w:rPr>
        <w:t xml:space="preserve"> du Protocole </w:t>
      </w:r>
      <w:r w:rsidR="002E2BE0">
        <w:rPr>
          <w:b/>
          <w:lang w:val="fr-FR"/>
        </w:rPr>
        <w:t>f</w:t>
      </w:r>
      <w:r w:rsidR="00675E41" w:rsidRPr="00161A5F">
        <w:rPr>
          <w:b/>
          <w:lang w:val="fr-FR"/>
        </w:rPr>
        <w:t xml:space="preserve">acultatif, </w:t>
      </w:r>
      <w:r w:rsidR="00F66AC7">
        <w:rPr>
          <w:b/>
          <w:lang w:val="fr-FR"/>
        </w:rPr>
        <w:t>le mécanisme national de prévention du</w:t>
      </w:r>
      <w:r w:rsidR="00675E41" w:rsidRPr="00161A5F">
        <w:rPr>
          <w:b/>
          <w:lang w:val="fr-FR"/>
        </w:rPr>
        <w:t xml:space="preserve"> Sénégal engage le dialogue avec </w:t>
      </w:r>
      <w:r w:rsidR="00F66AC7">
        <w:rPr>
          <w:b/>
          <w:lang w:val="fr-FR"/>
        </w:rPr>
        <w:t>lui</w:t>
      </w:r>
      <w:r w:rsidR="00675E41" w:rsidRPr="00161A5F">
        <w:rPr>
          <w:b/>
          <w:lang w:val="fr-FR"/>
        </w:rPr>
        <w:t xml:space="preserve"> au sujet de la suite donnée à ses recommandations dans les six mois qui </w:t>
      </w:r>
      <w:r w:rsidR="00A439D4">
        <w:rPr>
          <w:b/>
          <w:lang w:val="fr-FR"/>
        </w:rPr>
        <w:t>suivront</w:t>
      </w:r>
      <w:r w:rsidR="00675E41" w:rsidRPr="00161A5F">
        <w:rPr>
          <w:b/>
          <w:lang w:val="fr-FR"/>
        </w:rPr>
        <w:t xml:space="preserve"> la réception par le Sous-Comité de la réponse au présent rapport. Il recommande </w:t>
      </w:r>
      <w:r w:rsidR="00675E41" w:rsidRPr="00161A5F">
        <w:rPr>
          <w:b/>
          <w:lang w:val="fr-FR"/>
        </w:rPr>
        <w:lastRenderedPageBreak/>
        <w:t xml:space="preserve">également </w:t>
      </w:r>
      <w:r w:rsidR="007C41D1">
        <w:rPr>
          <w:b/>
          <w:lang w:val="fr-FR"/>
        </w:rPr>
        <w:t>au mécanisme national de prévention</w:t>
      </w:r>
      <w:r w:rsidR="00675E41" w:rsidRPr="00161A5F">
        <w:rPr>
          <w:b/>
          <w:lang w:val="fr-FR"/>
        </w:rPr>
        <w:t xml:space="preserve"> d’entamer </w:t>
      </w:r>
      <w:r w:rsidR="007C41D1">
        <w:rPr>
          <w:b/>
          <w:lang w:val="fr-FR"/>
        </w:rPr>
        <w:t xml:space="preserve">avec lui </w:t>
      </w:r>
      <w:r w:rsidR="00675E41" w:rsidRPr="00161A5F">
        <w:rPr>
          <w:b/>
          <w:lang w:val="fr-FR"/>
        </w:rPr>
        <w:t xml:space="preserve">des discussions sur les modalités de ce dialogue au moment où </w:t>
      </w:r>
      <w:r w:rsidR="00F43A72">
        <w:rPr>
          <w:b/>
          <w:lang w:val="fr-FR"/>
        </w:rPr>
        <w:t>sera soumise</w:t>
      </w:r>
      <w:r w:rsidR="00675E41" w:rsidRPr="00161A5F">
        <w:rPr>
          <w:b/>
          <w:lang w:val="fr-FR"/>
        </w:rPr>
        <w:t xml:space="preserve"> sa réponse au présent rapport</w:t>
      </w:r>
      <w:r w:rsidR="00675E41" w:rsidRPr="008D052A">
        <w:rPr>
          <w:rStyle w:val="FootnoteReference"/>
        </w:rPr>
        <w:footnoteReference w:id="12"/>
      </w:r>
      <w:r w:rsidR="00675E41" w:rsidRPr="00161A5F">
        <w:rPr>
          <w:b/>
          <w:lang w:val="fr-FR"/>
        </w:rPr>
        <w:t xml:space="preserve">. </w:t>
      </w:r>
    </w:p>
    <w:p w14:paraId="59127DB7" w14:textId="77777777" w:rsidR="00675E41" w:rsidRPr="00675E41" w:rsidRDefault="00675E41" w:rsidP="00675E41">
      <w:pPr>
        <w:suppressAutoHyphens w:val="0"/>
        <w:spacing w:after="200" w:line="276" w:lineRule="auto"/>
        <w:rPr>
          <w:sz w:val="24"/>
          <w:szCs w:val="24"/>
        </w:rPr>
      </w:pPr>
      <w:r w:rsidRPr="00675E41">
        <w:rPr>
          <w:sz w:val="24"/>
          <w:szCs w:val="24"/>
        </w:rPr>
        <w:br w:type="page"/>
      </w:r>
    </w:p>
    <w:p w14:paraId="356DC054" w14:textId="795A19ED" w:rsidR="00675E41" w:rsidRPr="0086282C" w:rsidRDefault="00542828" w:rsidP="0086282C">
      <w:pPr>
        <w:pStyle w:val="HChG"/>
        <w:rPr>
          <w:b w:val="0"/>
          <w:i/>
          <w:lang w:val="fr-FR"/>
        </w:rPr>
      </w:pPr>
      <w:r>
        <w:lastRenderedPageBreak/>
        <w:tab/>
      </w:r>
      <w:r w:rsidR="00675E41" w:rsidRPr="00161A5F">
        <w:t>Annexe</w:t>
      </w:r>
      <w:r w:rsidR="0086282C">
        <w:t xml:space="preserve"> I</w:t>
      </w:r>
      <w:r w:rsidR="0086282C">
        <w:tab/>
      </w:r>
      <w:r w:rsidR="0086282C">
        <w:tab/>
      </w:r>
    </w:p>
    <w:p w14:paraId="4E78311A" w14:textId="10A1940F" w:rsidR="00675E41" w:rsidRPr="00675E41" w:rsidRDefault="00675E41" w:rsidP="00A12C14">
      <w:pPr>
        <w:pStyle w:val="H1G"/>
      </w:pPr>
      <w:r w:rsidRPr="00675E41">
        <w:tab/>
      </w:r>
      <w:r w:rsidRPr="00675E41">
        <w:tab/>
        <w:t xml:space="preserve">Liste des </w:t>
      </w:r>
      <w:r w:rsidR="00FA230C">
        <w:t>interlocuteurs du</w:t>
      </w:r>
      <w:r w:rsidRPr="00675E41">
        <w:t xml:space="preserve"> Sous-Comité</w:t>
      </w:r>
    </w:p>
    <w:p w14:paraId="7400A36F" w14:textId="21B9B9C6" w:rsidR="00675E41" w:rsidRPr="001728E3" w:rsidRDefault="00675E41" w:rsidP="00161A5F">
      <w:pPr>
        <w:pStyle w:val="H1G"/>
      </w:pPr>
      <w:r w:rsidRPr="00675E41">
        <w:tab/>
      </w:r>
      <w:r w:rsidR="009773AB">
        <w:t>A</w:t>
      </w:r>
      <w:r w:rsidRPr="001728E3">
        <w:t>.</w:t>
      </w:r>
      <w:r w:rsidRPr="001728E3">
        <w:tab/>
        <w:t>Autorités</w:t>
      </w:r>
    </w:p>
    <w:p w14:paraId="578AD63B" w14:textId="0E1885FF" w:rsidR="00675E41" w:rsidRPr="001728E3" w:rsidRDefault="00161A5F" w:rsidP="00161A5F">
      <w:pPr>
        <w:pStyle w:val="H23G"/>
        <w:rPr>
          <w:lang w:val="fr-FR"/>
        </w:rPr>
      </w:pPr>
      <w:r w:rsidRPr="001728E3">
        <w:tab/>
      </w:r>
      <w:r w:rsidRPr="001728E3">
        <w:tab/>
      </w:r>
      <w:r w:rsidR="00675E41" w:rsidRPr="001728E3">
        <w:t xml:space="preserve">Ministère des </w:t>
      </w:r>
      <w:r w:rsidR="00E42ABE">
        <w:rPr>
          <w:lang w:val="fr-FR"/>
        </w:rPr>
        <w:t>a</w:t>
      </w:r>
      <w:r w:rsidR="00675E41" w:rsidRPr="001728E3">
        <w:rPr>
          <w:lang w:val="fr-FR"/>
        </w:rPr>
        <w:t>ffaires étrangères et des Sénégalais de l</w:t>
      </w:r>
      <w:r w:rsidR="00835C07">
        <w:rPr>
          <w:lang w:val="fr-FR"/>
        </w:rPr>
        <w:t>’</w:t>
      </w:r>
      <w:r w:rsidR="00E42ABE">
        <w:rPr>
          <w:lang w:val="fr-FR"/>
        </w:rPr>
        <w:t>e</w:t>
      </w:r>
      <w:r w:rsidR="00675E41" w:rsidRPr="001728E3">
        <w:rPr>
          <w:lang w:val="fr-FR"/>
        </w:rPr>
        <w:t>xtérieur</w:t>
      </w:r>
    </w:p>
    <w:p w14:paraId="0449677C" w14:textId="77777777" w:rsidR="00675E41" w:rsidRPr="001728E3" w:rsidRDefault="00675E41" w:rsidP="0033679D">
      <w:pPr>
        <w:pStyle w:val="SingleTxtG"/>
      </w:pPr>
      <w:r w:rsidRPr="001728E3">
        <w:t>Martin Pascal Tine</w:t>
      </w:r>
      <w:r w:rsidR="0033679D" w:rsidRPr="001728E3">
        <w:t xml:space="preserve"> (Ambassadeur)</w:t>
      </w:r>
    </w:p>
    <w:p w14:paraId="0F13AF8E" w14:textId="77777777" w:rsidR="00675E41" w:rsidRPr="001728E3" w:rsidRDefault="00675E41" w:rsidP="008A6814">
      <w:pPr>
        <w:pStyle w:val="SingleTxtG"/>
      </w:pPr>
      <w:r w:rsidRPr="001728E3">
        <w:t>Moustapha Ka</w:t>
      </w:r>
      <w:r w:rsidR="0033679D" w:rsidRPr="001728E3">
        <w:t xml:space="preserve"> (</w:t>
      </w:r>
      <w:r w:rsidR="001728E3" w:rsidRPr="001728E3">
        <w:t>Directeur des d</w:t>
      </w:r>
      <w:r w:rsidR="008A6814" w:rsidRPr="001728E3">
        <w:t>roits humains</w:t>
      </w:r>
      <w:r w:rsidR="0033679D" w:rsidRPr="001728E3">
        <w:t>)</w:t>
      </w:r>
    </w:p>
    <w:p w14:paraId="01429436" w14:textId="77777777" w:rsidR="00675E41" w:rsidRPr="001728E3" w:rsidRDefault="00675E41" w:rsidP="0033679D">
      <w:pPr>
        <w:pStyle w:val="SingleTxtG"/>
        <w:rPr>
          <w:lang w:val="pt-PT"/>
        </w:rPr>
      </w:pPr>
      <w:r w:rsidRPr="001728E3">
        <w:rPr>
          <w:lang w:val="pt-PT"/>
        </w:rPr>
        <w:t>Elhadj A.L. Diagne</w:t>
      </w:r>
    </w:p>
    <w:p w14:paraId="723C82E0" w14:textId="77777777" w:rsidR="00675E41" w:rsidRPr="001728E3" w:rsidRDefault="00675E41" w:rsidP="0033679D">
      <w:pPr>
        <w:pStyle w:val="SingleTxtG"/>
        <w:rPr>
          <w:lang w:val="pt-PT"/>
        </w:rPr>
      </w:pPr>
      <w:r w:rsidRPr="001728E3">
        <w:rPr>
          <w:lang w:val="pt-PT"/>
        </w:rPr>
        <w:t xml:space="preserve">Abdou Ndoye </w:t>
      </w:r>
    </w:p>
    <w:p w14:paraId="1675D27A" w14:textId="7461DE02" w:rsidR="00675E41" w:rsidRPr="001728E3" w:rsidRDefault="00675E41" w:rsidP="00287CE0">
      <w:pPr>
        <w:pStyle w:val="H23G"/>
      </w:pPr>
      <w:r w:rsidRPr="001728E3">
        <w:rPr>
          <w:lang w:val="pt-PT"/>
        </w:rPr>
        <w:tab/>
      </w:r>
      <w:r w:rsidRPr="001728E3">
        <w:rPr>
          <w:lang w:val="pt-PT"/>
        </w:rPr>
        <w:tab/>
      </w:r>
      <w:r w:rsidRPr="001728E3">
        <w:t>Ministère de l’</w:t>
      </w:r>
      <w:r w:rsidR="007A7B62">
        <w:t>i</w:t>
      </w:r>
      <w:r w:rsidRPr="001728E3">
        <w:t xml:space="preserve">ntérieur </w:t>
      </w:r>
    </w:p>
    <w:p w14:paraId="41183E27" w14:textId="77777777" w:rsidR="00675E41" w:rsidRPr="001728E3" w:rsidRDefault="00675E41" w:rsidP="0033679D">
      <w:pPr>
        <w:pStyle w:val="SingleTxtG"/>
        <w:rPr>
          <w:lang w:val="fr-FR"/>
        </w:rPr>
      </w:pPr>
      <w:r w:rsidRPr="001728E3">
        <w:rPr>
          <w:lang w:val="fr-FR"/>
        </w:rPr>
        <w:t>Dame Toure</w:t>
      </w:r>
    </w:p>
    <w:p w14:paraId="5A1541F9" w14:textId="77777777" w:rsidR="00675E41" w:rsidRPr="001728E3" w:rsidRDefault="00675E41" w:rsidP="0033679D">
      <w:pPr>
        <w:pStyle w:val="SingleTxtG"/>
        <w:rPr>
          <w:lang w:val="fr-FR"/>
        </w:rPr>
      </w:pPr>
      <w:r w:rsidRPr="001728E3">
        <w:rPr>
          <w:lang w:val="fr-FR"/>
        </w:rPr>
        <w:t xml:space="preserve">Amadou </w:t>
      </w:r>
      <w:proofErr w:type="spellStart"/>
      <w:r w:rsidRPr="001728E3">
        <w:rPr>
          <w:lang w:val="fr-FR"/>
        </w:rPr>
        <w:t>Salmone</w:t>
      </w:r>
      <w:proofErr w:type="spellEnd"/>
      <w:r w:rsidRPr="001728E3">
        <w:rPr>
          <w:lang w:val="fr-FR"/>
        </w:rPr>
        <w:t xml:space="preserve"> </w:t>
      </w:r>
      <w:proofErr w:type="spellStart"/>
      <w:r w:rsidRPr="001728E3">
        <w:rPr>
          <w:lang w:val="fr-FR"/>
        </w:rPr>
        <w:t>Fall</w:t>
      </w:r>
      <w:proofErr w:type="spellEnd"/>
    </w:p>
    <w:p w14:paraId="7C90C532" w14:textId="77777777" w:rsidR="00675E41" w:rsidRPr="001728E3" w:rsidRDefault="00675E41" w:rsidP="0033679D">
      <w:pPr>
        <w:pStyle w:val="SingleTxtG"/>
        <w:rPr>
          <w:lang w:val="fr-FR"/>
        </w:rPr>
      </w:pPr>
      <w:proofErr w:type="spellStart"/>
      <w:r w:rsidRPr="001728E3">
        <w:rPr>
          <w:lang w:val="fr-FR"/>
        </w:rPr>
        <w:t>Sofietou</w:t>
      </w:r>
      <w:proofErr w:type="spellEnd"/>
      <w:r w:rsidRPr="001728E3">
        <w:rPr>
          <w:lang w:val="fr-FR"/>
        </w:rPr>
        <w:t xml:space="preserve"> Mbaye</w:t>
      </w:r>
    </w:p>
    <w:p w14:paraId="58EA03E7" w14:textId="77777777" w:rsidR="00675E41" w:rsidRPr="001728E3" w:rsidRDefault="00675E41" w:rsidP="0033679D">
      <w:pPr>
        <w:pStyle w:val="SingleTxtG"/>
        <w:rPr>
          <w:lang w:val="fr-FR"/>
        </w:rPr>
      </w:pPr>
      <w:proofErr w:type="spellStart"/>
      <w:r w:rsidRPr="001728E3">
        <w:rPr>
          <w:lang w:val="fr-FR"/>
        </w:rPr>
        <w:t>Mairième</w:t>
      </w:r>
      <w:proofErr w:type="spellEnd"/>
      <w:r w:rsidRPr="001728E3">
        <w:rPr>
          <w:lang w:val="fr-FR"/>
        </w:rPr>
        <w:t xml:space="preserve"> SY </w:t>
      </w:r>
      <w:proofErr w:type="spellStart"/>
      <w:r w:rsidRPr="001728E3">
        <w:rPr>
          <w:lang w:val="fr-FR"/>
        </w:rPr>
        <w:t>Loun</w:t>
      </w:r>
      <w:proofErr w:type="spellEnd"/>
    </w:p>
    <w:p w14:paraId="24A48EC2" w14:textId="698ED914" w:rsidR="00675E41" w:rsidRPr="001728E3" w:rsidRDefault="00675E41" w:rsidP="00287CE0">
      <w:pPr>
        <w:pStyle w:val="H23G"/>
      </w:pPr>
      <w:r w:rsidRPr="001728E3">
        <w:tab/>
      </w:r>
      <w:r w:rsidRPr="001728E3">
        <w:tab/>
        <w:t xml:space="preserve">Ministère de la </w:t>
      </w:r>
      <w:r w:rsidR="007A7B62">
        <w:t>j</w:t>
      </w:r>
      <w:r w:rsidRPr="001728E3">
        <w:t>ustice</w:t>
      </w:r>
    </w:p>
    <w:p w14:paraId="58057A26" w14:textId="77777777" w:rsidR="00F26DA9" w:rsidRPr="001728E3" w:rsidRDefault="00F26DA9" w:rsidP="00F26DA9">
      <w:pPr>
        <w:pStyle w:val="SingleTxtG"/>
      </w:pPr>
      <w:proofErr w:type="spellStart"/>
      <w:r w:rsidRPr="001728E3">
        <w:t>Ismaila</w:t>
      </w:r>
      <w:proofErr w:type="spellEnd"/>
      <w:r w:rsidRPr="001728E3">
        <w:t xml:space="preserve"> </w:t>
      </w:r>
      <w:proofErr w:type="spellStart"/>
      <w:r w:rsidRPr="001728E3">
        <w:t>Madior</w:t>
      </w:r>
      <w:proofErr w:type="spellEnd"/>
      <w:r w:rsidRPr="001728E3">
        <w:t xml:space="preserve"> </w:t>
      </w:r>
      <w:proofErr w:type="spellStart"/>
      <w:r w:rsidRPr="001728E3">
        <w:t>Fall</w:t>
      </w:r>
      <w:proofErr w:type="spellEnd"/>
      <w:r w:rsidRPr="001728E3">
        <w:t xml:space="preserve"> (Ministre)</w:t>
      </w:r>
    </w:p>
    <w:p w14:paraId="652BDD31" w14:textId="282AB2E7" w:rsidR="00F26DA9" w:rsidRPr="001728E3" w:rsidRDefault="00F26DA9" w:rsidP="00F26DA9">
      <w:pPr>
        <w:pStyle w:val="SingleTxtG"/>
      </w:pPr>
      <w:r w:rsidRPr="001728E3">
        <w:t xml:space="preserve">Mamadou </w:t>
      </w:r>
      <w:proofErr w:type="spellStart"/>
      <w:r w:rsidRPr="001728E3">
        <w:t>Saw</w:t>
      </w:r>
      <w:proofErr w:type="spellEnd"/>
      <w:r w:rsidR="006D1E6B" w:rsidRPr="001728E3">
        <w:t xml:space="preserve"> (Secrétaire d’</w:t>
      </w:r>
      <w:r w:rsidR="00A647E1">
        <w:t>État</w:t>
      </w:r>
      <w:r w:rsidR="006D1E6B" w:rsidRPr="001728E3">
        <w:t>)</w:t>
      </w:r>
    </w:p>
    <w:p w14:paraId="5ED19563" w14:textId="77777777" w:rsidR="00675E41" w:rsidRPr="001728E3" w:rsidRDefault="00675E41" w:rsidP="0033679D">
      <w:pPr>
        <w:pStyle w:val="SingleTxtG"/>
        <w:rPr>
          <w:lang w:val="fr-FR"/>
        </w:rPr>
      </w:pPr>
      <w:r w:rsidRPr="001728E3">
        <w:rPr>
          <w:lang w:val="fr-FR"/>
        </w:rPr>
        <w:t>Daouda Ndiaye</w:t>
      </w:r>
    </w:p>
    <w:p w14:paraId="295CE915" w14:textId="77777777" w:rsidR="00675E41" w:rsidRPr="00C74FD4" w:rsidRDefault="00675E41" w:rsidP="00161A5F">
      <w:pPr>
        <w:pStyle w:val="SingleTxtG"/>
        <w:rPr>
          <w:lang w:val="pt-PT"/>
        </w:rPr>
      </w:pPr>
      <w:r w:rsidRPr="00C74FD4">
        <w:rPr>
          <w:lang w:val="pt-PT"/>
        </w:rPr>
        <w:t>Niane S. Nasser</w:t>
      </w:r>
    </w:p>
    <w:p w14:paraId="6C66969B" w14:textId="77777777" w:rsidR="00675E41" w:rsidRPr="001728E3" w:rsidRDefault="00675E41" w:rsidP="00161A5F">
      <w:pPr>
        <w:pStyle w:val="SingleTxtG"/>
        <w:rPr>
          <w:lang w:val="pt-PT"/>
        </w:rPr>
      </w:pPr>
      <w:r w:rsidRPr="001728E3">
        <w:rPr>
          <w:lang w:val="pt-PT"/>
        </w:rPr>
        <w:t>Samba Diouf</w:t>
      </w:r>
    </w:p>
    <w:p w14:paraId="36AC9931" w14:textId="77777777" w:rsidR="00675E41" w:rsidRPr="001728E3" w:rsidRDefault="00675E41" w:rsidP="00161A5F">
      <w:pPr>
        <w:pStyle w:val="SingleTxtG"/>
        <w:rPr>
          <w:lang w:val="pt-PT"/>
        </w:rPr>
      </w:pPr>
      <w:r w:rsidRPr="001728E3">
        <w:rPr>
          <w:lang w:val="pt-PT"/>
        </w:rPr>
        <w:t>Amadou Ndiaye</w:t>
      </w:r>
    </w:p>
    <w:p w14:paraId="167DC166" w14:textId="77777777" w:rsidR="00675E41" w:rsidRPr="00BA3945" w:rsidRDefault="00675E41" w:rsidP="00161A5F">
      <w:pPr>
        <w:pStyle w:val="SingleTxtG"/>
        <w:rPr>
          <w:lang w:val="es-MX"/>
        </w:rPr>
      </w:pPr>
      <w:proofErr w:type="spellStart"/>
      <w:r w:rsidRPr="00BA3945">
        <w:rPr>
          <w:lang w:val="es-MX"/>
        </w:rPr>
        <w:t>Basséna</w:t>
      </w:r>
      <w:proofErr w:type="spellEnd"/>
      <w:r w:rsidRPr="00BA3945">
        <w:rPr>
          <w:lang w:val="es-MX"/>
        </w:rPr>
        <w:t xml:space="preserve"> </w:t>
      </w:r>
      <w:proofErr w:type="spellStart"/>
      <w:r w:rsidRPr="00BA3945">
        <w:rPr>
          <w:lang w:val="es-MX"/>
        </w:rPr>
        <w:t>Maruis</w:t>
      </w:r>
      <w:proofErr w:type="spellEnd"/>
      <w:r w:rsidRPr="00BA3945">
        <w:rPr>
          <w:lang w:val="es-MX"/>
        </w:rPr>
        <w:t xml:space="preserve"> </w:t>
      </w:r>
      <w:proofErr w:type="spellStart"/>
      <w:r w:rsidRPr="00BA3945">
        <w:rPr>
          <w:lang w:val="es-MX"/>
        </w:rPr>
        <w:t>Atéba</w:t>
      </w:r>
      <w:proofErr w:type="spellEnd"/>
      <w:r w:rsidRPr="00BA3945">
        <w:rPr>
          <w:lang w:val="es-MX"/>
        </w:rPr>
        <w:t xml:space="preserve"> </w:t>
      </w:r>
    </w:p>
    <w:p w14:paraId="71711C4D" w14:textId="77777777" w:rsidR="00675E41" w:rsidRPr="00BA3945" w:rsidRDefault="00675E41" w:rsidP="00161A5F">
      <w:pPr>
        <w:pStyle w:val="SingleTxtG"/>
        <w:rPr>
          <w:lang w:val="es-MX"/>
        </w:rPr>
      </w:pPr>
      <w:r w:rsidRPr="00BA3945">
        <w:rPr>
          <w:lang w:val="es-MX"/>
        </w:rPr>
        <w:t xml:space="preserve">Mar </w:t>
      </w:r>
      <w:proofErr w:type="spellStart"/>
      <w:r w:rsidRPr="00BA3945">
        <w:rPr>
          <w:lang w:val="es-MX"/>
        </w:rPr>
        <w:t>Ndiaye</w:t>
      </w:r>
      <w:proofErr w:type="spellEnd"/>
    </w:p>
    <w:p w14:paraId="1B57A34C" w14:textId="60A0A813" w:rsidR="00675E41" w:rsidRPr="001728E3" w:rsidRDefault="00675E41" w:rsidP="00287CE0">
      <w:pPr>
        <w:pStyle w:val="H23G"/>
      </w:pPr>
      <w:r w:rsidRPr="00BA3945">
        <w:rPr>
          <w:lang w:val="es-MX"/>
        </w:rPr>
        <w:tab/>
      </w:r>
      <w:r w:rsidRPr="00BA3945">
        <w:rPr>
          <w:lang w:val="es-MX"/>
        </w:rPr>
        <w:tab/>
      </w:r>
      <w:r w:rsidRPr="001728E3">
        <w:t>Ministère de l’</w:t>
      </w:r>
      <w:r w:rsidR="007A7B62">
        <w:t>é</w:t>
      </w:r>
      <w:r w:rsidRPr="001728E3">
        <w:t xml:space="preserve">ducation </w:t>
      </w:r>
      <w:r w:rsidR="007A7B62">
        <w:t>n</w:t>
      </w:r>
      <w:r w:rsidRPr="001728E3">
        <w:t>ationale</w:t>
      </w:r>
    </w:p>
    <w:p w14:paraId="0C204EB0" w14:textId="77777777" w:rsidR="00675E41" w:rsidRPr="001728E3" w:rsidRDefault="00675E41" w:rsidP="0033679D">
      <w:pPr>
        <w:pStyle w:val="SingleTxtG"/>
        <w:rPr>
          <w:lang w:val="fr-FR"/>
        </w:rPr>
      </w:pPr>
      <w:r w:rsidRPr="001728E3">
        <w:rPr>
          <w:lang w:val="fr-FR"/>
        </w:rPr>
        <w:t>Oumar Mbaye</w:t>
      </w:r>
    </w:p>
    <w:p w14:paraId="4E7772A1" w14:textId="2FA5B204" w:rsidR="00675E41" w:rsidRPr="001728E3" w:rsidRDefault="00675E41" w:rsidP="00287CE0">
      <w:pPr>
        <w:pStyle w:val="H23G"/>
      </w:pPr>
      <w:r w:rsidRPr="001728E3">
        <w:tab/>
      </w:r>
      <w:r w:rsidRPr="001728E3">
        <w:tab/>
        <w:t xml:space="preserve">Ministère de la </w:t>
      </w:r>
      <w:r w:rsidR="007A7B62">
        <w:t>s</w:t>
      </w:r>
      <w:r w:rsidRPr="001728E3">
        <w:t>anté et de l’</w:t>
      </w:r>
      <w:r w:rsidR="007A7B62">
        <w:t>a</w:t>
      </w:r>
      <w:r w:rsidRPr="001728E3">
        <w:t xml:space="preserve">ction </w:t>
      </w:r>
      <w:r w:rsidR="007A7B62">
        <w:t>s</w:t>
      </w:r>
      <w:r w:rsidRPr="001728E3">
        <w:t>ociale</w:t>
      </w:r>
    </w:p>
    <w:p w14:paraId="57756945" w14:textId="77777777" w:rsidR="00675E41" w:rsidRPr="001728E3" w:rsidRDefault="00675E41" w:rsidP="0033679D">
      <w:pPr>
        <w:pStyle w:val="SingleTxtG"/>
        <w:rPr>
          <w:lang w:val="fr-FR"/>
        </w:rPr>
      </w:pPr>
      <w:r w:rsidRPr="001728E3">
        <w:rPr>
          <w:lang w:val="fr-FR"/>
        </w:rPr>
        <w:t xml:space="preserve">Mamadou Lamine </w:t>
      </w:r>
      <w:proofErr w:type="spellStart"/>
      <w:r w:rsidRPr="001728E3">
        <w:rPr>
          <w:lang w:val="fr-FR"/>
        </w:rPr>
        <w:t>Faty</w:t>
      </w:r>
      <w:proofErr w:type="spellEnd"/>
    </w:p>
    <w:p w14:paraId="4E5473A7" w14:textId="02AB02C6" w:rsidR="00675E41" w:rsidRPr="001728E3" w:rsidRDefault="00675E41" w:rsidP="0033679D">
      <w:pPr>
        <w:pStyle w:val="SingleTxtG"/>
      </w:pPr>
      <w:r w:rsidRPr="001728E3">
        <w:t>Diallo Aboubacar (</w:t>
      </w:r>
      <w:r w:rsidR="0090752B">
        <w:t>b</w:t>
      </w:r>
      <w:r w:rsidRPr="001728E3">
        <w:t>onne gouvernance)</w:t>
      </w:r>
    </w:p>
    <w:p w14:paraId="18E5A39D" w14:textId="759605B2" w:rsidR="00675E41" w:rsidRPr="007A7B62" w:rsidRDefault="007A7B62" w:rsidP="00C74FD4">
      <w:pPr>
        <w:pStyle w:val="H23G"/>
      </w:pPr>
      <w:r>
        <w:tab/>
      </w:r>
      <w:r>
        <w:tab/>
      </w:r>
      <w:r w:rsidR="00675E41" w:rsidRPr="007A7B62">
        <w:t xml:space="preserve">Assemblée </w:t>
      </w:r>
      <w:r>
        <w:t>n</w:t>
      </w:r>
      <w:r w:rsidR="00675E41" w:rsidRPr="007A7B62">
        <w:t>ationale</w:t>
      </w:r>
    </w:p>
    <w:p w14:paraId="3CC27EA0" w14:textId="77777777" w:rsidR="00675E41" w:rsidRPr="001728E3" w:rsidRDefault="00675E41" w:rsidP="00846987">
      <w:pPr>
        <w:pStyle w:val="SingleTxtG"/>
      </w:pPr>
      <w:r w:rsidRPr="001728E3">
        <w:t>Seydou D</w:t>
      </w:r>
      <w:r w:rsidR="001728E3" w:rsidRPr="001728E3">
        <w:t>iouf (Président de la Commission des l</w:t>
      </w:r>
      <w:r w:rsidRPr="001728E3">
        <w:t>ois)</w:t>
      </w:r>
    </w:p>
    <w:p w14:paraId="0C8089A2" w14:textId="17657E79" w:rsidR="00675E41" w:rsidRPr="001728E3" w:rsidRDefault="00675E41" w:rsidP="00846987">
      <w:pPr>
        <w:pStyle w:val="SingleTxtG"/>
      </w:pPr>
      <w:r w:rsidRPr="001728E3">
        <w:t xml:space="preserve">Moussa </w:t>
      </w:r>
      <w:proofErr w:type="spellStart"/>
      <w:r w:rsidRPr="001728E3">
        <w:t>Sane</w:t>
      </w:r>
      <w:proofErr w:type="spellEnd"/>
      <w:r w:rsidRPr="001728E3">
        <w:t xml:space="preserve"> (</w:t>
      </w:r>
      <w:r w:rsidR="00827BF6">
        <w:t>d</w:t>
      </w:r>
      <w:r w:rsidRPr="001728E3">
        <w:t>éputé)</w:t>
      </w:r>
    </w:p>
    <w:p w14:paraId="3A2CC699" w14:textId="2BB1954A" w:rsidR="00675E41" w:rsidRPr="001728E3" w:rsidRDefault="00675E41" w:rsidP="00846987">
      <w:pPr>
        <w:pStyle w:val="SingleTxtG"/>
      </w:pPr>
      <w:proofErr w:type="spellStart"/>
      <w:r w:rsidRPr="001728E3">
        <w:t>Bounama</w:t>
      </w:r>
      <w:proofErr w:type="spellEnd"/>
      <w:r w:rsidRPr="001728E3">
        <w:t xml:space="preserve"> </w:t>
      </w:r>
      <w:proofErr w:type="spellStart"/>
      <w:r w:rsidRPr="001728E3">
        <w:t>Fall</w:t>
      </w:r>
      <w:proofErr w:type="spellEnd"/>
      <w:r w:rsidRPr="001728E3">
        <w:t xml:space="preserve"> (</w:t>
      </w:r>
      <w:r w:rsidR="00827BF6">
        <w:t>d</w:t>
      </w:r>
      <w:r w:rsidRPr="001728E3">
        <w:t>éputé)</w:t>
      </w:r>
    </w:p>
    <w:p w14:paraId="62CB9EA4" w14:textId="77777777" w:rsidR="00675E41" w:rsidRPr="00C74FD4" w:rsidRDefault="00675E41" w:rsidP="00846987">
      <w:pPr>
        <w:pStyle w:val="SingleTxtG"/>
        <w:rPr>
          <w:lang w:val="en-GB"/>
        </w:rPr>
      </w:pPr>
      <w:r w:rsidRPr="00C74FD4">
        <w:rPr>
          <w:lang w:val="en-GB"/>
        </w:rPr>
        <w:t xml:space="preserve">Boubacar V. </w:t>
      </w:r>
      <w:proofErr w:type="spellStart"/>
      <w:r w:rsidRPr="00C74FD4">
        <w:rPr>
          <w:lang w:val="en-GB"/>
        </w:rPr>
        <w:t>Biaye</w:t>
      </w:r>
      <w:proofErr w:type="spellEnd"/>
      <w:r w:rsidRPr="00C74FD4">
        <w:rPr>
          <w:lang w:val="en-GB"/>
        </w:rPr>
        <w:t xml:space="preserve"> </w:t>
      </w:r>
    </w:p>
    <w:p w14:paraId="3891E939" w14:textId="77777777" w:rsidR="00675E41" w:rsidRPr="00C74FD4" w:rsidRDefault="00675E41" w:rsidP="00846987">
      <w:pPr>
        <w:pStyle w:val="SingleTxtG"/>
        <w:rPr>
          <w:lang w:val="en-GB"/>
        </w:rPr>
      </w:pPr>
      <w:proofErr w:type="spellStart"/>
      <w:r w:rsidRPr="00C74FD4">
        <w:rPr>
          <w:lang w:val="en-GB"/>
        </w:rPr>
        <w:t>Binta</w:t>
      </w:r>
      <w:proofErr w:type="spellEnd"/>
      <w:r w:rsidRPr="00C74FD4">
        <w:rPr>
          <w:lang w:val="en-GB"/>
        </w:rPr>
        <w:t xml:space="preserve"> </w:t>
      </w:r>
      <w:proofErr w:type="spellStart"/>
      <w:r w:rsidRPr="00C74FD4">
        <w:rPr>
          <w:lang w:val="en-GB"/>
        </w:rPr>
        <w:t>Thiam</w:t>
      </w:r>
      <w:proofErr w:type="spellEnd"/>
    </w:p>
    <w:p w14:paraId="50ACFBE9" w14:textId="77777777" w:rsidR="00675E41" w:rsidRPr="00C74FD4" w:rsidRDefault="00675E41" w:rsidP="00846987">
      <w:pPr>
        <w:pStyle w:val="SingleTxtG"/>
        <w:rPr>
          <w:lang w:val="en-GB"/>
        </w:rPr>
      </w:pPr>
      <w:r w:rsidRPr="00C74FD4">
        <w:rPr>
          <w:lang w:val="en-GB"/>
        </w:rPr>
        <w:t>Charles Sow</w:t>
      </w:r>
    </w:p>
    <w:p w14:paraId="1748E912" w14:textId="77777777" w:rsidR="00675E41" w:rsidRPr="00C74FD4" w:rsidRDefault="00675E41" w:rsidP="00846987">
      <w:pPr>
        <w:pStyle w:val="SingleTxtG"/>
        <w:rPr>
          <w:lang w:val="en-GB"/>
        </w:rPr>
      </w:pPr>
      <w:r w:rsidRPr="00C74FD4">
        <w:rPr>
          <w:lang w:val="en-GB"/>
        </w:rPr>
        <w:t>Top Sow</w:t>
      </w:r>
    </w:p>
    <w:p w14:paraId="63221FB1" w14:textId="77777777" w:rsidR="00675E41" w:rsidRPr="001728E3" w:rsidRDefault="00675E41" w:rsidP="00846987">
      <w:pPr>
        <w:pStyle w:val="SingleTxtG"/>
      </w:pPr>
      <w:r w:rsidRPr="001728E3">
        <w:t>Papa Babou Ndiaye</w:t>
      </w:r>
    </w:p>
    <w:p w14:paraId="2F26C66F" w14:textId="56B90D9A" w:rsidR="001728E3" w:rsidRPr="007A7B62" w:rsidRDefault="007A7B62" w:rsidP="00C74FD4">
      <w:pPr>
        <w:pStyle w:val="H23G"/>
      </w:pPr>
      <w:r>
        <w:lastRenderedPageBreak/>
        <w:tab/>
      </w:r>
      <w:r>
        <w:tab/>
      </w:r>
      <w:r w:rsidR="001728E3" w:rsidRPr="007A7B62">
        <w:t xml:space="preserve">Pouvoir </w:t>
      </w:r>
      <w:r>
        <w:t>j</w:t>
      </w:r>
      <w:r w:rsidR="001728E3" w:rsidRPr="007A7B62">
        <w:t>udiciaire</w:t>
      </w:r>
    </w:p>
    <w:p w14:paraId="7D9750D6" w14:textId="629EF070" w:rsidR="002C45E3" w:rsidRPr="001728E3" w:rsidRDefault="002C45E3" w:rsidP="00846987">
      <w:pPr>
        <w:pStyle w:val="SingleTxtG"/>
      </w:pPr>
      <w:r w:rsidRPr="001728E3">
        <w:t xml:space="preserve">Ahmed Tidiane Coulibaly </w:t>
      </w:r>
      <w:r w:rsidR="008276A3">
        <w:t>(</w:t>
      </w:r>
      <w:r w:rsidRPr="001728E3">
        <w:t xml:space="preserve">Procureur </w:t>
      </w:r>
      <w:r w:rsidR="00D56375">
        <w:t>g</w:t>
      </w:r>
      <w:r w:rsidRPr="001728E3">
        <w:t xml:space="preserve">énéral près la Cour </w:t>
      </w:r>
      <w:r w:rsidR="00D56375">
        <w:t>s</w:t>
      </w:r>
      <w:r w:rsidRPr="001728E3">
        <w:t>uprême</w:t>
      </w:r>
      <w:r w:rsidR="008276A3">
        <w:t>)</w:t>
      </w:r>
    </w:p>
    <w:p w14:paraId="31050AA5" w14:textId="737BE5DC" w:rsidR="0033679D" w:rsidRPr="001728E3" w:rsidRDefault="00675E41" w:rsidP="00A12C14">
      <w:pPr>
        <w:pStyle w:val="H1G"/>
        <w:rPr>
          <w:lang w:val="fr-FR"/>
        </w:rPr>
      </w:pPr>
      <w:r w:rsidRPr="001728E3">
        <w:rPr>
          <w:lang w:val="fr-FR"/>
        </w:rPr>
        <w:tab/>
      </w:r>
      <w:r w:rsidR="009773AB">
        <w:rPr>
          <w:lang w:val="fr-FR"/>
        </w:rPr>
        <w:t>B</w:t>
      </w:r>
      <w:r w:rsidRPr="001728E3">
        <w:rPr>
          <w:lang w:val="fr-FR"/>
        </w:rPr>
        <w:t>.</w:t>
      </w:r>
      <w:r w:rsidRPr="001728E3">
        <w:rPr>
          <w:lang w:val="fr-FR"/>
        </w:rPr>
        <w:tab/>
      </w:r>
      <w:r w:rsidR="0033679D" w:rsidRPr="001728E3">
        <w:rPr>
          <w:lang w:val="fr-FR"/>
        </w:rPr>
        <w:t xml:space="preserve">Observateur </w:t>
      </w:r>
      <w:r w:rsidR="00206431">
        <w:rPr>
          <w:lang w:val="fr-FR"/>
        </w:rPr>
        <w:t>n</w:t>
      </w:r>
      <w:r w:rsidR="0033679D" w:rsidRPr="001728E3">
        <w:rPr>
          <w:lang w:val="fr-FR"/>
        </w:rPr>
        <w:t xml:space="preserve">ational des </w:t>
      </w:r>
      <w:r w:rsidR="009773AB">
        <w:rPr>
          <w:lang w:val="fr-FR"/>
        </w:rPr>
        <w:t>l</w:t>
      </w:r>
      <w:r w:rsidR="0033679D" w:rsidRPr="001728E3">
        <w:rPr>
          <w:lang w:val="fr-FR"/>
        </w:rPr>
        <w:t xml:space="preserve">ieux de </w:t>
      </w:r>
      <w:r w:rsidR="009773AB">
        <w:rPr>
          <w:lang w:val="fr-FR"/>
        </w:rPr>
        <w:t>p</w:t>
      </w:r>
      <w:r w:rsidR="0033679D" w:rsidRPr="001728E3">
        <w:rPr>
          <w:lang w:val="fr-FR"/>
        </w:rPr>
        <w:t xml:space="preserve">rivation de </w:t>
      </w:r>
      <w:r w:rsidR="009773AB">
        <w:rPr>
          <w:lang w:val="fr-FR"/>
        </w:rPr>
        <w:t>l</w:t>
      </w:r>
      <w:r w:rsidR="0033679D" w:rsidRPr="001728E3">
        <w:rPr>
          <w:lang w:val="fr-FR"/>
        </w:rPr>
        <w:t>iberté</w:t>
      </w:r>
      <w:r w:rsidR="00206431">
        <w:rPr>
          <w:lang w:val="fr-FR"/>
        </w:rPr>
        <w:t xml:space="preserve"> et délégués</w:t>
      </w:r>
    </w:p>
    <w:p w14:paraId="29761ACF" w14:textId="5FD242B0" w:rsidR="0033679D" w:rsidRPr="001728E3" w:rsidRDefault="0033679D" w:rsidP="00C74FD4">
      <w:pPr>
        <w:pStyle w:val="H1G"/>
        <w:keepNext w:val="0"/>
        <w:keepLines w:val="0"/>
        <w:spacing w:before="0" w:after="0" w:line="360" w:lineRule="auto"/>
        <w:rPr>
          <w:b w:val="0"/>
          <w:sz w:val="20"/>
          <w:lang w:val="fr-FR"/>
        </w:rPr>
      </w:pPr>
      <w:r w:rsidRPr="001728E3">
        <w:rPr>
          <w:lang w:val="fr-FR"/>
        </w:rPr>
        <w:tab/>
      </w:r>
      <w:r w:rsidRPr="001728E3">
        <w:rPr>
          <w:sz w:val="20"/>
          <w:lang w:val="fr-FR"/>
        </w:rPr>
        <w:tab/>
      </w:r>
      <w:r w:rsidRPr="001728E3">
        <w:rPr>
          <w:b w:val="0"/>
          <w:sz w:val="20"/>
          <w:lang w:val="fr-FR"/>
        </w:rPr>
        <w:t>Josette Marceline Lopez Ndiaye</w:t>
      </w:r>
      <w:r w:rsidR="00846987" w:rsidRPr="001728E3">
        <w:rPr>
          <w:b w:val="0"/>
          <w:sz w:val="20"/>
          <w:lang w:val="fr-FR"/>
        </w:rPr>
        <w:t xml:space="preserve"> (</w:t>
      </w:r>
      <w:r w:rsidRPr="001728E3">
        <w:rPr>
          <w:b w:val="0"/>
          <w:sz w:val="20"/>
          <w:lang w:val="fr-FR"/>
        </w:rPr>
        <w:t xml:space="preserve">Observateur </w:t>
      </w:r>
      <w:r w:rsidR="00D11C9D">
        <w:rPr>
          <w:b w:val="0"/>
          <w:sz w:val="20"/>
          <w:lang w:val="fr-FR"/>
        </w:rPr>
        <w:t>n</w:t>
      </w:r>
      <w:r w:rsidRPr="001728E3">
        <w:rPr>
          <w:b w:val="0"/>
          <w:sz w:val="20"/>
          <w:lang w:val="fr-FR"/>
        </w:rPr>
        <w:t xml:space="preserve">ational des </w:t>
      </w:r>
      <w:r w:rsidR="00D11C9D">
        <w:rPr>
          <w:b w:val="0"/>
          <w:sz w:val="20"/>
          <w:lang w:val="fr-FR"/>
        </w:rPr>
        <w:t>l</w:t>
      </w:r>
      <w:r w:rsidRPr="001728E3">
        <w:rPr>
          <w:b w:val="0"/>
          <w:sz w:val="20"/>
          <w:lang w:val="fr-FR"/>
        </w:rPr>
        <w:t xml:space="preserve">ieux de </w:t>
      </w:r>
      <w:r w:rsidR="00D11C9D">
        <w:rPr>
          <w:b w:val="0"/>
          <w:sz w:val="20"/>
          <w:lang w:val="fr-FR"/>
        </w:rPr>
        <w:t>p</w:t>
      </w:r>
      <w:r w:rsidRPr="001728E3">
        <w:rPr>
          <w:b w:val="0"/>
          <w:sz w:val="20"/>
          <w:lang w:val="fr-FR"/>
        </w:rPr>
        <w:t xml:space="preserve">rivation de </w:t>
      </w:r>
      <w:r w:rsidR="00D11C9D">
        <w:rPr>
          <w:b w:val="0"/>
          <w:sz w:val="20"/>
          <w:lang w:val="fr-FR"/>
        </w:rPr>
        <w:t>l</w:t>
      </w:r>
      <w:r w:rsidRPr="001728E3">
        <w:rPr>
          <w:b w:val="0"/>
          <w:sz w:val="20"/>
          <w:lang w:val="fr-FR"/>
        </w:rPr>
        <w:t>iberté</w:t>
      </w:r>
      <w:r w:rsidR="00846987" w:rsidRPr="001728E3">
        <w:rPr>
          <w:b w:val="0"/>
          <w:sz w:val="20"/>
          <w:lang w:val="fr-FR"/>
        </w:rPr>
        <w:t>)</w:t>
      </w:r>
    </w:p>
    <w:p w14:paraId="32EF39E3" w14:textId="77777777" w:rsidR="00846987" w:rsidRPr="001728E3" w:rsidRDefault="0033679D" w:rsidP="00C74FD4">
      <w:pPr>
        <w:pStyle w:val="H1G"/>
        <w:keepNext w:val="0"/>
        <w:keepLines w:val="0"/>
        <w:spacing w:before="0" w:after="0" w:line="360" w:lineRule="auto"/>
        <w:rPr>
          <w:b w:val="0"/>
          <w:sz w:val="20"/>
          <w:lang w:val="fr-FR"/>
        </w:rPr>
      </w:pPr>
      <w:r w:rsidRPr="001728E3">
        <w:rPr>
          <w:b w:val="0"/>
          <w:sz w:val="20"/>
          <w:lang w:val="fr-FR"/>
        </w:rPr>
        <w:tab/>
      </w:r>
      <w:r w:rsidRPr="001728E3">
        <w:rPr>
          <w:b w:val="0"/>
          <w:sz w:val="20"/>
          <w:lang w:val="fr-FR"/>
        </w:rPr>
        <w:tab/>
      </w:r>
      <w:r w:rsidR="00846987" w:rsidRPr="001728E3">
        <w:rPr>
          <w:b w:val="0"/>
          <w:sz w:val="20"/>
          <w:lang w:val="fr-FR"/>
        </w:rPr>
        <w:t>Djibril Ba (Observateur délégué)</w:t>
      </w:r>
    </w:p>
    <w:p w14:paraId="1E8C8645" w14:textId="77777777" w:rsidR="00846987" w:rsidRPr="001728E3" w:rsidRDefault="00846987" w:rsidP="00C74FD4">
      <w:pPr>
        <w:pStyle w:val="H1G"/>
        <w:keepNext w:val="0"/>
        <w:keepLines w:val="0"/>
        <w:spacing w:before="0" w:after="0" w:line="360" w:lineRule="auto"/>
        <w:rPr>
          <w:b w:val="0"/>
          <w:sz w:val="20"/>
          <w:lang w:val="fr-FR"/>
        </w:rPr>
      </w:pPr>
      <w:r w:rsidRPr="001728E3">
        <w:rPr>
          <w:b w:val="0"/>
          <w:sz w:val="20"/>
          <w:lang w:val="fr-FR"/>
        </w:rPr>
        <w:tab/>
      </w:r>
      <w:r w:rsidRPr="001728E3">
        <w:rPr>
          <w:b w:val="0"/>
          <w:sz w:val="20"/>
          <w:lang w:val="fr-FR"/>
        </w:rPr>
        <w:tab/>
        <w:t xml:space="preserve">Mamadou </w:t>
      </w:r>
      <w:proofErr w:type="spellStart"/>
      <w:r w:rsidRPr="001728E3">
        <w:rPr>
          <w:b w:val="0"/>
          <w:sz w:val="20"/>
          <w:lang w:val="fr-FR"/>
        </w:rPr>
        <w:t>Boye</w:t>
      </w:r>
      <w:proofErr w:type="spellEnd"/>
      <w:r w:rsidRPr="001728E3">
        <w:rPr>
          <w:b w:val="0"/>
          <w:sz w:val="20"/>
          <w:lang w:val="fr-FR"/>
        </w:rPr>
        <w:t xml:space="preserve"> (Observateur délégué) </w:t>
      </w:r>
    </w:p>
    <w:p w14:paraId="1007BF84" w14:textId="77777777" w:rsidR="00846987" w:rsidRPr="001728E3" w:rsidRDefault="00846987" w:rsidP="00C74FD4">
      <w:pPr>
        <w:pStyle w:val="H1G"/>
        <w:keepNext w:val="0"/>
        <w:keepLines w:val="0"/>
        <w:spacing w:before="0" w:after="0" w:line="360" w:lineRule="auto"/>
        <w:rPr>
          <w:b w:val="0"/>
          <w:sz w:val="20"/>
          <w:lang w:val="fr-FR"/>
        </w:rPr>
      </w:pPr>
      <w:r w:rsidRPr="001728E3">
        <w:rPr>
          <w:b w:val="0"/>
          <w:sz w:val="20"/>
          <w:lang w:val="fr-FR"/>
        </w:rPr>
        <w:tab/>
      </w:r>
      <w:r w:rsidRPr="001728E3">
        <w:rPr>
          <w:b w:val="0"/>
          <w:sz w:val="20"/>
          <w:lang w:val="fr-FR"/>
        </w:rPr>
        <w:tab/>
        <w:t>Amadou Diallo (Observateur délégué)</w:t>
      </w:r>
    </w:p>
    <w:p w14:paraId="144AD225" w14:textId="77777777" w:rsidR="0033679D" w:rsidRPr="001728E3" w:rsidRDefault="00846987" w:rsidP="00C74FD4">
      <w:pPr>
        <w:pStyle w:val="H1G"/>
        <w:keepNext w:val="0"/>
        <w:keepLines w:val="0"/>
        <w:spacing w:before="0" w:after="0" w:line="360" w:lineRule="auto"/>
        <w:rPr>
          <w:b w:val="0"/>
          <w:sz w:val="20"/>
          <w:lang w:val="fr-FR"/>
        </w:rPr>
      </w:pPr>
      <w:r w:rsidRPr="001728E3">
        <w:rPr>
          <w:b w:val="0"/>
          <w:sz w:val="20"/>
          <w:lang w:val="fr-FR"/>
        </w:rPr>
        <w:tab/>
      </w:r>
      <w:r w:rsidRPr="001728E3">
        <w:rPr>
          <w:b w:val="0"/>
          <w:sz w:val="20"/>
          <w:lang w:val="fr-FR"/>
        </w:rPr>
        <w:tab/>
      </w:r>
      <w:r w:rsidR="0033679D" w:rsidRPr="001728E3">
        <w:rPr>
          <w:b w:val="0"/>
          <w:sz w:val="20"/>
          <w:lang w:val="fr-FR"/>
        </w:rPr>
        <w:t>Elias Abdoulaye Diop</w:t>
      </w:r>
      <w:r w:rsidRPr="001728E3">
        <w:rPr>
          <w:b w:val="0"/>
          <w:sz w:val="20"/>
          <w:lang w:val="fr-FR"/>
        </w:rPr>
        <w:t xml:space="preserve"> (</w:t>
      </w:r>
      <w:r w:rsidR="0033679D" w:rsidRPr="001728E3">
        <w:rPr>
          <w:b w:val="0"/>
          <w:sz w:val="20"/>
          <w:lang w:val="fr-FR"/>
        </w:rPr>
        <w:t>Observateur délégué</w:t>
      </w:r>
      <w:r w:rsidRPr="001728E3">
        <w:rPr>
          <w:b w:val="0"/>
          <w:sz w:val="20"/>
          <w:lang w:val="fr-FR"/>
        </w:rPr>
        <w:t>)</w:t>
      </w:r>
    </w:p>
    <w:p w14:paraId="156C88D8" w14:textId="77777777" w:rsidR="0033679D" w:rsidRPr="001728E3" w:rsidRDefault="0033679D" w:rsidP="00C74FD4">
      <w:pPr>
        <w:pStyle w:val="H1G"/>
        <w:keepNext w:val="0"/>
        <w:keepLines w:val="0"/>
        <w:spacing w:before="0" w:after="0" w:line="360" w:lineRule="auto"/>
        <w:rPr>
          <w:b w:val="0"/>
          <w:sz w:val="20"/>
          <w:lang w:val="fr-FR"/>
        </w:rPr>
      </w:pPr>
      <w:r w:rsidRPr="001728E3">
        <w:rPr>
          <w:b w:val="0"/>
          <w:sz w:val="20"/>
          <w:lang w:val="fr-FR"/>
        </w:rPr>
        <w:tab/>
      </w:r>
      <w:r w:rsidRPr="001728E3">
        <w:rPr>
          <w:b w:val="0"/>
          <w:sz w:val="20"/>
          <w:lang w:val="fr-FR"/>
        </w:rPr>
        <w:tab/>
      </w:r>
      <w:r w:rsidR="00846987" w:rsidRPr="001728E3">
        <w:rPr>
          <w:b w:val="0"/>
          <w:sz w:val="20"/>
          <w:lang w:val="fr-FR"/>
        </w:rPr>
        <w:t>Yaye Fatou Gueye (Observateur délégué)</w:t>
      </w:r>
    </w:p>
    <w:p w14:paraId="7FCA912B" w14:textId="77777777" w:rsidR="0033679D" w:rsidRPr="001728E3" w:rsidRDefault="0033679D" w:rsidP="00C74FD4">
      <w:pPr>
        <w:pStyle w:val="H1G"/>
        <w:keepNext w:val="0"/>
        <w:keepLines w:val="0"/>
        <w:spacing w:before="0" w:after="0" w:line="360" w:lineRule="auto"/>
        <w:rPr>
          <w:b w:val="0"/>
          <w:sz w:val="20"/>
          <w:lang w:val="fr-FR"/>
        </w:rPr>
      </w:pPr>
      <w:r w:rsidRPr="001728E3">
        <w:rPr>
          <w:b w:val="0"/>
          <w:sz w:val="20"/>
          <w:lang w:val="fr-FR"/>
        </w:rPr>
        <w:tab/>
      </w:r>
      <w:r w:rsidRPr="001728E3">
        <w:rPr>
          <w:b w:val="0"/>
          <w:sz w:val="20"/>
          <w:lang w:val="fr-FR"/>
        </w:rPr>
        <w:tab/>
      </w:r>
      <w:r w:rsidR="00846987" w:rsidRPr="001728E3">
        <w:rPr>
          <w:b w:val="0"/>
          <w:sz w:val="20"/>
          <w:lang w:val="fr-FR"/>
        </w:rPr>
        <w:t>Idrissa Ndiaye (Observateur délégué)</w:t>
      </w:r>
    </w:p>
    <w:p w14:paraId="1930227F" w14:textId="77777777" w:rsidR="00846987" w:rsidRPr="001728E3" w:rsidRDefault="0033679D" w:rsidP="00C74FD4">
      <w:pPr>
        <w:pStyle w:val="H1G"/>
        <w:keepNext w:val="0"/>
        <w:keepLines w:val="0"/>
        <w:spacing w:before="0" w:after="0" w:line="360" w:lineRule="auto"/>
        <w:rPr>
          <w:b w:val="0"/>
          <w:sz w:val="20"/>
          <w:lang w:val="fr-FR"/>
        </w:rPr>
      </w:pPr>
      <w:r w:rsidRPr="001728E3">
        <w:rPr>
          <w:b w:val="0"/>
          <w:sz w:val="20"/>
          <w:lang w:val="fr-FR"/>
        </w:rPr>
        <w:tab/>
      </w:r>
      <w:r w:rsidRPr="001728E3">
        <w:rPr>
          <w:b w:val="0"/>
          <w:sz w:val="20"/>
          <w:lang w:val="fr-FR"/>
        </w:rPr>
        <w:tab/>
      </w:r>
      <w:r w:rsidR="00846987" w:rsidRPr="001728E3">
        <w:rPr>
          <w:b w:val="0"/>
          <w:sz w:val="20"/>
          <w:lang w:val="fr-FR"/>
        </w:rPr>
        <w:t xml:space="preserve">Mamadou </w:t>
      </w:r>
      <w:proofErr w:type="spellStart"/>
      <w:r w:rsidR="00846987" w:rsidRPr="001728E3">
        <w:rPr>
          <w:b w:val="0"/>
          <w:sz w:val="20"/>
          <w:lang w:val="fr-FR"/>
        </w:rPr>
        <w:t>Ndong</w:t>
      </w:r>
      <w:proofErr w:type="spellEnd"/>
      <w:r w:rsidR="00846987" w:rsidRPr="001728E3">
        <w:rPr>
          <w:b w:val="0"/>
          <w:sz w:val="20"/>
          <w:lang w:val="fr-FR"/>
        </w:rPr>
        <w:t xml:space="preserve"> (Observateur délégué)</w:t>
      </w:r>
    </w:p>
    <w:p w14:paraId="66A82FFC" w14:textId="205555CC" w:rsidR="0033679D" w:rsidRPr="001728E3" w:rsidRDefault="00846987" w:rsidP="00C74FD4">
      <w:pPr>
        <w:pStyle w:val="H1G"/>
        <w:keepNext w:val="0"/>
        <w:keepLines w:val="0"/>
        <w:spacing w:before="0" w:after="0" w:line="360" w:lineRule="auto"/>
        <w:rPr>
          <w:b w:val="0"/>
          <w:sz w:val="20"/>
          <w:lang w:val="fr-FR"/>
        </w:rPr>
      </w:pPr>
      <w:r w:rsidRPr="001728E3">
        <w:rPr>
          <w:b w:val="0"/>
          <w:sz w:val="20"/>
          <w:lang w:val="fr-FR"/>
        </w:rPr>
        <w:tab/>
      </w:r>
      <w:r w:rsidRPr="001728E3">
        <w:rPr>
          <w:b w:val="0"/>
          <w:sz w:val="20"/>
          <w:lang w:val="fr-FR"/>
        </w:rPr>
        <w:tab/>
      </w:r>
      <w:r w:rsidR="0033679D" w:rsidRPr="001728E3">
        <w:rPr>
          <w:b w:val="0"/>
          <w:sz w:val="20"/>
          <w:lang w:val="fr-FR"/>
        </w:rPr>
        <w:t xml:space="preserve">Abdou Gilbert </w:t>
      </w:r>
      <w:proofErr w:type="spellStart"/>
      <w:r w:rsidR="0033679D" w:rsidRPr="001728E3">
        <w:rPr>
          <w:b w:val="0"/>
          <w:sz w:val="20"/>
          <w:lang w:val="fr-FR"/>
        </w:rPr>
        <w:t>Niassy</w:t>
      </w:r>
      <w:proofErr w:type="spellEnd"/>
      <w:r w:rsidRPr="001728E3">
        <w:rPr>
          <w:b w:val="0"/>
          <w:sz w:val="20"/>
          <w:lang w:val="fr-FR"/>
        </w:rPr>
        <w:t xml:space="preserve"> (</w:t>
      </w:r>
      <w:r w:rsidR="0033679D" w:rsidRPr="001728E3">
        <w:rPr>
          <w:b w:val="0"/>
          <w:sz w:val="20"/>
          <w:lang w:val="fr-FR"/>
        </w:rPr>
        <w:t>Observateur délégué</w:t>
      </w:r>
      <w:r w:rsidRPr="001728E3">
        <w:rPr>
          <w:b w:val="0"/>
          <w:sz w:val="20"/>
          <w:lang w:val="fr-FR"/>
        </w:rPr>
        <w:t>)</w:t>
      </w:r>
    </w:p>
    <w:p w14:paraId="5D45CC2F" w14:textId="04C93041" w:rsidR="00675E41" w:rsidRPr="001728E3" w:rsidRDefault="0033679D" w:rsidP="00A12C14">
      <w:pPr>
        <w:pStyle w:val="H1G"/>
      </w:pPr>
      <w:r w:rsidRPr="001728E3">
        <w:rPr>
          <w:lang w:val="fr-FR"/>
        </w:rPr>
        <w:tab/>
      </w:r>
      <w:r w:rsidR="009773AB">
        <w:rPr>
          <w:lang w:val="fr-FR"/>
        </w:rPr>
        <w:t>C</w:t>
      </w:r>
      <w:r w:rsidRPr="001728E3">
        <w:rPr>
          <w:lang w:val="fr-FR"/>
        </w:rPr>
        <w:t>.</w:t>
      </w:r>
      <w:r w:rsidRPr="001728E3">
        <w:rPr>
          <w:lang w:val="fr-FR"/>
        </w:rPr>
        <w:tab/>
      </w:r>
      <w:r w:rsidRPr="001728E3">
        <w:rPr>
          <w:lang w:val="fr-FR"/>
        </w:rPr>
        <w:tab/>
      </w:r>
      <w:r w:rsidR="00675E41" w:rsidRPr="001728E3">
        <w:t xml:space="preserve">Organismes des Nations Unies </w:t>
      </w:r>
    </w:p>
    <w:p w14:paraId="59B707A8" w14:textId="62A5F28B" w:rsidR="00675E41" w:rsidRPr="001728E3" w:rsidRDefault="00D8480A" w:rsidP="00287CE0">
      <w:pPr>
        <w:pStyle w:val="SingleTxtG"/>
      </w:pPr>
      <w:r>
        <w:t>Haut-Commissariat des Nations Unies aux droits de l’homme</w:t>
      </w:r>
    </w:p>
    <w:p w14:paraId="5DAD970A" w14:textId="135696B1" w:rsidR="00675E41" w:rsidRPr="001728E3" w:rsidRDefault="00D8480A" w:rsidP="00287CE0">
      <w:pPr>
        <w:pStyle w:val="SingleTxtG"/>
      </w:pPr>
      <w:r>
        <w:t>Organisation mondiale de la Santé</w:t>
      </w:r>
    </w:p>
    <w:p w14:paraId="678840C2" w14:textId="7BDFAFC2" w:rsidR="00675E41" w:rsidRPr="001728E3" w:rsidRDefault="006E2F5A" w:rsidP="00287CE0">
      <w:pPr>
        <w:pStyle w:val="SingleTxtG"/>
      </w:pPr>
      <w:r>
        <w:t>Haut-Commissariat des Nations Unies pour les réfugiés</w:t>
      </w:r>
    </w:p>
    <w:p w14:paraId="7129426B" w14:textId="4F668CCD" w:rsidR="00675E41" w:rsidRPr="001728E3" w:rsidRDefault="00B6279E" w:rsidP="00287CE0">
      <w:pPr>
        <w:pStyle w:val="SingleTxtG"/>
      </w:pPr>
      <w:r>
        <w:t>Fonds des Nations Unies pour l’enfance</w:t>
      </w:r>
    </w:p>
    <w:p w14:paraId="56E5EAF2" w14:textId="2C3480E5" w:rsidR="00675E41" w:rsidRPr="001728E3" w:rsidRDefault="00835544" w:rsidP="00A12C14">
      <w:pPr>
        <w:pStyle w:val="H1G"/>
      </w:pPr>
      <w:r>
        <w:tab/>
      </w:r>
      <w:r w:rsidR="009773AB">
        <w:t>D</w:t>
      </w:r>
      <w:r w:rsidR="00675E41" w:rsidRPr="001728E3">
        <w:t>.</w:t>
      </w:r>
      <w:r w:rsidR="00675E41" w:rsidRPr="001728E3">
        <w:tab/>
        <w:t>Société civile</w:t>
      </w:r>
    </w:p>
    <w:p w14:paraId="4D732B4B" w14:textId="77777777" w:rsidR="00675E41" w:rsidRPr="001728E3" w:rsidRDefault="00675E41" w:rsidP="006A7500">
      <w:pPr>
        <w:pStyle w:val="SingleTxtG"/>
        <w:jc w:val="left"/>
        <w:rPr>
          <w:lang w:val="fr-FR"/>
        </w:rPr>
      </w:pPr>
      <w:r w:rsidRPr="001728E3">
        <w:rPr>
          <w:lang w:val="fr-FR"/>
        </w:rPr>
        <w:t>ACAT Sénégal</w:t>
      </w:r>
    </w:p>
    <w:p w14:paraId="5650ACDE" w14:textId="77777777" w:rsidR="00675E41" w:rsidRPr="001728E3" w:rsidRDefault="00675E41" w:rsidP="006A7500">
      <w:pPr>
        <w:pStyle w:val="SingleTxtG"/>
        <w:jc w:val="left"/>
        <w:rPr>
          <w:lang w:val="fr-FR"/>
        </w:rPr>
      </w:pPr>
      <w:r w:rsidRPr="001728E3">
        <w:rPr>
          <w:lang w:val="fr-FR"/>
        </w:rPr>
        <w:t>Amnesty International</w:t>
      </w:r>
    </w:p>
    <w:p w14:paraId="7004AB92" w14:textId="7256CE91" w:rsidR="00675E41" w:rsidRPr="001728E3" w:rsidRDefault="00675E41" w:rsidP="006A7500">
      <w:pPr>
        <w:pStyle w:val="SingleTxtG"/>
        <w:jc w:val="left"/>
        <w:rPr>
          <w:lang w:val="fr-FR"/>
        </w:rPr>
      </w:pPr>
      <w:r w:rsidRPr="001728E3">
        <w:rPr>
          <w:lang w:val="fr-FR"/>
        </w:rPr>
        <w:t xml:space="preserve">Association des </w:t>
      </w:r>
      <w:r w:rsidR="00E3212C">
        <w:rPr>
          <w:lang w:val="fr-FR"/>
        </w:rPr>
        <w:t>j</w:t>
      </w:r>
      <w:r w:rsidRPr="001728E3">
        <w:rPr>
          <w:lang w:val="fr-FR"/>
        </w:rPr>
        <w:t xml:space="preserve">uristes </w:t>
      </w:r>
      <w:r w:rsidR="00E3212C">
        <w:rPr>
          <w:lang w:val="fr-FR"/>
        </w:rPr>
        <w:t>s</w:t>
      </w:r>
      <w:r w:rsidRPr="001728E3">
        <w:rPr>
          <w:lang w:val="fr-FR"/>
        </w:rPr>
        <w:t>énégalais</w:t>
      </w:r>
      <w:r w:rsidR="00E3212C">
        <w:rPr>
          <w:lang w:val="fr-FR"/>
        </w:rPr>
        <w:t>es</w:t>
      </w:r>
    </w:p>
    <w:p w14:paraId="7E36E198" w14:textId="26A2EFA1" w:rsidR="00675E41" w:rsidRPr="001728E3" w:rsidRDefault="00675E41" w:rsidP="006A7500">
      <w:pPr>
        <w:pStyle w:val="SingleTxtG"/>
        <w:jc w:val="left"/>
        <w:rPr>
          <w:lang w:val="fr-FR"/>
        </w:rPr>
      </w:pPr>
      <w:r w:rsidRPr="001728E3">
        <w:rPr>
          <w:lang w:val="fr-FR"/>
        </w:rPr>
        <w:t xml:space="preserve">Comité </w:t>
      </w:r>
      <w:r w:rsidR="00EA6057">
        <w:rPr>
          <w:lang w:val="fr-FR"/>
        </w:rPr>
        <w:t>s</w:t>
      </w:r>
      <w:r w:rsidRPr="001728E3">
        <w:rPr>
          <w:lang w:val="fr-FR"/>
        </w:rPr>
        <w:t>énégalais de</w:t>
      </w:r>
      <w:r w:rsidR="00EA6057">
        <w:rPr>
          <w:lang w:val="fr-FR"/>
        </w:rPr>
        <w:t>s</w:t>
      </w:r>
      <w:r w:rsidRPr="001728E3">
        <w:rPr>
          <w:lang w:val="fr-FR"/>
        </w:rPr>
        <w:t xml:space="preserve"> </w:t>
      </w:r>
      <w:r w:rsidR="00EA6057">
        <w:rPr>
          <w:lang w:val="fr-FR"/>
        </w:rPr>
        <w:t>d</w:t>
      </w:r>
      <w:r w:rsidRPr="001728E3">
        <w:rPr>
          <w:lang w:val="fr-FR"/>
        </w:rPr>
        <w:t>roits de l’</w:t>
      </w:r>
      <w:r w:rsidR="00EA6057">
        <w:rPr>
          <w:lang w:val="fr-FR"/>
        </w:rPr>
        <w:t>h</w:t>
      </w:r>
      <w:r w:rsidRPr="001728E3">
        <w:rPr>
          <w:lang w:val="fr-FR"/>
        </w:rPr>
        <w:t>omme</w:t>
      </w:r>
    </w:p>
    <w:p w14:paraId="1A79713E" w14:textId="77777777" w:rsidR="00675E41" w:rsidRPr="001728E3" w:rsidRDefault="00675E41" w:rsidP="006A7500">
      <w:pPr>
        <w:pStyle w:val="SingleTxtG"/>
        <w:jc w:val="left"/>
        <w:rPr>
          <w:lang w:val="fr-FR"/>
        </w:rPr>
      </w:pPr>
      <w:r w:rsidRPr="001728E3">
        <w:rPr>
          <w:lang w:val="fr-FR"/>
        </w:rPr>
        <w:t xml:space="preserve">Handicap Forum </w:t>
      </w:r>
    </w:p>
    <w:p w14:paraId="3FFA1617" w14:textId="77777777" w:rsidR="00675E41" w:rsidRPr="001728E3" w:rsidRDefault="00675E41" w:rsidP="006A7500">
      <w:pPr>
        <w:pStyle w:val="SingleTxtG"/>
        <w:jc w:val="left"/>
        <w:rPr>
          <w:lang w:val="fr-FR"/>
        </w:rPr>
      </w:pPr>
      <w:r w:rsidRPr="001728E3">
        <w:rPr>
          <w:lang w:val="fr-FR"/>
        </w:rPr>
        <w:t>Institut des droits de l’homme et de la paix de l’Université Cheikh Anta Diop de Dakar (IDHP/UCAD)</w:t>
      </w:r>
    </w:p>
    <w:p w14:paraId="782E3D87" w14:textId="6AED5CDF" w:rsidR="00675E41" w:rsidRPr="001728E3" w:rsidRDefault="00675E41" w:rsidP="006A7500">
      <w:pPr>
        <w:pStyle w:val="SingleTxtG"/>
        <w:jc w:val="left"/>
        <w:rPr>
          <w:lang w:val="fr-FR"/>
        </w:rPr>
      </w:pPr>
      <w:r w:rsidRPr="001728E3">
        <w:rPr>
          <w:lang w:val="fr-FR"/>
        </w:rPr>
        <w:t xml:space="preserve">Ligue </w:t>
      </w:r>
      <w:r w:rsidR="00200EF9">
        <w:rPr>
          <w:lang w:val="fr-FR"/>
        </w:rPr>
        <w:t>s</w:t>
      </w:r>
      <w:r w:rsidRPr="001728E3">
        <w:rPr>
          <w:lang w:val="fr-FR"/>
        </w:rPr>
        <w:t xml:space="preserve">énégalaise des </w:t>
      </w:r>
      <w:r w:rsidR="00200EF9">
        <w:rPr>
          <w:lang w:val="fr-FR"/>
        </w:rPr>
        <w:t>d</w:t>
      </w:r>
      <w:r w:rsidRPr="001728E3">
        <w:rPr>
          <w:lang w:val="fr-FR"/>
        </w:rPr>
        <w:t xml:space="preserve">roits </w:t>
      </w:r>
      <w:r w:rsidR="00200EF9">
        <w:rPr>
          <w:lang w:val="fr-FR"/>
        </w:rPr>
        <w:t>h</w:t>
      </w:r>
      <w:r w:rsidRPr="001728E3">
        <w:rPr>
          <w:lang w:val="fr-FR"/>
        </w:rPr>
        <w:t>umains</w:t>
      </w:r>
    </w:p>
    <w:p w14:paraId="20FB67B2" w14:textId="393115D0" w:rsidR="00675E41" w:rsidRPr="001728E3" w:rsidRDefault="00675E41" w:rsidP="006A7500">
      <w:pPr>
        <w:pStyle w:val="SingleTxtG"/>
        <w:jc w:val="left"/>
        <w:rPr>
          <w:lang w:val="fr-FR"/>
        </w:rPr>
      </w:pPr>
      <w:r w:rsidRPr="001728E3">
        <w:rPr>
          <w:lang w:val="fr-FR"/>
        </w:rPr>
        <w:t xml:space="preserve">Plateforme des </w:t>
      </w:r>
      <w:r w:rsidR="00B029CB">
        <w:rPr>
          <w:lang w:val="fr-FR"/>
        </w:rPr>
        <w:t>a</w:t>
      </w:r>
      <w:r w:rsidRPr="001728E3">
        <w:rPr>
          <w:lang w:val="fr-FR"/>
        </w:rPr>
        <w:t xml:space="preserve">ssociations </w:t>
      </w:r>
      <w:r w:rsidR="00B029CB">
        <w:rPr>
          <w:lang w:val="fr-FR"/>
        </w:rPr>
        <w:t>c</w:t>
      </w:r>
      <w:r w:rsidRPr="001728E3">
        <w:rPr>
          <w:lang w:val="fr-FR"/>
        </w:rPr>
        <w:t xml:space="preserve">ommunautaires pour le respect, la protection et la promotion des </w:t>
      </w:r>
      <w:r w:rsidR="00413E25">
        <w:rPr>
          <w:lang w:val="fr-FR"/>
        </w:rPr>
        <w:t>d</w:t>
      </w:r>
      <w:r w:rsidRPr="001728E3">
        <w:rPr>
          <w:lang w:val="fr-FR"/>
        </w:rPr>
        <w:t xml:space="preserve">roits </w:t>
      </w:r>
      <w:r w:rsidR="00413E25">
        <w:rPr>
          <w:lang w:val="fr-FR"/>
        </w:rPr>
        <w:t>h</w:t>
      </w:r>
      <w:r w:rsidRPr="001728E3">
        <w:rPr>
          <w:lang w:val="fr-FR"/>
        </w:rPr>
        <w:t>umains (PAC-DH)</w:t>
      </w:r>
    </w:p>
    <w:p w14:paraId="67C5D0AF" w14:textId="71EB9723" w:rsidR="00675E41" w:rsidRPr="00675E41" w:rsidRDefault="00675E41" w:rsidP="006A7500">
      <w:pPr>
        <w:pStyle w:val="SingleTxtG"/>
        <w:jc w:val="left"/>
        <w:rPr>
          <w:lang w:val="fr-FR"/>
        </w:rPr>
      </w:pPr>
      <w:r w:rsidRPr="001728E3">
        <w:rPr>
          <w:lang w:val="fr-FR"/>
        </w:rPr>
        <w:t xml:space="preserve">Rencontre </w:t>
      </w:r>
      <w:r w:rsidR="00251C43">
        <w:rPr>
          <w:lang w:val="fr-FR"/>
        </w:rPr>
        <w:t>a</w:t>
      </w:r>
      <w:r w:rsidRPr="001728E3">
        <w:rPr>
          <w:lang w:val="fr-FR"/>
        </w:rPr>
        <w:t xml:space="preserve">fricaine pour la </w:t>
      </w:r>
      <w:r w:rsidR="00251C43">
        <w:rPr>
          <w:lang w:val="fr-FR"/>
        </w:rPr>
        <w:t>d</w:t>
      </w:r>
      <w:r w:rsidRPr="001728E3">
        <w:rPr>
          <w:lang w:val="fr-FR"/>
        </w:rPr>
        <w:t xml:space="preserve">éfense des </w:t>
      </w:r>
      <w:r w:rsidR="00251C43">
        <w:rPr>
          <w:lang w:val="fr-FR"/>
        </w:rPr>
        <w:t>d</w:t>
      </w:r>
      <w:r w:rsidRPr="001728E3">
        <w:rPr>
          <w:lang w:val="fr-FR"/>
        </w:rPr>
        <w:t>roits de l</w:t>
      </w:r>
      <w:r w:rsidR="00835C07">
        <w:rPr>
          <w:lang w:val="fr-FR"/>
        </w:rPr>
        <w:t>’</w:t>
      </w:r>
      <w:r w:rsidR="00251C43">
        <w:rPr>
          <w:lang w:val="fr-FR"/>
        </w:rPr>
        <w:t>h</w:t>
      </w:r>
      <w:r w:rsidRPr="001728E3">
        <w:rPr>
          <w:lang w:val="fr-FR"/>
        </w:rPr>
        <w:t>omme (RADDHO)</w:t>
      </w:r>
    </w:p>
    <w:p w14:paraId="2AE3AC2E" w14:textId="77777777" w:rsidR="00675E41" w:rsidRPr="00675E41" w:rsidRDefault="00675E41" w:rsidP="00675E41">
      <w:pPr>
        <w:suppressAutoHyphens w:val="0"/>
        <w:spacing w:line="240" w:lineRule="auto"/>
        <w:rPr>
          <w:lang w:val="fr-FR"/>
        </w:rPr>
      </w:pPr>
    </w:p>
    <w:p w14:paraId="7B513C0C" w14:textId="77777777" w:rsidR="00675E41" w:rsidRPr="00675E41" w:rsidRDefault="00675E41" w:rsidP="00675E41">
      <w:pPr>
        <w:suppressAutoHyphens w:val="0"/>
        <w:spacing w:line="240" w:lineRule="auto"/>
        <w:rPr>
          <w:lang w:val="fr-FR"/>
        </w:rPr>
      </w:pPr>
      <w:r w:rsidRPr="00675E41">
        <w:rPr>
          <w:lang w:val="fr-FR"/>
        </w:rPr>
        <w:br w:type="page"/>
      </w:r>
    </w:p>
    <w:p w14:paraId="7679824E" w14:textId="77777777" w:rsidR="00675E41" w:rsidRPr="00675E41" w:rsidRDefault="00287CE0" w:rsidP="00A12C14">
      <w:pPr>
        <w:pStyle w:val="HChG"/>
        <w:rPr>
          <w:lang w:val="fr-FR"/>
        </w:rPr>
      </w:pPr>
      <w:r>
        <w:rPr>
          <w:lang w:val="fr-FR"/>
        </w:rPr>
        <w:lastRenderedPageBreak/>
        <w:tab/>
      </w:r>
      <w:r w:rsidR="00675E41" w:rsidRPr="00675E41">
        <w:rPr>
          <w:lang w:val="fr-FR"/>
        </w:rPr>
        <w:t>Annexe II</w:t>
      </w:r>
    </w:p>
    <w:p w14:paraId="2E88E48C" w14:textId="77777777" w:rsidR="00675E41" w:rsidRPr="00675E41" w:rsidRDefault="00675E41" w:rsidP="00A12C14">
      <w:pPr>
        <w:pStyle w:val="H1G"/>
      </w:pPr>
      <w:r w:rsidRPr="00675E41">
        <w:tab/>
      </w:r>
      <w:r w:rsidRPr="00675E41">
        <w:tab/>
        <w:t>Lieux de privation de liberté visités par le Sous-Comité</w:t>
      </w:r>
      <w:r w:rsidRPr="00675E41">
        <w:rPr>
          <w:lang w:val="fr-FR"/>
        </w:rPr>
        <w:t xml:space="preserve"> </w:t>
      </w:r>
    </w:p>
    <w:p w14:paraId="54B48C3A" w14:textId="77777777" w:rsidR="00675E41" w:rsidRPr="00675E41" w:rsidRDefault="00675E41" w:rsidP="00C74FD4">
      <w:pPr>
        <w:pStyle w:val="H23G"/>
      </w:pPr>
      <w:r w:rsidRPr="00675E41">
        <w:rPr>
          <w:lang w:val="fr-FR"/>
        </w:rPr>
        <w:tab/>
      </w:r>
      <w:r w:rsidRPr="00675E41">
        <w:rPr>
          <w:lang w:val="fr-FR"/>
        </w:rPr>
        <w:tab/>
        <w:t>Gendarmeries</w:t>
      </w:r>
    </w:p>
    <w:p w14:paraId="2D745DD8" w14:textId="5A5E7525" w:rsidR="00675E41" w:rsidRPr="00675E41" w:rsidRDefault="00675E41" w:rsidP="00675E41">
      <w:pPr>
        <w:spacing w:after="120"/>
        <w:ind w:left="1134" w:right="1134"/>
        <w:jc w:val="both"/>
      </w:pPr>
      <w:r w:rsidRPr="00675E41">
        <w:t xml:space="preserve">Brigade de </w:t>
      </w:r>
      <w:r w:rsidR="00907E0A">
        <w:t>g</w:t>
      </w:r>
      <w:r w:rsidRPr="00675E41">
        <w:t>endarmerie de Louga</w:t>
      </w:r>
    </w:p>
    <w:p w14:paraId="6440F9F7" w14:textId="29127587" w:rsidR="00675E41" w:rsidRPr="00675E41" w:rsidRDefault="00675E41" w:rsidP="00675E41">
      <w:pPr>
        <w:spacing w:after="120"/>
        <w:ind w:left="1134" w:right="1134"/>
        <w:jc w:val="both"/>
      </w:pPr>
      <w:r w:rsidRPr="00675E41">
        <w:t xml:space="preserve">Brigade de </w:t>
      </w:r>
      <w:r w:rsidR="0050698C">
        <w:t>g</w:t>
      </w:r>
      <w:r w:rsidRPr="00675E41">
        <w:t>endarmerie de Saint</w:t>
      </w:r>
      <w:r w:rsidR="0050698C">
        <w:t>-</w:t>
      </w:r>
      <w:r w:rsidRPr="00675E41">
        <w:t>Louis</w:t>
      </w:r>
    </w:p>
    <w:p w14:paraId="2BC2520C" w14:textId="44337450" w:rsidR="00675E41" w:rsidRPr="00675E41" w:rsidRDefault="00675E41" w:rsidP="00675E41">
      <w:pPr>
        <w:spacing w:after="120"/>
        <w:ind w:left="1134" w:right="1134"/>
        <w:jc w:val="both"/>
      </w:pPr>
      <w:r w:rsidRPr="00675E41">
        <w:t xml:space="preserve">Brigade </w:t>
      </w:r>
      <w:r w:rsidR="007671A5">
        <w:t>m</w:t>
      </w:r>
      <w:r w:rsidRPr="00675E41">
        <w:t>ixte de Ziguinchor</w:t>
      </w:r>
    </w:p>
    <w:p w14:paraId="58D25D9D" w14:textId="77777777" w:rsidR="00675E41" w:rsidRPr="00675E41" w:rsidRDefault="00675E41" w:rsidP="00C74FD4">
      <w:pPr>
        <w:pStyle w:val="H23G"/>
        <w:rPr>
          <w:lang w:val="fr-FR"/>
        </w:rPr>
      </w:pPr>
      <w:r w:rsidRPr="00675E41">
        <w:rPr>
          <w:lang w:val="fr-FR"/>
        </w:rPr>
        <w:tab/>
      </w:r>
      <w:r w:rsidRPr="00675E41">
        <w:rPr>
          <w:lang w:val="fr-FR"/>
        </w:rPr>
        <w:tab/>
        <w:t>Commissariats de police</w:t>
      </w:r>
    </w:p>
    <w:p w14:paraId="195E4646" w14:textId="05020AB7" w:rsidR="00675E41" w:rsidRPr="00675E41" w:rsidRDefault="00675E41" w:rsidP="00675E41">
      <w:pPr>
        <w:spacing w:after="120"/>
        <w:ind w:left="1134" w:right="1134"/>
        <w:jc w:val="both"/>
      </w:pPr>
      <w:r w:rsidRPr="00675E41">
        <w:t xml:space="preserve">Commissariat </w:t>
      </w:r>
      <w:r w:rsidR="007671A5">
        <w:t>c</w:t>
      </w:r>
      <w:r w:rsidRPr="00675E41">
        <w:t>entral de Dakar</w:t>
      </w:r>
    </w:p>
    <w:p w14:paraId="50BAB708" w14:textId="3A61C64D" w:rsidR="00675E41" w:rsidRPr="00675E41" w:rsidRDefault="00675E41" w:rsidP="00675E41">
      <w:pPr>
        <w:spacing w:after="120"/>
        <w:ind w:left="1134" w:right="1134"/>
        <w:jc w:val="both"/>
      </w:pPr>
      <w:r w:rsidRPr="00675E41">
        <w:t>Commissariat central de Saint</w:t>
      </w:r>
      <w:r w:rsidR="007671A5">
        <w:t>-</w:t>
      </w:r>
      <w:r w:rsidRPr="00675E41">
        <w:t>Louis</w:t>
      </w:r>
    </w:p>
    <w:p w14:paraId="260C9250" w14:textId="5386B4E5" w:rsidR="00675E41" w:rsidRPr="00675E41" w:rsidRDefault="00675E41" w:rsidP="00675E41">
      <w:pPr>
        <w:spacing w:after="120"/>
        <w:ind w:left="1134" w:right="1134"/>
        <w:jc w:val="both"/>
      </w:pPr>
      <w:r w:rsidRPr="00675E41">
        <w:t xml:space="preserve">Commissariat de </w:t>
      </w:r>
      <w:r w:rsidR="007671A5">
        <w:t>p</w:t>
      </w:r>
      <w:r w:rsidRPr="00675E41">
        <w:t>olice de l’</w:t>
      </w:r>
      <w:r w:rsidR="00664D92">
        <w:t>î</w:t>
      </w:r>
      <w:r w:rsidRPr="00675E41">
        <w:t>le</w:t>
      </w:r>
    </w:p>
    <w:p w14:paraId="4B55C9D3" w14:textId="77777777" w:rsidR="00675E41" w:rsidRPr="00675E41" w:rsidRDefault="00675E41" w:rsidP="00675E41">
      <w:pPr>
        <w:spacing w:after="120"/>
        <w:ind w:left="1134" w:right="1134"/>
        <w:jc w:val="both"/>
      </w:pPr>
      <w:r w:rsidRPr="00675E41">
        <w:t>Commissariat de Ziguinchor</w:t>
      </w:r>
    </w:p>
    <w:p w14:paraId="352C776C" w14:textId="71D69925" w:rsidR="00675E41" w:rsidRPr="00675E41" w:rsidRDefault="00675E41" w:rsidP="00675E41">
      <w:pPr>
        <w:spacing w:after="120"/>
        <w:ind w:left="1134" w:right="1134"/>
        <w:jc w:val="both"/>
      </w:pPr>
      <w:r w:rsidRPr="00675E41">
        <w:t xml:space="preserve">Commissariat </w:t>
      </w:r>
      <w:r w:rsidR="00664D92">
        <w:t>u</w:t>
      </w:r>
      <w:r w:rsidRPr="00675E41">
        <w:t>rbain de Kolda</w:t>
      </w:r>
    </w:p>
    <w:p w14:paraId="05EE46ED" w14:textId="77777777" w:rsidR="00675E41" w:rsidRPr="00675E41" w:rsidRDefault="00675E41" w:rsidP="00C74FD4">
      <w:pPr>
        <w:pStyle w:val="H23G"/>
        <w:rPr>
          <w:lang w:val="fr-FR"/>
        </w:rPr>
      </w:pPr>
      <w:r w:rsidRPr="00675E41">
        <w:rPr>
          <w:lang w:val="fr-FR"/>
        </w:rPr>
        <w:tab/>
      </w:r>
      <w:r w:rsidRPr="00675E41">
        <w:rPr>
          <w:lang w:val="fr-FR"/>
        </w:rPr>
        <w:tab/>
        <w:t xml:space="preserve">Prisons </w:t>
      </w:r>
    </w:p>
    <w:p w14:paraId="212399A9" w14:textId="50BE061E" w:rsidR="00675E41" w:rsidRPr="00675E41" w:rsidRDefault="00675E41" w:rsidP="00675E41">
      <w:pPr>
        <w:spacing w:after="120"/>
        <w:ind w:left="1134" w:right="1134"/>
        <w:jc w:val="both"/>
      </w:pPr>
      <w:r w:rsidRPr="00675E41">
        <w:t xml:space="preserve">Camp </w:t>
      </w:r>
      <w:r w:rsidR="003D49C1">
        <w:t>p</w:t>
      </w:r>
      <w:r w:rsidRPr="00675E41">
        <w:t xml:space="preserve">énal </w:t>
      </w:r>
      <w:r w:rsidR="003D49C1">
        <w:t xml:space="preserve">de </w:t>
      </w:r>
      <w:r w:rsidRPr="00675E41">
        <w:t>Liberté 6</w:t>
      </w:r>
    </w:p>
    <w:p w14:paraId="6DCABEA2" w14:textId="24FD9979" w:rsidR="00675E41" w:rsidRPr="00675E41" w:rsidRDefault="00675E41" w:rsidP="00675E41">
      <w:pPr>
        <w:spacing w:after="120"/>
        <w:ind w:left="1134" w:right="1134"/>
        <w:jc w:val="both"/>
      </w:pPr>
      <w:r w:rsidRPr="00675E41">
        <w:t>Maison d’</w:t>
      </w:r>
      <w:r w:rsidR="003D49C1">
        <w:t>a</w:t>
      </w:r>
      <w:r w:rsidRPr="00675E41">
        <w:t xml:space="preserve">rrêt de </w:t>
      </w:r>
      <w:proofErr w:type="spellStart"/>
      <w:r w:rsidRPr="00675E41">
        <w:t>Rebeuss</w:t>
      </w:r>
      <w:proofErr w:type="spellEnd"/>
    </w:p>
    <w:p w14:paraId="16004FAE" w14:textId="762348EE" w:rsidR="00675E41" w:rsidRPr="00675E41" w:rsidRDefault="00675E41" w:rsidP="00675E41">
      <w:pPr>
        <w:spacing w:after="120"/>
        <w:ind w:left="1134" w:right="1134"/>
        <w:jc w:val="both"/>
      </w:pPr>
      <w:r w:rsidRPr="00675E41">
        <w:t>Maison d’</w:t>
      </w:r>
      <w:r w:rsidR="00DD2AD1">
        <w:t>a</w:t>
      </w:r>
      <w:r w:rsidRPr="00675E41">
        <w:t xml:space="preserve">rrêt et de </w:t>
      </w:r>
      <w:r w:rsidR="00DD2AD1">
        <w:t>c</w:t>
      </w:r>
      <w:r w:rsidRPr="00675E41">
        <w:t>orrection de Kolda</w:t>
      </w:r>
    </w:p>
    <w:p w14:paraId="24FD7F62" w14:textId="3BB7AC66" w:rsidR="00675E41" w:rsidRPr="00675E41" w:rsidRDefault="00675E41" w:rsidP="00675E41">
      <w:pPr>
        <w:spacing w:after="120"/>
        <w:ind w:left="1134" w:right="1134"/>
        <w:jc w:val="both"/>
      </w:pPr>
      <w:r w:rsidRPr="00675E41">
        <w:t>Maison d’</w:t>
      </w:r>
      <w:r w:rsidR="00DD2AD1">
        <w:t>a</w:t>
      </w:r>
      <w:r w:rsidRPr="00675E41">
        <w:t xml:space="preserve">rrêt et de </w:t>
      </w:r>
      <w:r w:rsidR="00DD2AD1">
        <w:t>c</w:t>
      </w:r>
      <w:r w:rsidRPr="00675E41">
        <w:t>orrection de Louga</w:t>
      </w:r>
    </w:p>
    <w:p w14:paraId="2C0C9CC8" w14:textId="16B80D18" w:rsidR="00675E41" w:rsidRPr="00675E41" w:rsidRDefault="00675E41" w:rsidP="00675E41">
      <w:pPr>
        <w:spacing w:after="120"/>
        <w:ind w:left="1134" w:right="1134"/>
        <w:jc w:val="both"/>
      </w:pPr>
      <w:r w:rsidRPr="00675E41">
        <w:t>Maison d’</w:t>
      </w:r>
      <w:r w:rsidR="00DD2AD1">
        <w:t>a</w:t>
      </w:r>
      <w:r w:rsidRPr="00675E41">
        <w:t xml:space="preserve">rrêt et de </w:t>
      </w:r>
      <w:r w:rsidR="00DD2AD1">
        <w:t>c</w:t>
      </w:r>
      <w:r w:rsidRPr="00675E41">
        <w:t>orrection de Saint</w:t>
      </w:r>
      <w:r w:rsidR="00DD2AD1">
        <w:t>-</w:t>
      </w:r>
      <w:r w:rsidRPr="00675E41">
        <w:t>Louis</w:t>
      </w:r>
    </w:p>
    <w:p w14:paraId="7AE777C0" w14:textId="483A8BA0" w:rsidR="00675E41" w:rsidRPr="00675E41" w:rsidRDefault="00675E41" w:rsidP="00675E41">
      <w:pPr>
        <w:spacing w:after="120"/>
        <w:ind w:left="1134" w:right="1134"/>
        <w:jc w:val="both"/>
      </w:pPr>
      <w:r w:rsidRPr="00675E41">
        <w:t>Maison d’</w:t>
      </w:r>
      <w:r w:rsidR="00DD2AD1">
        <w:t>a</w:t>
      </w:r>
      <w:r w:rsidRPr="00675E41">
        <w:t xml:space="preserve">rrêt et de </w:t>
      </w:r>
      <w:r w:rsidR="00DD2AD1">
        <w:t>c</w:t>
      </w:r>
      <w:r w:rsidRPr="00675E41">
        <w:t>orrection de Ziguinchor</w:t>
      </w:r>
    </w:p>
    <w:p w14:paraId="1CE9EB73" w14:textId="5D84A308" w:rsidR="00675E41" w:rsidRPr="00675E41" w:rsidRDefault="00675E41" w:rsidP="00675E41">
      <w:pPr>
        <w:spacing w:after="120"/>
        <w:ind w:left="1134" w:right="1134"/>
        <w:jc w:val="both"/>
      </w:pPr>
      <w:r w:rsidRPr="00675E41">
        <w:t>Maison d’</w:t>
      </w:r>
      <w:r w:rsidR="00DD2AD1">
        <w:t>a</w:t>
      </w:r>
      <w:r w:rsidRPr="00675E41">
        <w:t xml:space="preserve">rrêt pour </w:t>
      </w:r>
      <w:r w:rsidR="00DD2AD1">
        <w:t>f</w:t>
      </w:r>
      <w:r w:rsidRPr="00675E41">
        <w:t xml:space="preserve">emmes de Liberté </w:t>
      </w:r>
      <w:r w:rsidR="00DD2AD1">
        <w:t>6</w:t>
      </w:r>
    </w:p>
    <w:p w14:paraId="54FA676E" w14:textId="77777777" w:rsidR="00675E41" w:rsidRPr="00675E41" w:rsidRDefault="00675E41" w:rsidP="00C74FD4">
      <w:pPr>
        <w:pStyle w:val="H23G"/>
      </w:pPr>
      <w:r w:rsidRPr="00675E41">
        <w:tab/>
      </w:r>
      <w:r w:rsidRPr="00675E41">
        <w:tab/>
        <w:t>Centres pour enfants et adolescents</w:t>
      </w:r>
    </w:p>
    <w:p w14:paraId="255EB9D5" w14:textId="09106FB8" w:rsidR="00675E41" w:rsidRPr="00675E41" w:rsidRDefault="00675E41" w:rsidP="00675E41">
      <w:pPr>
        <w:spacing w:after="120"/>
        <w:ind w:left="1134" w:right="1134"/>
        <w:jc w:val="both"/>
      </w:pPr>
      <w:r w:rsidRPr="00675E41">
        <w:t>Maison d’</w:t>
      </w:r>
      <w:r w:rsidR="004F5652">
        <w:t>a</w:t>
      </w:r>
      <w:r w:rsidRPr="00675E41">
        <w:t xml:space="preserve">rrêt et de </w:t>
      </w:r>
      <w:r w:rsidR="004F5652">
        <w:t>c</w:t>
      </w:r>
      <w:r w:rsidRPr="00675E41">
        <w:t xml:space="preserve">orrection de </w:t>
      </w:r>
      <w:proofErr w:type="spellStart"/>
      <w:r w:rsidRPr="00675E41">
        <w:t>Hann</w:t>
      </w:r>
      <w:proofErr w:type="spellEnd"/>
      <w:r w:rsidRPr="00675E41">
        <w:t xml:space="preserve"> (</w:t>
      </w:r>
      <w:r w:rsidR="0023450A">
        <w:t>e</w:t>
      </w:r>
      <w:r w:rsidRPr="00675E41">
        <w:t>x</w:t>
      </w:r>
      <w:r w:rsidR="0023450A">
        <w:t>-</w:t>
      </w:r>
      <w:r w:rsidRPr="00675E41">
        <w:t>Fort B)</w:t>
      </w:r>
    </w:p>
    <w:p w14:paraId="3E0BF62C" w14:textId="569A8C0E" w:rsidR="00675E41" w:rsidRPr="00675E41" w:rsidRDefault="00675E41" w:rsidP="00C74FD4">
      <w:pPr>
        <w:pStyle w:val="H23G"/>
      </w:pPr>
      <w:r w:rsidRPr="00675E41">
        <w:tab/>
      </w:r>
      <w:r w:rsidRPr="00675E41">
        <w:tab/>
      </w:r>
      <w:r w:rsidR="009773AB">
        <w:t>É</w:t>
      </w:r>
      <w:r w:rsidRPr="00675E41">
        <w:t>tablissements de santé</w:t>
      </w:r>
    </w:p>
    <w:p w14:paraId="6BEFCEFF" w14:textId="01FBE75B" w:rsidR="00675E41" w:rsidRPr="00675E41" w:rsidRDefault="00675E41" w:rsidP="00675E41">
      <w:pPr>
        <w:spacing w:after="120"/>
        <w:ind w:left="1134" w:right="1134"/>
        <w:jc w:val="both"/>
      </w:pPr>
      <w:r w:rsidRPr="00675E41">
        <w:t xml:space="preserve">Hôpital </w:t>
      </w:r>
      <w:r w:rsidR="00034014">
        <w:t>p</w:t>
      </w:r>
      <w:r w:rsidRPr="00675E41">
        <w:t>sychiatrique de Thiaroye</w:t>
      </w:r>
    </w:p>
    <w:p w14:paraId="69E504BF" w14:textId="3DCCD651" w:rsidR="00675E41" w:rsidRPr="00675E41" w:rsidRDefault="00675E41" w:rsidP="00675E41">
      <w:pPr>
        <w:spacing w:after="120"/>
        <w:ind w:left="1134" w:right="1134"/>
        <w:jc w:val="both"/>
      </w:pPr>
      <w:r w:rsidRPr="00675E41">
        <w:t xml:space="preserve">Pavillon </w:t>
      </w:r>
      <w:r w:rsidR="00456E3A">
        <w:t>s</w:t>
      </w:r>
      <w:r w:rsidRPr="00675E41">
        <w:t xml:space="preserve">pécial de l’Hôpital Aristide </w:t>
      </w:r>
      <w:r w:rsidR="008C7F06">
        <w:t>L</w:t>
      </w:r>
      <w:r w:rsidRPr="00675E41">
        <w:t xml:space="preserve">e </w:t>
      </w:r>
      <w:proofErr w:type="spellStart"/>
      <w:r w:rsidRPr="00675E41">
        <w:t>Dantec</w:t>
      </w:r>
      <w:proofErr w:type="spellEnd"/>
    </w:p>
    <w:p w14:paraId="11F3F3D3" w14:textId="77777777" w:rsidR="00675E41" w:rsidRPr="00675E41" w:rsidRDefault="00675E41" w:rsidP="00C74FD4">
      <w:pPr>
        <w:pStyle w:val="H23G"/>
      </w:pPr>
      <w:r w:rsidRPr="00675E41">
        <w:tab/>
      </w:r>
      <w:r w:rsidRPr="00675E41">
        <w:tab/>
        <w:t xml:space="preserve">Autres </w:t>
      </w:r>
    </w:p>
    <w:p w14:paraId="56DD905C" w14:textId="0F8E53C7" w:rsidR="00675E41" w:rsidRPr="00675E41" w:rsidRDefault="00675E41" w:rsidP="00675E41">
      <w:pPr>
        <w:spacing w:after="120"/>
        <w:ind w:left="1134" w:right="1134"/>
        <w:jc w:val="both"/>
      </w:pPr>
      <w:r w:rsidRPr="00675E41">
        <w:t xml:space="preserve">Tribunal d’instance et </w:t>
      </w:r>
      <w:r w:rsidR="008C7F06">
        <w:t>t</w:t>
      </w:r>
      <w:r w:rsidRPr="00675E41">
        <w:t>ribunal de grande instance de Saint</w:t>
      </w:r>
      <w:r w:rsidR="008C7F06">
        <w:t>-</w:t>
      </w:r>
      <w:r w:rsidRPr="00675E41">
        <w:t>Louis</w:t>
      </w:r>
    </w:p>
    <w:p w14:paraId="0CF807CB" w14:textId="6230C259" w:rsidR="00675E41" w:rsidRPr="00675E41" w:rsidRDefault="00675E41" w:rsidP="00675E41">
      <w:pPr>
        <w:spacing w:after="120"/>
        <w:ind w:left="1134" w:right="1134"/>
        <w:jc w:val="both"/>
      </w:pPr>
      <w:r w:rsidRPr="00675E41">
        <w:t xml:space="preserve">Une </w:t>
      </w:r>
      <w:r w:rsidR="008C7F06">
        <w:rPr>
          <w:iCs/>
        </w:rPr>
        <w:t>d</w:t>
      </w:r>
      <w:r w:rsidRPr="00C74FD4">
        <w:rPr>
          <w:iCs/>
        </w:rPr>
        <w:t>aara</w:t>
      </w:r>
      <w:r w:rsidRPr="00675E41">
        <w:rPr>
          <w:i/>
        </w:rPr>
        <w:t xml:space="preserve"> </w:t>
      </w:r>
      <w:r w:rsidRPr="00675E41">
        <w:t>(régime fermé) dans le quartier de Pikine</w:t>
      </w:r>
      <w:r w:rsidR="00EE109F">
        <w:t>,</w:t>
      </w:r>
      <w:r w:rsidRPr="00675E41">
        <w:t xml:space="preserve"> à Dakar</w:t>
      </w:r>
    </w:p>
    <w:p w14:paraId="224FBF94" w14:textId="77777777" w:rsidR="00675E41" w:rsidRPr="00675E41" w:rsidRDefault="00675E41" w:rsidP="00675E41">
      <w:pPr>
        <w:suppressAutoHyphens w:val="0"/>
        <w:spacing w:line="240" w:lineRule="auto"/>
        <w:rPr>
          <w:lang w:val="fr-FR"/>
        </w:rPr>
      </w:pPr>
      <w:r w:rsidRPr="00675E41">
        <w:rPr>
          <w:lang w:val="fr-FR"/>
        </w:rPr>
        <w:br w:type="page"/>
      </w:r>
    </w:p>
    <w:p w14:paraId="68755985" w14:textId="77777777" w:rsidR="00675E41" w:rsidRPr="00675E41" w:rsidRDefault="00834DD2" w:rsidP="00A12C14">
      <w:pPr>
        <w:pStyle w:val="HChG"/>
        <w:rPr>
          <w:lang w:val="fr-FR"/>
        </w:rPr>
      </w:pPr>
      <w:r>
        <w:rPr>
          <w:lang w:val="fr-FR"/>
        </w:rPr>
        <w:lastRenderedPageBreak/>
        <w:tab/>
      </w:r>
      <w:r w:rsidR="00675E41" w:rsidRPr="00675E41">
        <w:rPr>
          <w:lang w:val="fr-FR"/>
        </w:rPr>
        <w:t>Annexe III</w:t>
      </w:r>
    </w:p>
    <w:p w14:paraId="78F82B77" w14:textId="4E61AE6B" w:rsidR="00675E41" w:rsidRPr="00675E41" w:rsidRDefault="00675E41" w:rsidP="00A12C14">
      <w:pPr>
        <w:pStyle w:val="H1G"/>
      </w:pPr>
      <w:r w:rsidRPr="00675E41">
        <w:tab/>
      </w:r>
      <w:r w:rsidRPr="00675E41">
        <w:tab/>
        <w:t>Lieux de privation de liberté visité</w:t>
      </w:r>
      <w:r w:rsidR="009773AB">
        <w:t>s</w:t>
      </w:r>
      <w:r w:rsidRPr="00675E41">
        <w:t xml:space="preserve"> conjointement par le Sous-Comité et l’Observateur </w:t>
      </w:r>
      <w:r w:rsidR="00206431">
        <w:t>n</w:t>
      </w:r>
      <w:r w:rsidRPr="00675E41">
        <w:t xml:space="preserve">ational des </w:t>
      </w:r>
      <w:r w:rsidR="00206431">
        <w:t>l</w:t>
      </w:r>
      <w:r w:rsidRPr="00675E41">
        <w:t xml:space="preserve">ieux de </w:t>
      </w:r>
      <w:r w:rsidR="00206431">
        <w:t>p</w:t>
      </w:r>
      <w:r w:rsidRPr="00675E41">
        <w:t xml:space="preserve">rivation de </w:t>
      </w:r>
      <w:r w:rsidR="00206431">
        <w:t>l</w:t>
      </w:r>
      <w:r w:rsidRPr="00675E41">
        <w:t>iberté</w:t>
      </w:r>
    </w:p>
    <w:p w14:paraId="63A86080" w14:textId="3AF4B1C9" w:rsidR="00675E41" w:rsidRPr="00287CE0" w:rsidRDefault="00675E41" w:rsidP="00287CE0">
      <w:pPr>
        <w:pStyle w:val="SingleTxtG"/>
        <w:rPr>
          <w:rStyle w:val="SingleTxtGCar"/>
        </w:rPr>
      </w:pPr>
      <w:r w:rsidRPr="00287CE0">
        <w:rPr>
          <w:rStyle w:val="SingleTxtGCar"/>
        </w:rPr>
        <w:t xml:space="preserve">Brigade de </w:t>
      </w:r>
      <w:r w:rsidR="00D453B2">
        <w:rPr>
          <w:rStyle w:val="SingleTxtGCar"/>
        </w:rPr>
        <w:t>g</w:t>
      </w:r>
      <w:r w:rsidRPr="00287CE0">
        <w:rPr>
          <w:rStyle w:val="SingleTxtGCar"/>
        </w:rPr>
        <w:t xml:space="preserve">endarmerie </w:t>
      </w:r>
      <w:r w:rsidR="00F00752">
        <w:rPr>
          <w:rStyle w:val="SingleTxtGCar"/>
        </w:rPr>
        <w:t>n</w:t>
      </w:r>
      <w:r w:rsidRPr="00287CE0">
        <w:rPr>
          <w:rStyle w:val="SingleTxtGCar"/>
        </w:rPr>
        <w:t>ationale de Mbour</w:t>
      </w:r>
    </w:p>
    <w:p w14:paraId="4D8AFA79" w14:textId="58554868" w:rsidR="00675E41" w:rsidRPr="00287CE0" w:rsidRDefault="00675E41" w:rsidP="00287CE0">
      <w:pPr>
        <w:pStyle w:val="SingleTxtG"/>
        <w:rPr>
          <w:rStyle w:val="SingleTxtGCar"/>
        </w:rPr>
      </w:pPr>
      <w:r w:rsidRPr="00287CE0">
        <w:rPr>
          <w:rStyle w:val="SingleTxtGCar"/>
        </w:rPr>
        <w:t xml:space="preserve">Commissariat </w:t>
      </w:r>
      <w:r w:rsidR="00F00752">
        <w:rPr>
          <w:rStyle w:val="SingleTxtGCar"/>
        </w:rPr>
        <w:t>u</w:t>
      </w:r>
      <w:r w:rsidRPr="00287CE0">
        <w:rPr>
          <w:rStyle w:val="SingleTxtGCar"/>
        </w:rPr>
        <w:t>rbain de Mbour</w:t>
      </w:r>
    </w:p>
    <w:p w14:paraId="67B7C3FA" w14:textId="35D9E2E4" w:rsidR="00675E41" w:rsidRPr="00287CE0" w:rsidRDefault="00675E41" w:rsidP="00287CE0">
      <w:pPr>
        <w:pStyle w:val="SingleTxtG"/>
        <w:rPr>
          <w:rStyle w:val="SingleTxtGCar"/>
        </w:rPr>
      </w:pPr>
      <w:r w:rsidRPr="00287CE0">
        <w:rPr>
          <w:rStyle w:val="SingleTxtGCar"/>
        </w:rPr>
        <w:t>Maison d’</w:t>
      </w:r>
      <w:r w:rsidR="00F00752">
        <w:rPr>
          <w:rStyle w:val="SingleTxtGCar"/>
        </w:rPr>
        <w:t>a</w:t>
      </w:r>
      <w:r w:rsidRPr="00287CE0">
        <w:rPr>
          <w:rStyle w:val="SingleTxtGCar"/>
        </w:rPr>
        <w:t xml:space="preserve">rrêt et de </w:t>
      </w:r>
      <w:r w:rsidR="00F00752">
        <w:rPr>
          <w:rStyle w:val="SingleTxtGCar"/>
        </w:rPr>
        <w:t>c</w:t>
      </w:r>
      <w:r w:rsidRPr="00287CE0">
        <w:rPr>
          <w:rStyle w:val="SingleTxtGCar"/>
        </w:rPr>
        <w:t>orrection de Thiès</w:t>
      </w:r>
    </w:p>
    <w:p w14:paraId="74A29605" w14:textId="5A25CA5E" w:rsidR="00675E41" w:rsidRPr="00675E41" w:rsidRDefault="00675E41" w:rsidP="00675E41">
      <w:pPr>
        <w:spacing w:before="240"/>
        <w:ind w:left="1134" w:right="1134"/>
        <w:jc w:val="center"/>
        <w:rPr>
          <w:u w:val="single"/>
        </w:rPr>
      </w:pPr>
      <w:r w:rsidRPr="00675E41">
        <w:rPr>
          <w:u w:val="single"/>
        </w:rPr>
        <w:tab/>
      </w:r>
      <w:r w:rsidRPr="00675E41">
        <w:rPr>
          <w:u w:val="single"/>
        </w:rPr>
        <w:tab/>
      </w:r>
      <w:r w:rsidRPr="00675E41">
        <w:rPr>
          <w:u w:val="single"/>
        </w:rPr>
        <w:tab/>
      </w:r>
      <w:r w:rsidR="00206431">
        <w:rPr>
          <w:u w:val="single"/>
        </w:rPr>
        <w:tab/>
      </w:r>
    </w:p>
    <w:p w14:paraId="1C6230E9" w14:textId="77777777" w:rsidR="00226152" w:rsidRPr="00C0638F" w:rsidRDefault="00226152" w:rsidP="00C0638F">
      <w:pPr>
        <w:pStyle w:val="SingleTxtG"/>
        <w:kinsoku w:val="0"/>
        <w:overflowPunct w:val="0"/>
        <w:autoSpaceDE w:val="0"/>
        <w:autoSpaceDN w:val="0"/>
        <w:adjustRightInd w:val="0"/>
        <w:snapToGrid w:val="0"/>
        <w:spacing w:before="240" w:after="0"/>
        <w:jc w:val="center"/>
        <w:rPr>
          <w:rFonts w:eastAsia="Calibri"/>
          <w:u w:val="single"/>
        </w:rPr>
      </w:pPr>
    </w:p>
    <w:sectPr w:rsidR="00226152" w:rsidRPr="00C0638F" w:rsidSect="00CD2377">
      <w:footerReference w:type="even" r:id="rId11"/>
      <w:footerReference w:type="default" r:id="rId12"/>
      <w:head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FDC998" w14:textId="77777777" w:rsidR="004C2B6B" w:rsidRDefault="004C2B6B"/>
  </w:endnote>
  <w:endnote w:type="continuationSeparator" w:id="0">
    <w:p w14:paraId="1F3E6546" w14:textId="77777777" w:rsidR="004C2B6B" w:rsidRDefault="004C2B6B"/>
  </w:endnote>
  <w:endnote w:type="continuationNotice" w:id="1">
    <w:p w14:paraId="5B2FC613" w14:textId="77777777" w:rsidR="004C2B6B" w:rsidRDefault="004C2B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2BD0B" w14:textId="2FE58136" w:rsidR="004C2B6B" w:rsidRPr="00AA35F2" w:rsidRDefault="004C2B6B" w:rsidP="00AA35F2">
    <w:pPr>
      <w:pStyle w:val="Footer"/>
      <w:tabs>
        <w:tab w:val="right" w:pos="9638"/>
      </w:tabs>
      <w:rPr>
        <w:sz w:val="18"/>
      </w:rPr>
    </w:pPr>
    <w:r w:rsidRPr="00AA35F2">
      <w:rPr>
        <w:b/>
        <w:sz w:val="18"/>
      </w:rPr>
      <w:fldChar w:fldCharType="begin"/>
    </w:r>
    <w:r w:rsidRPr="00AA35F2">
      <w:rPr>
        <w:b/>
        <w:sz w:val="18"/>
      </w:rPr>
      <w:instrText xml:space="preserve"> PAGE  \* MERGEFORMAT </w:instrText>
    </w:r>
    <w:r w:rsidRPr="00AA35F2">
      <w:rPr>
        <w:b/>
        <w:sz w:val="18"/>
      </w:rPr>
      <w:fldChar w:fldCharType="separate"/>
    </w:r>
    <w:r w:rsidR="006933EF">
      <w:rPr>
        <w:b/>
        <w:noProof/>
        <w:sz w:val="18"/>
      </w:rPr>
      <w:t>18</w:t>
    </w:r>
    <w:r w:rsidRPr="00AA35F2">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2CAB7" w14:textId="22C53B56" w:rsidR="004C2B6B" w:rsidRPr="00AA35F2" w:rsidRDefault="004C2B6B" w:rsidP="00AA35F2">
    <w:pPr>
      <w:pStyle w:val="Footer"/>
      <w:tabs>
        <w:tab w:val="right" w:pos="9638"/>
      </w:tabs>
      <w:rPr>
        <w:b/>
        <w:sz w:val="18"/>
      </w:rPr>
    </w:pPr>
    <w:r>
      <w:tab/>
    </w:r>
    <w:r w:rsidRPr="00AA35F2">
      <w:rPr>
        <w:b/>
        <w:sz w:val="18"/>
      </w:rPr>
      <w:fldChar w:fldCharType="begin"/>
    </w:r>
    <w:r w:rsidRPr="00AA35F2">
      <w:rPr>
        <w:b/>
        <w:sz w:val="18"/>
      </w:rPr>
      <w:instrText xml:space="preserve"> PAGE  \* MERGEFORMAT </w:instrText>
    </w:r>
    <w:r w:rsidRPr="00AA35F2">
      <w:rPr>
        <w:b/>
        <w:sz w:val="18"/>
      </w:rPr>
      <w:fldChar w:fldCharType="separate"/>
    </w:r>
    <w:r w:rsidR="006933EF">
      <w:rPr>
        <w:b/>
        <w:noProof/>
        <w:sz w:val="18"/>
      </w:rPr>
      <w:t>17</w:t>
    </w:r>
    <w:r w:rsidRPr="00AA35F2">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9DA5EE" w14:textId="77777777" w:rsidR="004C2B6B" w:rsidRPr="00D27D5E" w:rsidRDefault="004C2B6B" w:rsidP="00D27D5E">
      <w:pPr>
        <w:tabs>
          <w:tab w:val="right" w:pos="2155"/>
        </w:tabs>
        <w:spacing w:after="80"/>
        <w:ind w:left="680"/>
        <w:rPr>
          <w:u w:val="single"/>
        </w:rPr>
      </w:pPr>
      <w:r>
        <w:rPr>
          <w:u w:val="single"/>
        </w:rPr>
        <w:tab/>
      </w:r>
    </w:p>
  </w:footnote>
  <w:footnote w:type="continuationSeparator" w:id="0">
    <w:p w14:paraId="0CCA4464" w14:textId="77777777" w:rsidR="004C2B6B" w:rsidRPr="00433A7F" w:rsidRDefault="004C2B6B" w:rsidP="00433A7F">
      <w:pPr>
        <w:tabs>
          <w:tab w:val="right" w:pos="2155"/>
        </w:tabs>
        <w:spacing w:after="80"/>
        <w:ind w:left="680"/>
        <w:rPr>
          <w:u w:val="single"/>
        </w:rPr>
      </w:pPr>
      <w:r w:rsidRPr="00433A7F">
        <w:rPr>
          <w:u w:val="single"/>
        </w:rPr>
        <w:tab/>
      </w:r>
    </w:p>
  </w:footnote>
  <w:footnote w:type="continuationNotice" w:id="1">
    <w:p w14:paraId="2CB5F64F" w14:textId="77777777" w:rsidR="004C2B6B" w:rsidRDefault="004C2B6B"/>
  </w:footnote>
  <w:footnote w:id="2">
    <w:p w14:paraId="0B3380CE" w14:textId="5BC238B9" w:rsidR="00BA3945" w:rsidRPr="00E36420" w:rsidRDefault="004C2B6B" w:rsidP="00BA3945">
      <w:pPr>
        <w:pStyle w:val="FootnoteText"/>
        <w:rPr>
          <w:lang w:val="fr-FR"/>
        </w:rPr>
      </w:pPr>
      <w:r>
        <w:tab/>
      </w:r>
      <w:r w:rsidRPr="006F584A">
        <w:rPr>
          <w:sz w:val="20"/>
        </w:rPr>
        <w:t>*</w:t>
      </w:r>
      <w:r>
        <w:rPr>
          <w:sz w:val="20"/>
        </w:rPr>
        <w:tab/>
      </w:r>
      <w:r w:rsidRPr="00FA62D4">
        <w:rPr>
          <w:rFonts w:eastAsia="Calibri"/>
        </w:rPr>
        <w:t xml:space="preserve">Conformément au paragraphe 1 de l’article 16 du Protocole facultatif, le présent rapport a été </w:t>
      </w:r>
      <w:r w:rsidRPr="00611ED8">
        <w:rPr>
          <w:rFonts w:eastAsia="Calibri"/>
        </w:rPr>
        <w:t>communiqué</w:t>
      </w:r>
      <w:r w:rsidRPr="00FA62D4">
        <w:rPr>
          <w:rFonts w:eastAsia="Calibri"/>
        </w:rPr>
        <w:t xml:space="preserve"> à titre c</w:t>
      </w:r>
      <w:r>
        <w:rPr>
          <w:rFonts w:eastAsia="Calibri"/>
        </w:rPr>
        <w:t xml:space="preserve">onfidentiel au mécanisme national de prévention le </w:t>
      </w:r>
      <w:r w:rsidRPr="008F466E">
        <w:rPr>
          <w:rFonts w:eastAsia="Calibri"/>
        </w:rPr>
        <w:t>30 septembre 2020</w:t>
      </w:r>
      <w:r>
        <w:rPr>
          <w:rFonts w:eastAsia="Calibri"/>
        </w:rPr>
        <w:t>.</w:t>
      </w:r>
      <w:r w:rsidR="00BA3945">
        <w:rPr>
          <w:lang w:val="fr-FR"/>
        </w:rPr>
        <w:t xml:space="preserve"> Le </w:t>
      </w:r>
      <w:proofErr w:type="gramStart"/>
      <w:r w:rsidR="00BA3945">
        <w:rPr>
          <w:lang w:val="fr-FR"/>
        </w:rPr>
        <w:t>15  février</w:t>
      </w:r>
      <w:proofErr w:type="gramEnd"/>
      <w:r w:rsidR="00BA3945">
        <w:rPr>
          <w:lang w:val="fr-FR"/>
        </w:rPr>
        <w:t xml:space="preserve"> 2021</w:t>
      </w:r>
      <w:r w:rsidR="00BA3945" w:rsidRPr="00E36420">
        <w:rPr>
          <w:lang w:val="fr-FR"/>
        </w:rPr>
        <w:t xml:space="preserve">, </w:t>
      </w:r>
      <w:r w:rsidR="00BA3945">
        <w:rPr>
          <w:color w:val="000000"/>
        </w:rPr>
        <w:t>le mécanisme national de prévention</w:t>
      </w:r>
      <w:r w:rsidR="00BA3945" w:rsidRPr="00A04028">
        <w:rPr>
          <w:color w:val="000000"/>
        </w:rPr>
        <w:t xml:space="preserve"> a demandé au Sous</w:t>
      </w:r>
      <w:r w:rsidR="00BA3945">
        <w:rPr>
          <w:color w:val="000000"/>
        </w:rPr>
        <w:noBreakHyphen/>
      </w:r>
      <w:r w:rsidR="00BA3945" w:rsidRPr="00A04028">
        <w:rPr>
          <w:color w:val="000000"/>
        </w:rPr>
        <w:t>Comité de publier le rapport, conformément au paragraphe</w:t>
      </w:r>
      <w:r w:rsidR="00BA3945">
        <w:rPr>
          <w:color w:val="000000"/>
        </w:rPr>
        <w:t> </w:t>
      </w:r>
      <w:r w:rsidR="00BA3945" w:rsidRPr="00A04028">
        <w:rPr>
          <w:color w:val="000000"/>
        </w:rPr>
        <w:t>2 de l</w:t>
      </w:r>
      <w:r w:rsidR="00BA3945">
        <w:rPr>
          <w:color w:val="000000"/>
        </w:rPr>
        <w:t>’</w:t>
      </w:r>
      <w:r w:rsidR="00BA3945" w:rsidRPr="00A04028">
        <w:rPr>
          <w:color w:val="000000"/>
        </w:rPr>
        <w:t>article</w:t>
      </w:r>
      <w:r w:rsidR="00BA3945">
        <w:rPr>
          <w:color w:val="000000"/>
        </w:rPr>
        <w:t> </w:t>
      </w:r>
      <w:r w:rsidR="00BA3945" w:rsidRPr="00A04028">
        <w:rPr>
          <w:color w:val="000000"/>
        </w:rPr>
        <w:t>16 du Protocole facultatif.</w:t>
      </w:r>
    </w:p>
    <w:p w14:paraId="4F883FC4" w14:textId="37EA75DB" w:rsidR="004C2B6B" w:rsidRPr="00BA3945" w:rsidRDefault="004C2B6B">
      <w:pPr>
        <w:pStyle w:val="FootnoteText"/>
        <w:rPr>
          <w:lang w:val="fr-FR"/>
        </w:rPr>
      </w:pPr>
    </w:p>
  </w:footnote>
  <w:footnote w:id="3">
    <w:p w14:paraId="39031992" w14:textId="56E0D558" w:rsidR="004C2B6B" w:rsidRPr="008F466E" w:rsidRDefault="004C2B6B">
      <w:pPr>
        <w:pStyle w:val="FootnoteText"/>
        <w:rPr>
          <w:lang w:val="fr-FR"/>
        </w:rPr>
      </w:pPr>
      <w:r>
        <w:tab/>
      </w:r>
      <w:r w:rsidRPr="008F554C">
        <w:rPr>
          <w:sz w:val="20"/>
        </w:rPr>
        <w:t>**</w:t>
      </w:r>
      <w:r>
        <w:rPr>
          <w:sz w:val="20"/>
        </w:rPr>
        <w:tab/>
      </w:r>
      <w:r>
        <w:rPr>
          <w:rFonts w:eastAsia="Calibri"/>
        </w:rPr>
        <w:t>Les annexes au présent rapport sont distribuées dans la langue de l’original seulement</w:t>
      </w:r>
      <w:r>
        <w:t>.</w:t>
      </w:r>
    </w:p>
  </w:footnote>
  <w:footnote w:id="4">
    <w:p w14:paraId="46F8C7F0" w14:textId="7A3D5BB4" w:rsidR="004C2B6B" w:rsidRPr="00E302F1" w:rsidRDefault="004C2B6B" w:rsidP="00675E41">
      <w:pPr>
        <w:pStyle w:val="FootnoteText"/>
        <w:rPr>
          <w:lang w:val="fr-FR"/>
        </w:rPr>
      </w:pPr>
      <w:r>
        <w:tab/>
      </w:r>
      <w:r w:rsidRPr="008D052A">
        <w:rPr>
          <w:rStyle w:val="FootnoteReference"/>
        </w:rPr>
        <w:footnoteRef/>
      </w:r>
      <w:r>
        <w:t xml:space="preserve"> </w:t>
      </w:r>
      <w:r>
        <w:tab/>
      </w:r>
      <w:r w:rsidRPr="00E302F1">
        <w:t>Voir</w:t>
      </w:r>
      <w:r>
        <w:rPr>
          <w:lang w:val="fr-FR"/>
        </w:rPr>
        <w:t xml:space="preserve"> </w:t>
      </w:r>
      <w:hyperlink r:id="rId1" w:history="1">
        <w:r w:rsidRPr="00C9014B">
          <w:rPr>
            <w:rStyle w:val="Hyperlink"/>
            <w:lang w:val="fr-FR"/>
          </w:rPr>
          <w:t>www.ohchr.org/FR/HRBodies/OPCAT/Fund/Pages/SpecialFund.aspx</w:t>
        </w:r>
      </w:hyperlink>
      <w:r>
        <w:rPr>
          <w:lang w:val="fr-FR"/>
        </w:rPr>
        <w:t>.</w:t>
      </w:r>
    </w:p>
  </w:footnote>
  <w:footnote w:id="5">
    <w:p w14:paraId="511B0A1E" w14:textId="711940CB" w:rsidR="004C2B6B" w:rsidRPr="00F470E6" w:rsidRDefault="004C2B6B" w:rsidP="00675E41">
      <w:pPr>
        <w:pStyle w:val="FootnoteText"/>
        <w:rPr>
          <w:lang w:val="fr-FR"/>
        </w:rPr>
      </w:pPr>
      <w:r>
        <w:tab/>
      </w:r>
      <w:r w:rsidRPr="008D052A">
        <w:rPr>
          <w:rStyle w:val="FootnoteReference"/>
        </w:rPr>
        <w:footnoteRef/>
      </w:r>
      <w:r>
        <w:tab/>
      </w:r>
      <w:r w:rsidRPr="00F470E6">
        <w:rPr>
          <w:lang w:val="fr-FR"/>
        </w:rPr>
        <w:t xml:space="preserve">Conformément aux dispositions de l’article 8 de la loi </w:t>
      </w:r>
      <w:r>
        <w:rPr>
          <w:lang w:val="fr-FR"/>
        </w:rPr>
        <w:t>n</w:t>
      </w:r>
      <w:r w:rsidRPr="00C74FD4">
        <w:rPr>
          <w:vertAlign w:val="superscript"/>
          <w:lang w:val="fr-FR"/>
        </w:rPr>
        <w:t>o</w:t>
      </w:r>
      <w:r>
        <w:rPr>
          <w:lang w:val="fr-FR"/>
        </w:rPr>
        <w:t> </w:t>
      </w:r>
      <w:r w:rsidRPr="00F470E6">
        <w:rPr>
          <w:lang w:val="fr-FR"/>
        </w:rPr>
        <w:t>2009-13, l’</w:t>
      </w:r>
      <w:r>
        <w:rPr>
          <w:lang w:val="fr-FR"/>
        </w:rPr>
        <w:t>Observateur national</w:t>
      </w:r>
      <w:r w:rsidRPr="00F470E6">
        <w:rPr>
          <w:lang w:val="fr-FR"/>
        </w:rPr>
        <w:t xml:space="preserve"> est habilité à faire des recommandations d’ordre législatif pour le renforcement du cadre juridique de son institution</w:t>
      </w:r>
      <w:r>
        <w:rPr>
          <w:lang w:val="fr-FR"/>
        </w:rPr>
        <w:t>.</w:t>
      </w:r>
    </w:p>
  </w:footnote>
  <w:footnote w:id="6">
    <w:p w14:paraId="15600920" w14:textId="20462587" w:rsidR="004C2B6B" w:rsidRPr="00F470E6" w:rsidRDefault="004C2B6B" w:rsidP="00675E41">
      <w:pPr>
        <w:pStyle w:val="FootnoteText"/>
        <w:rPr>
          <w:lang w:val="fr-FR"/>
        </w:rPr>
      </w:pPr>
      <w:r>
        <w:tab/>
      </w:r>
      <w:r w:rsidRPr="008D052A">
        <w:rPr>
          <w:rStyle w:val="FootnoteReference"/>
        </w:rPr>
        <w:footnoteRef/>
      </w:r>
      <w:r>
        <w:t xml:space="preserve"> </w:t>
      </w:r>
      <w:r>
        <w:tab/>
        <w:t>Dans la partie sur la composition et les garanties d’indépendance et de pluralisme, les Principes de Paris indiquent</w:t>
      </w:r>
      <w:r w:rsidRPr="00F470E6">
        <w:t xml:space="preserve"> </w:t>
      </w:r>
      <w:r>
        <w:t xml:space="preserve">que les </w:t>
      </w:r>
      <w:r w:rsidRPr="00F470E6">
        <w:t>institution</w:t>
      </w:r>
      <w:r>
        <w:t>s</w:t>
      </w:r>
      <w:r w:rsidRPr="00F470E6">
        <w:t xml:space="preserve"> nationale</w:t>
      </w:r>
      <w:r>
        <w:t>s</w:t>
      </w:r>
      <w:r w:rsidRPr="00F470E6">
        <w:t xml:space="preserve"> </w:t>
      </w:r>
      <w:r>
        <w:t xml:space="preserve">doivent </w:t>
      </w:r>
      <w:r w:rsidRPr="00F470E6">
        <w:t>dispose</w:t>
      </w:r>
      <w:r>
        <w:t>r</w:t>
      </w:r>
      <w:r w:rsidRPr="00F470E6">
        <w:t xml:space="preserve"> d</w:t>
      </w:r>
      <w:r w:rsidR="00835C07">
        <w:t>’</w:t>
      </w:r>
      <w:r w:rsidRPr="00F470E6">
        <w:t xml:space="preserve">une infrastructure adaptée au bon fonctionnement de </w:t>
      </w:r>
      <w:r>
        <w:t>leurs</w:t>
      </w:r>
      <w:r w:rsidRPr="00F470E6">
        <w:t xml:space="preserve"> activités, en particulier de crédits suffisants. Ces crédits </w:t>
      </w:r>
      <w:r>
        <w:t>doivent leur</w:t>
      </w:r>
      <w:r w:rsidRPr="00F470E6">
        <w:t xml:space="preserve"> permettre de se doter de </w:t>
      </w:r>
      <w:r>
        <w:t xml:space="preserve">leur propre </w:t>
      </w:r>
      <w:r w:rsidRPr="00F470E6">
        <w:t xml:space="preserve">personnel et de </w:t>
      </w:r>
      <w:r>
        <w:t xml:space="preserve">leurs propres </w:t>
      </w:r>
      <w:r w:rsidRPr="00F470E6">
        <w:t>locaux, afin d</w:t>
      </w:r>
      <w:r w:rsidR="00835C07">
        <w:t>’</w:t>
      </w:r>
      <w:r w:rsidRPr="00F470E6">
        <w:t xml:space="preserve">être </w:t>
      </w:r>
      <w:r>
        <w:t>indépendantes du</w:t>
      </w:r>
      <w:r w:rsidR="006A7500">
        <w:t> </w:t>
      </w:r>
      <w:r>
        <w:t>gouvernement</w:t>
      </w:r>
      <w:r w:rsidRPr="00F470E6">
        <w:t xml:space="preserve"> et de n</w:t>
      </w:r>
      <w:r w:rsidR="00835C07">
        <w:t>’</w:t>
      </w:r>
      <w:r w:rsidRPr="00F470E6">
        <w:t xml:space="preserve">être </w:t>
      </w:r>
      <w:r>
        <w:t xml:space="preserve">pas </w:t>
      </w:r>
      <w:r w:rsidRPr="00F470E6">
        <w:t>soumise</w:t>
      </w:r>
      <w:r>
        <w:t>s</w:t>
      </w:r>
      <w:r w:rsidRPr="00F470E6">
        <w:t xml:space="preserve"> à un contrôle financier </w:t>
      </w:r>
      <w:r>
        <w:t>qui pourrait compromettre cette</w:t>
      </w:r>
      <w:r w:rsidRPr="00F470E6">
        <w:t xml:space="preserve"> indépendance</w:t>
      </w:r>
      <w:r>
        <w:t>.</w:t>
      </w:r>
    </w:p>
  </w:footnote>
  <w:footnote w:id="7">
    <w:p w14:paraId="204ADD81" w14:textId="01D5D29A" w:rsidR="004C2B6B" w:rsidRDefault="004C2B6B" w:rsidP="007324E9">
      <w:pPr>
        <w:pStyle w:val="FootnoteText"/>
        <w:rPr>
          <w:lang w:val="fr-FR"/>
        </w:rPr>
      </w:pPr>
      <w:r>
        <w:rPr>
          <w:lang w:val="fr-FR"/>
        </w:rPr>
        <w:tab/>
      </w:r>
      <w:r w:rsidRPr="008D052A">
        <w:rPr>
          <w:rStyle w:val="FootnoteReference"/>
        </w:rPr>
        <w:footnoteRef/>
      </w:r>
      <w:r>
        <w:rPr>
          <w:lang w:val="fr-FR"/>
        </w:rPr>
        <w:t xml:space="preserve"> </w:t>
      </w:r>
      <w:r>
        <w:rPr>
          <w:lang w:val="fr-FR"/>
        </w:rPr>
        <w:tab/>
        <w:t xml:space="preserve">Voir l’article 18 du Protocole facultatif ainsi que </w:t>
      </w:r>
      <w:r>
        <w:t>la partie sur la composition et les garanties d’indépendance et de pluralisme des Principes de Paris</w:t>
      </w:r>
      <w:r>
        <w:rPr>
          <w:lang w:val="fr-FR"/>
        </w:rPr>
        <w:t>.</w:t>
      </w:r>
    </w:p>
  </w:footnote>
  <w:footnote w:id="8">
    <w:p w14:paraId="73205F46" w14:textId="02FD1DF0" w:rsidR="004C2B6B" w:rsidRPr="00F470E6" w:rsidRDefault="004C2B6B" w:rsidP="00675E41">
      <w:pPr>
        <w:pStyle w:val="FootnoteText"/>
        <w:rPr>
          <w:lang w:val="fr-FR"/>
        </w:rPr>
      </w:pPr>
      <w:r>
        <w:tab/>
      </w:r>
      <w:r w:rsidRPr="008D052A">
        <w:rPr>
          <w:rStyle w:val="FootnoteReference"/>
        </w:rPr>
        <w:footnoteRef/>
      </w:r>
      <w:r>
        <w:t xml:space="preserve"> </w:t>
      </w:r>
      <w:r>
        <w:tab/>
      </w:r>
      <w:r>
        <w:rPr>
          <w:lang w:val="fr-FR"/>
        </w:rPr>
        <w:t>Ibid</w:t>
      </w:r>
      <w:r w:rsidRPr="00F470E6">
        <w:rPr>
          <w:lang w:val="fr-FR"/>
        </w:rPr>
        <w:t>.</w:t>
      </w:r>
    </w:p>
  </w:footnote>
  <w:footnote w:id="9">
    <w:p w14:paraId="01E14496" w14:textId="517B33A3" w:rsidR="004C2B6B" w:rsidRPr="000F3D94" w:rsidRDefault="004C2B6B" w:rsidP="007324E9">
      <w:pPr>
        <w:pStyle w:val="FootnoteText"/>
        <w:rPr>
          <w:lang w:val="fr-FR"/>
        </w:rPr>
      </w:pPr>
      <w:r>
        <w:tab/>
      </w:r>
      <w:r w:rsidRPr="008D052A">
        <w:rPr>
          <w:rStyle w:val="FootnoteReference"/>
        </w:rPr>
        <w:footnoteRef/>
      </w:r>
      <w:r>
        <w:t xml:space="preserve"> </w:t>
      </w:r>
      <w:r>
        <w:tab/>
        <w:t xml:space="preserve">Voir, entre </w:t>
      </w:r>
      <w:r w:rsidRPr="000F3D94">
        <w:rPr>
          <w:lang w:val="fr-FR"/>
        </w:rPr>
        <w:t>autres</w:t>
      </w:r>
      <w:r>
        <w:rPr>
          <w:lang w:val="fr-FR"/>
        </w:rPr>
        <w:t>,</w:t>
      </w:r>
      <w:r w:rsidRPr="000F3D94">
        <w:rPr>
          <w:lang w:val="fr-FR"/>
        </w:rPr>
        <w:t xml:space="preserve"> </w:t>
      </w:r>
      <w:r>
        <w:t>BFM TV, « Sénégal : le sort d’un élève battu à mort dans une école coranique scandalise le pays », 31 janvier </w:t>
      </w:r>
      <w:r w:rsidRPr="00AD1870">
        <w:t>2020 ;</w:t>
      </w:r>
      <w:r>
        <w:t xml:space="preserve"> </w:t>
      </w:r>
      <w:r w:rsidRPr="00AD1870">
        <w:t xml:space="preserve">Lucie </w:t>
      </w:r>
      <w:proofErr w:type="spellStart"/>
      <w:r w:rsidRPr="00AD1870">
        <w:t>Sarr</w:t>
      </w:r>
      <w:proofErr w:type="spellEnd"/>
      <w:r w:rsidRPr="00AD1870">
        <w:t xml:space="preserve">, « Sénégal : un maître d’école coranique condamné pour avoir enchaîné ses élèves », La Croix, 5 décembre 2019 ; Human Rights Watch, « “Sur le dos des enfants” – Mendicité forcée et autres mauvais traitements à l’encontre des talibés au Sénégal », 15 avril 2010 ; </w:t>
      </w:r>
      <w:r w:rsidRPr="00C74FD4">
        <w:t xml:space="preserve">The </w:t>
      </w:r>
      <w:proofErr w:type="spellStart"/>
      <w:r w:rsidRPr="00C74FD4">
        <w:t>Economist</w:t>
      </w:r>
      <w:proofErr w:type="spellEnd"/>
      <w:r w:rsidRPr="00C74FD4">
        <w:t>, « </w:t>
      </w:r>
      <w:proofErr w:type="spellStart"/>
      <w:r w:rsidRPr="00C74FD4">
        <w:t>Thousands</w:t>
      </w:r>
      <w:proofErr w:type="spellEnd"/>
      <w:r w:rsidRPr="00C74FD4">
        <w:t xml:space="preserve"> of </w:t>
      </w:r>
      <w:proofErr w:type="spellStart"/>
      <w:r w:rsidRPr="00C74FD4">
        <w:t>children</w:t>
      </w:r>
      <w:proofErr w:type="spellEnd"/>
      <w:r w:rsidRPr="00C74FD4">
        <w:t xml:space="preserve"> are </w:t>
      </w:r>
      <w:proofErr w:type="spellStart"/>
      <w:r w:rsidRPr="00C74FD4">
        <w:t>abused</w:t>
      </w:r>
      <w:proofErr w:type="spellEnd"/>
      <w:r w:rsidRPr="00C74FD4">
        <w:t xml:space="preserve"> in </w:t>
      </w:r>
      <w:proofErr w:type="spellStart"/>
      <w:r w:rsidRPr="00C74FD4">
        <w:t>Senegal’s</w:t>
      </w:r>
      <w:proofErr w:type="spellEnd"/>
      <w:r w:rsidRPr="00C74FD4">
        <w:t xml:space="preserve"> </w:t>
      </w:r>
      <w:proofErr w:type="spellStart"/>
      <w:r w:rsidRPr="00C74FD4">
        <w:t>religious</w:t>
      </w:r>
      <w:proofErr w:type="spellEnd"/>
      <w:r w:rsidRPr="00C74FD4">
        <w:t xml:space="preserve"> </w:t>
      </w:r>
      <w:proofErr w:type="spellStart"/>
      <w:r w:rsidRPr="00C74FD4">
        <w:t>schools</w:t>
      </w:r>
      <w:proofErr w:type="spellEnd"/>
      <w:r w:rsidRPr="00C74FD4">
        <w:t xml:space="preserve"> », 13 juin 2019 ; </w:t>
      </w:r>
      <w:proofErr w:type="spellStart"/>
      <w:r>
        <w:t>Understanding</w:t>
      </w:r>
      <w:proofErr w:type="spellEnd"/>
      <w:r>
        <w:t xml:space="preserve"> </w:t>
      </w:r>
      <w:proofErr w:type="spellStart"/>
      <w:r>
        <w:t>Children’s</w:t>
      </w:r>
      <w:proofErr w:type="spellEnd"/>
      <w:r>
        <w:t xml:space="preserve"> Work,</w:t>
      </w:r>
      <w:r w:rsidRPr="007324E9">
        <w:t xml:space="preserve"> </w:t>
      </w:r>
      <w:r>
        <w:t>« </w:t>
      </w:r>
      <w:r w:rsidRPr="007324E9">
        <w:t>Enfants mendiants dans la région de Dakar</w:t>
      </w:r>
      <w:r>
        <w:t> »,</w:t>
      </w:r>
      <w:r w:rsidRPr="007324E9">
        <w:t xml:space="preserve"> </w:t>
      </w:r>
      <w:r w:rsidRPr="00C74FD4">
        <w:rPr>
          <w:i/>
          <w:iCs/>
        </w:rPr>
        <w:t xml:space="preserve">Project Working Paper </w:t>
      </w:r>
      <w:proofErr w:type="spellStart"/>
      <w:r w:rsidRPr="00C74FD4">
        <w:rPr>
          <w:i/>
          <w:iCs/>
        </w:rPr>
        <w:t>Series</w:t>
      </w:r>
      <w:proofErr w:type="spellEnd"/>
      <w:r>
        <w:t>, novembre 2007</w:t>
      </w:r>
      <w:r w:rsidRPr="00AD1870">
        <w:t> ;</w:t>
      </w:r>
      <w:r w:rsidRPr="00C74FD4">
        <w:rPr>
          <w:lang w:val="fr-FR"/>
        </w:rPr>
        <w:t xml:space="preserve"> </w:t>
      </w:r>
      <w:r w:rsidRPr="00AD1870">
        <w:t>Human Rights Watch, « “Il y a une souffrance énorme” – Graves abus contre des enfants talibés au Sénégal, 201</w:t>
      </w:r>
      <w:r>
        <w:t>7</w:t>
      </w:r>
      <w:r w:rsidRPr="00AD1870">
        <w:t>-2018 »</w:t>
      </w:r>
      <w:r w:rsidRPr="00C74FD4">
        <w:rPr>
          <w:lang w:val="fr-FR"/>
        </w:rPr>
        <w:t xml:space="preserve">, 11 juin 2019 ; </w:t>
      </w:r>
      <w:r w:rsidRPr="00AD1870">
        <w:t xml:space="preserve">Sénégal, Ministère de la </w:t>
      </w:r>
      <w:r>
        <w:t>j</w:t>
      </w:r>
      <w:r w:rsidRPr="00AD1870">
        <w:t>ustice, Cellule nationale de lutte contre la traite des personnes</w:t>
      </w:r>
      <w:r w:rsidRPr="007324E9">
        <w:t xml:space="preserve"> en particulier des femmes et des enfants</w:t>
      </w:r>
      <w:r>
        <w:t>,</w:t>
      </w:r>
      <w:r w:rsidRPr="007324E9">
        <w:t xml:space="preserve"> </w:t>
      </w:r>
      <w:r>
        <w:t>« </w:t>
      </w:r>
      <w:r w:rsidRPr="007324E9">
        <w:t>Cartographie des écoles coraniques de la région de Dakar</w:t>
      </w:r>
      <w:r>
        <w:t xml:space="preserve"> », 2014 ; et </w:t>
      </w:r>
      <w:proofErr w:type="spellStart"/>
      <w:r>
        <w:t>Seneweb</w:t>
      </w:r>
      <w:proofErr w:type="spellEnd"/>
      <w:r>
        <w:t>, « Saint-Louis : un talibé retrouvé mort dans son daara, et quatre autres gravement… », 23 novembre 2018.</w:t>
      </w:r>
    </w:p>
  </w:footnote>
  <w:footnote w:id="10">
    <w:p w14:paraId="04387EA6" w14:textId="7E78C954" w:rsidR="004C2B6B" w:rsidRPr="00716627" w:rsidRDefault="004C2B6B" w:rsidP="00675E41">
      <w:pPr>
        <w:pStyle w:val="FootnoteText"/>
        <w:rPr>
          <w:lang w:val="fr-FR"/>
        </w:rPr>
      </w:pPr>
      <w:r>
        <w:tab/>
      </w:r>
      <w:r w:rsidRPr="008D052A">
        <w:rPr>
          <w:rStyle w:val="FootnoteReference"/>
        </w:rPr>
        <w:footnoteRef/>
      </w:r>
      <w:r>
        <w:t xml:space="preserve"> </w:t>
      </w:r>
      <w:r>
        <w:tab/>
        <w:t>Voir la note précédente.</w:t>
      </w:r>
    </w:p>
  </w:footnote>
  <w:footnote w:id="11">
    <w:p w14:paraId="11F5EB7D" w14:textId="615073A4" w:rsidR="004C2B6B" w:rsidRPr="00D9671F" w:rsidRDefault="004C2B6B" w:rsidP="00675E41">
      <w:pPr>
        <w:pStyle w:val="FootnoteText"/>
        <w:rPr>
          <w:lang w:val="fr-FR"/>
        </w:rPr>
      </w:pPr>
      <w:r w:rsidRPr="00493F5D">
        <w:rPr>
          <w:lang w:val="fr-FR"/>
        </w:rPr>
        <w:tab/>
      </w:r>
      <w:r w:rsidRPr="008D052A">
        <w:rPr>
          <w:rStyle w:val="FootnoteReference"/>
        </w:rPr>
        <w:footnoteRef/>
      </w:r>
      <w:r w:rsidRPr="00D9671F">
        <w:rPr>
          <w:lang w:val="fr-FR"/>
        </w:rPr>
        <w:t xml:space="preserve"> </w:t>
      </w:r>
      <w:r w:rsidRPr="00D9671F">
        <w:rPr>
          <w:lang w:val="fr-FR"/>
        </w:rPr>
        <w:tab/>
        <w:t xml:space="preserve">Voir </w:t>
      </w:r>
      <w:proofErr w:type="spellStart"/>
      <w:r w:rsidRPr="00AF7DEE">
        <w:rPr>
          <w:i/>
          <w:iCs/>
          <w:lang w:val="fr-FR"/>
        </w:rPr>
        <w:t>Preventing</w:t>
      </w:r>
      <w:proofErr w:type="spellEnd"/>
      <w:r w:rsidRPr="00AF7DEE">
        <w:rPr>
          <w:i/>
          <w:iCs/>
          <w:lang w:val="fr-FR"/>
        </w:rPr>
        <w:t xml:space="preserve"> Torture – The </w:t>
      </w:r>
      <w:proofErr w:type="spellStart"/>
      <w:r w:rsidRPr="00AF7DEE">
        <w:rPr>
          <w:i/>
          <w:iCs/>
          <w:lang w:val="fr-FR"/>
        </w:rPr>
        <w:t>Role</w:t>
      </w:r>
      <w:proofErr w:type="spellEnd"/>
      <w:r w:rsidRPr="00AF7DEE">
        <w:rPr>
          <w:i/>
          <w:iCs/>
          <w:lang w:val="fr-FR"/>
        </w:rPr>
        <w:t xml:space="preserve"> of National </w:t>
      </w:r>
      <w:proofErr w:type="spellStart"/>
      <w:r w:rsidRPr="00AF7DEE">
        <w:rPr>
          <w:i/>
          <w:iCs/>
          <w:lang w:val="fr-FR"/>
        </w:rPr>
        <w:t>Preventive</w:t>
      </w:r>
      <w:proofErr w:type="spellEnd"/>
      <w:r w:rsidRPr="00AF7DEE">
        <w:rPr>
          <w:i/>
          <w:iCs/>
          <w:lang w:val="fr-FR"/>
        </w:rPr>
        <w:t xml:space="preserve"> </w:t>
      </w:r>
      <w:proofErr w:type="spellStart"/>
      <w:r w:rsidRPr="00AF7DEE">
        <w:rPr>
          <w:i/>
          <w:iCs/>
          <w:lang w:val="fr-FR"/>
        </w:rPr>
        <w:t>Mechanisms</w:t>
      </w:r>
      <w:proofErr w:type="spellEnd"/>
      <w:r w:rsidRPr="00AF7DEE">
        <w:rPr>
          <w:i/>
          <w:iCs/>
          <w:lang w:val="fr-FR"/>
        </w:rPr>
        <w:t xml:space="preserve">: </w:t>
      </w:r>
      <w:proofErr w:type="spellStart"/>
      <w:r w:rsidRPr="00AF7DEE">
        <w:rPr>
          <w:i/>
          <w:iCs/>
          <w:lang w:val="fr-FR"/>
        </w:rPr>
        <w:t>a</w:t>
      </w:r>
      <w:proofErr w:type="spellEnd"/>
      <w:r w:rsidRPr="00AF7DEE">
        <w:rPr>
          <w:i/>
          <w:iCs/>
          <w:lang w:val="fr-FR"/>
        </w:rPr>
        <w:t xml:space="preserve"> </w:t>
      </w:r>
      <w:proofErr w:type="spellStart"/>
      <w:r w:rsidRPr="00AF7DEE">
        <w:rPr>
          <w:i/>
          <w:iCs/>
          <w:lang w:val="fr-FR"/>
        </w:rPr>
        <w:t>Practical</w:t>
      </w:r>
      <w:proofErr w:type="spellEnd"/>
      <w:r w:rsidRPr="00AF7DEE">
        <w:rPr>
          <w:i/>
          <w:iCs/>
          <w:lang w:val="fr-FR"/>
        </w:rPr>
        <w:t xml:space="preserve"> Guide</w:t>
      </w:r>
      <w:r w:rsidRPr="00D9671F">
        <w:rPr>
          <w:lang w:val="fr-FR"/>
        </w:rPr>
        <w:t xml:space="preserve">, Professional Training </w:t>
      </w:r>
      <w:proofErr w:type="spellStart"/>
      <w:r w:rsidRPr="00D9671F">
        <w:rPr>
          <w:lang w:val="fr-FR"/>
        </w:rPr>
        <w:t>Series</w:t>
      </w:r>
      <w:proofErr w:type="spellEnd"/>
      <w:r w:rsidRPr="00D9671F">
        <w:rPr>
          <w:lang w:val="fr-FR"/>
        </w:rPr>
        <w:t xml:space="preserve"> No. 21</w:t>
      </w:r>
      <w:r>
        <w:rPr>
          <w:lang w:val="fr-FR"/>
        </w:rPr>
        <w:t xml:space="preserve"> (publication des Nations Unies, numéro de vente : 19.XIV.3).</w:t>
      </w:r>
    </w:p>
  </w:footnote>
  <w:footnote w:id="12">
    <w:p w14:paraId="1F3CFE4C" w14:textId="1EF40719" w:rsidR="004C2B6B" w:rsidRDefault="004C2B6B" w:rsidP="00675E41">
      <w:pPr>
        <w:pStyle w:val="FootnoteText"/>
      </w:pPr>
      <w:r>
        <w:rPr>
          <w:lang w:val="fr-FR"/>
        </w:rPr>
        <w:tab/>
      </w:r>
      <w:r w:rsidRPr="008D052A">
        <w:rPr>
          <w:rStyle w:val="FootnoteReference"/>
        </w:rPr>
        <w:footnoteRef/>
      </w:r>
      <w:r w:rsidRPr="00C74FD4">
        <w:rPr>
          <w:szCs w:val="18"/>
        </w:rPr>
        <w:tab/>
      </w:r>
      <w:r>
        <w:t xml:space="preserve">Le mécanisme national de prévention du Sénégal est invité à examiner la possibilité de contacter le programme de renforcement des capacités des organes conventionnels du </w:t>
      </w:r>
      <w:r w:rsidRPr="00675E41">
        <w:t>Haut-Commissariat aux droits de l’homme</w:t>
      </w:r>
      <w:r>
        <w:t xml:space="preserve"> (registry@ohchr.org), qui pourrait faciliter ce dialogue. Les coordonnées du Fonds spécial créé par le Protocole facultatif sont disponibles à l’adresse suivante : </w:t>
      </w:r>
      <w:hyperlink r:id="rId2" w:history="1">
        <w:r w:rsidRPr="001C0599">
          <w:rPr>
            <w:rStyle w:val="Hyperlink"/>
            <w:lang w:val="fr-FR"/>
          </w:rPr>
          <w:t>www.ohchr.org/FR/HRBodies/OPCAT/Fund/Pages/SpecialFund.aspx</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EA66B6" w14:textId="2D2E4707" w:rsidR="004C2B6B" w:rsidRDefault="004C2B6B" w:rsidP="00DC7201">
    <w:pPr>
      <w:pStyle w:val="Header"/>
      <w:tabs>
        <w:tab w:val="left" w:pos="5438"/>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B31067"/>
    <w:multiLevelType w:val="hybridMultilevel"/>
    <w:tmpl w:val="F432B0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674535A"/>
    <w:multiLevelType w:val="hybridMultilevel"/>
    <w:tmpl w:val="B248FAA0"/>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0AE47B14"/>
    <w:multiLevelType w:val="hybridMultilevel"/>
    <w:tmpl w:val="D04466AE"/>
    <w:lvl w:ilvl="0" w:tplc="CCB4A852">
      <w:start w:val="1"/>
      <w:numFmt w:val="upperLetter"/>
      <w:lvlText w:val="%1."/>
      <w:lvlJc w:val="left"/>
      <w:pPr>
        <w:ind w:left="1376" w:hanging="525"/>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4" w15:restartNumberingAfterBreak="0">
    <w:nsid w:val="0D954887"/>
    <w:multiLevelType w:val="hybridMultilevel"/>
    <w:tmpl w:val="22EE8E34"/>
    <w:lvl w:ilvl="0" w:tplc="CF00B3AA">
      <w:start w:val="1"/>
      <w:numFmt w:val="decimal"/>
      <w:pStyle w:val="ParNoG"/>
      <w:lvlText w:val="%1."/>
      <w:lvlJc w:val="left"/>
      <w:pPr>
        <w:tabs>
          <w:tab w:val="num" w:pos="1701"/>
        </w:tabs>
        <w:ind w:left="1134" w:firstLine="0"/>
      </w:pPr>
      <w:rPr>
        <w:rFonts w:ascii="Times New Roman" w:hAnsi="Times New Roman" w:hint="default"/>
        <w:b w:val="0"/>
        <w:i w:val="0"/>
        <w:strike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10FC483B"/>
    <w:multiLevelType w:val="hybridMultilevel"/>
    <w:tmpl w:val="00D0993C"/>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19C30B71"/>
    <w:multiLevelType w:val="hybridMultilevel"/>
    <w:tmpl w:val="5D3C59CE"/>
    <w:lvl w:ilvl="0" w:tplc="75C8E4B4">
      <w:start w:val="1"/>
      <w:numFmt w:val="upperLetter"/>
      <w:lvlText w:val="%1."/>
      <w:lvlJc w:val="left"/>
      <w:pPr>
        <w:ind w:left="1140" w:hanging="570"/>
      </w:pPr>
      <w:rPr>
        <w:rFonts w:hint="default"/>
      </w:rPr>
    </w:lvl>
    <w:lvl w:ilvl="1" w:tplc="08090019" w:tentative="1">
      <w:start w:val="1"/>
      <w:numFmt w:val="lowerLetter"/>
      <w:lvlText w:val="%2."/>
      <w:lvlJc w:val="left"/>
      <w:pPr>
        <w:ind w:left="1650" w:hanging="360"/>
      </w:pPr>
    </w:lvl>
    <w:lvl w:ilvl="2" w:tplc="0809001B" w:tentative="1">
      <w:start w:val="1"/>
      <w:numFmt w:val="lowerRoman"/>
      <w:lvlText w:val="%3."/>
      <w:lvlJc w:val="right"/>
      <w:pPr>
        <w:ind w:left="2370" w:hanging="180"/>
      </w:pPr>
    </w:lvl>
    <w:lvl w:ilvl="3" w:tplc="0809000F" w:tentative="1">
      <w:start w:val="1"/>
      <w:numFmt w:val="decimal"/>
      <w:lvlText w:val="%4."/>
      <w:lvlJc w:val="left"/>
      <w:pPr>
        <w:ind w:left="3090" w:hanging="360"/>
      </w:pPr>
    </w:lvl>
    <w:lvl w:ilvl="4" w:tplc="08090019" w:tentative="1">
      <w:start w:val="1"/>
      <w:numFmt w:val="lowerLetter"/>
      <w:lvlText w:val="%5."/>
      <w:lvlJc w:val="left"/>
      <w:pPr>
        <w:ind w:left="3810" w:hanging="360"/>
      </w:pPr>
    </w:lvl>
    <w:lvl w:ilvl="5" w:tplc="0809001B" w:tentative="1">
      <w:start w:val="1"/>
      <w:numFmt w:val="lowerRoman"/>
      <w:lvlText w:val="%6."/>
      <w:lvlJc w:val="right"/>
      <w:pPr>
        <w:ind w:left="4530" w:hanging="180"/>
      </w:pPr>
    </w:lvl>
    <w:lvl w:ilvl="6" w:tplc="0809000F" w:tentative="1">
      <w:start w:val="1"/>
      <w:numFmt w:val="decimal"/>
      <w:lvlText w:val="%7."/>
      <w:lvlJc w:val="left"/>
      <w:pPr>
        <w:ind w:left="5250" w:hanging="360"/>
      </w:pPr>
    </w:lvl>
    <w:lvl w:ilvl="7" w:tplc="08090019" w:tentative="1">
      <w:start w:val="1"/>
      <w:numFmt w:val="lowerLetter"/>
      <w:lvlText w:val="%8."/>
      <w:lvlJc w:val="left"/>
      <w:pPr>
        <w:ind w:left="5970" w:hanging="360"/>
      </w:pPr>
    </w:lvl>
    <w:lvl w:ilvl="8" w:tplc="0809001B" w:tentative="1">
      <w:start w:val="1"/>
      <w:numFmt w:val="lowerRoman"/>
      <w:lvlText w:val="%9."/>
      <w:lvlJc w:val="right"/>
      <w:pPr>
        <w:ind w:left="6690" w:hanging="180"/>
      </w:pPr>
    </w:lvl>
  </w:abstractNum>
  <w:abstractNum w:abstractNumId="17" w15:restartNumberingAfterBreak="0">
    <w:nsid w:val="1A026A6F"/>
    <w:multiLevelType w:val="hybridMultilevel"/>
    <w:tmpl w:val="A600F88C"/>
    <w:lvl w:ilvl="0" w:tplc="340A0017">
      <w:start w:val="1"/>
      <w:numFmt w:val="lowerLetter"/>
      <w:lvlText w:val="%1)"/>
      <w:lvlJc w:val="left"/>
      <w:pPr>
        <w:ind w:left="36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1B316267"/>
    <w:multiLevelType w:val="hybridMultilevel"/>
    <w:tmpl w:val="8E749446"/>
    <w:styleLink w:val="ImportedStyle4"/>
    <w:lvl w:ilvl="0" w:tplc="C706B9CE">
      <w:start w:val="1"/>
      <w:numFmt w:val="lowerLetter"/>
      <w:lvlText w:val="%1)"/>
      <w:lvlJc w:val="left"/>
      <w:pPr>
        <w:tabs>
          <w:tab w:val="num" w:pos="2160"/>
        </w:tabs>
        <w:ind w:left="1701"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8CC230">
      <w:start w:val="1"/>
      <w:numFmt w:val="lowerLetter"/>
      <w:lvlText w:val="%2."/>
      <w:lvlJc w:val="left"/>
      <w:pPr>
        <w:tabs>
          <w:tab w:val="num" w:pos="2680"/>
        </w:tabs>
        <w:ind w:left="2221"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F6CD7F0">
      <w:start w:val="1"/>
      <w:numFmt w:val="lowerRoman"/>
      <w:lvlText w:val="%3."/>
      <w:lvlJc w:val="left"/>
      <w:pPr>
        <w:tabs>
          <w:tab w:val="num" w:pos="3400"/>
        </w:tabs>
        <w:ind w:left="2941" w:firstLine="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FEDD54">
      <w:start w:val="1"/>
      <w:numFmt w:val="decimal"/>
      <w:lvlText w:val="%4."/>
      <w:lvlJc w:val="left"/>
      <w:pPr>
        <w:tabs>
          <w:tab w:val="num" w:pos="4120"/>
        </w:tabs>
        <w:ind w:left="3661"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A27A8C">
      <w:start w:val="1"/>
      <w:numFmt w:val="lowerLetter"/>
      <w:lvlText w:val="%5."/>
      <w:lvlJc w:val="left"/>
      <w:pPr>
        <w:tabs>
          <w:tab w:val="num" w:pos="4840"/>
        </w:tabs>
        <w:ind w:left="4381"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FC7BFC">
      <w:start w:val="1"/>
      <w:numFmt w:val="lowerRoman"/>
      <w:lvlText w:val="%6."/>
      <w:lvlJc w:val="left"/>
      <w:pPr>
        <w:tabs>
          <w:tab w:val="num" w:pos="5560"/>
        </w:tabs>
        <w:ind w:left="5101" w:firstLine="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9D8F73A">
      <w:start w:val="1"/>
      <w:numFmt w:val="decimal"/>
      <w:lvlText w:val="%7."/>
      <w:lvlJc w:val="left"/>
      <w:pPr>
        <w:tabs>
          <w:tab w:val="num" w:pos="6280"/>
        </w:tabs>
        <w:ind w:left="5821"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4C2A3A">
      <w:start w:val="1"/>
      <w:numFmt w:val="lowerLetter"/>
      <w:lvlText w:val="%8."/>
      <w:lvlJc w:val="left"/>
      <w:pPr>
        <w:tabs>
          <w:tab w:val="num" w:pos="7000"/>
        </w:tabs>
        <w:ind w:left="6541"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1E1FAE">
      <w:start w:val="1"/>
      <w:numFmt w:val="lowerRoman"/>
      <w:lvlText w:val="%9."/>
      <w:lvlJc w:val="left"/>
      <w:pPr>
        <w:tabs>
          <w:tab w:val="num" w:pos="7720"/>
        </w:tabs>
        <w:ind w:left="7261" w:firstLine="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21212BAD"/>
    <w:multiLevelType w:val="hybridMultilevel"/>
    <w:tmpl w:val="CEBA45C8"/>
    <w:lvl w:ilvl="0" w:tplc="8E224FD4">
      <w:start w:val="1"/>
      <w:numFmt w:val="upperRoman"/>
      <w:lvlText w:val="%1."/>
      <w:lvlJc w:val="left"/>
      <w:pPr>
        <w:ind w:left="2138" w:hanging="720"/>
      </w:pPr>
      <w:rPr>
        <w:rFonts w:hint="default"/>
      </w:rPr>
    </w:lvl>
    <w:lvl w:ilvl="1" w:tplc="08090019" w:tentative="1">
      <w:start w:val="1"/>
      <w:numFmt w:val="lowerLetter"/>
      <w:lvlText w:val="%2."/>
      <w:lvlJc w:val="left"/>
      <w:pPr>
        <w:ind w:left="2639" w:hanging="360"/>
      </w:pPr>
    </w:lvl>
    <w:lvl w:ilvl="2" w:tplc="0809001B" w:tentative="1">
      <w:start w:val="1"/>
      <w:numFmt w:val="lowerRoman"/>
      <w:lvlText w:val="%3."/>
      <w:lvlJc w:val="right"/>
      <w:pPr>
        <w:ind w:left="3359" w:hanging="180"/>
      </w:pPr>
    </w:lvl>
    <w:lvl w:ilvl="3" w:tplc="0809000F" w:tentative="1">
      <w:start w:val="1"/>
      <w:numFmt w:val="decimal"/>
      <w:lvlText w:val="%4."/>
      <w:lvlJc w:val="left"/>
      <w:pPr>
        <w:ind w:left="4079" w:hanging="360"/>
      </w:pPr>
    </w:lvl>
    <w:lvl w:ilvl="4" w:tplc="08090019" w:tentative="1">
      <w:start w:val="1"/>
      <w:numFmt w:val="lowerLetter"/>
      <w:lvlText w:val="%5."/>
      <w:lvlJc w:val="left"/>
      <w:pPr>
        <w:ind w:left="4799" w:hanging="360"/>
      </w:pPr>
    </w:lvl>
    <w:lvl w:ilvl="5" w:tplc="0809001B" w:tentative="1">
      <w:start w:val="1"/>
      <w:numFmt w:val="lowerRoman"/>
      <w:lvlText w:val="%6."/>
      <w:lvlJc w:val="right"/>
      <w:pPr>
        <w:ind w:left="5519" w:hanging="180"/>
      </w:pPr>
    </w:lvl>
    <w:lvl w:ilvl="6" w:tplc="0809000F" w:tentative="1">
      <w:start w:val="1"/>
      <w:numFmt w:val="decimal"/>
      <w:lvlText w:val="%7."/>
      <w:lvlJc w:val="left"/>
      <w:pPr>
        <w:ind w:left="6239" w:hanging="360"/>
      </w:pPr>
    </w:lvl>
    <w:lvl w:ilvl="7" w:tplc="08090019" w:tentative="1">
      <w:start w:val="1"/>
      <w:numFmt w:val="lowerLetter"/>
      <w:lvlText w:val="%8."/>
      <w:lvlJc w:val="left"/>
      <w:pPr>
        <w:ind w:left="6959" w:hanging="360"/>
      </w:pPr>
    </w:lvl>
    <w:lvl w:ilvl="8" w:tplc="0809001B" w:tentative="1">
      <w:start w:val="1"/>
      <w:numFmt w:val="lowerRoman"/>
      <w:lvlText w:val="%9."/>
      <w:lvlJc w:val="right"/>
      <w:pPr>
        <w:ind w:left="7679" w:hanging="180"/>
      </w:pPr>
    </w:lvl>
  </w:abstractNum>
  <w:abstractNum w:abstractNumId="20" w15:restartNumberingAfterBreak="0">
    <w:nsid w:val="248A7259"/>
    <w:multiLevelType w:val="hybridMultilevel"/>
    <w:tmpl w:val="8F26356E"/>
    <w:lvl w:ilvl="0" w:tplc="06A40EC2">
      <w:start w:val="4"/>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21" w15:restartNumberingAfterBreak="0">
    <w:nsid w:val="28E3424A"/>
    <w:multiLevelType w:val="hybridMultilevel"/>
    <w:tmpl w:val="656A1E98"/>
    <w:lvl w:ilvl="0" w:tplc="2F704CE6">
      <w:start w:val="29"/>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2" w15:restartNumberingAfterBreak="0">
    <w:nsid w:val="2B744E46"/>
    <w:multiLevelType w:val="hybridMultilevel"/>
    <w:tmpl w:val="17EC05E4"/>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2DA72E09"/>
    <w:multiLevelType w:val="hybridMultilevel"/>
    <w:tmpl w:val="8DB2596E"/>
    <w:lvl w:ilvl="0" w:tplc="75C8E4B4">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3AE5524"/>
    <w:multiLevelType w:val="hybridMultilevel"/>
    <w:tmpl w:val="E3D61264"/>
    <w:lvl w:ilvl="0" w:tplc="25CC52F4">
      <w:start w:val="7"/>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5" w15:restartNumberingAfterBreak="0">
    <w:nsid w:val="371848AF"/>
    <w:multiLevelType w:val="hybridMultilevel"/>
    <w:tmpl w:val="485C5DA0"/>
    <w:styleLink w:val="ImportedStyle1"/>
    <w:lvl w:ilvl="0" w:tplc="569ACAC4">
      <w:start w:val="1"/>
      <w:numFmt w:val="decimal"/>
      <w:lvlText w:val="%1."/>
      <w:lvlJc w:val="left"/>
      <w:pPr>
        <w:tabs>
          <w:tab w:val="num" w:pos="1440"/>
        </w:tabs>
        <w:ind w:left="1134"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53EB6CC">
      <w:start w:val="1"/>
      <w:numFmt w:val="lowerLetter"/>
      <w:lvlText w:val="%2."/>
      <w:lvlJc w:val="left"/>
      <w:pPr>
        <w:tabs>
          <w:tab w:val="num" w:pos="1746"/>
        </w:tabs>
        <w:ind w:left="1440" w:hanging="5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2B83E34">
      <w:start w:val="1"/>
      <w:numFmt w:val="lowerRoman"/>
      <w:lvlText w:val="%3."/>
      <w:lvlJc w:val="left"/>
      <w:pPr>
        <w:tabs>
          <w:tab w:val="num" w:pos="2466"/>
        </w:tabs>
        <w:ind w:left="216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05ABA7E">
      <w:start w:val="1"/>
      <w:numFmt w:val="decimal"/>
      <w:lvlText w:val="%4."/>
      <w:lvlJc w:val="left"/>
      <w:pPr>
        <w:tabs>
          <w:tab w:val="num" w:pos="3186"/>
        </w:tabs>
        <w:ind w:left="2880" w:hanging="5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600F914">
      <w:start w:val="1"/>
      <w:numFmt w:val="lowerLetter"/>
      <w:lvlText w:val="%5."/>
      <w:lvlJc w:val="left"/>
      <w:pPr>
        <w:tabs>
          <w:tab w:val="num" w:pos="3906"/>
        </w:tabs>
        <w:ind w:left="3600" w:hanging="5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9B83C48">
      <w:start w:val="1"/>
      <w:numFmt w:val="lowerRoman"/>
      <w:lvlText w:val="%6."/>
      <w:lvlJc w:val="left"/>
      <w:pPr>
        <w:tabs>
          <w:tab w:val="num" w:pos="4626"/>
        </w:tabs>
        <w:ind w:left="432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1C3CE8">
      <w:start w:val="1"/>
      <w:numFmt w:val="decimal"/>
      <w:lvlText w:val="%7."/>
      <w:lvlJc w:val="left"/>
      <w:pPr>
        <w:tabs>
          <w:tab w:val="num" w:pos="5346"/>
        </w:tabs>
        <w:ind w:left="5040" w:hanging="5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0ABC18">
      <w:start w:val="1"/>
      <w:numFmt w:val="lowerLetter"/>
      <w:lvlText w:val="%8."/>
      <w:lvlJc w:val="left"/>
      <w:pPr>
        <w:tabs>
          <w:tab w:val="num" w:pos="6066"/>
        </w:tabs>
        <w:ind w:left="5760" w:hanging="5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270C67C">
      <w:start w:val="1"/>
      <w:numFmt w:val="lowerRoman"/>
      <w:lvlText w:val="%9."/>
      <w:lvlJc w:val="left"/>
      <w:pPr>
        <w:tabs>
          <w:tab w:val="num" w:pos="6786"/>
        </w:tabs>
        <w:ind w:left="648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7" w15:restartNumberingAfterBreak="0">
    <w:nsid w:val="3B557A88"/>
    <w:multiLevelType w:val="hybridMultilevel"/>
    <w:tmpl w:val="EDDA5F5A"/>
    <w:lvl w:ilvl="0" w:tplc="64FEDB34">
      <w:start w:val="3"/>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8" w15:restartNumberingAfterBreak="0">
    <w:nsid w:val="3C7C1868"/>
    <w:multiLevelType w:val="hybridMultilevel"/>
    <w:tmpl w:val="EF620FE4"/>
    <w:lvl w:ilvl="0" w:tplc="BA34D6A4">
      <w:start w:val="20"/>
      <w:numFmt w:val="lowerRoman"/>
      <w:lvlText w:val="%1."/>
      <w:lvlJc w:val="left"/>
      <w:pPr>
        <w:ind w:left="2466" w:hanging="720"/>
      </w:pPr>
      <w:rPr>
        <w:rFonts w:hint="default"/>
      </w:rPr>
    </w:lvl>
    <w:lvl w:ilvl="1" w:tplc="08090019" w:tentative="1">
      <w:start w:val="1"/>
      <w:numFmt w:val="lowerLetter"/>
      <w:lvlText w:val="%2."/>
      <w:lvlJc w:val="left"/>
      <w:pPr>
        <w:ind w:left="2826" w:hanging="360"/>
      </w:pPr>
    </w:lvl>
    <w:lvl w:ilvl="2" w:tplc="0809001B" w:tentative="1">
      <w:start w:val="1"/>
      <w:numFmt w:val="lowerRoman"/>
      <w:lvlText w:val="%3."/>
      <w:lvlJc w:val="right"/>
      <w:pPr>
        <w:ind w:left="3546" w:hanging="180"/>
      </w:pPr>
    </w:lvl>
    <w:lvl w:ilvl="3" w:tplc="0809000F" w:tentative="1">
      <w:start w:val="1"/>
      <w:numFmt w:val="decimal"/>
      <w:lvlText w:val="%4."/>
      <w:lvlJc w:val="left"/>
      <w:pPr>
        <w:ind w:left="4266" w:hanging="360"/>
      </w:pPr>
    </w:lvl>
    <w:lvl w:ilvl="4" w:tplc="08090019" w:tentative="1">
      <w:start w:val="1"/>
      <w:numFmt w:val="lowerLetter"/>
      <w:lvlText w:val="%5."/>
      <w:lvlJc w:val="left"/>
      <w:pPr>
        <w:ind w:left="4986" w:hanging="360"/>
      </w:pPr>
    </w:lvl>
    <w:lvl w:ilvl="5" w:tplc="0809001B" w:tentative="1">
      <w:start w:val="1"/>
      <w:numFmt w:val="lowerRoman"/>
      <w:lvlText w:val="%6."/>
      <w:lvlJc w:val="right"/>
      <w:pPr>
        <w:ind w:left="5706" w:hanging="180"/>
      </w:pPr>
    </w:lvl>
    <w:lvl w:ilvl="6" w:tplc="0809000F" w:tentative="1">
      <w:start w:val="1"/>
      <w:numFmt w:val="decimal"/>
      <w:lvlText w:val="%7."/>
      <w:lvlJc w:val="left"/>
      <w:pPr>
        <w:ind w:left="6426" w:hanging="360"/>
      </w:pPr>
    </w:lvl>
    <w:lvl w:ilvl="7" w:tplc="08090019" w:tentative="1">
      <w:start w:val="1"/>
      <w:numFmt w:val="lowerLetter"/>
      <w:lvlText w:val="%8."/>
      <w:lvlJc w:val="left"/>
      <w:pPr>
        <w:ind w:left="7146" w:hanging="360"/>
      </w:pPr>
    </w:lvl>
    <w:lvl w:ilvl="8" w:tplc="0809001B" w:tentative="1">
      <w:start w:val="1"/>
      <w:numFmt w:val="lowerRoman"/>
      <w:lvlText w:val="%9."/>
      <w:lvlJc w:val="right"/>
      <w:pPr>
        <w:ind w:left="7866" w:hanging="180"/>
      </w:pPr>
    </w:lvl>
  </w:abstractNum>
  <w:abstractNum w:abstractNumId="29" w15:restartNumberingAfterBreak="0">
    <w:nsid w:val="3C8D2736"/>
    <w:multiLevelType w:val="hybridMultilevel"/>
    <w:tmpl w:val="17E4E24C"/>
    <w:lvl w:ilvl="0" w:tplc="A2EA59E4">
      <w:start w:val="5"/>
      <w:numFmt w:val="bullet"/>
      <w:lvlText w:val="-"/>
      <w:lvlJc w:val="left"/>
      <w:pPr>
        <w:ind w:left="1065" w:hanging="360"/>
      </w:pPr>
      <w:rPr>
        <w:rFonts w:ascii="Times New Roman" w:eastAsiaTheme="minorHAnsi" w:hAnsi="Times New Roman" w:cs="Times New Roman" w:hint="default"/>
      </w:rPr>
    </w:lvl>
    <w:lvl w:ilvl="1" w:tplc="040C0003">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0" w15:restartNumberingAfterBreak="0">
    <w:nsid w:val="3DF408EC"/>
    <w:multiLevelType w:val="hybridMultilevel"/>
    <w:tmpl w:val="D72AF244"/>
    <w:lvl w:ilvl="0" w:tplc="78525BD8">
      <w:start w:val="20"/>
      <w:numFmt w:val="lowerRoman"/>
      <w:lvlText w:val="%1."/>
      <w:lvlJc w:val="left"/>
      <w:pPr>
        <w:ind w:left="1854"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1" w15:restartNumberingAfterBreak="0">
    <w:nsid w:val="40804206"/>
    <w:multiLevelType w:val="hybridMultilevel"/>
    <w:tmpl w:val="7A22D25E"/>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467D74DE"/>
    <w:multiLevelType w:val="hybridMultilevel"/>
    <w:tmpl w:val="595203C4"/>
    <w:styleLink w:val="ImportedStyle2"/>
    <w:lvl w:ilvl="0" w:tplc="C1265ED0">
      <w:start w:val="1"/>
      <w:numFmt w:val="lowerLetter"/>
      <w:lvlText w:val="%1)"/>
      <w:lvlJc w:val="left"/>
      <w:pPr>
        <w:tabs>
          <w:tab w:val="num" w:pos="2160"/>
        </w:tabs>
        <w:ind w:left="1701"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84EA364">
      <w:start w:val="1"/>
      <w:numFmt w:val="lowerLetter"/>
      <w:lvlText w:val="%2."/>
      <w:lvlJc w:val="left"/>
      <w:pPr>
        <w:tabs>
          <w:tab w:val="num" w:pos="2120"/>
        </w:tabs>
        <w:ind w:left="1661" w:hanging="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658A1C2">
      <w:start w:val="1"/>
      <w:numFmt w:val="lowerRoman"/>
      <w:lvlText w:val="%3."/>
      <w:lvlJc w:val="left"/>
      <w:pPr>
        <w:tabs>
          <w:tab w:val="num" w:pos="2840"/>
        </w:tabs>
        <w:ind w:left="2381" w:firstLine="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076C892">
      <w:start w:val="1"/>
      <w:numFmt w:val="decimal"/>
      <w:lvlText w:val="%4."/>
      <w:lvlJc w:val="left"/>
      <w:pPr>
        <w:tabs>
          <w:tab w:val="num" w:pos="3560"/>
        </w:tabs>
        <w:ind w:left="3101" w:hanging="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9025B08">
      <w:start w:val="1"/>
      <w:numFmt w:val="lowerLetter"/>
      <w:lvlText w:val="%5."/>
      <w:lvlJc w:val="left"/>
      <w:pPr>
        <w:tabs>
          <w:tab w:val="num" w:pos="4280"/>
        </w:tabs>
        <w:ind w:left="3821" w:hanging="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312553A">
      <w:start w:val="1"/>
      <w:numFmt w:val="lowerRoman"/>
      <w:lvlText w:val="%6."/>
      <w:lvlJc w:val="left"/>
      <w:pPr>
        <w:tabs>
          <w:tab w:val="num" w:pos="5000"/>
        </w:tabs>
        <w:ind w:left="4541" w:firstLine="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C2266FE">
      <w:start w:val="1"/>
      <w:numFmt w:val="decimal"/>
      <w:lvlText w:val="%7."/>
      <w:lvlJc w:val="left"/>
      <w:pPr>
        <w:tabs>
          <w:tab w:val="num" w:pos="5720"/>
        </w:tabs>
        <w:ind w:left="5261" w:hanging="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9943CBA">
      <w:start w:val="1"/>
      <w:numFmt w:val="lowerLetter"/>
      <w:lvlText w:val="%8."/>
      <w:lvlJc w:val="left"/>
      <w:pPr>
        <w:tabs>
          <w:tab w:val="num" w:pos="6440"/>
        </w:tabs>
        <w:ind w:left="5981" w:hanging="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CE8986">
      <w:start w:val="1"/>
      <w:numFmt w:val="lowerRoman"/>
      <w:lvlText w:val="%9."/>
      <w:lvlJc w:val="left"/>
      <w:pPr>
        <w:tabs>
          <w:tab w:val="num" w:pos="7160"/>
        </w:tabs>
        <w:ind w:left="6701" w:firstLine="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C3A0CA0"/>
    <w:multiLevelType w:val="multilevel"/>
    <w:tmpl w:val="28B072C2"/>
    <w:lvl w:ilvl="0">
      <w:start w:val="1"/>
      <w:numFmt w:val="decimal"/>
      <w:lvlText w:val="%1."/>
      <w:lvlJc w:val="left"/>
      <w:pPr>
        <w:ind w:left="1495"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34" w15:restartNumberingAfterBreak="0">
    <w:nsid w:val="4D882127"/>
    <w:multiLevelType w:val="hybridMultilevel"/>
    <w:tmpl w:val="216EC57A"/>
    <w:lvl w:ilvl="0" w:tplc="3FB0B79A">
      <w:start w:val="3"/>
      <w:numFmt w:val="bullet"/>
      <w:lvlText w:val="-"/>
      <w:lvlJc w:val="left"/>
      <w:pPr>
        <w:ind w:left="2484" w:hanging="360"/>
      </w:pPr>
      <w:rPr>
        <w:rFonts w:ascii="Calibri" w:eastAsiaTheme="minorHAnsi" w:hAnsi="Calibri" w:cs="Calibri" w:hint="default"/>
      </w:rPr>
    </w:lvl>
    <w:lvl w:ilvl="1" w:tplc="08090003" w:tentative="1">
      <w:start w:val="1"/>
      <w:numFmt w:val="bullet"/>
      <w:lvlText w:val="o"/>
      <w:lvlJc w:val="left"/>
      <w:pPr>
        <w:ind w:left="3204" w:hanging="360"/>
      </w:pPr>
      <w:rPr>
        <w:rFonts w:ascii="Courier New" w:hAnsi="Courier New" w:cs="Courier New" w:hint="default"/>
      </w:rPr>
    </w:lvl>
    <w:lvl w:ilvl="2" w:tplc="08090005" w:tentative="1">
      <w:start w:val="1"/>
      <w:numFmt w:val="bullet"/>
      <w:lvlText w:val=""/>
      <w:lvlJc w:val="left"/>
      <w:pPr>
        <w:ind w:left="3924" w:hanging="360"/>
      </w:pPr>
      <w:rPr>
        <w:rFonts w:ascii="Wingdings" w:hAnsi="Wingdings" w:hint="default"/>
      </w:rPr>
    </w:lvl>
    <w:lvl w:ilvl="3" w:tplc="08090001" w:tentative="1">
      <w:start w:val="1"/>
      <w:numFmt w:val="bullet"/>
      <w:lvlText w:val=""/>
      <w:lvlJc w:val="left"/>
      <w:pPr>
        <w:ind w:left="4644" w:hanging="360"/>
      </w:pPr>
      <w:rPr>
        <w:rFonts w:ascii="Symbol" w:hAnsi="Symbol" w:hint="default"/>
      </w:rPr>
    </w:lvl>
    <w:lvl w:ilvl="4" w:tplc="08090003" w:tentative="1">
      <w:start w:val="1"/>
      <w:numFmt w:val="bullet"/>
      <w:lvlText w:val="o"/>
      <w:lvlJc w:val="left"/>
      <w:pPr>
        <w:ind w:left="5364" w:hanging="360"/>
      </w:pPr>
      <w:rPr>
        <w:rFonts w:ascii="Courier New" w:hAnsi="Courier New" w:cs="Courier New" w:hint="default"/>
      </w:rPr>
    </w:lvl>
    <w:lvl w:ilvl="5" w:tplc="08090005" w:tentative="1">
      <w:start w:val="1"/>
      <w:numFmt w:val="bullet"/>
      <w:lvlText w:val=""/>
      <w:lvlJc w:val="left"/>
      <w:pPr>
        <w:ind w:left="6084" w:hanging="360"/>
      </w:pPr>
      <w:rPr>
        <w:rFonts w:ascii="Wingdings" w:hAnsi="Wingdings" w:hint="default"/>
      </w:rPr>
    </w:lvl>
    <w:lvl w:ilvl="6" w:tplc="08090001" w:tentative="1">
      <w:start w:val="1"/>
      <w:numFmt w:val="bullet"/>
      <w:lvlText w:val=""/>
      <w:lvlJc w:val="left"/>
      <w:pPr>
        <w:ind w:left="6804" w:hanging="360"/>
      </w:pPr>
      <w:rPr>
        <w:rFonts w:ascii="Symbol" w:hAnsi="Symbol" w:hint="default"/>
      </w:rPr>
    </w:lvl>
    <w:lvl w:ilvl="7" w:tplc="08090003" w:tentative="1">
      <w:start w:val="1"/>
      <w:numFmt w:val="bullet"/>
      <w:lvlText w:val="o"/>
      <w:lvlJc w:val="left"/>
      <w:pPr>
        <w:ind w:left="7524" w:hanging="360"/>
      </w:pPr>
      <w:rPr>
        <w:rFonts w:ascii="Courier New" w:hAnsi="Courier New" w:cs="Courier New" w:hint="default"/>
      </w:rPr>
    </w:lvl>
    <w:lvl w:ilvl="8" w:tplc="08090005" w:tentative="1">
      <w:start w:val="1"/>
      <w:numFmt w:val="bullet"/>
      <w:lvlText w:val=""/>
      <w:lvlJc w:val="left"/>
      <w:pPr>
        <w:ind w:left="8244" w:hanging="360"/>
      </w:pPr>
      <w:rPr>
        <w:rFonts w:ascii="Wingdings" w:hAnsi="Wingdings" w:hint="default"/>
      </w:rPr>
    </w:lvl>
  </w:abstractNum>
  <w:abstractNum w:abstractNumId="35" w15:restartNumberingAfterBreak="0">
    <w:nsid w:val="4F41324D"/>
    <w:multiLevelType w:val="hybridMultilevel"/>
    <w:tmpl w:val="C8AC1E20"/>
    <w:lvl w:ilvl="0" w:tplc="3FB0B79A">
      <w:start w:val="3"/>
      <w:numFmt w:val="bullet"/>
      <w:lvlText w:val="-"/>
      <w:lvlJc w:val="left"/>
      <w:pPr>
        <w:ind w:left="1428" w:hanging="360"/>
      </w:pPr>
      <w:rPr>
        <w:rFonts w:ascii="Calibri" w:eastAsiaTheme="minorHAnsi" w:hAnsi="Calibri" w:cs="Calibri"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6" w15:restartNumberingAfterBreak="0">
    <w:nsid w:val="5D84664F"/>
    <w:multiLevelType w:val="hybridMultilevel"/>
    <w:tmpl w:val="7C32F802"/>
    <w:lvl w:ilvl="0" w:tplc="0809000F">
      <w:start w:val="1"/>
      <w:numFmt w:val="decimal"/>
      <w:lvlText w:val="%1."/>
      <w:lvlJc w:val="left"/>
      <w:pPr>
        <w:ind w:left="1495"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7" w15:restartNumberingAfterBreak="0">
    <w:nsid w:val="659A07D3"/>
    <w:multiLevelType w:val="hybridMultilevel"/>
    <w:tmpl w:val="BED452F8"/>
    <w:lvl w:ilvl="0" w:tplc="3042CE4C">
      <w:start w:val="20"/>
      <w:numFmt w:val="lowerRoman"/>
      <w:lvlText w:val="%1."/>
      <w:lvlJc w:val="left"/>
      <w:pPr>
        <w:ind w:left="3384" w:hanging="720"/>
      </w:pPr>
      <w:rPr>
        <w:rFonts w:hint="default"/>
      </w:rPr>
    </w:lvl>
    <w:lvl w:ilvl="1" w:tplc="08090019" w:tentative="1">
      <w:start w:val="1"/>
      <w:numFmt w:val="lowerLetter"/>
      <w:lvlText w:val="%2."/>
      <w:lvlJc w:val="left"/>
      <w:pPr>
        <w:ind w:left="3744" w:hanging="360"/>
      </w:pPr>
    </w:lvl>
    <w:lvl w:ilvl="2" w:tplc="0809001B" w:tentative="1">
      <w:start w:val="1"/>
      <w:numFmt w:val="lowerRoman"/>
      <w:lvlText w:val="%3."/>
      <w:lvlJc w:val="right"/>
      <w:pPr>
        <w:ind w:left="4464" w:hanging="180"/>
      </w:pPr>
    </w:lvl>
    <w:lvl w:ilvl="3" w:tplc="0809000F" w:tentative="1">
      <w:start w:val="1"/>
      <w:numFmt w:val="decimal"/>
      <w:lvlText w:val="%4."/>
      <w:lvlJc w:val="left"/>
      <w:pPr>
        <w:ind w:left="5184" w:hanging="360"/>
      </w:pPr>
    </w:lvl>
    <w:lvl w:ilvl="4" w:tplc="08090019" w:tentative="1">
      <w:start w:val="1"/>
      <w:numFmt w:val="lowerLetter"/>
      <w:lvlText w:val="%5."/>
      <w:lvlJc w:val="left"/>
      <w:pPr>
        <w:ind w:left="5904" w:hanging="360"/>
      </w:pPr>
    </w:lvl>
    <w:lvl w:ilvl="5" w:tplc="0809001B" w:tentative="1">
      <w:start w:val="1"/>
      <w:numFmt w:val="lowerRoman"/>
      <w:lvlText w:val="%6."/>
      <w:lvlJc w:val="right"/>
      <w:pPr>
        <w:ind w:left="6624" w:hanging="180"/>
      </w:pPr>
    </w:lvl>
    <w:lvl w:ilvl="6" w:tplc="0809000F" w:tentative="1">
      <w:start w:val="1"/>
      <w:numFmt w:val="decimal"/>
      <w:lvlText w:val="%7."/>
      <w:lvlJc w:val="left"/>
      <w:pPr>
        <w:ind w:left="7344" w:hanging="360"/>
      </w:pPr>
    </w:lvl>
    <w:lvl w:ilvl="7" w:tplc="08090019" w:tentative="1">
      <w:start w:val="1"/>
      <w:numFmt w:val="lowerLetter"/>
      <w:lvlText w:val="%8."/>
      <w:lvlJc w:val="left"/>
      <w:pPr>
        <w:ind w:left="8064" w:hanging="360"/>
      </w:pPr>
    </w:lvl>
    <w:lvl w:ilvl="8" w:tplc="0809001B" w:tentative="1">
      <w:start w:val="1"/>
      <w:numFmt w:val="lowerRoman"/>
      <w:lvlText w:val="%9."/>
      <w:lvlJc w:val="right"/>
      <w:pPr>
        <w:ind w:left="8784" w:hanging="180"/>
      </w:pPr>
    </w:lvl>
  </w:abstractNum>
  <w:abstractNum w:abstractNumId="38"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40" w15:restartNumberingAfterBreak="0">
    <w:nsid w:val="69E26131"/>
    <w:multiLevelType w:val="hybridMultilevel"/>
    <w:tmpl w:val="19926A4C"/>
    <w:lvl w:ilvl="0" w:tplc="7570D2F8">
      <w:start w:val="20"/>
      <w:numFmt w:val="lowerRoman"/>
      <w:lvlText w:val="%1."/>
      <w:lvlJc w:val="left"/>
      <w:pPr>
        <w:ind w:left="1854"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1" w15:restartNumberingAfterBreak="0">
    <w:nsid w:val="6A9F2B59"/>
    <w:multiLevelType w:val="hybridMultilevel"/>
    <w:tmpl w:val="813EB60C"/>
    <w:lvl w:ilvl="0" w:tplc="772681AA">
      <w:start w:val="1"/>
      <w:numFmt w:val="bullet"/>
      <w:lvlText w:val="-"/>
      <w:lvlJc w:val="left"/>
      <w:pPr>
        <w:ind w:left="1854" w:hanging="360"/>
      </w:pPr>
      <w:rPr>
        <w:rFonts w:ascii="Times New Roman" w:hAnsi="Times New Roman" w:cs="Times New Roman" w:hint="default"/>
        <w:sz w:val="20"/>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2" w15:restartNumberingAfterBreak="0">
    <w:nsid w:val="6D4D7935"/>
    <w:multiLevelType w:val="hybridMultilevel"/>
    <w:tmpl w:val="3BB85EBC"/>
    <w:lvl w:ilvl="0" w:tplc="0AE09E74">
      <w:start w:val="1"/>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43" w15:restartNumberingAfterBreak="0">
    <w:nsid w:val="6DD96BF0"/>
    <w:multiLevelType w:val="hybridMultilevel"/>
    <w:tmpl w:val="2452B084"/>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4" w15:restartNumberingAfterBreak="0">
    <w:nsid w:val="6E26765D"/>
    <w:multiLevelType w:val="hybridMultilevel"/>
    <w:tmpl w:val="2C50705C"/>
    <w:styleLink w:val="Style2import"/>
    <w:lvl w:ilvl="0" w:tplc="F47865FC">
      <w:start w:val="1"/>
      <w:numFmt w:val="lowerLetter"/>
      <w:lvlText w:val="%1)"/>
      <w:lvlJc w:val="left"/>
      <w:pPr>
        <w:tabs>
          <w:tab w:val="num" w:pos="2268"/>
        </w:tabs>
        <w:ind w:left="1701"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EEF5F6">
      <w:start w:val="1"/>
      <w:numFmt w:val="lowerLetter"/>
      <w:lvlText w:val="%2."/>
      <w:lvlJc w:val="left"/>
      <w:pPr>
        <w:tabs>
          <w:tab w:val="num" w:pos="2228"/>
          <w:tab w:val="left" w:pos="2268"/>
        </w:tabs>
        <w:ind w:left="1661" w:firstLine="1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28CDC4">
      <w:start w:val="1"/>
      <w:numFmt w:val="lowerRoman"/>
      <w:lvlText w:val="%3."/>
      <w:lvlJc w:val="left"/>
      <w:pPr>
        <w:tabs>
          <w:tab w:val="left" w:pos="2268"/>
          <w:tab w:val="num" w:pos="2948"/>
        </w:tabs>
        <w:ind w:left="2381" w:firstLine="3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4073EA">
      <w:start w:val="1"/>
      <w:numFmt w:val="decimal"/>
      <w:suff w:val="nothing"/>
      <w:lvlText w:val="%4."/>
      <w:lvlJc w:val="left"/>
      <w:pPr>
        <w:tabs>
          <w:tab w:val="left" w:pos="2268"/>
        </w:tabs>
        <w:ind w:left="3101" w:firstLine="4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4024EFC">
      <w:start w:val="1"/>
      <w:numFmt w:val="lowerLetter"/>
      <w:lvlText w:val="%5."/>
      <w:lvlJc w:val="left"/>
      <w:pPr>
        <w:tabs>
          <w:tab w:val="left" w:pos="2268"/>
          <w:tab w:val="num" w:pos="4388"/>
        </w:tabs>
        <w:ind w:left="3821" w:firstLine="4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0CAB42">
      <w:start w:val="1"/>
      <w:numFmt w:val="lowerRoman"/>
      <w:lvlText w:val="%6."/>
      <w:lvlJc w:val="left"/>
      <w:pPr>
        <w:tabs>
          <w:tab w:val="left" w:pos="2268"/>
          <w:tab w:val="num" w:pos="5108"/>
        </w:tabs>
        <w:ind w:left="4541" w:firstLine="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65BF2">
      <w:start w:val="1"/>
      <w:numFmt w:val="decimal"/>
      <w:lvlText w:val="%7."/>
      <w:lvlJc w:val="left"/>
      <w:pPr>
        <w:tabs>
          <w:tab w:val="left" w:pos="2268"/>
          <w:tab w:val="num" w:pos="5828"/>
        </w:tabs>
        <w:ind w:left="5261" w:firstLine="3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24A2070">
      <w:start w:val="1"/>
      <w:numFmt w:val="lowerLetter"/>
      <w:lvlText w:val="%8."/>
      <w:lvlJc w:val="left"/>
      <w:pPr>
        <w:tabs>
          <w:tab w:val="left" w:pos="2268"/>
          <w:tab w:val="num" w:pos="6548"/>
        </w:tabs>
        <w:ind w:left="5981" w:hanging="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0E5896">
      <w:start w:val="1"/>
      <w:numFmt w:val="lowerRoman"/>
      <w:lvlText w:val="%9."/>
      <w:lvlJc w:val="left"/>
      <w:pPr>
        <w:tabs>
          <w:tab w:val="left" w:pos="2268"/>
          <w:tab w:val="num" w:pos="7268"/>
        </w:tabs>
        <w:ind w:left="6701" w:firstLine="1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78693327"/>
    <w:multiLevelType w:val="hybridMultilevel"/>
    <w:tmpl w:val="4DDE971A"/>
    <w:styleLink w:val="ImportedStyle5"/>
    <w:lvl w:ilvl="0" w:tplc="37B0E8C4">
      <w:start w:val="1"/>
      <w:numFmt w:val="lowerLetter"/>
      <w:lvlText w:val="%1)"/>
      <w:lvlJc w:val="left"/>
      <w:pPr>
        <w:tabs>
          <w:tab w:val="num" w:pos="2268"/>
        </w:tabs>
        <w:ind w:left="1701"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37AD59A">
      <w:start w:val="1"/>
      <w:numFmt w:val="lowerLetter"/>
      <w:lvlText w:val="%2."/>
      <w:lvlJc w:val="left"/>
      <w:pPr>
        <w:tabs>
          <w:tab w:val="left" w:pos="2268"/>
          <w:tab w:val="num" w:pos="2788"/>
        </w:tabs>
        <w:ind w:left="2221" w:firstLine="1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148A6E2">
      <w:start w:val="1"/>
      <w:numFmt w:val="lowerRoman"/>
      <w:lvlText w:val="%3."/>
      <w:lvlJc w:val="left"/>
      <w:pPr>
        <w:tabs>
          <w:tab w:val="left" w:pos="2268"/>
          <w:tab w:val="num" w:pos="3508"/>
        </w:tabs>
        <w:ind w:left="2941" w:firstLine="3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8CA4CE2">
      <w:start w:val="1"/>
      <w:numFmt w:val="decimal"/>
      <w:suff w:val="nothing"/>
      <w:lvlText w:val="%4."/>
      <w:lvlJc w:val="left"/>
      <w:pPr>
        <w:tabs>
          <w:tab w:val="left" w:pos="2268"/>
        </w:tabs>
        <w:ind w:left="3661" w:firstLine="4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E04F286">
      <w:start w:val="1"/>
      <w:numFmt w:val="lowerLetter"/>
      <w:lvlText w:val="%5."/>
      <w:lvlJc w:val="left"/>
      <w:pPr>
        <w:tabs>
          <w:tab w:val="left" w:pos="2268"/>
          <w:tab w:val="num" w:pos="4948"/>
        </w:tabs>
        <w:ind w:left="4381" w:firstLine="4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36F6C4">
      <w:start w:val="1"/>
      <w:numFmt w:val="lowerRoman"/>
      <w:lvlText w:val="%6."/>
      <w:lvlJc w:val="left"/>
      <w:pPr>
        <w:tabs>
          <w:tab w:val="left" w:pos="2268"/>
          <w:tab w:val="num" w:pos="5668"/>
        </w:tabs>
        <w:ind w:left="5101" w:firstLine="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EC5216">
      <w:start w:val="1"/>
      <w:numFmt w:val="decimal"/>
      <w:lvlText w:val="%7."/>
      <w:lvlJc w:val="left"/>
      <w:pPr>
        <w:tabs>
          <w:tab w:val="left" w:pos="2268"/>
          <w:tab w:val="num" w:pos="6388"/>
        </w:tabs>
        <w:ind w:left="5821" w:firstLine="3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6470A8">
      <w:start w:val="1"/>
      <w:numFmt w:val="lowerLetter"/>
      <w:lvlText w:val="%8."/>
      <w:lvlJc w:val="left"/>
      <w:pPr>
        <w:tabs>
          <w:tab w:val="left" w:pos="2268"/>
          <w:tab w:val="num" w:pos="7108"/>
        </w:tabs>
        <w:ind w:left="6541" w:hanging="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88AC6DA">
      <w:start w:val="1"/>
      <w:numFmt w:val="lowerRoman"/>
      <w:lvlText w:val="%9."/>
      <w:lvlJc w:val="left"/>
      <w:pPr>
        <w:tabs>
          <w:tab w:val="left" w:pos="2268"/>
          <w:tab w:val="num" w:pos="7828"/>
        </w:tabs>
        <w:ind w:left="7261" w:firstLine="1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793E17A7"/>
    <w:multiLevelType w:val="hybridMultilevel"/>
    <w:tmpl w:val="2856DC6A"/>
    <w:styleLink w:val="Style3import"/>
    <w:lvl w:ilvl="0" w:tplc="5B9CF4CA">
      <w:start w:val="1"/>
      <w:numFmt w:val="lowerLetter"/>
      <w:lvlText w:val="%1)"/>
      <w:lvlJc w:val="left"/>
      <w:pPr>
        <w:tabs>
          <w:tab w:val="num" w:pos="2268"/>
        </w:tabs>
        <w:ind w:left="1701"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1602848">
      <w:start w:val="1"/>
      <w:numFmt w:val="lowerLetter"/>
      <w:lvlText w:val="%2."/>
      <w:lvlJc w:val="left"/>
      <w:pPr>
        <w:tabs>
          <w:tab w:val="left" w:pos="2268"/>
          <w:tab w:val="num" w:pos="2788"/>
        </w:tabs>
        <w:ind w:left="2221" w:firstLine="1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28A9A08">
      <w:start w:val="1"/>
      <w:numFmt w:val="lowerRoman"/>
      <w:lvlText w:val="%3."/>
      <w:lvlJc w:val="left"/>
      <w:pPr>
        <w:tabs>
          <w:tab w:val="left" w:pos="2268"/>
          <w:tab w:val="num" w:pos="3508"/>
        </w:tabs>
        <w:ind w:left="2941" w:firstLine="3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3C6BDA">
      <w:start w:val="1"/>
      <w:numFmt w:val="decimal"/>
      <w:suff w:val="nothing"/>
      <w:lvlText w:val="%4."/>
      <w:lvlJc w:val="left"/>
      <w:pPr>
        <w:tabs>
          <w:tab w:val="left" w:pos="2268"/>
        </w:tabs>
        <w:ind w:left="3661" w:firstLine="4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6C6AB44">
      <w:start w:val="1"/>
      <w:numFmt w:val="lowerLetter"/>
      <w:lvlText w:val="%5."/>
      <w:lvlJc w:val="left"/>
      <w:pPr>
        <w:tabs>
          <w:tab w:val="left" w:pos="2268"/>
          <w:tab w:val="num" w:pos="4948"/>
        </w:tabs>
        <w:ind w:left="4381" w:firstLine="4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F76739A">
      <w:start w:val="1"/>
      <w:numFmt w:val="lowerRoman"/>
      <w:lvlText w:val="%6."/>
      <w:lvlJc w:val="left"/>
      <w:pPr>
        <w:tabs>
          <w:tab w:val="left" w:pos="2268"/>
          <w:tab w:val="num" w:pos="5668"/>
        </w:tabs>
        <w:ind w:left="5101" w:firstLine="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06E2984">
      <w:start w:val="1"/>
      <w:numFmt w:val="decimal"/>
      <w:lvlText w:val="%7."/>
      <w:lvlJc w:val="left"/>
      <w:pPr>
        <w:tabs>
          <w:tab w:val="left" w:pos="2268"/>
          <w:tab w:val="num" w:pos="6388"/>
        </w:tabs>
        <w:ind w:left="5821" w:firstLine="3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90C36CC">
      <w:start w:val="1"/>
      <w:numFmt w:val="lowerLetter"/>
      <w:lvlText w:val="%8."/>
      <w:lvlJc w:val="left"/>
      <w:pPr>
        <w:tabs>
          <w:tab w:val="left" w:pos="2268"/>
          <w:tab w:val="num" w:pos="7108"/>
        </w:tabs>
        <w:ind w:left="6541" w:hanging="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3E88846">
      <w:start w:val="1"/>
      <w:numFmt w:val="lowerRoman"/>
      <w:lvlText w:val="%9."/>
      <w:lvlJc w:val="left"/>
      <w:pPr>
        <w:tabs>
          <w:tab w:val="left" w:pos="2268"/>
          <w:tab w:val="num" w:pos="7828"/>
        </w:tabs>
        <w:ind w:left="7261" w:firstLine="1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39"/>
  </w:num>
  <w:num w:numId="2">
    <w:abstractNumId w:val="26"/>
  </w:num>
  <w:num w:numId="3">
    <w:abstractNumId w:val="14"/>
  </w:num>
  <w:num w:numId="4">
    <w:abstractNumId w:val="11"/>
  </w:num>
  <w:num w:numId="5">
    <w:abstractNumId w:val="38"/>
  </w:num>
  <w:num w:numId="6">
    <w:abstractNumId w:val="25"/>
  </w:num>
  <w:num w:numId="7">
    <w:abstractNumId w:val="32"/>
  </w:num>
  <w:num w:numId="8">
    <w:abstractNumId w:val="18"/>
  </w:num>
  <w:num w:numId="9">
    <w:abstractNumId w:val="44"/>
  </w:num>
  <w:num w:numId="10">
    <w:abstractNumId w:val="46"/>
  </w:num>
  <w:num w:numId="11">
    <w:abstractNumId w:val="45"/>
  </w:num>
  <w:num w:numId="12">
    <w:abstractNumId w:val="36"/>
  </w:num>
  <w:num w:numId="13">
    <w:abstractNumId w:val="33"/>
  </w:num>
  <w:num w:numId="14">
    <w:abstractNumId w:val="8"/>
  </w:num>
  <w:num w:numId="15">
    <w:abstractNumId w:val="3"/>
  </w:num>
  <w:num w:numId="16">
    <w:abstractNumId w:val="2"/>
  </w:num>
  <w:num w:numId="17">
    <w:abstractNumId w:val="1"/>
  </w:num>
  <w:num w:numId="18">
    <w:abstractNumId w:val="0"/>
  </w:num>
  <w:num w:numId="19">
    <w:abstractNumId w:val="9"/>
  </w:num>
  <w:num w:numId="20">
    <w:abstractNumId w:val="7"/>
  </w:num>
  <w:num w:numId="21">
    <w:abstractNumId w:val="6"/>
  </w:num>
  <w:num w:numId="22">
    <w:abstractNumId w:val="5"/>
  </w:num>
  <w:num w:numId="23">
    <w:abstractNumId w:val="4"/>
  </w:num>
  <w:num w:numId="24">
    <w:abstractNumId w:val="34"/>
  </w:num>
  <w:num w:numId="25">
    <w:abstractNumId w:val="35"/>
  </w:num>
  <w:num w:numId="26">
    <w:abstractNumId w:val="15"/>
  </w:num>
  <w:num w:numId="27">
    <w:abstractNumId w:val="43"/>
  </w:num>
  <w:num w:numId="28">
    <w:abstractNumId w:val="22"/>
  </w:num>
  <w:num w:numId="29">
    <w:abstractNumId w:val="17"/>
  </w:num>
  <w:num w:numId="30">
    <w:abstractNumId w:val="12"/>
  </w:num>
  <w:num w:numId="31">
    <w:abstractNumId w:val="31"/>
  </w:num>
  <w:num w:numId="32">
    <w:abstractNumId w:val="10"/>
  </w:num>
  <w:num w:numId="33">
    <w:abstractNumId w:val="29"/>
  </w:num>
  <w:num w:numId="34">
    <w:abstractNumId w:val="13"/>
  </w:num>
  <w:num w:numId="35">
    <w:abstractNumId w:val="21"/>
  </w:num>
  <w:num w:numId="36">
    <w:abstractNumId w:val="27"/>
  </w:num>
  <w:num w:numId="37">
    <w:abstractNumId w:val="24"/>
  </w:num>
  <w:num w:numId="38">
    <w:abstractNumId w:val="28"/>
  </w:num>
  <w:num w:numId="39">
    <w:abstractNumId w:val="37"/>
  </w:num>
  <w:num w:numId="40">
    <w:abstractNumId w:val="30"/>
  </w:num>
  <w:num w:numId="41">
    <w:abstractNumId w:val="40"/>
  </w:num>
  <w:num w:numId="42">
    <w:abstractNumId w:val="16"/>
  </w:num>
  <w:num w:numId="43">
    <w:abstractNumId w:val="14"/>
    <w:lvlOverride w:ilvl="0">
      <w:startOverride w:val="1"/>
    </w:lvlOverride>
  </w:num>
  <w:num w:numId="44">
    <w:abstractNumId w:val="20"/>
  </w:num>
  <w:num w:numId="45">
    <w:abstractNumId w:val="23"/>
  </w:num>
  <w:num w:numId="46">
    <w:abstractNumId w:val="41"/>
  </w:num>
  <w:num w:numId="47">
    <w:abstractNumId w:val="19"/>
  </w:num>
  <w:num w:numId="48">
    <w:abstractNumId w:val="4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5" w:nlCheck="1" w:checkStyle="1"/>
  <w:activeWritingStyle w:appName="MSWord" w:lang="fr-CH" w:vendorID="64" w:dllVersion="6" w:nlCheck="1" w:checkStyle="0"/>
  <w:activeWritingStyle w:appName="MSWord" w:lang="fr-FR" w:vendorID="64" w:dllVersion="6" w:nlCheck="1" w:checkStyle="0"/>
  <w:activeWritingStyle w:appName="MSWord" w:lang="en-GB" w:vendorID="64" w:dllVersion="6" w:nlCheck="1" w:checkStyle="1"/>
  <w:activeWritingStyle w:appName="MSWord" w:lang="fr-CH"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es-MX" w:vendorID="64" w:dllVersion="6" w:nlCheck="1" w:checkStyle="0"/>
  <w:activeWritingStyle w:appName="MSWord" w:lang="en-US" w:vendorID="64" w:dllVersion="6" w:nlCheck="1" w:checkStyle="1"/>
  <w:activeWritingStyle w:appName="MSWord" w:lang="es-419" w:vendorID="64" w:dllVersion="6" w:nlCheck="1" w:checkStyle="0"/>
  <w:activeWritingStyle w:appName="MSWord" w:lang="fr-CH" w:vendorID="64" w:dllVersion="0" w:nlCheck="1" w:checkStyle="0"/>
  <w:activeWritingStyle w:appName="MSWord" w:lang="fr-FR" w:vendorID="64" w:dllVersion="0" w:nlCheck="1" w:checkStyle="0"/>
  <w:activeWritingStyle w:appName="MSWord" w:lang="en-GB" w:vendorID="64" w:dllVersion="0" w:nlCheck="1" w:checkStyle="0"/>
  <w:activeWritingStyle w:appName="MSWord" w:lang="fr-CH" w:vendorID="64" w:dllVersion="131078" w:nlCheck="1" w:checkStyle="0"/>
  <w:activeWritingStyle w:appName="MSWord" w:lang="en-GB" w:vendorID="64" w:dllVersion="131078" w:nlCheck="1" w:checkStyle="1"/>
  <w:activeWritingStyle w:appName="MSWord" w:lang="fr-FR" w:vendorID="64" w:dllVersion="131078" w:nlCheck="1" w:checkStyle="0"/>
  <w:activeWritingStyle w:appName="MSWord" w:lang="es-MX"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5F2"/>
    <w:rsid w:val="000003AD"/>
    <w:rsid w:val="000008E2"/>
    <w:rsid w:val="00003060"/>
    <w:rsid w:val="00004B7D"/>
    <w:rsid w:val="00005519"/>
    <w:rsid w:val="00005EFB"/>
    <w:rsid w:val="00016AC5"/>
    <w:rsid w:val="000262FA"/>
    <w:rsid w:val="00034014"/>
    <w:rsid w:val="00040243"/>
    <w:rsid w:val="000409B4"/>
    <w:rsid w:val="00041892"/>
    <w:rsid w:val="000449B8"/>
    <w:rsid w:val="0004684C"/>
    <w:rsid w:val="00050AF6"/>
    <w:rsid w:val="000524C4"/>
    <w:rsid w:val="000539D4"/>
    <w:rsid w:val="00075BA2"/>
    <w:rsid w:val="00083146"/>
    <w:rsid w:val="00087108"/>
    <w:rsid w:val="00087352"/>
    <w:rsid w:val="00094A12"/>
    <w:rsid w:val="000956FF"/>
    <w:rsid w:val="000A033F"/>
    <w:rsid w:val="000A62B5"/>
    <w:rsid w:val="000C2438"/>
    <w:rsid w:val="000C6457"/>
    <w:rsid w:val="000D4B0B"/>
    <w:rsid w:val="000D4F12"/>
    <w:rsid w:val="000E750C"/>
    <w:rsid w:val="000F0404"/>
    <w:rsid w:val="000F41F2"/>
    <w:rsid w:val="000F510F"/>
    <w:rsid w:val="00100A97"/>
    <w:rsid w:val="00112734"/>
    <w:rsid w:val="00113A6A"/>
    <w:rsid w:val="00115C62"/>
    <w:rsid w:val="00115FE1"/>
    <w:rsid w:val="001163B3"/>
    <w:rsid w:val="00122B6B"/>
    <w:rsid w:val="00135C3D"/>
    <w:rsid w:val="00135DEA"/>
    <w:rsid w:val="00145F71"/>
    <w:rsid w:val="001465B3"/>
    <w:rsid w:val="00147F09"/>
    <w:rsid w:val="001523F3"/>
    <w:rsid w:val="0015671A"/>
    <w:rsid w:val="00160540"/>
    <w:rsid w:val="00161A5F"/>
    <w:rsid w:val="001634A2"/>
    <w:rsid w:val="001643BB"/>
    <w:rsid w:val="001644A5"/>
    <w:rsid w:val="00165910"/>
    <w:rsid w:val="001728E3"/>
    <w:rsid w:val="001814F6"/>
    <w:rsid w:val="001826E3"/>
    <w:rsid w:val="00182BB7"/>
    <w:rsid w:val="00183B99"/>
    <w:rsid w:val="00192EEB"/>
    <w:rsid w:val="00193CA5"/>
    <w:rsid w:val="0019458F"/>
    <w:rsid w:val="00197671"/>
    <w:rsid w:val="001A086B"/>
    <w:rsid w:val="001A0FA2"/>
    <w:rsid w:val="001A20FB"/>
    <w:rsid w:val="001B38CF"/>
    <w:rsid w:val="001C0599"/>
    <w:rsid w:val="001C4A89"/>
    <w:rsid w:val="001D194D"/>
    <w:rsid w:val="001D7BA4"/>
    <w:rsid w:val="001D7F8A"/>
    <w:rsid w:val="001E0944"/>
    <w:rsid w:val="001E3FEB"/>
    <w:rsid w:val="001E4A02"/>
    <w:rsid w:val="001E704E"/>
    <w:rsid w:val="001F2916"/>
    <w:rsid w:val="001F6131"/>
    <w:rsid w:val="00200A33"/>
    <w:rsid w:val="00200EF9"/>
    <w:rsid w:val="00202BED"/>
    <w:rsid w:val="00205629"/>
    <w:rsid w:val="00206431"/>
    <w:rsid w:val="002078A4"/>
    <w:rsid w:val="00225A8C"/>
    <w:rsid w:val="00226152"/>
    <w:rsid w:val="0022770B"/>
    <w:rsid w:val="00227F9A"/>
    <w:rsid w:val="0023450A"/>
    <w:rsid w:val="00237BA2"/>
    <w:rsid w:val="0024077F"/>
    <w:rsid w:val="00242157"/>
    <w:rsid w:val="002430D0"/>
    <w:rsid w:val="00247424"/>
    <w:rsid w:val="00250B77"/>
    <w:rsid w:val="00251426"/>
    <w:rsid w:val="00251C43"/>
    <w:rsid w:val="00253EBB"/>
    <w:rsid w:val="00255717"/>
    <w:rsid w:val="002559EE"/>
    <w:rsid w:val="00260315"/>
    <w:rsid w:val="002603B1"/>
    <w:rsid w:val="0026270D"/>
    <w:rsid w:val="002628B0"/>
    <w:rsid w:val="002659F1"/>
    <w:rsid w:val="00265B17"/>
    <w:rsid w:val="00266837"/>
    <w:rsid w:val="00266BDC"/>
    <w:rsid w:val="00273A96"/>
    <w:rsid w:val="00285EAC"/>
    <w:rsid w:val="00287CE0"/>
    <w:rsid w:val="00287E79"/>
    <w:rsid w:val="002928F9"/>
    <w:rsid w:val="00292B8D"/>
    <w:rsid w:val="002A5D07"/>
    <w:rsid w:val="002A65C0"/>
    <w:rsid w:val="002A6DCC"/>
    <w:rsid w:val="002A7140"/>
    <w:rsid w:val="002B1463"/>
    <w:rsid w:val="002C06C7"/>
    <w:rsid w:val="002C3073"/>
    <w:rsid w:val="002C45E3"/>
    <w:rsid w:val="002D0CED"/>
    <w:rsid w:val="002D6B3D"/>
    <w:rsid w:val="002E146F"/>
    <w:rsid w:val="002E2BE0"/>
    <w:rsid w:val="002F1BBA"/>
    <w:rsid w:val="003016B7"/>
    <w:rsid w:val="00307D5B"/>
    <w:rsid w:val="00320475"/>
    <w:rsid w:val="00321CA4"/>
    <w:rsid w:val="00323113"/>
    <w:rsid w:val="00335D80"/>
    <w:rsid w:val="0033679D"/>
    <w:rsid w:val="003442DE"/>
    <w:rsid w:val="00347CD6"/>
    <w:rsid w:val="003515AA"/>
    <w:rsid w:val="00352A2D"/>
    <w:rsid w:val="00361BD8"/>
    <w:rsid w:val="00364023"/>
    <w:rsid w:val="00364AD3"/>
    <w:rsid w:val="0036634F"/>
    <w:rsid w:val="00366A63"/>
    <w:rsid w:val="00367F5F"/>
    <w:rsid w:val="00373B4C"/>
    <w:rsid w:val="00374106"/>
    <w:rsid w:val="00377115"/>
    <w:rsid w:val="003835A1"/>
    <w:rsid w:val="00393DF7"/>
    <w:rsid w:val="00395974"/>
    <w:rsid w:val="00395F9A"/>
    <w:rsid w:val="003976D5"/>
    <w:rsid w:val="003A026F"/>
    <w:rsid w:val="003A2BD7"/>
    <w:rsid w:val="003A4201"/>
    <w:rsid w:val="003B7E54"/>
    <w:rsid w:val="003D0557"/>
    <w:rsid w:val="003D1977"/>
    <w:rsid w:val="003D49C1"/>
    <w:rsid w:val="003D50DB"/>
    <w:rsid w:val="003D6C68"/>
    <w:rsid w:val="003F0697"/>
    <w:rsid w:val="003F21BF"/>
    <w:rsid w:val="003F3D8E"/>
    <w:rsid w:val="003F55E9"/>
    <w:rsid w:val="00401003"/>
    <w:rsid w:val="004055C5"/>
    <w:rsid w:val="0040736F"/>
    <w:rsid w:val="00410A3B"/>
    <w:rsid w:val="00413E25"/>
    <w:rsid w:val="004159D0"/>
    <w:rsid w:val="00420C71"/>
    <w:rsid w:val="00421B1D"/>
    <w:rsid w:val="0043033B"/>
    <w:rsid w:val="00433A7F"/>
    <w:rsid w:val="00437950"/>
    <w:rsid w:val="00446EAB"/>
    <w:rsid w:val="00456101"/>
    <w:rsid w:val="00456E3A"/>
    <w:rsid w:val="00457910"/>
    <w:rsid w:val="00462178"/>
    <w:rsid w:val="00473A6C"/>
    <w:rsid w:val="00473A82"/>
    <w:rsid w:val="00477BA0"/>
    <w:rsid w:val="00480FFA"/>
    <w:rsid w:val="004862AA"/>
    <w:rsid w:val="004908BE"/>
    <w:rsid w:val="004927FB"/>
    <w:rsid w:val="00496731"/>
    <w:rsid w:val="004A1D2F"/>
    <w:rsid w:val="004A610C"/>
    <w:rsid w:val="004B7E26"/>
    <w:rsid w:val="004C17CA"/>
    <w:rsid w:val="004C24BA"/>
    <w:rsid w:val="004C2B6B"/>
    <w:rsid w:val="004C3D7C"/>
    <w:rsid w:val="004C538C"/>
    <w:rsid w:val="004D01CF"/>
    <w:rsid w:val="004D64A2"/>
    <w:rsid w:val="004E118C"/>
    <w:rsid w:val="004E1BD5"/>
    <w:rsid w:val="004F2B81"/>
    <w:rsid w:val="004F3B38"/>
    <w:rsid w:val="004F5652"/>
    <w:rsid w:val="004F6630"/>
    <w:rsid w:val="004F7B6F"/>
    <w:rsid w:val="00503719"/>
    <w:rsid w:val="0050698C"/>
    <w:rsid w:val="00506CB7"/>
    <w:rsid w:val="005079A9"/>
    <w:rsid w:val="00514AFE"/>
    <w:rsid w:val="00517226"/>
    <w:rsid w:val="00517E9F"/>
    <w:rsid w:val="0052058A"/>
    <w:rsid w:val="00521BCB"/>
    <w:rsid w:val="00523FBD"/>
    <w:rsid w:val="00524AAA"/>
    <w:rsid w:val="00530392"/>
    <w:rsid w:val="00530EDA"/>
    <w:rsid w:val="005344DA"/>
    <w:rsid w:val="00535D27"/>
    <w:rsid w:val="00542828"/>
    <w:rsid w:val="00543D5E"/>
    <w:rsid w:val="005447BD"/>
    <w:rsid w:val="00551812"/>
    <w:rsid w:val="005523FB"/>
    <w:rsid w:val="00571F41"/>
    <w:rsid w:val="0057513B"/>
    <w:rsid w:val="00582059"/>
    <w:rsid w:val="005848AB"/>
    <w:rsid w:val="00585F86"/>
    <w:rsid w:val="00585F98"/>
    <w:rsid w:val="00587B4D"/>
    <w:rsid w:val="005919B4"/>
    <w:rsid w:val="005A045B"/>
    <w:rsid w:val="005A2E61"/>
    <w:rsid w:val="005A48FC"/>
    <w:rsid w:val="005B47F2"/>
    <w:rsid w:val="005C24F0"/>
    <w:rsid w:val="005C34BB"/>
    <w:rsid w:val="005C71B8"/>
    <w:rsid w:val="005E00C1"/>
    <w:rsid w:val="005E117C"/>
    <w:rsid w:val="005E300C"/>
    <w:rsid w:val="005E5D1F"/>
    <w:rsid w:val="005F0D5B"/>
    <w:rsid w:val="005F4003"/>
    <w:rsid w:val="005F556B"/>
    <w:rsid w:val="00600886"/>
    <w:rsid w:val="00603BFA"/>
    <w:rsid w:val="00605A98"/>
    <w:rsid w:val="00605F49"/>
    <w:rsid w:val="00611D43"/>
    <w:rsid w:val="00611ED8"/>
    <w:rsid w:val="00612271"/>
    <w:rsid w:val="00612D48"/>
    <w:rsid w:val="0061416C"/>
    <w:rsid w:val="00616B45"/>
    <w:rsid w:val="00626869"/>
    <w:rsid w:val="00626DD6"/>
    <w:rsid w:val="006303DB"/>
    <w:rsid w:val="00630D9B"/>
    <w:rsid w:val="00631953"/>
    <w:rsid w:val="00635315"/>
    <w:rsid w:val="00635DA6"/>
    <w:rsid w:val="006439EC"/>
    <w:rsid w:val="00650832"/>
    <w:rsid w:val="00650E01"/>
    <w:rsid w:val="00651469"/>
    <w:rsid w:val="00654257"/>
    <w:rsid w:val="00655D19"/>
    <w:rsid w:val="006614AF"/>
    <w:rsid w:val="006615DD"/>
    <w:rsid w:val="006641C9"/>
    <w:rsid w:val="00664907"/>
    <w:rsid w:val="00664D92"/>
    <w:rsid w:val="00671D26"/>
    <w:rsid w:val="0067208F"/>
    <w:rsid w:val="0067243E"/>
    <w:rsid w:val="00673012"/>
    <w:rsid w:val="00675E41"/>
    <w:rsid w:val="006866BA"/>
    <w:rsid w:val="00687F49"/>
    <w:rsid w:val="00690907"/>
    <w:rsid w:val="00692EE4"/>
    <w:rsid w:val="006933EF"/>
    <w:rsid w:val="00696E46"/>
    <w:rsid w:val="006A1EA0"/>
    <w:rsid w:val="006A3F2A"/>
    <w:rsid w:val="006A5970"/>
    <w:rsid w:val="006A743B"/>
    <w:rsid w:val="006A7500"/>
    <w:rsid w:val="006B1CC2"/>
    <w:rsid w:val="006B2848"/>
    <w:rsid w:val="006B4590"/>
    <w:rsid w:val="006C1D0A"/>
    <w:rsid w:val="006C340C"/>
    <w:rsid w:val="006C7CE3"/>
    <w:rsid w:val="006D1E6B"/>
    <w:rsid w:val="006E0CCB"/>
    <w:rsid w:val="006E15EF"/>
    <w:rsid w:val="006E2F5A"/>
    <w:rsid w:val="006F0128"/>
    <w:rsid w:val="006F301E"/>
    <w:rsid w:val="006F31A0"/>
    <w:rsid w:val="006F326C"/>
    <w:rsid w:val="006F584A"/>
    <w:rsid w:val="006F5FE8"/>
    <w:rsid w:val="006F6373"/>
    <w:rsid w:val="0070347C"/>
    <w:rsid w:val="0070454D"/>
    <w:rsid w:val="00711895"/>
    <w:rsid w:val="00711F23"/>
    <w:rsid w:val="007144B5"/>
    <w:rsid w:val="00714E81"/>
    <w:rsid w:val="007158C1"/>
    <w:rsid w:val="00717660"/>
    <w:rsid w:val="007176C1"/>
    <w:rsid w:val="0072416A"/>
    <w:rsid w:val="007267E2"/>
    <w:rsid w:val="007324E9"/>
    <w:rsid w:val="00733CB8"/>
    <w:rsid w:val="00735E9B"/>
    <w:rsid w:val="00742EE5"/>
    <w:rsid w:val="00750272"/>
    <w:rsid w:val="007616C2"/>
    <w:rsid w:val="00761C04"/>
    <w:rsid w:val="0076443D"/>
    <w:rsid w:val="007671A5"/>
    <w:rsid w:val="00781BE3"/>
    <w:rsid w:val="00784747"/>
    <w:rsid w:val="0078508B"/>
    <w:rsid w:val="007A3201"/>
    <w:rsid w:val="007A5769"/>
    <w:rsid w:val="007A7B62"/>
    <w:rsid w:val="007B15B8"/>
    <w:rsid w:val="007B3066"/>
    <w:rsid w:val="007B7AEA"/>
    <w:rsid w:val="007C08E7"/>
    <w:rsid w:val="007C0AB4"/>
    <w:rsid w:val="007C11DC"/>
    <w:rsid w:val="007C1E72"/>
    <w:rsid w:val="007C41D1"/>
    <w:rsid w:val="007D015A"/>
    <w:rsid w:val="007D3C56"/>
    <w:rsid w:val="007D5B48"/>
    <w:rsid w:val="007E4A63"/>
    <w:rsid w:val="007E5FFA"/>
    <w:rsid w:val="007F3BFA"/>
    <w:rsid w:val="007F48A3"/>
    <w:rsid w:val="007F55CB"/>
    <w:rsid w:val="007F6341"/>
    <w:rsid w:val="008019AD"/>
    <w:rsid w:val="00803BF7"/>
    <w:rsid w:val="00807397"/>
    <w:rsid w:val="00822CC2"/>
    <w:rsid w:val="00823BAD"/>
    <w:rsid w:val="00824916"/>
    <w:rsid w:val="008276A3"/>
    <w:rsid w:val="00827AD5"/>
    <w:rsid w:val="00827BF6"/>
    <w:rsid w:val="00834DD2"/>
    <w:rsid w:val="00835544"/>
    <w:rsid w:val="00835C07"/>
    <w:rsid w:val="0083759E"/>
    <w:rsid w:val="00842EDD"/>
    <w:rsid w:val="00844750"/>
    <w:rsid w:val="00846987"/>
    <w:rsid w:val="00862569"/>
    <w:rsid w:val="0086282C"/>
    <w:rsid w:val="00863B9F"/>
    <w:rsid w:val="0086549F"/>
    <w:rsid w:val="00871585"/>
    <w:rsid w:val="00873393"/>
    <w:rsid w:val="0087427F"/>
    <w:rsid w:val="0087691D"/>
    <w:rsid w:val="00877C69"/>
    <w:rsid w:val="00884075"/>
    <w:rsid w:val="00890527"/>
    <w:rsid w:val="00894148"/>
    <w:rsid w:val="008946E7"/>
    <w:rsid w:val="00897165"/>
    <w:rsid w:val="008A1021"/>
    <w:rsid w:val="008A1AB7"/>
    <w:rsid w:val="008A34A3"/>
    <w:rsid w:val="008A39C8"/>
    <w:rsid w:val="008A5130"/>
    <w:rsid w:val="008A668C"/>
    <w:rsid w:val="008A6814"/>
    <w:rsid w:val="008B1A01"/>
    <w:rsid w:val="008B3CA2"/>
    <w:rsid w:val="008B44C4"/>
    <w:rsid w:val="008B56DC"/>
    <w:rsid w:val="008B5C8F"/>
    <w:rsid w:val="008B70B5"/>
    <w:rsid w:val="008C2985"/>
    <w:rsid w:val="008C3BF7"/>
    <w:rsid w:val="008C6142"/>
    <w:rsid w:val="008C7F06"/>
    <w:rsid w:val="008C7FD2"/>
    <w:rsid w:val="008D052A"/>
    <w:rsid w:val="008D1A47"/>
    <w:rsid w:val="008D1AAB"/>
    <w:rsid w:val="008D5707"/>
    <w:rsid w:val="008D5D96"/>
    <w:rsid w:val="008D77DD"/>
    <w:rsid w:val="008E40E6"/>
    <w:rsid w:val="008E7FAE"/>
    <w:rsid w:val="008F1DAC"/>
    <w:rsid w:val="008F466E"/>
    <w:rsid w:val="008F554C"/>
    <w:rsid w:val="0090752B"/>
    <w:rsid w:val="00907535"/>
    <w:rsid w:val="00907E0A"/>
    <w:rsid w:val="00911BF7"/>
    <w:rsid w:val="00912944"/>
    <w:rsid w:val="0092389E"/>
    <w:rsid w:val="009304E7"/>
    <w:rsid w:val="00944342"/>
    <w:rsid w:val="009534C4"/>
    <w:rsid w:val="009534CC"/>
    <w:rsid w:val="00960BE5"/>
    <w:rsid w:val="00965928"/>
    <w:rsid w:val="009675F1"/>
    <w:rsid w:val="00972F9F"/>
    <w:rsid w:val="0097705A"/>
    <w:rsid w:val="009773AB"/>
    <w:rsid w:val="00977EC8"/>
    <w:rsid w:val="00981F07"/>
    <w:rsid w:val="00985042"/>
    <w:rsid w:val="00994949"/>
    <w:rsid w:val="00995EB5"/>
    <w:rsid w:val="009C6BFB"/>
    <w:rsid w:val="009D1A98"/>
    <w:rsid w:val="009D3A8C"/>
    <w:rsid w:val="009D7A83"/>
    <w:rsid w:val="009E258D"/>
    <w:rsid w:val="009E25C6"/>
    <w:rsid w:val="009E7956"/>
    <w:rsid w:val="009F1BDD"/>
    <w:rsid w:val="00A071FD"/>
    <w:rsid w:val="00A0750D"/>
    <w:rsid w:val="00A1098E"/>
    <w:rsid w:val="00A11613"/>
    <w:rsid w:val="00A12B4D"/>
    <w:rsid w:val="00A12C14"/>
    <w:rsid w:val="00A2282C"/>
    <w:rsid w:val="00A2492E"/>
    <w:rsid w:val="00A26B29"/>
    <w:rsid w:val="00A26CEC"/>
    <w:rsid w:val="00A31E7F"/>
    <w:rsid w:val="00A326ED"/>
    <w:rsid w:val="00A439D4"/>
    <w:rsid w:val="00A4428B"/>
    <w:rsid w:val="00A647E1"/>
    <w:rsid w:val="00A67610"/>
    <w:rsid w:val="00A67E77"/>
    <w:rsid w:val="00A67F81"/>
    <w:rsid w:val="00A7251B"/>
    <w:rsid w:val="00A77206"/>
    <w:rsid w:val="00A80392"/>
    <w:rsid w:val="00A809C0"/>
    <w:rsid w:val="00A80F5D"/>
    <w:rsid w:val="00A81739"/>
    <w:rsid w:val="00A84907"/>
    <w:rsid w:val="00A84FF2"/>
    <w:rsid w:val="00A93CB4"/>
    <w:rsid w:val="00A9612D"/>
    <w:rsid w:val="00A965A2"/>
    <w:rsid w:val="00A97894"/>
    <w:rsid w:val="00AA35F2"/>
    <w:rsid w:val="00AB4B1F"/>
    <w:rsid w:val="00AB6CB8"/>
    <w:rsid w:val="00AC068B"/>
    <w:rsid w:val="00AC2729"/>
    <w:rsid w:val="00AC308E"/>
    <w:rsid w:val="00AC4FF0"/>
    <w:rsid w:val="00AC67A1"/>
    <w:rsid w:val="00AC78E0"/>
    <w:rsid w:val="00AC7977"/>
    <w:rsid w:val="00AD1870"/>
    <w:rsid w:val="00AD25F2"/>
    <w:rsid w:val="00AD58C3"/>
    <w:rsid w:val="00AE25D9"/>
    <w:rsid w:val="00AE2CE2"/>
    <w:rsid w:val="00AE352C"/>
    <w:rsid w:val="00AF182E"/>
    <w:rsid w:val="00AF249C"/>
    <w:rsid w:val="00AF268A"/>
    <w:rsid w:val="00AF2FBD"/>
    <w:rsid w:val="00AF5331"/>
    <w:rsid w:val="00AF7DEE"/>
    <w:rsid w:val="00B029CB"/>
    <w:rsid w:val="00B11973"/>
    <w:rsid w:val="00B1383C"/>
    <w:rsid w:val="00B13C01"/>
    <w:rsid w:val="00B231F8"/>
    <w:rsid w:val="00B25578"/>
    <w:rsid w:val="00B26911"/>
    <w:rsid w:val="00B31CDE"/>
    <w:rsid w:val="00B32914"/>
    <w:rsid w:val="00B32E2D"/>
    <w:rsid w:val="00B34580"/>
    <w:rsid w:val="00B475F3"/>
    <w:rsid w:val="00B60105"/>
    <w:rsid w:val="00B61990"/>
    <w:rsid w:val="00B6279E"/>
    <w:rsid w:val="00B72A0A"/>
    <w:rsid w:val="00B74958"/>
    <w:rsid w:val="00B75CF1"/>
    <w:rsid w:val="00B828F2"/>
    <w:rsid w:val="00B90427"/>
    <w:rsid w:val="00B969D1"/>
    <w:rsid w:val="00BA3945"/>
    <w:rsid w:val="00BB5A48"/>
    <w:rsid w:val="00BC16A5"/>
    <w:rsid w:val="00BC474B"/>
    <w:rsid w:val="00BC525C"/>
    <w:rsid w:val="00BC70F7"/>
    <w:rsid w:val="00BC789F"/>
    <w:rsid w:val="00BD65A3"/>
    <w:rsid w:val="00BE4A0F"/>
    <w:rsid w:val="00BE559D"/>
    <w:rsid w:val="00BE57E7"/>
    <w:rsid w:val="00BE5901"/>
    <w:rsid w:val="00BF0556"/>
    <w:rsid w:val="00BF256A"/>
    <w:rsid w:val="00C02642"/>
    <w:rsid w:val="00C04457"/>
    <w:rsid w:val="00C0638F"/>
    <w:rsid w:val="00C113EA"/>
    <w:rsid w:val="00C209B7"/>
    <w:rsid w:val="00C261F8"/>
    <w:rsid w:val="00C30783"/>
    <w:rsid w:val="00C33100"/>
    <w:rsid w:val="00C34BEC"/>
    <w:rsid w:val="00C36E41"/>
    <w:rsid w:val="00C43477"/>
    <w:rsid w:val="00C46958"/>
    <w:rsid w:val="00C5157F"/>
    <w:rsid w:val="00C541A8"/>
    <w:rsid w:val="00C6118B"/>
    <w:rsid w:val="00C6364A"/>
    <w:rsid w:val="00C71664"/>
    <w:rsid w:val="00C74FD4"/>
    <w:rsid w:val="00C76D9A"/>
    <w:rsid w:val="00C778B2"/>
    <w:rsid w:val="00C82EE4"/>
    <w:rsid w:val="00C85043"/>
    <w:rsid w:val="00C9014B"/>
    <w:rsid w:val="00CA3B1B"/>
    <w:rsid w:val="00CA5CEF"/>
    <w:rsid w:val="00CA6A4E"/>
    <w:rsid w:val="00CB0E6B"/>
    <w:rsid w:val="00CC3CE3"/>
    <w:rsid w:val="00CD1A71"/>
    <w:rsid w:val="00CD1FBB"/>
    <w:rsid w:val="00CD2377"/>
    <w:rsid w:val="00CD2491"/>
    <w:rsid w:val="00CE417B"/>
    <w:rsid w:val="00CE5A37"/>
    <w:rsid w:val="00CF46AA"/>
    <w:rsid w:val="00CF53D4"/>
    <w:rsid w:val="00D016B5"/>
    <w:rsid w:val="00D03307"/>
    <w:rsid w:val="00D034F1"/>
    <w:rsid w:val="00D057B1"/>
    <w:rsid w:val="00D11C9D"/>
    <w:rsid w:val="00D15585"/>
    <w:rsid w:val="00D16592"/>
    <w:rsid w:val="00D221C1"/>
    <w:rsid w:val="00D27D5E"/>
    <w:rsid w:val="00D3002C"/>
    <w:rsid w:val="00D3292A"/>
    <w:rsid w:val="00D35254"/>
    <w:rsid w:val="00D370B5"/>
    <w:rsid w:val="00D37BC3"/>
    <w:rsid w:val="00D37FE4"/>
    <w:rsid w:val="00D43383"/>
    <w:rsid w:val="00D453B2"/>
    <w:rsid w:val="00D520B3"/>
    <w:rsid w:val="00D56375"/>
    <w:rsid w:val="00D56C03"/>
    <w:rsid w:val="00D6265B"/>
    <w:rsid w:val="00D62779"/>
    <w:rsid w:val="00D70E02"/>
    <w:rsid w:val="00D71E0C"/>
    <w:rsid w:val="00D8480A"/>
    <w:rsid w:val="00D84EEE"/>
    <w:rsid w:val="00D8607A"/>
    <w:rsid w:val="00D8618A"/>
    <w:rsid w:val="00D90889"/>
    <w:rsid w:val="00D95EBF"/>
    <w:rsid w:val="00DB0A2E"/>
    <w:rsid w:val="00DB2EB6"/>
    <w:rsid w:val="00DB54C5"/>
    <w:rsid w:val="00DB56CA"/>
    <w:rsid w:val="00DC40F0"/>
    <w:rsid w:val="00DC6C31"/>
    <w:rsid w:val="00DC7201"/>
    <w:rsid w:val="00DC7DB7"/>
    <w:rsid w:val="00DD1762"/>
    <w:rsid w:val="00DD2AD1"/>
    <w:rsid w:val="00DD69AC"/>
    <w:rsid w:val="00DE6D90"/>
    <w:rsid w:val="00DE71D7"/>
    <w:rsid w:val="00DF002F"/>
    <w:rsid w:val="00DF1BDB"/>
    <w:rsid w:val="00DF48A7"/>
    <w:rsid w:val="00DF7117"/>
    <w:rsid w:val="00E00B6E"/>
    <w:rsid w:val="00E0244D"/>
    <w:rsid w:val="00E04877"/>
    <w:rsid w:val="00E06906"/>
    <w:rsid w:val="00E06B2C"/>
    <w:rsid w:val="00E11193"/>
    <w:rsid w:val="00E16B9D"/>
    <w:rsid w:val="00E223FB"/>
    <w:rsid w:val="00E22971"/>
    <w:rsid w:val="00E3212C"/>
    <w:rsid w:val="00E32BDD"/>
    <w:rsid w:val="00E42ABE"/>
    <w:rsid w:val="00E45003"/>
    <w:rsid w:val="00E50756"/>
    <w:rsid w:val="00E52465"/>
    <w:rsid w:val="00E53916"/>
    <w:rsid w:val="00E54E23"/>
    <w:rsid w:val="00E606B4"/>
    <w:rsid w:val="00E63622"/>
    <w:rsid w:val="00E655CD"/>
    <w:rsid w:val="00E723C4"/>
    <w:rsid w:val="00E75821"/>
    <w:rsid w:val="00E7759C"/>
    <w:rsid w:val="00E81E94"/>
    <w:rsid w:val="00E82607"/>
    <w:rsid w:val="00E832B6"/>
    <w:rsid w:val="00E96751"/>
    <w:rsid w:val="00EA48D7"/>
    <w:rsid w:val="00EA6057"/>
    <w:rsid w:val="00EA79A9"/>
    <w:rsid w:val="00EB0BD9"/>
    <w:rsid w:val="00EC08C1"/>
    <w:rsid w:val="00EC2A73"/>
    <w:rsid w:val="00EC7017"/>
    <w:rsid w:val="00ED00AD"/>
    <w:rsid w:val="00ED1EBA"/>
    <w:rsid w:val="00ED4D57"/>
    <w:rsid w:val="00ED6693"/>
    <w:rsid w:val="00EE109F"/>
    <w:rsid w:val="00EE5E25"/>
    <w:rsid w:val="00EF4D09"/>
    <w:rsid w:val="00F00752"/>
    <w:rsid w:val="00F04784"/>
    <w:rsid w:val="00F13C0E"/>
    <w:rsid w:val="00F13CE7"/>
    <w:rsid w:val="00F2103C"/>
    <w:rsid w:val="00F26DA9"/>
    <w:rsid w:val="00F27052"/>
    <w:rsid w:val="00F33BB6"/>
    <w:rsid w:val="00F36FD6"/>
    <w:rsid w:val="00F41A4E"/>
    <w:rsid w:val="00F43A72"/>
    <w:rsid w:val="00F50F3B"/>
    <w:rsid w:val="00F53070"/>
    <w:rsid w:val="00F55431"/>
    <w:rsid w:val="00F609A3"/>
    <w:rsid w:val="00F650C0"/>
    <w:rsid w:val="00F66AC7"/>
    <w:rsid w:val="00F7093C"/>
    <w:rsid w:val="00F7273C"/>
    <w:rsid w:val="00F74F74"/>
    <w:rsid w:val="00F92A68"/>
    <w:rsid w:val="00F93C0D"/>
    <w:rsid w:val="00F94B17"/>
    <w:rsid w:val="00F94D7D"/>
    <w:rsid w:val="00FA21BA"/>
    <w:rsid w:val="00FA230C"/>
    <w:rsid w:val="00FA3531"/>
    <w:rsid w:val="00FA4213"/>
    <w:rsid w:val="00FA4E1E"/>
    <w:rsid w:val="00FA5A79"/>
    <w:rsid w:val="00FB0BFE"/>
    <w:rsid w:val="00FB4C51"/>
    <w:rsid w:val="00FB7BEC"/>
    <w:rsid w:val="00FC1ACE"/>
    <w:rsid w:val="00FC21E1"/>
    <w:rsid w:val="00FC3D88"/>
    <w:rsid w:val="00FD2CAA"/>
    <w:rsid w:val="00FD3B97"/>
    <w:rsid w:val="00FD7335"/>
    <w:rsid w:val="00FD7525"/>
    <w:rsid w:val="00FE2F72"/>
    <w:rsid w:val="00FF1DBD"/>
    <w:rsid w:val="00FF3F89"/>
    <w:rsid w:val="00FF7A6D"/>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28B5C40B"/>
  <w15:docId w15:val="{BC4BB970-C90F-46DD-9696-95327B242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6E41"/>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784747"/>
    <w:pPr>
      <w:keepNext/>
      <w:keepLines/>
      <w:spacing w:after="0" w:line="240" w:lineRule="auto"/>
      <w:ind w:right="0"/>
      <w:jc w:val="left"/>
      <w:outlineLvl w:val="0"/>
    </w:pPr>
  </w:style>
  <w:style w:type="paragraph" w:styleId="Heading2">
    <w:name w:val="heading 2"/>
    <w:basedOn w:val="Normal"/>
    <w:next w:val="Normal"/>
    <w:link w:val="Heading2Char"/>
    <w:qFormat/>
    <w:rsid w:val="00972F9F"/>
    <w:pPr>
      <w:outlineLvl w:val="1"/>
    </w:pPr>
  </w:style>
  <w:style w:type="paragraph" w:styleId="Heading3">
    <w:name w:val="heading 3"/>
    <w:basedOn w:val="Normal"/>
    <w:next w:val="Normal"/>
    <w:link w:val="Heading3Char"/>
    <w:qFormat/>
    <w:rsid w:val="00972F9F"/>
    <w:pPr>
      <w:outlineLvl w:val="2"/>
    </w:pPr>
  </w:style>
  <w:style w:type="paragraph" w:styleId="Heading4">
    <w:name w:val="heading 4"/>
    <w:basedOn w:val="Normal"/>
    <w:next w:val="Normal"/>
    <w:link w:val="Heading4Char"/>
    <w:qFormat/>
    <w:rsid w:val="00972F9F"/>
    <w:pPr>
      <w:outlineLvl w:val="3"/>
    </w:pPr>
  </w:style>
  <w:style w:type="paragraph" w:styleId="Heading5">
    <w:name w:val="heading 5"/>
    <w:basedOn w:val="Normal"/>
    <w:next w:val="Normal"/>
    <w:link w:val="Heading5Char"/>
    <w:qFormat/>
    <w:rsid w:val="00972F9F"/>
    <w:pPr>
      <w:outlineLvl w:val="4"/>
    </w:pPr>
  </w:style>
  <w:style w:type="paragraph" w:styleId="Heading6">
    <w:name w:val="heading 6"/>
    <w:basedOn w:val="Normal"/>
    <w:next w:val="Normal"/>
    <w:link w:val="Heading6Char"/>
    <w:qFormat/>
    <w:rsid w:val="00972F9F"/>
    <w:pPr>
      <w:outlineLvl w:val="5"/>
    </w:pPr>
  </w:style>
  <w:style w:type="paragraph" w:styleId="Heading7">
    <w:name w:val="heading 7"/>
    <w:basedOn w:val="Normal"/>
    <w:next w:val="Normal"/>
    <w:link w:val="Heading7Char"/>
    <w:qFormat/>
    <w:rsid w:val="00972F9F"/>
    <w:pPr>
      <w:outlineLvl w:val="6"/>
    </w:pPr>
  </w:style>
  <w:style w:type="paragraph" w:styleId="Heading8">
    <w:name w:val="heading 8"/>
    <w:basedOn w:val="Normal"/>
    <w:next w:val="Normal"/>
    <w:link w:val="Heading8Char"/>
    <w:qFormat/>
    <w:rsid w:val="00972F9F"/>
    <w:pPr>
      <w:outlineLvl w:val="7"/>
    </w:pPr>
  </w:style>
  <w:style w:type="paragraph" w:styleId="Heading9">
    <w:name w:val="heading 9"/>
    <w:basedOn w:val="Normal"/>
    <w:next w:val="Normal"/>
    <w:link w:val="Heading9Char"/>
    <w:qFormat/>
    <w:rsid w:val="00972F9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qFormat/>
    <w:rsid w:val="00972F9F"/>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972F9F"/>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972F9F"/>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972F9F"/>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972F9F"/>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972F9F"/>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972F9F"/>
    <w:pPr>
      <w:spacing w:after="120"/>
      <w:ind w:left="1134" w:right="1134"/>
      <w:jc w:val="both"/>
    </w:pPr>
  </w:style>
  <w:style w:type="paragraph" w:customStyle="1" w:styleId="SLG">
    <w:name w:val="__S_L_G"/>
    <w:basedOn w:val="Normal"/>
    <w:next w:val="Normal"/>
    <w:rsid w:val="00972F9F"/>
    <w:pPr>
      <w:keepNext/>
      <w:keepLines/>
      <w:spacing w:before="240" w:after="240" w:line="580" w:lineRule="exact"/>
      <w:ind w:left="1134" w:right="1134"/>
    </w:pPr>
    <w:rPr>
      <w:b/>
      <w:sz w:val="56"/>
    </w:rPr>
  </w:style>
  <w:style w:type="paragraph" w:customStyle="1" w:styleId="SMG">
    <w:name w:val="__S_M_G"/>
    <w:basedOn w:val="Normal"/>
    <w:next w:val="Normal"/>
    <w:rsid w:val="00972F9F"/>
    <w:pPr>
      <w:keepNext/>
      <w:keepLines/>
      <w:spacing w:before="240" w:after="240" w:line="420" w:lineRule="exact"/>
      <w:ind w:left="1134" w:right="1134"/>
    </w:pPr>
    <w:rPr>
      <w:b/>
      <w:sz w:val="40"/>
    </w:rPr>
  </w:style>
  <w:style w:type="paragraph" w:customStyle="1" w:styleId="SSG">
    <w:name w:val="__S_S_G"/>
    <w:basedOn w:val="Normal"/>
    <w:next w:val="Normal"/>
    <w:rsid w:val="00972F9F"/>
    <w:pPr>
      <w:keepNext/>
      <w:keepLines/>
      <w:spacing w:before="240" w:after="240" w:line="300" w:lineRule="exact"/>
      <w:ind w:left="1134" w:right="1134"/>
    </w:pPr>
    <w:rPr>
      <w:b/>
      <w:sz w:val="28"/>
    </w:rPr>
  </w:style>
  <w:style w:type="paragraph" w:customStyle="1" w:styleId="XLargeG">
    <w:name w:val="__XLarge_G"/>
    <w:basedOn w:val="Normal"/>
    <w:next w:val="Normal"/>
    <w:rsid w:val="00972F9F"/>
    <w:pPr>
      <w:keepNext/>
      <w:keepLines/>
      <w:spacing w:before="240" w:after="240" w:line="420" w:lineRule="exact"/>
      <w:ind w:left="1134" w:right="1134"/>
    </w:pPr>
    <w:rPr>
      <w:b/>
      <w:sz w:val="40"/>
    </w:rPr>
  </w:style>
  <w:style w:type="paragraph" w:customStyle="1" w:styleId="Bullet1G">
    <w:name w:val="_Bullet 1_G"/>
    <w:basedOn w:val="Normal"/>
    <w:link w:val="Bullet1GCar"/>
    <w:qFormat/>
    <w:rsid w:val="00972F9F"/>
    <w:pPr>
      <w:numPr>
        <w:numId w:val="1"/>
      </w:numPr>
      <w:spacing w:after="120"/>
      <w:ind w:right="1134"/>
      <w:jc w:val="both"/>
    </w:pPr>
  </w:style>
  <w:style w:type="paragraph" w:customStyle="1" w:styleId="Bullet2G">
    <w:name w:val="_Bullet 2_G"/>
    <w:basedOn w:val="Normal"/>
    <w:qFormat/>
    <w:rsid w:val="00972F9F"/>
    <w:pPr>
      <w:numPr>
        <w:numId w:val="2"/>
      </w:numPr>
      <w:spacing w:after="120"/>
      <w:ind w:right="1134"/>
      <w:jc w:val="both"/>
    </w:pPr>
  </w:style>
  <w:style w:type="character" w:styleId="FootnoteReference">
    <w:name w:val="footnote reference"/>
    <w:aliases w:val="4_G"/>
    <w:basedOn w:val="DefaultParagraphFont"/>
    <w:qFormat/>
    <w:rsid w:val="008D052A"/>
    <w:rPr>
      <w:rFonts w:ascii="Times New Roman" w:hAnsi="Times New Roman"/>
      <w:sz w:val="18"/>
      <w:vertAlign w:val="superscript"/>
      <w:lang w:val="fr-CH"/>
    </w:rPr>
  </w:style>
  <w:style w:type="character" w:styleId="EndnoteReference">
    <w:name w:val="endnote reference"/>
    <w:aliases w:val="1_G"/>
    <w:basedOn w:val="DefaultParagraphFont"/>
    <w:qFormat/>
    <w:rsid w:val="008D052A"/>
    <w:rPr>
      <w:rFonts w:ascii="Times New Roman" w:hAnsi="Times New Roman"/>
      <w:sz w:val="18"/>
      <w:vertAlign w:val="superscript"/>
      <w:lang w:val="fr-CH"/>
    </w:rPr>
  </w:style>
  <w:style w:type="paragraph" w:styleId="Header">
    <w:name w:val="header"/>
    <w:aliases w:val="6_G"/>
    <w:basedOn w:val="Normal"/>
    <w:next w:val="Normal"/>
    <w:link w:val="HeaderChar"/>
    <w:qFormat/>
    <w:rsid w:val="00972F9F"/>
    <w:pPr>
      <w:pBdr>
        <w:bottom w:val="single" w:sz="4" w:space="4" w:color="auto"/>
      </w:pBdr>
      <w:spacing w:line="240" w:lineRule="auto"/>
    </w:pPr>
    <w:rPr>
      <w:b/>
      <w:sz w:val="18"/>
    </w:rPr>
  </w:style>
  <w:style w:type="paragraph" w:styleId="FootnoteText">
    <w:name w:val="footnote text"/>
    <w:aliases w:val="5_G"/>
    <w:basedOn w:val="Normal"/>
    <w:link w:val="FootnoteTextChar"/>
    <w:uiPriority w:val="99"/>
    <w:qFormat/>
    <w:rsid w:val="008D052A"/>
    <w:pPr>
      <w:tabs>
        <w:tab w:val="right" w:pos="1021"/>
      </w:tabs>
      <w:kinsoku w:val="0"/>
      <w:overflowPunct w:val="0"/>
      <w:autoSpaceDE w:val="0"/>
      <w:autoSpaceDN w:val="0"/>
      <w:adjustRightInd w:val="0"/>
      <w:snapToGrid w:val="0"/>
      <w:spacing w:line="220" w:lineRule="exact"/>
      <w:ind w:left="1134" w:right="1134" w:hanging="1134"/>
    </w:pPr>
    <w:rPr>
      <w:rFonts w:eastAsiaTheme="minorEastAsia"/>
      <w:sz w:val="18"/>
      <w:lang w:eastAsia="zh-CN"/>
    </w:rPr>
  </w:style>
  <w:style w:type="paragraph" w:styleId="EndnoteText">
    <w:name w:val="endnote text"/>
    <w:aliases w:val="2_G"/>
    <w:basedOn w:val="FootnoteText"/>
    <w:link w:val="EndnoteTextChar"/>
    <w:qFormat/>
    <w:rsid w:val="00822CC2"/>
  </w:style>
  <w:style w:type="character" w:styleId="PageNumber">
    <w:name w:val="page number"/>
    <w:aliases w:val="7_G"/>
    <w:basedOn w:val="DefaultParagraphFont"/>
    <w:qFormat/>
    <w:rsid w:val="00972F9F"/>
    <w:rPr>
      <w:rFonts w:ascii="Times New Roman" w:hAnsi="Times New Roman"/>
      <w:b/>
      <w:sz w:val="18"/>
      <w:lang w:val="fr-CH"/>
    </w:rPr>
  </w:style>
  <w:style w:type="paragraph" w:styleId="Footer">
    <w:name w:val="footer"/>
    <w:aliases w:val="3_G"/>
    <w:basedOn w:val="Normal"/>
    <w:next w:val="Normal"/>
    <w:link w:val="FooterChar"/>
    <w:uiPriority w:val="99"/>
    <w:qFormat/>
    <w:rsid w:val="00972F9F"/>
    <w:pPr>
      <w:spacing w:line="240" w:lineRule="auto"/>
    </w:pPr>
    <w:rPr>
      <w:sz w:val="16"/>
    </w:rPr>
  </w:style>
  <w:style w:type="character" w:styleId="Hyperlink">
    <w:name w:val="Hyperlink"/>
    <w:basedOn w:val="DefaultParagraphFont"/>
    <w:rsid w:val="003F0697"/>
    <w:rPr>
      <w:color w:val="auto"/>
      <w:u w:val="none"/>
    </w:rPr>
  </w:style>
  <w:style w:type="character" w:styleId="FollowedHyperlink">
    <w:name w:val="FollowedHyperlink"/>
    <w:basedOn w:val="DefaultParagraphFont"/>
    <w:rsid w:val="003F0697"/>
    <w:rPr>
      <w:color w:val="auto"/>
      <w:u w:val="none"/>
    </w:rPr>
  </w:style>
  <w:style w:type="paragraph" w:styleId="BalloonText">
    <w:name w:val="Balloon Text"/>
    <w:basedOn w:val="Normal"/>
    <w:link w:val="BalloonTextChar"/>
    <w:rsid w:val="00C36E41"/>
    <w:pPr>
      <w:spacing w:line="240" w:lineRule="auto"/>
    </w:pPr>
    <w:rPr>
      <w:rFonts w:ascii="Tahoma" w:hAnsi="Tahoma" w:cs="Tahoma"/>
      <w:sz w:val="16"/>
      <w:szCs w:val="16"/>
    </w:rPr>
  </w:style>
  <w:style w:type="table" w:styleId="TableGrid">
    <w:name w:val="Table Grid"/>
    <w:basedOn w:val="TableNormal"/>
    <w:uiPriority w:val="39"/>
    <w:rsid w:val="007F634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BalloonTextChar">
    <w:name w:val="Balloon Text Char"/>
    <w:basedOn w:val="DefaultParagraphFont"/>
    <w:link w:val="BalloonText"/>
    <w:rsid w:val="00C36E41"/>
    <w:rPr>
      <w:rFonts w:ascii="Tahoma" w:hAnsi="Tahoma" w:cs="Tahoma"/>
      <w:sz w:val="16"/>
      <w:szCs w:val="16"/>
      <w:lang w:val="fr-CH" w:eastAsia="en-US"/>
    </w:rPr>
  </w:style>
  <w:style w:type="paragraph" w:customStyle="1" w:styleId="ParNoG">
    <w:name w:val="_ParNo_G"/>
    <w:basedOn w:val="SingleTxtG"/>
    <w:qFormat/>
    <w:rsid w:val="00292B8D"/>
    <w:pPr>
      <w:numPr>
        <w:numId w:val="3"/>
      </w:numPr>
      <w:kinsoku w:val="0"/>
      <w:overflowPunct w:val="0"/>
      <w:autoSpaceDE w:val="0"/>
      <w:autoSpaceDN w:val="0"/>
      <w:adjustRightInd w:val="0"/>
      <w:snapToGrid w:val="0"/>
    </w:pPr>
  </w:style>
  <w:style w:type="character" w:customStyle="1" w:styleId="FootnoteTextChar">
    <w:name w:val="Footnote Text Char"/>
    <w:aliases w:val="5_G Char"/>
    <w:basedOn w:val="DefaultParagraphFont"/>
    <w:link w:val="FootnoteText"/>
    <w:uiPriority w:val="99"/>
    <w:rsid w:val="008D052A"/>
    <w:rPr>
      <w:rFonts w:eastAsiaTheme="minorEastAsia"/>
      <w:sz w:val="18"/>
      <w:lang w:val="fr-CH" w:eastAsia="zh-CN"/>
    </w:rPr>
  </w:style>
  <w:style w:type="character" w:customStyle="1" w:styleId="EndnoteTextChar">
    <w:name w:val="Endnote Text Char"/>
    <w:aliases w:val="2_G Char"/>
    <w:basedOn w:val="DefaultParagraphFont"/>
    <w:link w:val="EndnoteText"/>
    <w:rsid w:val="00251426"/>
    <w:rPr>
      <w:sz w:val="18"/>
      <w:lang w:val="fr-CH" w:eastAsia="en-US"/>
    </w:rPr>
  </w:style>
  <w:style w:type="character" w:customStyle="1" w:styleId="SingleTxtGChar">
    <w:name w:val="_ Single Txt_G Char"/>
    <w:link w:val="SingleTxtG"/>
    <w:rsid w:val="00251426"/>
    <w:rPr>
      <w:lang w:val="fr-CH" w:eastAsia="en-US"/>
    </w:rPr>
  </w:style>
  <w:style w:type="character" w:customStyle="1" w:styleId="HChGChar">
    <w:name w:val="_ H _Ch_G Char"/>
    <w:link w:val="HChG"/>
    <w:rsid w:val="00251426"/>
    <w:rPr>
      <w:b/>
      <w:sz w:val="28"/>
      <w:lang w:val="fr-CH" w:eastAsia="en-US"/>
    </w:rPr>
  </w:style>
  <w:style w:type="character" w:customStyle="1" w:styleId="H1GChar">
    <w:name w:val="_ H_1_G Char"/>
    <w:link w:val="H1G"/>
    <w:locked/>
    <w:rsid w:val="00251426"/>
    <w:rPr>
      <w:b/>
      <w:sz w:val="24"/>
      <w:lang w:val="fr-CH" w:eastAsia="en-US"/>
    </w:rPr>
  </w:style>
  <w:style w:type="character" w:customStyle="1" w:styleId="H23GChar">
    <w:name w:val="_ H_2/3_G Char"/>
    <w:link w:val="H23G"/>
    <w:locked/>
    <w:rsid w:val="00251426"/>
    <w:rPr>
      <w:b/>
      <w:lang w:val="fr-CH" w:eastAsia="en-US"/>
    </w:rPr>
  </w:style>
  <w:style w:type="character" w:styleId="CommentReference">
    <w:name w:val="annotation reference"/>
    <w:basedOn w:val="DefaultParagraphFont"/>
    <w:unhideWhenUsed/>
    <w:rsid w:val="008D77DD"/>
    <w:rPr>
      <w:sz w:val="16"/>
      <w:szCs w:val="16"/>
    </w:rPr>
  </w:style>
  <w:style w:type="paragraph" w:styleId="CommentText">
    <w:name w:val="annotation text"/>
    <w:basedOn w:val="Normal"/>
    <w:link w:val="CommentTextChar"/>
    <w:unhideWhenUsed/>
    <w:rsid w:val="008D77DD"/>
    <w:pPr>
      <w:spacing w:line="240" w:lineRule="auto"/>
    </w:pPr>
  </w:style>
  <w:style w:type="character" w:customStyle="1" w:styleId="CommentTextChar">
    <w:name w:val="Comment Text Char"/>
    <w:basedOn w:val="DefaultParagraphFont"/>
    <w:link w:val="CommentText"/>
    <w:rsid w:val="008D77DD"/>
    <w:rPr>
      <w:lang w:val="fr-CH" w:eastAsia="en-US"/>
    </w:rPr>
  </w:style>
  <w:style w:type="paragraph" w:styleId="CommentSubject">
    <w:name w:val="annotation subject"/>
    <w:basedOn w:val="CommentText"/>
    <w:next w:val="CommentText"/>
    <w:link w:val="CommentSubjectChar"/>
    <w:unhideWhenUsed/>
    <w:rsid w:val="008D77DD"/>
    <w:rPr>
      <w:b/>
      <w:bCs/>
    </w:rPr>
  </w:style>
  <w:style w:type="character" w:customStyle="1" w:styleId="CommentSubjectChar">
    <w:name w:val="Comment Subject Char"/>
    <w:basedOn w:val="CommentTextChar"/>
    <w:link w:val="CommentSubject"/>
    <w:rsid w:val="008D77DD"/>
    <w:rPr>
      <w:b/>
      <w:bCs/>
      <w:lang w:val="fr-CH" w:eastAsia="en-US"/>
    </w:rPr>
  </w:style>
  <w:style w:type="paragraph" w:styleId="Revision">
    <w:name w:val="Revision"/>
    <w:hidden/>
    <w:uiPriority w:val="71"/>
    <w:semiHidden/>
    <w:rsid w:val="008D77DD"/>
    <w:rPr>
      <w:lang w:val="fr-CH" w:eastAsia="en-US"/>
    </w:rPr>
  </w:style>
  <w:style w:type="character" w:customStyle="1" w:styleId="Heading1Char">
    <w:name w:val="Heading 1 Char"/>
    <w:aliases w:val="Table_G Char"/>
    <w:basedOn w:val="DefaultParagraphFont"/>
    <w:link w:val="Heading1"/>
    <w:rsid w:val="004D01CF"/>
    <w:rPr>
      <w:lang w:val="fr-CH" w:eastAsia="en-US"/>
    </w:rPr>
  </w:style>
  <w:style w:type="character" w:customStyle="1" w:styleId="Heading2Char">
    <w:name w:val="Heading 2 Char"/>
    <w:basedOn w:val="DefaultParagraphFont"/>
    <w:link w:val="Heading2"/>
    <w:rsid w:val="004D01CF"/>
    <w:rPr>
      <w:lang w:val="fr-CH" w:eastAsia="en-US"/>
    </w:rPr>
  </w:style>
  <w:style w:type="character" w:customStyle="1" w:styleId="Heading3Char">
    <w:name w:val="Heading 3 Char"/>
    <w:basedOn w:val="DefaultParagraphFont"/>
    <w:link w:val="Heading3"/>
    <w:rsid w:val="004D01CF"/>
    <w:rPr>
      <w:lang w:val="fr-CH" w:eastAsia="en-US"/>
    </w:rPr>
  </w:style>
  <w:style w:type="character" w:customStyle="1" w:styleId="Heading4Char">
    <w:name w:val="Heading 4 Char"/>
    <w:basedOn w:val="DefaultParagraphFont"/>
    <w:link w:val="Heading4"/>
    <w:rsid w:val="004D01CF"/>
    <w:rPr>
      <w:lang w:val="fr-CH" w:eastAsia="en-US"/>
    </w:rPr>
  </w:style>
  <w:style w:type="character" w:customStyle="1" w:styleId="Heading5Char">
    <w:name w:val="Heading 5 Char"/>
    <w:basedOn w:val="DefaultParagraphFont"/>
    <w:link w:val="Heading5"/>
    <w:rsid w:val="004D01CF"/>
    <w:rPr>
      <w:lang w:val="fr-CH" w:eastAsia="en-US"/>
    </w:rPr>
  </w:style>
  <w:style w:type="character" w:customStyle="1" w:styleId="Heading6Char">
    <w:name w:val="Heading 6 Char"/>
    <w:basedOn w:val="DefaultParagraphFont"/>
    <w:link w:val="Heading6"/>
    <w:rsid w:val="004D01CF"/>
    <w:rPr>
      <w:lang w:val="fr-CH" w:eastAsia="en-US"/>
    </w:rPr>
  </w:style>
  <w:style w:type="character" w:customStyle="1" w:styleId="Heading7Char">
    <w:name w:val="Heading 7 Char"/>
    <w:basedOn w:val="DefaultParagraphFont"/>
    <w:link w:val="Heading7"/>
    <w:rsid w:val="004D01CF"/>
    <w:rPr>
      <w:lang w:val="fr-CH" w:eastAsia="en-US"/>
    </w:rPr>
  </w:style>
  <w:style w:type="character" w:customStyle="1" w:styleId="Heading8Char">
    <w:name w:val="Heading 8 Char"/>
    <w:basedOn w:val="DefaultParagraphFont"/>
    <w:link w:val="Heading8"/>
    <w:rsid w:val="004D01CF"/>
    <w:rPr>
      <w:lang w:val="fr-CH" w:eastAsia="en-US"/>
    </w:rPr>
  </w:style>
  <w:style w:type="character" w:customStyle="1" w:styleId="Heading9Char">
    <w:name w:val="Heading 9 Char"/>
    <w:basedOn w:val="DefaultParagraphFont"/>
    <w:link w:val="Heading9"/>
    <w:rsid w:val="004D01CF"/>
    <w:rPr>
      <w:lang w:val="fr-CH" w:eastAsia="en-US"/>
    </w:rPr>
  </w:style>
  <w:style w:type="character" w:customStyle="1" w:styleId="HeaderChar">
    <w:name w:val="Header Char"/>
    <w:aliases w:val="6_G Char"/>
    <w:basedOn w:val="DefaultParagraphFont"/>
    <w:link w:val="Header"/>
    <w:rsid w:val="004D01CF"/>
    <w:rPr>
      <w:b/>
      <w:sz w:val="18"/>
      <w:lang w:val="fr-CH" w:eastAsia="en-US"/>
    </w:rPr>
  </w:style>
  <w:style w:type="character" w:customStyle="1" w:styleId="FooterChar">
    <w:name w:val="Footer Char"/>
    <w:aliases w:val="3_G Char"/>
    <w:basedOn w:val="DefaultParagraphFont"/>
    <w:link w:val="Footer"/>
    <w:uiPriority w:val="99"/>
    <w:rsid w:val="004D01CF"/>
    <w:rPr>
      <w:sz w:val="16"/>
      <w:lang w:val="fr-CH" w:eastAsia="en-US"/>
    </w:rPr>
  </w:style>
  <w:style w:type="paragraph" w:customStyle="1" w:styleId="Body">
    <w:name w:val="Body"/>
    <w:rsid w:val="004D01CF"/>
    <w:pPr>
      <w:pBdr>
        <w:top w:val="nil"/>
        <w:left w:val="nil"/>
        <w:bottom w:val="nil"/>
        <w:right w:val="nil"/>
        <w:between w:val="nil"/>
        <w:bar w:val="nil"/>
      </w:pBdr>
    </w:pPr>
    <w:rPr>
      <w:rFonts w:eastAsia="Arial Unicode MS" w:cs="Arial Unicode MS"/>
      <w:color w:val="000000"/>
      <w:u w:color="000000"/>
      <w:bdr w:val="nil"/>
      <w:lang w:val="en-GB" w:eastAsia="en-GB"/>
    </w:rPr>
  </w:style>
  <w:style w:type="numbering" w:customStyle="1" w:styleId="ImportedStyle1">
    <w:name w:val="Imported Style 1"/>
    <w:rsid w:val="004D01CF"/>
    <w:pPr>
      <w:numPr>
        <w:numId w:val="6"/>
      </w:numPr>
    </w:pPr>
  </w:style>
  <w:style w:type="numbering" w:customStyle="1" w:styleId="ImportedStyle2">
    <w:name w:val="Imported Style 2"/>
    <w:rsid w:val="004D01CF"/>
    <w:pPr>
      <w:numPr>
        <w:numId w:val="7"/>
      </w:numPr>
    </w:pPr>
  </w:style>
  <w:style w:type="paragraph" w:styleId="ListParagraph">
    <w:name w:val="List Paragraph"/>
    <w:uiPriority w:val="34"/>
    <w:qFormat/>
    <w:rsid w:val="004D01CF"/>
    <w:pPr>
      <w:pBdr>
        <w:top w:val="nil"/>
        <w:left w:val="nil"/>
        <w:bottom w:val="nil"/>
        <w:right w:val="nil"/>
        <w:between w:val="nil"/>
        <w:bar w:val="nil"/>
      </w:pBdr>
      <w:ind w:left="720"/>
    </w:pPr>
    <w:rPr>
      <w:rFonts w:eastAsia="Arial Unicode MS" w:cs="Arial Unicode MS"/>
      <w:color w:val="000000"/>
      <w:u w:color="000000"/>
      <w:bdr w:val="nil"/>
      <w:lang w:eastAsia="en-GB"/>
    </w:rPr>
  </w:style>
  <w:style w:type="numbering" w:customStyle="1" w:styleId="ImportedStyle4">
    <w:name w:val="Imported Style 4"/>
    <w:rsid w:val="004D01CF"/>
    <w:pPr>
      <w:numPr>
        <w:numId w:val="8"/>
      </w:numPr>
    </w:pPr>
  </w:style>
  <w:style w:type="paragraph" w:styleId="PlainText">
    <w:name w:val="Plain Text"/>
    <w:basedOn w:val="Normal"/>
    <w:link w:val="PlainTextChar"/>
    <w:uiPriority w:val="99"/>
    <w:semiHidden/>
    <w:unhideWhenUsed/>
    <w:rsid w:val="004D01CF"/>
    <w:pPr>
      <w:suppressAutoHyphens w:val="0"/>
      <w:spacing w:line="240" w:lineRule="auto"/>
    </w:pPr>
    <w:rPr>
      <w:rFonts w:ascii="Calibri" w:eastAsiaTheme="minorHAnsi" w:hAnsi="Calibri" w:cstheme="minorBidi"/>
      <w:sz w:val="22"/>
      <w:szCs w:val="21"/>
      <w:lang w:val="en-GB"/>
    </w:rPr>
  </w:style>
  <w:style w:type="character" w:customStyle="1" w:styleId="PlainTextChar">
    <w:name w:val="Plain Text Char"/>
    <w:basedOn w:val="DefaultParagraphFont"/>
    <w:link w:val="PlainText"/>
    <w:uiPriority w:val="99"/>
    <w:semiHidden/>
    <w:rsid w:val="004D01CF"/>
    <w:rPr>
      <w:rFonts w:ascii="Calibri" w:eastAsiaTheme="minorHAnsi" w:hAnsi="Calibri" w:cstheme="minorBidi"/>
      <w:sz w:val="22"/>
      <w:szCs w:val="21"/>
      <w:lang w:val="en-GB" w:eastAsia="en-US"/>
    </w:rPr>
  </w:style>
  <w:style w:type="numbering" w:customStyle="1" w:styleId="Style2import">
    <w:name w:val="Style 2 importé"/>
    <w:rsid w:val="004D01CF"/>
    <w:pPr>
      <w:numPr>
        <w:numId w:val="9"/>
      </w:numPr>
    </w:pPr>
  </w:style>
  <w:style w:type="paragraph" w:styleId="NormalWeb">
    <w:name w:val="Normal (Web)"/>
    <w:uiPriority w:val="99"/>
    <w:rsid w:val="004D01CF"/>
    <w:pPr>
      <w:pBdr>
        <w:top w:val="nil"/>
        <w:left w:val="nil"/>
        <w:bottom w:val="nil"/>
        <w:right w:val="nil"/>
        <w:between w:val="nil"/>
        <w:bar w:val="nil"/>
      </w:pBdr>
      <w:spacing w:before="100" w:after="100"/>
    </w:pPr>
    <w:rPr>
      <w:color w:val="000000"/>
      <w:sz w:val="24"/>
      <w:szCs w:val="24"/>
      <w:u w:color="000000"/>
      <w:bdr w:val="nil"/>
      <w:lang w:eastAsia="en-GB"/>
    </w:rPr>
  </w:style>
  <w:style w:type="character" w:customStyle="1" w:styleId="Hyperlink0">
    <w:name w:val="Hyperlink.0"/>
    <w:basedOn w:val="Hyperlink"/>
    <w:rsid w:val="004D01CF"/>
    <w:rPr>
      <w:color w:val="0000FF"/>
      <w:u w:val="single" w:color="0000FF"/>
    </w:rPr>
  </w:style>
  <w:style w:type="numbering" w:customStyle="1" w:styleId="Style3import">
    <w:name w:val="Style 3 importé"/>
    <w:rsid w:val="004D01CF"/>
    <w:pPr>
      <w:numPr>
        <w:numId w:val="10"/>
      </w:numPr>
    </w:pPr>
  </w:style>
  <w:style w:type="paragraph" w:customStyle="1" w:styleId="BodyA">
    <w:name w:val="Body A"/>
    <w:rsid w:val="004D01CF"/>
    <w:pPr>
      <w:pBdr>
        <w:top w:val="nil"/>
        <w:left w:val="nil"/>
        <w:bottom w:val="nil"/>
        <w:right w:val="nil"/>
        <w:between w:val="nil"/>
        <w:bar w:val="nil"/>
      </w:pBdr>
      <w:suppressAutoHyphens/>
      <w:spacing w:line="240" w:lineRule="atLeast"/>
    </w:pPr>
    <w:rPr>
      <w:rFonts w:eastAsia="Arial Unicode MS" w:cs="Arial Unicode MS"/>
      <w:color w:val="000000"/>
      <w:u w:color="000000"/>
      <w:bdr w:val="nil"/>
      <w:lang w:eastAsia="en-GB"/>
    </w:rPr>
  </w:style>
  <w:style w:type="numbering" w:customStyle="1" w:styleId="ImportedStyle5">
    <w:name w:val="Imported Style 5"/>
    <w:rsid w:val="004D01CF"/>
    <w:pPr>
      <w:numPr>
        <w:numId w:val="11"/>
      </w:numPr>
    </w:pPr>
  </w:style>
  <w:style w:type="character" w:customStyle="1" w:styleId="shorttext">
    <w:name w:val="short_text"/>
    <w:basedOn w:val="DefaultParagraphFont"/>
    <w:rsid w:val="004D01CF"/>
  </w:style>
  <w:style w:type="character" w:customStyle="1" w:styleId="None">
    <w:name w:val="None"/>
    <w:rsid w:val="004D01CF"/>
    <w:rPr>
      <w:lang w:val="fr-FR"/>
    </w:rPr>
  </w:style>
  <w:style w:type="paragraph" w:customStyle="1" w:styleId="Normal1">
    <w:name w:val="Normal1"/>
    <w:rsid w:val="004D01CF"/>
    <w:pPr>
      <w:pBdr>
        <w:top w:val="nil"/>
        <w:left w:val="nil"/>
        <w:bottom w:val="nil"/>
        <w:right w:val="nil"/>
        <w:between w:val="nil"/>
      </w:pBdr>
      <w:spacing w:line="276" w:lineRule="auto"/>
    </w:pPr>
    <w:rPr>
      <w:rFonts w:ascii="Arial" w:eastAsia="Arial" w:hAnsi="Arial" w:cs="Arial"/>
      <w:color w:val="000000"/>
      <w:sz w:val="22"/>
      <w:szCs w:val="22"/>
      <w:lang w:val="fr-CH" w:eastAsia="en-US"/>
    </w:rPr>
  </w:style>
  <w:style w:type="character" w:customStyle="1" w:styleId="UnresolvedMention1">
    <w:name w:val="Unresolved Mention1"/>
    <w:basedOn w:val="DefaultParagraphFont"/>
    <w:uiPriority w:val="99"/>
    <w:semiHidden/>
    <w:unhideWhenUsed/>
    <w:rsid w:val="004D01CF"/>
    <w:rPr>
      <w:color w:val="605E5C"/>
      <w:shd w:val="clear" w:color="auto" w:fill="E1DFDD"/>
    </w:rPr>
  </w:style>
  <w:style w:type="paragraph" w:customStyle="1" w:styleId="Default">
    <w:name w:val="Default"/>
    <w:rsid w:val="004D01CF"/>
    <w:pPr>
      <w:autoSpaceDE w:val="0"/>
      <w:autoSpaceDN w:val="0"/>
      <w:adjustRightInd w:val="0"/>
    </w:pPr>
    <w:rPr>
      <w:rFonts w:eastAsiaTheme="minorEastAsia"/>
      <w:color w:val="000000"/>
      <w:sz w:val="24"/>
      <w:szCs w:val="24"/>
      <w:lang w:val="en-GB" w:eastAsia="zh-CN"/>
    </w:rPr>
  </w:style>
  <w:style w:type="paragraph" w:customStyle="1" w:styleId="Grillemoyenne1-Accent21">
    <w:name w:val="Grille moyenne 1 - Accent 21"/>
    <w:basedOn w:val="Normal"/>
    <w:uiPriority w:val="34"/>
    <w:qFormat/>
    <w:rsid w:val="004D01CF"/>
    <w:pPr>
      <w:suppressAutoHyphens w:val="0"/>
      <w:spacing w:line="240" w:lineRule="auto"/>
      <w:ind w:left="720"/>
    </w:pPr>
    <w:rPr>
      <w:sz w:val="24"/>
      <w:szCs w:val="24"/>
      <w:lang w:val="en-US" w:eastAsia="zh-CN"/>
    </w:rPr>
  </w:style>
  <w:style w:type="paragraph" w:customStyle="1" w:styleId="Paragraphedeliste1">
    <w:name w:val="Paragraphe de liste1"/>
    <w:basedOn w:val="Normal"/>
    <w:qFormat/>
    <w:rsid w:val="004D01CF"/>
    <w:pPr>
      <w:suppressAutoHyphens w:val="0"/>
      <w:spacing w:line="240" w:lineRule="auto"/>
      <w:ind w:left="720"/>
      <w:contextualSpacing/>
    </w:pPr>
    <w:rPr>
      <w:sz w:val="24"/>
      <w:szCs w:val="24"/>
      <w:lang w:val="fr-FR" w:eastAsia="fr-FR"/>
    </w:rPr>
  </w:style>
  <w:style w:type="character" w:customStyle="1" w:styleId="Bullet1GCar">
    <w:name w:val="_Bullet 1_G Car"/>
    <w:link w:val="Bullet1G"/>
    <w:rsid w:val="004D01CF"/>
    <w:rPr>
      <w:lang w:val="fr-CH" w:eastAsia="en-US"/>
    </w:rPr>
  </w:style>
  <w:style w:type="table" w:customStyle="1" w:styleId="TableGrid1">
    <w:name w:val="Table Grid1"/>
    <w:basedOn w:val="TableNormal"/>
    <w:next w:val="TableGrid"/>
    <w:rsid w:val="004D01CF"/>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ar">
    <w:name w:val="_ Single Txt_G Car"/>
    <w:rsid w:val="004D01CF"/>
    <w:rPr>
      <w:lang w:val="fr-CH" w:eastAsia="en-US"/>
    </w:rPr>
  </w:style>
  <w:style w:type="paragraph" w:styleId="DocumentMap">
    <w:name w:val="Document Map"/>
    <w:basedOn w:val="Normal"/>
    <w:link w:val="DocumentMapChar"/>
    <w:rsid w:val="004D01CF"/>
    <w:rPr>
      <w:sz w:val="24"/>
      <w:szCs w:val="24"/>
    </w:rPr>
  </w:style>
  <w:style w:type="character" w:customStyle="1" w:styleId="DocumentMapChar">
    <w:name w:val="Document Map Char"/>
    <w:basedOn w:val="DefaultParagraphFont"/>
    <w:link w:val="DocumentMap"/>
    <w:rsid w:val="004D01CF"/>
    <w:rPr>
      <w:sz w:val="24"/>
      <w:szCs w:val="24"/>
      <w:lang w:val="fr-CH" w:eastAsia="en-US"/>
    </w:rPr>
  </w:style>
  <w:style w:type="paragraph" w:styleId="NoSpacing">
    <w:name w:val="No Spacing"/>
    <w:uiPriority w:val="1"/>
    <w:qFormat/>
    <w:rsid w:val="004D01CF"/>
    <w:rPr>
      <w:rFonts w:asciiTheme="minorHAnsi" w:eastAsiaTheme="minorHAnsi" w:hAnsiTheme="minorHAnsi" w:cstheme="minorBidi"/>
      <w:sz w:val="22"/>
      <w:szCs w:val="22"/>
      <w:lang w:eastAsia="en-US"/>
    </w:rPr>
  </w:style>
  <w:style w:type="character" w:customStyle="1" w:styleId="Mentionnonrsolue1">
    <w:name w:val="Mention non résolue1"/>
    <w:basedOn w:val="DefaultParagraphFont"/>
    <w:uiPriority w:val="99"/>
    <w:semiHidden/>
    <w:unhideWhenUsed/>
    <w:rsid w:val="00587B4D"/>
    <w:rPr>
      <w:color w:val="605E5C"/>
      <w:shd w:val="clear" w:color="auto" w:fill="E1DFDD"/>
    </w:rPr>
  </w:style>
  <w:style w:type="character" w:customStyle="1" w:styleId="Mentionnonrsolue2">
    <w:name w:val="Mention non résolue2"/>
    <w:basedOn w:val="DefaultParagraphFont"/>
    <w:uiPriority w:val="99"/>
    <w:semiHidden/>
    <w:unhideWhenUsed/>
    <w:rsid w:val="001C05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2066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ohchr.org/FR/HRBodies/OPCAT/Fund/Pages/SpecialFund.aspx" TargetMode="External"/><Relationship Id="rId1" Type="http://schemas.openxmlformats.org/officeDocument/2006/relationships/hyperlink" Target="http://www.ohchr.org/FR/HRBodies/OPCAT/Fund/Pages/SpecialFund.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CATOP\CATOP_F.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ACB2BF19BEAD04C9C1E019E749B7568" ma:contentTypeVersion="0" ma:contentTypeDescription="Create a new document." ma:contentTypeScope="" ma:versionID="ce503681a0dd28ef6faf66b8525aa21c">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C801E-B379-4D69-951D-BE0BD90254B3}">
  <ds:schemaRefs>
    <ds:schemaRef ds:uri="http://schemas.microsoft.com/sharepoint/v3/contenttype/forms"/>
  </ds:schemaRefs>
</ds:datastoreItem>
</file>

<file path=customXml/itemProps2.xml><?xml version="1.0" encoding="utf-8"?>
<ds:datastoreItem xmlns:ds="http://schemas.openxmlformats.org/officeDocument/2006/customXml" ds:itemID="{7F57D0EB-E3FE-4709-87D9-BED02857E200}"/>
</file>

<file path=customXml/itemProps3.xml><?xml version="1.0" encoding="utf-8"?>
<ds:datastoreItem xmlns:ds="http://schemas.openxmlformats.org/officeDocument/2006/customXml" ds:itemID="{0423C0B5-3FF6-4328-B72D-B5263EBBDBC0}">
  <ds:schemaRefs>
    <ds:schemaRef ds:uri="http://purl.org/dc/terms/"/>
    <ds:schemaRef ds:uri="http://schemas.openxmlformats.org/package/2006/metadata/core-properties"/>
    <ds:schemaRef ds:uri="http://schemas.microsoft.com/office/2006/documentManagement/types"/>
    <ds:schemaRef ds:uri="68acf721-d31d-4b00-8ac7-f1c1d20529a0"/>
    <ds:schemaRef ds:uri="84081cdf-a844-421a-bf13-2f482e3533fd"/>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B3AE31F9-D1AE-429B-B57C-58F10CAED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CATOP_F.dotm</Template>
  <TotalTime>4</TotalTime>
  <Pages>18</Pages>
  <Words>7057</Words>
  <Characters>40227</Characters>
  <Application>Microsoft Office Word</Application>
  <DocSecurity>0</DocSecurity>
  <Lines>335</Lines>
  <Paragraphs>94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CAT/OP/SEN/RONPM/R.1</vt:lpstr>
      <vt:lpstr>CAT/OP/ROSP/1/R.1</vt:lpstr>
    </vt:vector>
  </TitlesOfParts>
  <Company>CSD</Company>
  <LinksUpToDate>false</LinksUpToDate>
  <CharactersWithSpaces>47190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CAT/OP/SEN/RONPM/R.1</dc:title>
  <dc:subject/>
  <dc:creator>DIEGO-FERNANDEZ Paloma</dc:creator>
  <cp:keywords/>
  <cp:lastModifiedBy>DIEGO-FERNANDEZ Paloma</cp:lastModifiedBy>
  <cp:revision>3</cp:revision>
  <cp:lastPrinted>2020-11-02T11:15:00Z</cp:lastPrinted>
  <dcterms:created xsi:type="dcterms:W3CDTF">2021-02-16T11:08:00Z</dcterms:created>
  <dcterms:modified xsi:type="dcterms:W3CDTF">2021-02-17T18:06:00Z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0x0101007ACB2BF19BEAD04C9C1E019E749B7568</vt:lpwstr>
  </property>
</Properties>
</file>