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F90" w:rsidRPr="00B839E5" w:rsidRDefault="00241F90" w:rsidP="00241F90">
      <w:pPr>
        <w:pStyle w:val="HMG"/>
      </w:pPr>
      <w:r w:rsidRPr="00550460">
        <w:t>Anexo 1</w:t>
      </w:r>
      <w:r w:rsidRPr="00550460">
        <w:tab/>
      </w:r>
    </w:p>
    <w:p w:rsidR="00241F90" w:rsidRDefault="00241F90" w:rsidP="00241F90">
      <w:pPr>
        <w:pStyle w:val="HChG"/>
      </w:pPr>
      <w:r>
        <w:t>Gráfico 1</w:t>
      </w:r>
    </w:p>
    <w:p w:rsidR="00241F90" w:rsidRPr="00221DB3" w:rsidRDefault="00241F90" w:rsidP="00241F90">
      <w:r w:rsidRPr="00550460">
        <w:rPr>
          <w:noProof/>
          <w:lang w:val="en-GB" w:eastAsia="en-GB"/>
        </w:rPr>
        <w:drawing>
          <wp:inline distT="0" distB="0" distL="0" distR="0" wp14:anchorId="6FAC509B" wp14:editId="409D4C9C">
            <wp:extent cx="4318876" cy="3019499"/>
            <wp:effectExtent l="0" t="0" r="571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22320" cy="3021907"/>
                    </a:xfrm>
                    <a:prstGeom prst="rect">
                      <a:avLst/>
                    </a:prstGeom>
                  </pic:spPr>
                </pic:pic>
              </a:graphicData>
            </a:graphic>
          </wp:inline>
        </w:drawing>
      </w:r>
    </w:p>
    <w:p w:rsidR="00241F90" w:rsidRDefault="00241F90" w:rsidP="00241F90">
      <w:pPr>
        <w:pStyle w:val="HChG"/>
      </w:pPr>
      <w:r>
        <w:t>Gráfico 2</w:t>
      </w:r>
    </w:p>
    <w:p w:rsidR="00241F90" w:rsidRPr="00550460" w:rsidRDefault="00241F90" w:rsidP="00241F90">
      <w:r w:rsidRPr="00550460">
        <w:rPr>
          <w:noProof/>
          <w:lang w:val="en-GB" w:eastAsia="en-GB"/>
        </w:rPr>
        <w:drawing>
          <wp:inline distT="0" distB="0" distL="0" distR="0" wp14:anchorId="6D90D1B7" wp14:editId="67CA3989">
            <wp:extent cx="4464423" cy="3699642"/>
            <wp:effectExtent l="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9498" cy="3703848"/>
                    </a:xfrm>
                    <a:prstGeom prst="rect">
                      <a:avLst/>
                    </a:prstGeom>
                  </pic:spPr>
                </pic:pic>
              </a:graphicData>
            </a:graphic>
          </wp:inline>
        </w:drawing>
      </w:r>
    </w:p>
    <w:p w:rsidR="00241F90" w:rsidRDefault="00241F90" w:rsidP="00241F90">
      <w:pPr>
        <w:pStyle w:val="HChG"/>
      </w:pPr>
      <w:r>
        <w:lastRenderedPageBreak/>
        <w:t xml:space="preserve">Gráfico 3 </w:t>
      </w:r>
    </w:p>
    <w:p w:rsidR="00241F90" w:rsidRDefault="00241F90" w:rsidP="00241F90">
      <w:r w:rsidRPr="00550460">
        <w:rPr>
          <w:noProof/>
          <w:lang w:val="en-GB" w:eastAsia="en-GB"/>
        </w:rPr>
        <w:drawing>
          <wp:inline distT="0" distB="0" distL="0" distR="0" wp14:anchorId="540E37E0" wp14:editId="408276EC">
            <wp:extent cx="4703225" cy="3851238"/>
            <wp:effectExtent l="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7684" cy="3854890"/>
                    </a:xfrm>
                    <a:prstGeom prst="rect">
                      <a:avLst/>
                    </a:prstGeom>
                  </pic:spPr>
                </pic:pic>
              </a:graphicData>
            </a:graphic>
          </wp:inline>
        </w:drawing>
      </w:r>
    </w:p>
    <w:p w:rsidR="00241F90" w:rsidRDefault="00241F90" w:rsidP="00241F90">
      <w:pPr>
        <w:pStyle w:val="HChG"/>
      </w:pPr>
      <w:r>
        <w:t>Gráfico 4</w:t>
      </w:r>
    </w:p>
    <w:p w:rsidR="00241F90" w:rsidRPr="00550460" w:rsidRDefault="00241F90" w:rsidP="00241F90">
      <w:r w:rsidRPr="00550460">
        <w:rPr>
          <w:noProof/>
          <w:lang w:val="en-GB" w:eastAsia="en-GB"/>
        </w:rPr>
        <w:drawing>
          <wp:inline distT="0" distB="0" distL="0" distR="0" wp14:anchorId="681920CF" wp14:editId="270CA6AD">
            <wp:extent cx="4625788" cy="3484781"/>
            <wp:effectExtent l="0" t="0" r="381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32580" cy="3489898"/>
                    </a:xfrm>
                    <a:prstGeom prst="rect">
                      <a:avLst/>
                    </a:prstGeom>
                  </pic:spPr>
                </pic:pic>
              </a:graphicData>
            </a:graphic>
          </wp:inline>
        </w:drawing>
      </w:r>
    </w:p>
    <w:p w:rsidR="00241F90" w:rsidRDefault="00241F90" w:rsidP="00241F90"/>
    <w:p w:rsidR="00241F90" w:rsidRDefault="00241F90" w:rsidP="00241F90"/>
    <w:p w:rsidR="00241F90" w:rsidRDefault="00241F90" w:rsidP="00241F90"/>
    <w:p w:rsidR="00241F90" w:rsidRDefault="00241F90" w:rsidP="00241F90"/>
    <w:p w:rsidR="00241F90" w:rsidRDefault="00241F90" w:rsidP="00241F90"/>
    <w:p w:rsidR="00241F90" w:rsidRDefault="00241F90" w:rsidP="00241F90">
      <w:pPr>
        <w:pStyle w:val="HMG"/>
      </w:pPr>
      <w:r>
        <w:lastRenderedPageBreak/>
        <w:t>Anexo 2</w:t>
      </w:r>
    </w:p>
    <w:p w:rsidR="00241F90" w:rsidRDefault="00241F90" w:rsidP="00241F90">
      <w:pPr>
        <w:pStyle w:val="HChG"/>
      </w:pPr>
      <w:r>
        <w:t>Cuadro 1</w:t>
      </w:r>
    </w:p>
    <w:tbl>
      <w:tblPr>
        <w:tblW w:w="0" w:type="auto"/>
        <w:jc w:val="center"/>
        <w:tblCellMar>
          <w:left w:w="70" w:type="dxa"/>
          <w:right w:w="70" w:type="dxa"/>
        </w:tblCellMar>
        <w:tblLook w:val="04A0" w:firstRow="1" w:lastRow="0" w:firstColumn="1" w:lastColumn="0" w:noHBand="0" w:noVBand="1"/>
      </w:tblPr>
      <w:tblGrid>
        <w:gridCol w:w="4412"/>
        <w:gridCol w:w="1435"/>
      </w:tblGrid>
      <w:tr w:rsidR="00241F90" w:rsidRPr="00843F1D" w:rsidTr="007435ED">
        <w:trPr>
          <w:trHeight w:val="423"/>
          <w:jc w:val="center"/>
        </w:trPr>
        <w:tc>
          <w:tcPr>
            <w:tcW w:w="0" w:type="auto"/>
            <w:tcBorders>
              <w:top w:val="single" w:sz="4" w:space="0" w:color="auto"/>
              <w:left w:val="single" w:sz="4" w:space="0" w:color="auto"/>
              <w:bottom w:val="single" w:sz="4" w:space="0" w:color="auto"/>
              <w:right w:val="single" w:sz="4" w:space="0" w:color="auto"/>
            </w:tcBorders>
            <w:vAlign w:val="center"/>
          </w:tcPr>
          <w:p w:rsidR="00241F90" w:rsidRPr="00843F1D" w:rsidRDefault="00241F90" w:rsidP="007435ED">
            <w:pPr>
              <w:jc w:val="center"/>
              <w:rPr>
                <w:b/>
                <w:lang w:eastAsia="es-CR"/>
              </w:rPr>
            </w:pPr>
            <w:r w:rsidRPr="00843F1D">
              <w:rPr>
                <w:b/>
                <w:lang w:eastAsia="es-CR"/>
              </w:rPr>
              <w:t>Características del empleo</w:t>
            </w:r>
          </w:p>
        </w:tc>
        <w:tc>
          <w:tcPr>
            <w:tcW w:w="0" w:type="auto"/>
            <w:tcBorders>
              <w:top w:val="single" w:sz="4" w:space="0" w:color="auto"/>
              <w:left w:val="single" w:sz="4" w:space="0" w:color="auto"/>
              <w:bottom w:val="single" w:sz="4" w:space="0" w:color="auto"/>
              <w:right w:val="single" w:sz="4" w:space="0" w:color="auto"/>
            </w:tcBorders>
            <w:vAlign w:val="center"/>
          </w:tcPr>
          <w:p w:rsidR="00241F90" w:rsidRPr="00843F1D" w:rsidRDefault="00241F90" w:rsidP="007435ED">
            <w:pPr>
              <w:jc w:val="center"/>
              <w:rPr>
                <w:b/>
                <w:color w:val="000000"/>
                <w:lang w:eastAsia="es-CR"/>
              </w:rPr>
            </w:pPr>
            <w:r>
              <w:rPr>
                <w:b/>
                <w:color w:val="000000"/>
                <w:lang w:eastAsia="es-CR"/>
              </w:rPr>
              <w:t>Brecha salarial</w:t>
            </w:r>
          </w:p>
        </w:tc>
      </w:tr>
      <w:tr w:rsidR="00241F90" w:rsidRPr="00843F1D" w:rsidTr="007435ED">
        <w:trPr>
          <w:trHeight w:val="423"/>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rPr>
                <w:lang w:eastAsia="es-CR"/>
              </w:rPr>
            </w:pPr>
            <w:r w:rsidRPr="00843F1D">
              <w:rPr>
                <w:lang w:eastAsia="es-CR"/>
              </w:rPr>
              <w:t>1. Rama de actividad</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41F90" w:rsidRPr="00843F1D" w:rsidRDefault="00241F90" w:rsidP="007435ED">
            <w:pPr>
              <w:jc w:val="right"/>
              <w:rPr>
                <w:color w:val="000000"/>
                <w:lang w:eastAsia="es-CR"/>
              </w:rPr>
            </w:pP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1.1 Sector primario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79,46%</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Agricultura, ganadería y pesca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79,46%</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rPr>
                <w:color w:val="000000"/>
                <w:lang w:eastAsia="es-CR"/>
              </w:rPr>
            </w:pPr>
            <w:r w:rsidRPr="00843F1D">
              <w:rPr>
                <w:color w:val="000000"/>
                <w:lang w:eastAsia="es-CR"/>
              </w:rPr>
              <w:t> </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1.2 Sector secundario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85,74%</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Industria manufacturera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72,42%</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Construcción</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69,46%</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Otros</w:t>
            </w:r>
            <w:r>
              <w:rPr>
                <w:rStyle w:val="FootnoteReference"/>
                <w:color w:val="000000"/>
                <w:lang w:eastAsia="es-CR"/>
              </w:rPr>
              <w:footnoteReference w:id="2"/>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153,17%</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rPr>
                <w:color w:val="000000"/>
                <w:lang w:eastAsia="es-CR"/>
              </w:rPr>
            </w:pPr>
            <w:r w:rsidRPr="00843F1D">
              <w:rPr>
                <w:color w:val="000000"/>
                <w:lang w:eastAsia="es-CR"/>
              </w:rPr>
              <w:t> </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1.3 Sector comercio y servicios</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83,34%</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Comercio y reparación</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71,20%</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Transporte y almacenamiento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93,81%</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Hoteles y restaurantes</w:t>
            </w:r>
            <w:r>
              <w:rPr>
                <w:rStyle w:val="FootnoteReference"/>
                <w:color w:val="000000"/>
                <w:lang w:eastAsia="es-CR"/>
              </w:rPr>
              <w:footnoteReference w:id="3"/>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49,64%</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Intermediación financiera y de seguros</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75,87%</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Actividades profesionales y administrativas de apoyo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84,01%</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Administración pública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119,84%</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Enseñanza y salud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100,10%</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Comunicación y otros servicios</w:t>
            </w:r>
            <w:r>
              <w:rPr>
                <w:rStyle w:val="FootnoteReference"/>
                <w:color w:val="000000"/>
                <w:lang w:eastAsia="es-CR"/>
              </w:rPr>
              <w:footnoteReference w:id="4"/>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74,70%</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Hogares como empleadores</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69,76%</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rPr>
                <w:color w:val="000000"/>
                <w:lang w:eastAsia="es-CR"/>
              </w:rPr>
            </w:pPr>
            <w:r w:rsidRPr="00843F1D">
              <w:rPr>
                <w:color w:val="000000"/>
                <w:lang w:eastAsia="es-CR"/>
              </w:rPr>
              <w:t> </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rPr>
                <w:lang w:eastAsia="es-CR"/>
              </w:rPr>
            </w:pPr>
            <w:r w:rsidRPr="00843F1D">
              <w:rPr>
                <w:lang w:eastAsia="es-CR"/>
              </w:rPr>
              <w:t>2. Calificación del grupo ocupacional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Ocupación calificada alta</w:t>
            </w:r>
            <w:r>
              <w:rPr>
                <w:rStyle w:val="FootnoteReference"/>
                <w:color w:val="000000"/>
                <w:lang w:eastAsia="es-CR"/>
              </w:rPr>
              <w:footnoteReference w:id="5"/>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99,07%</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lastRenderedPageBreak/>
              <w:t>Ocupación calificada media</w:t>
            </w:r>
            <w:r>
              <w:rPr>
                <w:rStyle w:val="FootnoteReference"/>
                <w:color w:val="000000"/>
                <w:lang w:eastAsia="es-CR"/>
              </w:rPr>
              <w:footnoteReference w:id="6"/>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70,77%</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Ocupación no calificada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79,46%</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200" w:firstLine="400"/>
              <w:rPr>
                <w:color w:val="000000"/>
                <w:lang w:eastAsia="es-CR"/>
              </w:rPr>
            </w:pPr>
            <w:r w:rsidRPr="00843F1D">
              <w:rPr>
                <w:color w:val="000000"/>
                <w:lang w:eastAsia="es-CR"/>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rPr>
                <w:color w:val="000000"/>
                <w:lang w:eastAsia="es-CR"/>
              </w:rPr>
            </w:pPr>
            <w:r w:rsidRPr="00843F1D">
              <w:rPr>
                <w:color w:val="000000"/>
                <w:lang w:eastAsia="es-CR"/>
              </w:rPr>
              <w:t> </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rPr>
                <w:color w:val="000000"/>
                <w:lang w:eastAsia="es-CR"/>
              </w:rPr>
            </w:pPr>
            <w:r w:rsidRPr="00843F1D">
              <w:rPr>
                <w:color w:val="000000"/>
                <w:lang w:eastAsia="es-CR"/>
              </w:rPr>
              <w:t>3. Sector institucional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Público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107,53%</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Privado</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73,23%</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rPr>
                <w:color w:val="000000"/>
                <w:lang w:eastAsia="es-CR"/>
              </w:rPr>
            </w:pPr>
            <w:r w:rsidRPr="00843F1D">
              <w:rPr>
                <w:color w:val="000000"/>
                <w:lang w:eastAsia="es-CR"/>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rPr>
                <w:color w:val="000000"/>
                <w:lang w:eastAsia="es-CR"/>
              </w:rPr>
            </w:pPr>
            <w:r w:rsidRPr="00843F1D">
              <w:rPr>
                <w:color w:val="000000"/>
                <w:lang w:eastAsia="es-CR"/>
              </w:rPr>
              <w:t> </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rPr>
                <w:color w:val="000000"/>
                <w:lang w:eastAsia="es-CR"/>
              </w:rPr>
            </w:pPr>
            <w:r w:rsidRPr="00843F1D">
              <w:rPr>
                <w:color w:val="000000"/>
                <w:lang w:eastAsia="es-CR"/>
              </w:rPr>
              <w:t>4. Posición en el empleo principal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Asalariada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93,19%</w:t>
            </w:r>
          </w:p>
        </w:tc>
      </w:tr>
      <w:tr w:rsidR="00241F90" w:rsidRPr="00843F1D" w:rsidTr="007435ED">
        <w:trPr>
          <w:trHeight w:val="423"/>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Cuenta propia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71,53%</w:t>
            </w:r>
          </w:p>
        </w:tc>
      </w:tr>
      <w:tr w:rsidR="00241F90" w:rsidRPr="00843F1D" w:rsidTr="007435ED">
        <w:trPr>
          <w:trHeight w:val="424"/>
          <w:jc w:val="center"/>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241F90" w:rsidRPr="00843F1D" w:rsidRDefault="00241F90" w:rsidP="007435ED">
            <w:pPr>
              <w:ind w:firstLineChars="100" w:firstLine="200"/>
              <w:rPr>
                <w:color w:val="000000"/>
                <w:lang w:eastAsia="es-CR"/>
              </w:rPr>
            </w:pPr>
            <w:r w:rsidRPr="00843F1D">
              <w:rPr>
                <w:color w:val="000000"/>
                <w:lang w:eastAsia="es-CR"/>
              </w:rPr>
              <w:t>Empleadora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41F90" w:rsidRPr="00843F1D" w:rsidRDefault="00241F90" w:rsidP="007435ED">
            <w:pPr>
              <w:jc w:val="right"/>
              <w:rPr>
                <w:color w:val="000000"/>
                <w:lang w:eastAsia="es-CR"/>
              </w:rPr>
            </w:pPr>
            <w:r w:rsidRPr="00843F1D">
              <w:rPr>
                <w:color w:val="000000"/>
                <w:lang w:eastAsia="es-CR"/>
              </w:rPr>
              <w:t>68,90%</w:t>
            </w:r>
          </w:p>
        </w:tc>
      </w:tr>
    </w:tbl>
    <w:p w:rsidR="00241F90" w:rsidRDefault="00241F90" w:rsidP="00241F90"/>
    <w:p w:rsidR="00446FE5" w:rsidRPr="00241F90" w:rsidRDefault="00446FE5" w:rsidP="00241F90">
      <w:pPr>
        <w:spacing w:after="120"/>
        <w:rPr>
          <w:lang w:val="fr-CH" w:eastAsia="en-US"/>
        </w:rPr>
      </w:pPr>
      <w:bookmarkStart w:id="0" w:name="_GoBack"/>
      <w:bookmarkEnd w:id="0"/>
    </w:p>
    <w:sectPr w:rsidR="00446FE5" w:rsidRPr="00241F90" w:rsidSect="00DD2149">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9E2" w:rsidRDefault="00E009E2" w:rsidP="00F95C08"/>
  </w:endnote>
  <w:endnote w:type="continuationSeparator" w:id="0">
    <w:p w:rsidR="00E009E2" w:rsidRPr="00AC3823" w:rsidRDefault="00E009E2" w:rsidP="00AC3823">
      <w:pPr>
        <w:pStyle w:val="Footer"/>
      </w:pPr>
    </w:p>
  </w:endnote>
  <w:endnote w:type="continuationNotice" w:id="1">
    <w:p w:rsidR="00E009E2" w:rsidRDefault="00E00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9A7" w:rsidRPr="00DD2149" w:rsidRDefault="00241F90" w:rsidP="00DD2149">
    <w:pPr>
      <w:pStyle w:val="Footer"/>
      <w:tabs>
        <w:tab w:val="right" w:pos="9638"/>
      </w:tabs>
    </w:pPr>
    <w:r w:rsidRPr="00DD2149">
      <w:rPr>
        <w:b/>
        <w:sz w:val="18"/>
      </w:rPr>
      <w:fldChar w:fldCharType="begin"/>
    </w:r>
    <w:r w:rsidRPr="00DD2149">
      <w:rPr>
        <w:b/>
        <w:sz w:val="18"/>
      </w:rPr>
      <w:instrText xml:space="preserve"> PAGE  \* MERGEFORMAT </w:instrText>
    </w:r>
    <w:r w:rsidRPr="00DD2149">
      <w:rPr>
        <w:b/>
        <w:sz w:val="18"/>
      </w:rPr>
      <w:fldChar w:fldCharType="separate"/>
    </w:r>
    <w:r>
      <w:rPr>
        <w:b/>
        <w:noProof/>
        <w:sz w:val="18"/>
      </w:rPr>
      <w:t>42</w:t>
    </w:r>
    <w:r w:rsidRPr="00DD214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9A7" w:rsidRPr="00DD2149" w:rsidRDefault="00241F90" w:rsidP="00DD2149">
    <w:pPr>
      <w:pStyle w:val="Footer"/>
      <w:tabs>
        <w:tab w:val="right" w:pos="9638"/>
      </w:tabs>
      <w:rPr>
        <w:b/>
        <w:sz w:val="18"/>
      </w:rPr>
    </w:pPr>
    <w:r>
      <w:tab/>
    </w:r>
    <w:r w:rsidRPr="00DD2149">
      <w:rPr>
        <w:b/>
        <w:sz w:val="18"/>
      </w:rPr>
      <w:fldChar w:fldCharType="begin"/>
    </w:r>
    <w:r w:rsidRPr="00DD2149">
      <w:rPr>
        <w:b/>
        <w:sz w:val="18"/>
      </w:rPr>
      <w:instrText xml:space="preserve"> PAGE  \* MERGEFORMAT </w:instrText>
    </w:r>
    <w:r w:rsidRPr="00DD2149">
      <w:rPr>
        <w:b/>
        <w:sz w:val="18"/>
      </w:rPr>
      <w:fldChar w:fldCharType="separate"/>
    </w:r>
    <w:r>
      <w:rPr>
        <w:b/>
        <w:noProof/>
        <w:sz w:val="18"/>
      </w:rPr>
      <w:t>4</w:t>
    </w:r>
    <w:r w:rsidRPr="00DD214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9A7" w:rsidRPr="00DD2149" w:rsidRDefault="00241F90">
    <w:pPr>
      <w:pStyle w:val="Footer"/>
      <w:rPr>
        <w:sz w:val="20"/>
      </w:rPr>
    </w:pPr>
    <w:r>
      <w:rPr>
        <w:noProof/>
        <w:lang w:val="en-GB" w:eastAsia="en-GB"/>
      </w:rPr>
      <w:drawing>
        <wp:anchor distT="0" distB="0" distL="114300" distR="114300" simplePos="0" relativeHeight="251659264" behindDoc="0" locked="1" layoutInCell="1" allowOverlap="1" wp14:anchorId="3D1F2514" wp14:editId="6EDE4B00">
          <wp:simplePos x="0" y="0"/>
          <wp:positionH relativeFrom="margin">
            <wp:posOffset>5003800</wp:posOffset>
          </wp:positionH>
          <wp:positionV relativeFrom="margin">
            <wp:posOffset>9323705</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9E2" w:rsidRPr="00AC3823" w:rsidRDefault="00E009E2" w:rsidP="00AC3823">
      <w:pPr>
        <w:pStyle w:val="Footer"/>
        <w:tabs>
          <w:tab w:val="right" w:pos="2155"/>
        </w:tabs>
        <w:spacing w:after="80"/>
        <w:ind w:left="680"/>
        <w:rPr>
          <w:u w:val="single"/>
        </w:rPr>
      </w:pPr>
      <w:r>
        <w:rPr>
          <w:u w:val="single"/>
        </w:rPr>
        <w:tab/>
      </w:r>
    </w:p>
  </w:footnote>
  <w:footnote w:type="continuationSeparator" w:id="0">
    <w:p w:rsidR="00E009E2" w:rsidRPr="00AC3823" w:rsidRDefault="00E009E2" w:rsidP="00AC3823">
      <w:pPr>
        <w:pStyle w:val="Footer"/>
        <w:tabs>
          <w:tab w:val="right" w:pos="2155"/>
        </w:tabs>
        <w:spacing w:after="80"/>
        <w:ind w:left="680"/>
        <w:rPr>
          <w:u w:val="single"/>
        </w:rPr>
      </w:pPr>
      <w:r>
        <w:rPr>
          <w:u w:val="single"/>
        </w:rPr>
        <w:tab/>
      </w:r>
    </w:p>
  </w:footnote>
  <w:footnote w:type="continuationNotice" w:id="1">
    <w:p w:rsidR="00E009E2" w:rsidRPr="00AC3823" w:rsidRDefault="00E009E2">
      <w:pPr>
        <w:rPr>
          <w:sz w:val="2"/>
          <w:szCs w:val="2"/>
        </w:rPr>
      </w:pPr>
    </w:p>
  </w:footnote>
  <w:footnote w:id="2">
    <w:p w:rsidR="00241F90" w:rsidRDefault="00241F90" w:rsidP="00241F90">
      <w:pPr>
        <w:pStyle w:val="FootnoteText"/>
        <w:rPr>
          <w:szCs w:val="18"/>
        </w:rPr>
      </w:pPr>
      <w:r>
        <w:rPr>
          <w:rStyle w:val="FootnoteReference"/>
        </w:rPr>
        <w:footnoteRef/>
      </w:r>
      <w:r>
        <w:t xml:space="preserve"> </w:t>
      </w:r>
      <w:r w:rsidRPr="00843F1D">
        <w:rPr>
          <w:szCs w:val="18"/>
        </w:rPr>
        <w:t>Incluye explotación de minas y canteras, suministros de electricidad, gas, vapor y aire acondicionado, suministros de agua, evacuación de aguas residuales y gestión de desechos y contaminación.</w:t>
      </w:r>
      <w:r>
        <w:rPr>
          <w:szCs w:val="18"/>
        </w:rPr>
        <w:t xml:space="preserve"> </w:t>
      </w:r>
    </w:p>
    <w:p w:rsidR="00241F90" w:rsidRDefault="00241F90" w:rsidP="00241F90">
      <w:pPr>
        <w:pStyle w:val="FootnoteText"/>
      </w:pPr>
      <w:r>
        <w:rPr>
          <w:szCs w:val="18"/>
        </w:rPr>
        <w:t xml:space="preserve">Aquí el </w:t>
      </w:r>
      <w:r w:rsidRPr="00843F1D">
        <w:rPr>
          <w:szCs w:val="18"/>
        </w:rPr>
        <w:t xml:space="preserve">salario promedio </w:t>
      </w:r>
      <w:r>
        <w:rPr>
          <w:szCs w:val="18"/>
        </w:rPr>
        <w:t xml:space="preserve">femenino </w:t>
      </w:r>
      <w:r w:rsidRPr="00843F1D">
        <w:rPr>
          <w:szCs w:val="18"/>
        </w:rPr>
        <w:t>tiene un coefic</w:t>
      </w:r>
      <w:r>
        <w:rPr>
          <w:szCs w:val="18"/>
        </w:rPr>
        <w:t>iente de variación mayor al 20%, por lo que los r</w:t>
      </w:r>
      <w:r w:rsidRPr="00843F1D">
        <w:rPr>
          <w:szCs w:val="18"/>
        </w:rPr>
        <w:t xml:space="preserve">esultados no </w:t>
      </w:r>
      <w:r>
        <w:rPr>
          <w:szCs w:val="18"/>
        </w:rPr>
        <w:t xml:space="preserve">son </w:t>
      </w:r>
      <w:r w:rsidRPr="00843F1D">
        <w:rPr>
          <w:szCs w:val="18"/>
        </w:rPr>
        <w:t>estadísticamente confiables.</w:t>
      </w:r>
    </w:p>
  </w:footnote>
  <w:footnote w:id="3">
    <w:p w:rsidR="00241F90" w:rsidRPr="005D3101" w:rsidRDefault="00241F90" w:rsidP="00241F90">
      <w:pPr>
        <w:pStyle w:val="FootnoteText"/>
        <w:rPr>
          <w:szCs w:val="18"/>
        </w:rPr>
      </w:pPr>
      <w:r>
        <w:rPr>
          <w:rStyle w:val="FootnoteReference"/>
        </w:rPr>
        <w:footnoteRef/>
      </w:r>
      <w:r>
        <w:t xml:space="preserve"> </w:t>
      </w:r>
      <w:r w:rsidRPr="005D3101">
        <w:rPr>
          <w:szCs w:val="18"/>
        </w:rPr>
        <w:t>El salario promedio masculino tiene un coeficiente de variación mayor al 20%. Resultados no estadísticamente confiables.</w:t>
      </w:r>
    </w:p>
  </w:footnote>
  <w:footnote w:id="4">
    <w:p w:rsidR="00241F90" w:rsidRPr="005D3101" w:rsidRDefault="00241F90" w:rsidP="00241F90">
      <w:pPr>
        <w:pStyle w:val="FootnoteText"/>
        <w:rPr>
          <w:szCs w:val="18"/>
        </w:rPr>
      </w:pPr>
      <w:r w:rsidRPr="005D3101">
        <w:rPr>
          <w:rStyle w:val="FootnoteReference"/>
          <w:szCs w:val="18"/>
        </w:rPr>
        <w:footnoteRef/>
      </w:r>
      <w:r w:rsidRPr="005D3101">
        <w:rPr>
          <w:szCs w:val="18"/>
        </w:rPr>
        <w:t xml:space="preserve"> Incluye información y comunicaciones, actividades inmobiliarias, actividades artísticas, de entretenimiento y recreativas, actividades de organizaciones y órganos extraterritoriales y otras actividades de servicios.</w:t>
      </w:r>
    </w:p>
  </w:footnote>
  <w:footnote w:id="5">
    <w:p w:rsidR="00241F90" w:rsidRPr="005D3101" w:rsidRDefault="00241F90" w:rsidP="00241F90">
      <w:pPr>
        <w:pStyle w:val="FootnoteText"/>
        <w:rPr>
          <w:szCs w:val="18"/>
        </w:rPr>
      </w:pPr>
      <w:r w:rsidRPr="005D3101">
        <w:rPr>
          <w:rStyle w:val="FootnoteReference"/>
          <w:szCs w:val="18"/>
        </w:rPr>
        <w:footnoteRef/>
      </w:r>
      <w:r w:rsidRPr="005D3101">
        <w:rPr>
          <w:szCs w:val="18"/>
        </w:rPr>
        <w:t xml:space="preserve"> Incluye nivel directivo de la administración pública y de la empresa, nivel profesional, científico e intelectual, nivel técnico y profesional medio.</w:t>
      </w:r>
    </w:p>
  </w:footnote>
  <w:footnote w:id="6">
    <w:p w:rsidR="00241F90" w:rsidRPr="005D3101" w:rsidRDefault="00241F90" w:rsidP="00241F90">
      <w:pPr>
        <w:pStyle w:val="FootnoteText"/>
        <w:rPr>
          <w:szCs w:val="18"/>
        </w:rPr>
      </w:pPr>
      <w:r w:rsidRPr="005D3101">
        <w:rPr>
          <w:rStyle w:val="FootnoteReference"/>
          <w:szCs w:val="18"/>
        </w:rPr>
        <w:footnoteRef/>
      </w:r>
      <w:r w:rsidRPr="005D3101">
        <w:rPr>
          <w:szCs w:val="18"/>
        </w:rPr>
        <w:t xml:space="preserve"> Incluye apoyo administrativo, ventas en locales y prestación de servicios directos a personas, agropecuario, agrícolas y pesqueras calificadas, producción artesanal, construcción, mecánica, artes gráficas y manufacturas calificadas y montaje y operación de instalaciones y máquinas.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9A7" w:rsidRPr="00DD2149" w:rsidRDefault="00241F90">
    <w:pPr>
      <w:pStyle w:val="Header"/>
    </w:pPr>
    <w:r>
      <w:fldChar w:fldCharType="begin"/>
    </w:r>
    <w:r>
      <w:instrText xml:space="preserve"> TITLE  \* MERGEFORMAT </w:instrText>
    </w:r>
    <w:r>
      <w:fldChar w:fldCharType="separate"/>
    </w:r>
    <w:r>
      <w:t>HRI/CORE/</w:t>
    </w:r>
    <w:r>
      <w:t>CRI</w:t>
    </w:r>
    <w:r>
      <w:t>/201</w:t>
    </w:r>
    <w:r>
      <w:t>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9A7" w:rsidRPr="00DD2149" w:rsidRDefault="00241F90" w:rsidP="00DD21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E2"/>
    <w:rsid w:val="00017F94"/>
    <w:rsid w:val="00023842"/>
    <w:rsid w:val="000334F9"/>
    <w:rsid w:val="0007796D"/>
    <w:rsid w:val="000B7790"/>
    <w:rsid w:val="000C390E"/>
    <w:rsid w:val="00111F2F"/>
    <w:rsid w:val="0014365E"/>
    <w:rsid w:val="0014660A"/>
    <w:rsid w:val="00150DB2"/>
    <w:rsid w:val="00176178"/>
    <w:rsid w:val="001F525A"/>
    <w:rsid w:val="00223272"/>
    <w:rsid w:val="00241F90"/>
    <w:rsid w:val="0024779E"/>
    <w:rsid w:val="00291F1D"/>
    <w:rsid w:val="0029407C"/>
    <w:rsid w:val="00350987"/>
    <w:rsid w:val="00353ED5"/>
    <w:rsid w:val="00382A1F"/>
    <w:rsid w:val="00390178"/>
    <w:rsid w:val="003D1AD0"/>
    <w:rsid w:val="00446FE5"/>
    <w:rsid w:val="00452396"/>
    <w:rsid w:val="004D1CEB"/>
    <w:rsid w:val="005505B7"/>
    <w:rsid w:val="005706C8"/>
    <w:rsid w:val="00573BE5"/>
    <w:rsid w:val="00586ED3"/>
    <w:rsid w:val="00596AA9"/>
    <w:rsid w:val="006122C4"/>
    <w:rsid w:val="006E2C9B"/>
    <w:rsid w:val="0071601D"/>
    <w:rsid w:val="0076624F"/>
    <w:rsid w:val="00766CEC"/>
    <w:rsid w:val="00770252"/>
    <w:rsid w:val="007A62E6"/>
    <w:rsid w:val="0080684C"/>
    <w:rsid w:val="00815502"/>
    <w:rsid w:val="00845D2D"/>
    <w:rsid w:val="00871C75"/>
    <w:rsid w:val="008776DC"/>
    <w:rsid w:val="008F2A1D"/>
    <w:rsid w:val="00957790"/>
    <w:rsid w:val="009705C8"/>
    <w:rsid w:val="00A12AB5"/>
    <w:rsid w:val="00AC3823"/>
    <w:rsid w:val="00AE323C"/>
    <w:rsid w:val="00AE7D9F"/>
    <w:rsid w:val="00B00181"/>
    <w:rsid w:val="00B43C66"/>
    <w:rsid w:val="00B55090"/>
    <w:rsid w:val="00B765F7"/>
    <w:rsid w:val="00BA0CA9"/>
    <w:rsid w:val="00BB3E59"/>
    <w:rsid w:val="00BE1F4C"/>
    <w:rsid w:val="00BE4745"/>
    <w:rsid w:val="00BF3C2C"/>
    <w:rsid w:val="00C02897"/>
    <w:rsid w:val="00CF3AE1"/>
    <w:rsid w:val="00D3439C"/>
    <w:rsid w:val="00D40AEB"/>
    <w:rsid w:val="00DA22F4"/>
    <w:rsid w:val="00DB1831"/>
    <w:rsid w:val="00DD3BFD"/>
    <w:rsid w:val="00DF6678"/>
    <w:rsid w:val="00E009E2"/>
    <w:rsid w:val="00E22CF2"/>
    <w:rsid w:val="00E33F14"/>
    <w:rsid w:val="00E44A12"/>
    <w:rsid w:val="00E52D9F"/>
    <w:rsid w:val="00F12269"/>
    <w:rsid w:val="00F164B0"/>
    <w:rsid w:val="00F660DF"/>
    <w:rsid w:val="00F80094"/>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BD7EC"/>
  <w15:chartTrackingRefBased/>
  <w15:docId w15:val="{BC641A1D-8EC7-4216-B614-81BE9717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F90"/>
    <w:pPr>
      <w:spacing w:line="240" w:lineRule="atLeast"/>
    </w:pPr>
    <w:rPr>
      <w:rFonts w:eastAsia="Times New Roman"/>
      <w:lang w:val="es-ES" w:eastAsia="es-ES"/>
    </w:rPr>
  </w:style>
  <w:style w:type="paragraph" w:styleId="Heading1">
    <w:name w:val="heading 1"/>
    <w:aliases w:val="Table_G"/>
    <w:basedOn w:val="SingleTxtG"/>
    <w:next w:val="SingleTxtG"/>
    <w:link w:val="Heading1Char"/>
    <w:qFormat/>
    <w:rsid w:val="0080684C"/>
    <w:pPr>
      <w:keepNext/>
      <w:keepLines/>
      <w:spacing w:after="0"/>
      <w:ind w:right="0"/>
      <w:jc w:val="left"/>
      <w:outlineLvl w:val="0"/>
    </w:pPr>
  </w:style>
  <w:style w:type="paragraph" w:styleId="Heading2">
    <w:name w:val="heading 2"/>
    <w:basedOn w:val="Normal"/>
    <w:next w:val="Normal"/>
    <w:link w:val="Heading2Char"/>
    <w:uiPriority w:val="9"/>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AE7D9F"/>
    <w:pPr>
      <w:pBdr>
        <w:bottom w:val="single" w:sz="4" w:space="4" w:color="auto"/>
      </w:pBdr>
    </w:pPr>
    <w:rPr>
      <w:b/>
      <w:sz w:val="18"/>
    </w:rPr>
  </w:style>
  <w:style w:type="character" w:customStyle="1" w:styleId="HeaderChar">
    <w:name w:val="Header Char"/>
    <w:aliases w:val="6_G Char"/>
    <w:basedOn w:val="DefaultParagraphFont"/>
    <w:link w:val="Header"/>
    <w:uiPriority w:val="99"/>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Appel note de bas de page,BVI fnr,(Ref. de nota al pi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957790"/>
    <w:rPr>
      <w:color w:val="0000FF"/>
      <w:u w:val="none"/>
    </w:rPr>
  </w:style>
  <w:style w:type="character" w:styleId="FollowedHyperlink">
    <w:name w:val="FollowedHyperlink"/>
    <w:basedOn w:val="DefaultParagraphFont"/>
    <w:semiHidden/>
    <w:rsid w:val="00957790"/>
    <w:rPr>
      <w:color w:val="0000FF"/>
      <w:u w:val="none"/>
    </w:rPr>
  </w:style>
  <w:style w:type="paragraph" w:styleId="FootnoteText">
    <w:name w:val="footnote text"/>
    <w:aliases w:val="5_G,Footnote Text Char1,Footnote Text Char Char1,Footnote Text Char Char Char,Footnote Text Char Char,single space,Texto nota pie IIRSA Car,Texto nota pie IIRSA,FOOTNOTES,fn,Footnote reference,FA Fu,Footnote Text Char Char Char Char Cha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Footnote Text Char1 Char,Footnote Text Char Char1 Char,Footnote Text Char Char Char Char,Footnote Text Char Char Char1,single space Char,Texto nota pie IIRSA Car Char,Texto nota pie IIRSA Char,FOOTNOTES Char,fn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uiPriority w:val="9"/>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E0747-0406-491F-A349-24F68F118E90}"/>
</file>

<file path=customXml/itemProps2.xml><?xml version="1.0" encoding="utf-8"?>
<ds:datastoreItem xmlns:ds="http://schemas.openxmlformats.org/officeDocument/2006/customXml" ds:itemID="{216339AA-B1B0-490E-8A27-A1EFA6BE7AF1}"/>
</file>

<file path=customXml/itemProps3.xml><?xml version="1.0" encoding="utf-8"?>
<ds:datastoreItem xmlns:ds="http://schemas.openxmlformats.org/officeDocument/2006/customXml" ds:itemID="{CA91E257-2CA7-4D34-945C-C46D46DBDCC2}"/>
</file>

<file path=docProps/app.xml><?xml version="1.0" encoding="utf-8"?>
<Properties xmlns="http://schemas.openxmlformats.org/officeDocument/2006/extended-properties" xmlns:vt="http://schemas.openxmlformats.org/officeDocument/2006/docPropsVTypes">
  <Template>Normal.dotm</Template>
  <TotalTime>1</TotalTime>
  <Pages>4</Pages>
  <Words>151</Words>
  <Characters>866</Characters>
  <Application>Microsoft Office Word</Application>
  <DocSecurity>0</DocSecurity>
  <Lines>7</Lines>
  <Paragraphs>2</Paragraphs>
  <ScaleCrop>false</ScaleCrop>
  <Company>OHCHR</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THODIYIL Sindu</dc:creator>
  <cp:keywords/>
  <dc:description/>
  <cp:lastModifiedBy>THODIYIL Sindu</cp:lastModifiedBy>
  <cp:revision>2</cp:revision>
  <cp:lastPrinted>2014-05-14T10:59:00Z</cp:lastPrinted>
  <dcterms:created xsi:type="dcterms:W3CDTF">2019-02-15T10:13:00Z</dcterms:created>
  <dcterms:modified xsi:type="dcterms:W3CDTF">2019-02-15T10:14:00Z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